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01F" w:rsidRDefault="00E1401F" w:rsidP="00E1401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Table 1. Variance Inflation Factor</w:t>
      </w:r>
      <w:r w:rsidRPr="00E1401F">
        <w:rPr>
          <w:rFonts w:asciiTheme="majorBidi" w:hAnsiTheme="majorBidi" w:cstheme="majorBidi"/>
          <w:b/>
          <w:bCs/>
          <w:sz w:val="24"/>
          <w:szCs w:val="24"/>
        </w:rPr>
        <w:t xml:space="preserve"> (VIF) of the covariates</w:t>
      </w:r>
    </w:p>
    <w:tbl>
      <w:tblPr>
        <w:tblW w:w="4590" w:type="dxa"/>
        <w:tblInd w:w="-180" w:type="dxa"/>
        <w:tblLook w:val="04A0" w:firstRow="1" w:lastRow="0" w:firstColumn="1" w:lastColumn="0" w:noHBand="0" w:noVBand="1"/>
      </w:tblPr>
      <w:tblGrid>
        <w:gridCol w:w="4590"/>
      </w:tblGrid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A81C2D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|Variable                                                       </w:t>
            </w:r>
            <w:r w:rsidR="001473A4" w:rsidRPr="00A81C2D">
              <w:rPr>
                <w:rStyle w:val="gntyacmbb4b"/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| </w:t>
            </w:r>
            <w:r w:rsidRPr="00A81C2D">
              <w:rPr>
                <w:rStyle w:val="gntyacmbb4b"/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 xml:space="preserve">VIF     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|age   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| 1.929594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|gender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| 1.980462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|race   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1.251007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|education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1.645382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A81C2D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|marital status                                            </w:t>
            </w:r>
            <w:r w:rsidR="001473A4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| 1.539226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|Smoking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| 1.171276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|Drinking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| 1.234390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Waist circumference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1.494010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Cardiovascular disease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1.221792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Chronic kidney disease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| 1.345953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|albumin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| 1.346099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|creatinine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1.836550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mean diastolic blood pressure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1.291516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mean systolic blood pressure</w:t>
            </w:r>
            <w:r w:rsidR="00A81C2D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1.590376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|Cancer 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1.092934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Diabetes mellitus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1.648657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|HbA1c 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1.626931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High-density lipoprotein cholesterol</w:t>
            </w:r>
            <w:r w:rsidR="00A81C2D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1.505597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1473A4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|TG        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      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1.320691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A81C2D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|Low-density lipoprotein cholesterol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  <w:r w:rsidR="001473A4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 1.061049</w:t>
            </w:r>
          </w:p>
        </w:tc>
      </w:tr>
      <w:tr w:rsidR="001473A4" w:rsidRPr="00E1401F" w:rsidTr="00A81C2D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3A4" w:rsidRPr="00A81C2D" w:rsidRDefault="00A81C2D" w:rsidP="00A81C2D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|U</w:t>
            </w:r>
            <w:r w:rsidR="001473A4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ric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  <w:r w:rsidR="001473A4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acid  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                                                   </w:t>
            </w:r>
            <w:r w:rsidR="001473A4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| 1.611695</w:t>
            </w:r>
          </w:p>
        </w:tc>
      </w:tr>
    </w:tbl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401F" w:rsidRDefault="00E1401F" w:rsidP="0080692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F3905" w:rsidRPr="00806922" w:rsidRDefault="00806922" w:rsidP="00806922">
      <w:pPr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806922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Table 2.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Sensitivity analysis for </w:t>
      </w:r>
      <w:r w:rsidRPr="0080692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Cox proportional hazard regression assessing the impact of </w:t>
      </w:r>
      <w:proofErr w:type="spellStart"/>
      <w:r w:rsidRPr="0080692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sarcopenia</w:t>
      </w:r>
      <w:proofErr w:type="spellEnd"/>
      <w:r w:rsidRPr="0080692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on all-cause, CVD</w:t>
      </w:r>
      <w:r w:rsidR="004A230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,</w:t>
      </w:r>
      <w:r w:rsidRPr="0080692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and non-CVD mortality in patients with CKM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after excluding patients with follow-up less than 24 months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133"/>
        <w:gridCol w:w="1303"/>
        <w:gridCol w:w="1394"/>
        <w:gridCol w:w="1438"/>
        <w:gridCol w:w="1394"/>
        <w:gridCol w:w="1349"/>
        <w:gridCol w:w="1349"/>
      </w:tblGrid>
      <w:tr w:rsidR="00806922" w:rsidRPr="00806922" w:rsidTr="004A230F">
        <w:trPr>
          <w:trHeight w:val="30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0692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0692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Stage 1 and 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0692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Stage 3 and 4</w:t>
            </w:r>
          </w:p>
        </w:tc>
      </w:tr>
      <w:tr w:rsidR="00806922" w:rsidRPr="00806922" w:rsidTr="004A230F">
        <w:trPr>
          <w:trHeight w:val="30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0692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Sarcopenia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0692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Unadjusted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0692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Adjusted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0692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Unadjusted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0692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Adjusted</w:t>
            </w:r>
            <w:r w:rsidR="004A230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0692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Unadjusted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806922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0692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Adjusted</w:t>
            </w:r>
          </w:p>
        </w:tc>
      </w:tr>
      <w:tr w:rsidR="00806922" w:rsidRPr="00806922" w:rsidTr="00806922">
        <w:trPr>
          <w:trHeight w:val="300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All-cause mortality</w:t>
            </w:r>
          </w:p>
        </w:tc>
      </w:tr>
      <w:tr w:rsidR="00806922" w:rsidRPr="00806922" w:rsidTr="004A230F">
        <w:trPr>
          <w:trHeight w:val="30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</w:tr>
      <w:tr w:rsidR="00806922" w:rsidRPr="00806922" w:rsidTr="004A230F">
        <w:trPr>
          <w:trHeight w:val="30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3.396 (2.622 -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4.399)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&lt;0.001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1.477 (1.213-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1.799)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,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p 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2.510 (1.602-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3.933)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&lt;0.001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1.669 (1.085-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2.566)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A81C2D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 =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0.0197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1.958 (1.519-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2.524)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&lt;0.001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1.417  (1.141- 1.76),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 =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0.00164</w:t>
            </w:r>
          </w:p>
        </w:tc>
      </w:tr>
      <w:tr w:rsidR="00806922" w:rsidRPr="00806922" w:rsidTr="00806922">
        <w:trPr>
          <w:trHeight w:val="300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Cardiovascular disease mortality</w:t>
            </w:r>
          </w:p>
        </w:tc>
      </w:tr>
      <w:tr w:rsidR="00806922" w:rsidRPr="00806922" w:rsidTr="004A230F">
        <w:trPr>
          <w:trHeight w:val="30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</w:tr>
      <w:tr w:rsidR="00806922" w:rsidRPr="00806922" w:rsidTr="004A230F">
        <w:trPr>
          <w:trHeight w:val="30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4.392  (2.98 -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6.473)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&lt;0.001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1.730 (1.172-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2.555)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 =</w:t>
            </w:r>
            <w:r w:rsidR="004A230F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0.006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3.859 (1.662-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8.959)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,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 =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0.00168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9D4EB1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2.675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(0.995-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7.194)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 =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0.0513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2.157 (1.454-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3.199)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&lt;0.001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A81C2D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1.487  (1.05- 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2.106)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p=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0.0256</w:t>
            </w:r>
          </w:p>
        </w:tc>
      </w:tr>
      <w:tr w:rsidR="00806922" w:rsidRPr="00806922" w:rsidTr="00806922">
        <w:trPr>
          <w:trHeight w:val="300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Non-cardiovascular disease mortality</w:t>
            </w:r>
          </w:p>
        </w:tc>
      </w:tr>
      <w:tr w:rsidR="00806922" w:rsidRPr="00806922" w:rsidTr="004A230F">
        <w:trPr>
          <w:trHeight w:val="30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color w:val="000000"/>
                <w:sz w:val="20"/>
                <w:szCs w:val="20"/>
              </w:rPr>
              <w:t>Reference</w:t>
            </w:r>
          </w:p>
        </w:tc>
      </w:tr>
      <w:tr w:rsidR="00806922" w:rsidRPr="00806922" w:rsidTr="004A230F">
        <w:trPr>
          <w:trHeight w:val="30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922" w:rsidRPr="00A81C2D" w:rsidRDefault="00806922" w:rsidP="0080692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A81C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3.033 (2.256-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4.079)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&lt;0.001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1.400 (1.096- 1.789),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p=</w:t>
            </w:r>
            <w:r w:rsidR="004A230F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0.007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9D4EB1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2.176 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(1.265-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3.744)</w:t>
            </w:r>
            <w:r w:rsid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 =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0.00498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1.440 (0.853- 2.431),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p=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0.173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1.860 (1.431-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2.418)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&lt;0.001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C2D" w:rsidRDefault="00A81C2D" w:rsidP="009D4EB1">
            <w:pPr>
              <w:pStyle w:val="HTMLPreformatted"/>
              <w:shd w:val="clear" w:color="auto" w:fill="FFFFFF"/>
              <w:wordWrap w:val="0"/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1.398 (1.065-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1.835)</w:t>
            </w: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,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</w:t>
            </w:r>
          </w:p>
          <w:p w:rsidR="00806922" w:rsidRPr="00A81C2D" w:rsidRDefault="00A81C2D" w:rsidP="009D4EB1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>p=</w:t>
            </w:r>
            <w:r w:rsidR="009D4EB1" w:rsidRPr="00A81C2D">
              <w:rPr>
                <w:rStyle w:val="gntyacmbb4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 0.0159</w:t>
            </w:r>
          </w:p>
        </w:tc>
      </w:tr>
    </w:tbl>
    <w:p w:rsidR="004A230F" w:rsidRPr="00C66F38" w:rsidRDefault="004A230F" w:rsidP="004A23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  <w:r w:rsidRPr="00C66F38">
        <w:rPr>
          <w:rFonts w:eastAsia="Times New Roman" w:cstheme="minorHAnsi"/>
          <w:b/>
          <w:bCs/>
          <w:color w:val="000000"/>
          <w:sz w:val="20"/>
          <w:szCs w:val="20"/>
        </w:rPr>
        <w:t>*Findings were written as Hazard Ratio (95% confidence interval), p-value, **</w:t>
      </w:r>
      <w:r w:rsidRPr="00C66F38">
        <w:rPr>
          <w:rFonts w:eastAsia="Times New Roman" w:cstheme="minorHAnsi"/>
          <w:b/>
          <w:bCs/>
          <w:sz w:val="20"/>
          <w:szCs w:val="20"/>
        </w:rPr>
        <w:t>Adjusted model:</w:t>
      </w:r>
      <w:r w:rsidRPr="00C66F38">
        <w:rPr>
          <w:rFonts w:eastAsia="Times New Roman" w:cstheme="minorHAnsi"/>
          <w:sz w:val="20"/>
          <w:szCs w:val="20"/>
        </w:rPr>
        <w:t xml:space="preserve"> Adjusted for age, gender, race/ethnicity, educational level, marital status, smoking status, alcohol drinking, </w:t>
      </w:r>
      <w:r>
        <w:rPr>
          <w:rFonts w:eastAsia="Times New Roman" w:cstheme="minorHAnsi"/>
          <w:sz w:val="20"/>
          <w:szCs w:val="20"/>
        </w:rPr>
        <w:t>waist circumference</w:t>
      </w:r>
      <w:r w:rsidRPr="00C66F38">
        <w:rPr>
          <w:rFonts w:eastAsia="Times New Roman" w:cstheme="minorHAnsi"/>
          <w:sz w:val="20"/>
          <w:szCs w:val="20"/>
        </w:rPr>
        <w:t xml:space="preserve">, </w:t>
      </w:r>
      <w:r>
        <w:rPr>
          <w:rFonts w:eastAsia="Times New Roman" w:cstheme="minorHAnsi"/>
          <w:sz w:val="20"/>
          <w:szCs w:val="20"/>
        </w:rPr>
        <w:t>diabetes mellitus</w:t>
      </w:r>
      <w:r w:rsidRPr="00C66F38">
        <w:rPr>
          <w:rFonts w:eastAsia="Times New Roman" w:cstheme="minorHAnsi"/>
          <w:sz w:val="20"/>
          <w:szCs w:val="20"/>
        </w:rPr>
        <w:t xml:space="preserve">, </w:t>
      </w:r>
      <w:r>
        <w:rPr>
          <w:rFonts w:eastAsia="Times New Roman" w:cstheme="minorHAnsi"/>
          <w:sz w:val="20"/>
          <w:szCs w:val="20"/>
        </w:rPr>
        <w:t>systolic blood pressure, diastolic blood pressure</w:t>
      </w:r>
      <w:r w:rsidRPr="00C66F38">
        <w:rPr>
          <w:rFonts w:eastAsia="Times New Roman" w:cstheme="minorHAnsi"/>
          <w:sz w:val="20"/>
          <w:szCs w:val="20"/>
        </w:rPr>
        <w:t xml:space="preserve">, </w:t>
      </w:r>
      <w:r>
        <w:rPr>
          <w:rFonts w:eastAsia="Times New Roman" w:cstheme="minorHAnsi"/>
          <w:sz w:val="20"/>
          <w:szCs w:val="20"/>
        </w:rPr>
        <w:t>chronic kidney disease</w:t>
      </w:r>
      <w:r w:rsidRPr="00C66F38">
        <w:rPr>
          <w:rFonts w:eastAsia="Times New Roman" w:cstheme="minorHAnsi"/>
          <w:sz w:val="20"/>
          <w:szCs w:val="20"/>
        </w:rPr>
        <w:t xml:space="preserve">, cancer, </w:t>
      </w:r>
      <w:r>
        <w:rPr>
          <w:rFonts w:eastAsia="Times New Roman" w:cstheme="minorHAnsi"/>
          <w:sz w:val="20"/>
          <w:szCs w:val="20"/>
        </w:rPr>
        <w:t>cardiovascular disease</w:t>
      </w:r>
      <w:r w:rsidRPr="00C66F38">
        <w:rPr>
          <w:rFonts w:eastAsia="Times New Roman" w:cstheme="minorHAnsi"/>
          <w:sz w:val="20"/>
          <w:szCs w:val="20"/>
        </w:rPr>
        <w:t>, albumin, creatinine, HbA</w:t>
      </w:r>
      <w:r>
        <w:rPr>
          <w:rFonts w:eastAsia="Times New Roman" w:cstheme="minorHAnsi"/>
          <w:sz w:val="20"/>
          <w:szCs w:val="20"/>
        </w:rPr>
        <w:t>1c, uric acid, triglyceride</w:t>
      </w:r>
      <w:r w:rsidRPr="00C66F38">
        <w:rPr>
          <w:rFonts w:eastAsia="Times New Roman" w:cstheme="minorHAnsi"/>
          <w:sz w:val="20"/>
          <w:szCs w:val="20"/>
        </w:rPr>
        <w:t xml:space="preserve">, low-density </w:t>
      </w:r>
      <w:r>
        <w:rPr>
          <w:rFonts w:eastAsia="Times New Roman" w:cstheme="minorHAnsi"/>
          <w:sz w:val="20"/>
          <w:szCs w:val="20"/>
        </w:rPr>
        <w:t>lipoprotein cholesterol</w:t>
      </w:r>
      <w:r w:rsidRPr="00C66F38">
        <w:rPr>
          <w:rFonts w:eastAsia="Times New Roman" w:cstheme="minorHAnsi"/>
          <w:sz w:val="20"/>
          <w:szCs w:val="20"/>
        </w:rPr>
        <w:t xml:space="preserve"> and high-density lipop</w:t>
      </w:r>
      <w:r>
        <w:rPr>
          <w:rFonts w:eastAsia="Times New Roman" w:cstheme="minorHAnsi"/>
          <w:sz w:val="20"/>
          <w:szCs w:val="20"/>
        </w:rPr>
        <w:t>rotein cholesterol</w:t>
      </w:r>
      <w:r w:rsidRPr="00C66F38">
        <w:rPr>
          <w:rFonts w:eastAsia="Times New Roman" w:cstheme="minorHAnsi"/>
          <w:sz w:val="20"/>
          <w:szCs w:val="20"/>
        </w:rPr>
        <w:t xml:space="preserve">. </w:t>
      </w:r>
      <w:r w:rsidRPr="00C66F38">
        <w:rPr>
          <w:rFonts w:eastAsia="Times New Roman" w:cstheme="minorHAnsi"/>
          <w:b/>
          <w:bCs/>
          <w:sz w:val="20"/>
          <w:szCs w:val="20"/>
        </w:rPr>
        <w:t>*** Cardiovascular disease was not adjusted in this analysis</w:t>
      </w:r>
    </w:p>
    <w:p w:rsidR="009D4EB1" w:rsidRDefault="009D4EB1" w:rsidP="002B0D4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</w:p>
    <w:p w:rsidR="002B0D45" w:rsidRDefault="002B0D45" w:rsidP="002B0D4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</w:p>
    <w:p w:rsidR="002B0D45" w:rsidRPr="002B0D45" w:rsidRDefault="002B0D45" w:rsidP="002B0D4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</w:rPr>
      </w:pPr>
    </w:p>
    <w:p w:rsidR="00806922" w:rsidRDefault="00806922"/>
    <w:p w:rsidR="00806922" w:rsidRDefault="00806922"/>
    <w:p w:rsidR="00806922" w:rsidRDefault="00806922"/>
    <w:p w:rsidR="00664BC2" w:rsidRDefault="00664BC2"/>
    <w:p w:rsidR="00664BC2" w:rsidRDefault="00664BC2"/>
    <w:p w:rsidR="00664BC2" w:rsidRDefault="00664BC2"/>
    <w:p w:rsidR="00664BC2" w:rsidRDefault="00664BC2"/>
    <w:p w:rsidR="00664BC2" w:rsidRDefault="00664BC2"/>
    <w:p w:rsidR="00664BC2" w:rsidRDefault="00A81C2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 Table 3</w:t>
      </w:r>
      <w:r w:rsidR="00664BC2" w:rsidRPr="00806922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664BC2" w:rsidRPr="00664BC2">
        <w:rPr>
          <w:rFonts w:asciiTheme="majorBidi" w:hAnsiTheme="majorBidi" w:cstheme="majorBidi"/>
          <w:b/>
          <w:bCs/>
          <w:sz w:val="24"/>
          <w:szCs w:val="24"/>
        </w:rPr>
        <w:t>Definitions of CKM Syndrome Stages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1230"/>
        <w:gridCol w:w="9385"/>
      </w:tblGrid>
      <w:tr w:rsidR="00664BC2" w:rsidRPr="00664BC2" w:rsidTr="00664BC2">
        <w:tc>
          <w:tcPr>
            <w:tcW w:w="1165" w:type="dxa"/>
          </w:tcPr>
          <w:p w:rsidR="00664BC2" w:rsidRPr="00664BC2" w:rsidRDefault="00664BC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CKM syndrome stages</w:t>
            </w:r>
          </w:p>
        </w:tc>
        <w:tc>
          <w:tcPr>
            <w:tcW w:w="9450" w:type="dxa"/>
          </w:tcPr>
          <w:p w:rsidR="00664BC2" w:rsidRPr="00664BC2" w:rsidRDefault="00664BC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Definition</w:t>
            </w:r>
          </w:p>
        </w:tc>
      </w:tr>
      <w:tr w:rsidR="00664BC2" w:rsidRPr="00664BC2" w:rsidTr="00664BC2">
        <w:tc>
          <w:tcPr>
            <w:tcW w:w="1165" w:type="dxa"/>
          </w:tcPr>
          <w:p w:rsidR="00664BC2" w:rsidRPr="00664BC2" w:rsidRDefault="00664BC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Stage 0</w:t>
            </w:r>
          </w:p>
        </w:tc>
        <w:tc>
          <w:tcPr>
            <w:tcW w:w="9450" w:type="dxa"/>
          </w:tcPr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Normal BMI (&lt;25 kg/m2);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Normal waist circumference (&lt;88/102 cm in women/men);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Normoglycemia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>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Normotension</w:t>
            </w:r>
            <w:bookmarkStart w:id="0" w:name="_GoBack"/>
            <w:bookmarkEnd w:id="0"/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>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Normal lipid status;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No evidence of CKD;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No evidence of CVD.</w:t>
            </w:r>
          </w:p>
        </w:tc>
      </w:tr>
      <w:tr w:rsidR="00664BC2" w:rsidRPr="00664BC2" w:rsidTr="00664BC2">
        <w:tc>
          <w:tcPr>
            <w:tcW w:w="1165" w:type="dxa"/>
          </w:tcPr>
          <w:p w:rsidR="00664BC2" w:rsidRPr="00664BC2" w:rsidRDefault="00664BC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Stage 1</w:t>
            </w:r>
          </w:p>
        </w:tc>
        <w:tc>
          <w:tcPr>
            <w:tcW w:w="9450" w:type="dxa"/>
          </w:tcPr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Elevated BMI (≥25 kg/);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Elevated waist circumference (≥88/102 cm in women/men);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Prediabetes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 xml:space="preserve"> (fasting plasma glucose between 100 mg/</w:t>
            </w: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 xml:space="preserve"> and 126 mg/</w:t>
            </w: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glycated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 xml:space="preserve"> hemoglobin between 5.7% and 6.4%).</w:t>
            </w:r>
          </w:p>
        </w:tc>
      </w:tr>
      <w:tr w:rsidR="00664BC2" w:rsidRPr="00664BC2" w:rsidTr="00664BC2">
        <w:tc>
          <w:tcPr>
            <w:tcW w:w="1165" w:type="dxa"/>
          </w:tcPr>
          <w:p w:rsidR="00664BC2" w:rsidRPr="00664BC2" w:rsidRDefault="00664BC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Stage 2</w:t>
            </w:r>
          </w:p>
        </w:tc>
        <w:tc>
          <w:tcPr>
            <w:tcW w:w="9450" w:type="dxa"/>
          </w:tcPr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Elevated fasting serum triglycerides (≥135 mg/</w:t>
            </w: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>);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Hypertension (blood pressure ≥140/90 mmHg, self-reported history of hypertension, or current antihypertensive treatment);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Diabetes (fasting blood glucose ≥126 mg/</w:t>
            </w: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glycated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 xml:space="preserve"> hemoglobin≥ 6.5%, self-reported history of diabetes, or current hypoglycemic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treatment);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Metabolic syndrome (≥3 of the following: elevated waist circumference,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high-density lipoprotein cholesterol &lt;40 mg/</w:t>
            </w: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 xml:space="preserve"> for men and &lt;50 mg/</w:t>
            </w: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 xml:space="preserve"> for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women, fasting serum triglycerides ≥150 mg/</w:t>
            </w: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>, blood pressure ≥ 130/80 mmHg and/or current antihypertensive treatment, fasting blood glucose ≥100 mg/</w:t>
            </w:r>
            <w:proofErr w:type="spellStart"/>
            <w:r w:rsidRPr="00664BC2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Pr="00664BC2">
              <w:rPr>
                <w:rFonts w:asciiTheme="majorBidi" w:hAnsiTheme="majorBidi" w:cstheme="majorBidi"/>
                <w:sz w:val="24"/>
                <w:szCs w:val="24"/>
              </w:rPr>
              <w:t>);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Moderate-to-high-risk CKD.</w:t>
            </w:r>
          </w:p>
        </w:tc>
      </w:tr>
      <w:tr w:rsidR="00664BC2" w:rsidRPr="00664BC2" w:rsidTr="00664BC2">
        <w:tc>
          <w:tcPr>
            <w:tcW w:w="1165" w:type="dxa"/>
          </w:tcPr>
          <w:p w:rsidR="00664BC2" w:rsidRPr="00664BC2" w:rsidRDefault="00664BC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Stage 3</w:t>
            </w:r>
          </w:p>
        </w:tc>
        <w:tc>
          <w:tcPr>
            <w:tcW w:w="9450" w:type="dxa"/>
          </w:tcPr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Very-high-risk CKD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**</w:t>
            </w:r>
            <w:r w:rsidRPr="00664BC2">
              <w:rPr>
                <w:rFonts w:asciiTheme="majorBidi" w:hAnsiTheme="majorBidi" w:cstheme="majorBidi"/>
                <w:sz w:val="24"/>
                <w:szCs w:val="24"/>
              </w:rPr>
              <w:t>;</w:t>
            </w:r>
          </w:p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High predicted 10-year CVD risk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*</w:t>
            </w:r>
            <w:r w:rsidRPr="00664BC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664BC2" w:rsidRPr="00664BC2" w:rsidTr="00664BC2">
        <w:tc>
          <w:tcPr>
            <w:tcW w:w="1165" w:type="dxa"/>
          </w:tcPr>
          <w:p w:rsidR="00664BC2" w:rsidRPr="00664BC2" w:rsidRDefault="00664BC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Stage 4</w:t>
            </w:r>
          </w:p>
        </w:tc>
        <w:tc>
          <w:tcPr>
            <w:tcW w:w="9450" w:type="dxa"/>
          </w:tcPr>
          <w:p w:rsidR="00664BC2" w:rsidRPr="00664BC2" w:rsidRDefault="00664BC2" w:rsidP="00664B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64BC2">
              <w:rPr>
                <w:rFonts w:asciiTheme="majorBidi" w:hAnsiTheme="majorBidi" w:cstheme="majorBidi"/>
                <w:sz w:val="24"/>
                <w:szCs w:val="24"/>
              </w:rPr>
              <w:t>Self-reported established CVD (coronary heart disease, angina, heart attack, heart failure, and stroke).</w:t>
            </w:r>
          </w:p>
        </w:tc>
      </w:tr>
    </w:tbl>
    <w:p w:rsidR="00664BC2" w:rsidRPr="00664BC2" w:rsidRDefault="00664BC2" w:rsidP="00664BC2">
      <w:pPr>
        <w:rPr>
          <w:rFonts w:cstheme="minorHAnsi"/>
          <w:sz w:val="20"/>
          <w:szCs w:val="20"/>
        </w:rPr>
      </w:pPr>
      <w:r w:rsidRPr="00664BC2">
        <w:rPr>
          <w:rFonts w:cstheme="minorHAnsi"/>
          <w:sz w:val="20"/>
          <w:szCs w:val="20"/>
        </w:rPr>
        <w:t xml:space="preserve">*The 10-year CVD risk was calculated using the Framingham risk calculation based on the Framingham risk score </w:t>
      </w:r>
      <w:r w:rsidRPr="00664BC2">
        <w:rPr>
          <w:rFonts w:cstheme="minorHAnsi"/>
          <w:sz w:val="20"/>
          <w:szCs w:val="20"/>
        </w:rPr>
        <w:fldChar w:fldCharType="begin"/>
      </w:r>
      <w:r w:rsidRPr="00664BC2">
        <w:rPr>
          <w:rFonts w:cstheme="minorHAnsi"/>
          <w:sz w:val="20"/>
          <w:szCs w:val="20"/>
        </w:rPr>
        <w:instrText xml:space="preserve"> ADDIN EN.CITE &lt;EndNote&gt;&lt;Cite&gt;&lt;Author&gt;D&amp;apos;Agostino&lt;/Author&gt;&lt;Year&gt;2008&lt;/Year&gt;&lt;RecNum&gt;213&lt;/RecNum&gt;&lt;DisplayText&gt;[1]&lt;/DisplayText&gt;&lt;record&gt;&lt;rec-number&gt;213&lt;/rec-number&gt;&lt;foreign-keys&gt;&lt;key app="EN" db-id="p5a5r5z9szeds7e05dd5vptavz299dppzvp0" timestamp="1753960522"&gt;213&lt;/key&gt;&lt;/foreign-keys&gt;&lt;ref-type name="Journal Article"&gt;17&lt;/ref-type&gt;&lt;contributors&gt;&lt;authors&gt;&lt;author&gt;D&amp;apos;Agostino, R. B., Sr.&lt;/author&gt;&lt;author&gt;Vasan, R. S.&lt;/author&gt;&lt;author&gt;Pencina, M. J.&lt;/author&gt;&lt;author&gt;Wolf, P. A.&lt;/author&gt;&lt;author&gt;Cobain, M.&lt;/author&gt;&lt;author&gt;Massaro, J. M.&lt;/author&gt;&lt;author&gt;Kannel, W. B.&lt;/author&gt;&lt;/authors&gt;&lt;/contributors&gt;&lt;auth-address&gt;Boston University, Department of Mathematics and Statistics, 111 Cummington St, Boston, MA 02215, USA.&lt;/auth-address&gt;&lt;titles&gt;&lt;title&gt;General cardiovascular risk profile for use in primary care: the Framingham Heart Study&lt;/title&gt;&lt;secondary-title&gt;Circulation&lt;/secondary-title&gt;&lt;/titles&gt;&lt;periodical&gt;&lt;full-title&gt;Circulation&lt;/full-title&gt;&lt;/periodical&gt;&lt;pages&gt;743-53&lt;/pages&gt;&lt;volume&gt;117&lt;/volume&gt;&lt;number&gt;6&lt;/number&gt;&lt;edition&gt;20080122&lt;/edition&gt;&lt;keywords&gt;&lt;keyword&gt;Adult&lt;/keyword&gt;&lt;keyword&gt;Aged&lt;/keyword&gt;&lt;keyword&gt;Algorithms&lt;/keyword&gt;&lt;keyword&gt;*Cardiovascular Diseases&lt;/keyword&gt;&lt;keyword&gt;Female&lt;/keyword&gt;&lt;keyword&gt;Humans&lt;/keyword&gt;&lt;keyword&gt;Longitudinal Studies&lt;/keyword&gt;&lt;keyword&gt;Male&lt;/keyword&gt;&lt;keyword&gt;Middle Aged&lt;/keyword&gt;&lt;keyword&gt;Multivariate Analysis&lt;/keyword&gt;&lt;keyword&gt;Primary Health Care&lt;/keyword&gt;&lt;keyword&gt;Proportional Hazards Models&lt;/keyword&gt;&lt;keyword&gt;Risk Assessment/*methods&lt;/keyword&gt;&lt;keyword&gt;Risk Factors&lt;/keyword&gt;&lt;keyword&gt;Sex Factors&lt;/keyword&gt;&lt;/keywords&gt;&lt;dates&gt;&lt;year&gt;2008&lt;/year&gt;&lt;pub-dates&gt;&lt;date&gt;Feb 12&lt;/date&gt;&lt;/pub-dates&gt;&lt;/dates&gt;&lt;isbn&gt;0009-7322&lt;/isbn&gt;&lt;accession-num&gt;18212285&lt;/accession-num&gt;&lt;urls&gt;&lt;/urls&gt;&lt;electronic-resource-num&gt;10.1161/circulationaha.107.699579&lt;/electronic-resource-num&gt;&lt;remote-database-provider&gt;NLM&lt;/remote-database-provider&gt;&lt;language&gt;eng&lt;/language&gt;&lt;/record&gt;&lt;/Cite&gt;&lt;/EndNote&gt;</w:instrText>
      </w:r>
      <w:r w:rsidRPr="00664BC2">
        <w:rPr>
          <w:rFonts w:cstheme="minorHAnsi"/>
          <w:sz w:val="20"/>
          <w:szCs w:val="20"/>
        </w:rPr>
        <w:fldChar w:fldCharType="separate"/>
      </w:r>
      <w:r w:rsidRPr="00664BC2">
        <w:rPr>
          <w:rFonts w:cstheme="minorHAnsi"/>
          <w:noProof/>
          <w:sz w:val="20"/>
          <w:szCs w:val="20"/>
        </w:rPr>
        <w:t>[1]</w:t>
      </w:r>
      <w:r w:rsidRPr="00664BC2">
        <w:rPr>
          <w:rFonts w:cstheme="minorHAnsi"/>
          <w:sz w:val="20"/>
          <w:szCs w:val="20"/>
        </w:rPr>
        <w:fldChar w:fldCharType="end"/>
      </w:r>
    </w:p>
    <w:p w:rsidR="00664BC2" w:rsidRPr="00664BC2" w:rsidRDefault="00664BC2" w:rsidP="00664BC2">
      <w:pPr>
        <w:rPr>
          <w:rFonts w:cstheme="minorHAnsi"/>
          <w:sz w:val="20"/>
          <w:szCs w:val="20"/>
        </w:rPr>
      </w:pPr>
      <w:r w:rsidRPr="00664BC2">
        <w:rPr>
          <w:rFonts w:cstheme="minorHAnsi"/>
          <w:sz w:val="20"/>
          <w:szCs w:val="20"/>
        </w:rPr>
        <w:t xml:space="preserve">** CKD stages were identified based on GFR and urinary albumin-to-creatinine ratio according to KDIGO 2024 Clinical Practice Guideline for the Evaluation and Management of Chronic Kidney Disease </w:t>
      </w:r>
      <w:r w:rsidRPr="00664BC2">
        <w:rPr>
          <w:rFonts w:cstheme="minorHAnsi"/>
          <w:sz w:val="20"/>
          <w:szCs w:val="20"/>
        </w:rPr>
        <w:fldChar w:fldCharType="begin"/>
      </w:r>
      <w:r w:rsidRPr="00664BC2">
        <w:rPr>
          <w:rFonts w:cstheme="minorHAnsi"/>
          <w:sz w:val="20"/>
          <w:szCs w:val="20"/>
        </w:rPr>
        <w:instrText xml:space="preserve"> ADDIN EN.CITE &lt;EndNote&gt;&lt;Cite&gt;&lt;Year&gt;2024&lt;/Year&gt;&lt;RecNum&gt;210&lt;/RecNum&gt;&lt;DisplayText&gt;[2]&lt;/DisplayText&gt;&lt;record&gt;&lt;rec-number&gt;210&lt;/rec-number&gt;&lt;foreign-keys&gt;&lt;key app="EN" db-id="p5a5r5z9szeds7e05dd5vptavz299dppzvp0" timestamp="1753958909"&gt;210&lt;/key&gt;&lt;/foreign-keys&gt;&lt;ref-type name="Journal Article"&gt;17&lt;/ref-type&gt;&lt;contributors&gt;&lt;/contributors&gt;&lt;titles&gt;&lt;title&gt;KDIGO 2024 Clinical Practice Guideline for the Evaluation and Management of Chronic Kidney Disease&lt;/title&gt;&lt;secondary-title&gt;Kidney Int&lt;/secondary-title&gt;&lt;/titles&gt;&lt;periodical&gt;&lt;full-title&gt;Kidney Int&lt;/full-title&gt;&lt;/periodical&gt;&lt;pages&gt;S117-s314&lt;/pages&gt;&lt;volume&gt;105&lt;/volume&gt;&lt;number&gt;4s&lt;/number&gt;&lt;keywords&gt;&lt;keyword&gt;Humans&lt;/keyword&gt;&lt;keyword&gt;*Renal Insufficiency, Chronic/diagnosis/therapy&lt;/keyword&gt;&lt;/keywords&gt;&lt;dates&gt;&lt;year&gt;2024&lt;/year&gt;&lt;pub-dates&gt;&lt;date&gt;Apr&lt;/date&gt;&lt;/pub-dates&gt;&lt;/dates&gt;&lt;isbn&gt;0085-2538&lt;/isbn&gt;&lt;accession-num&gt;38490803&lt;/accession-num&gt;&lt;urls&gt;&lt;/urls&gt;&lt;electronic-resource-num&gt;10.1016/j.kint.2023.10.018&lt;/electronic-resource-num&gt;&lt;remote-database-provider&gt;NLM&lt;/remote-database-provider&gt;&lt;language&gt;eng&lt;/language&gt;&lt;/record&gt;&lt;/Cite&gt;&lt;/EndNote&gt;</w:instrText>
      </w:r>
      <w:r w:rsidRPr="00664BC2">
        <w:rPr>
          <w:rFonts w:cstheme="minorHAnsi"/>
          <w:sz w:val="20"/>
          <w:szCs w:val="20"/>
        </w:rPr>
        <w:fldChar w:fldCharType="separate"/>
      </w:r>
      <w:r w:rsidRPr="00664BC2">
        <w:rPr>
          <w:rFonts w:cstheme="minorHAnsi"/>
          <w:noProof/>
          <w:sz w:val="20"/>
          <w:szCs w:val="20"/>
        </w:rPr>
        <w:t>[2]</w:t>
      </w:r>
      <w:r w:rsidRPr="00664BC2">
        <w:rPr>
          <w:rFonts w:cstheme="minorHAnsi"/>
          <w:sz w:val="20"/>
          <w:szCs w:val="20"/>
        </w:rPr>
        <w:fldChar w:fldCharType="end"/>
      </w:r>
    </w:p>
    <w:p w:rsidR="00664BC2" w:rsidRDefault="00664BC2"/>
    <w:p w:rsidR="00664BC2" w:rsidRDefault="00664BC2"/>
    <w:p w:rsidR="00664BC2" w:rsidRPr="00664BC2" w:rsidRDefault="00664BC2" w:rsidP="00664BC2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664BC2">
        <w:t>[1] D'Agostino RB, Sr., Vasan RS, Pencina MJ, Wolf PA, Cobain M, Massaro JM, Kannel WB. General cardiovascular risk profile for use in primary care: the Framingham Heart Study. Circulation. 2008;117:743-53.</w:t>
      </w:r>
    </w:p>
    <w:p w:rsidR="00664BC2" w:rsidRPr="00664BC2" w:rsidRDefault="00664BC2" w:rsidP="00664BC2">
      <w:pPr>
        <w:pStyle w:val="EndNoteBibliography"/>
      </w:pPr>
      <w:r w:rsidRPr="00664BC2">
        <w:t>[2] KDIGO 2024 Clinical Practice Guideline for the Evaluation and Management of Chronic Kidney Disease. Kidney Int. 2024;105:S117-s314.</w:t>
      </w:r>
    </w:p>
    <w:p w:rsidR="00664BC2" w:rsidRDefault="00664BC2" w:rsidP="00664BC2">
      <w:r>
        <w:fldChar w:fldCharType="end"/>
      </w:r>
    </w:p>
    <w:sectPr w:rsidR="00664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urr Problems Canc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a5r5z9szeds7e05dd5vptavz299dppzvp0&quot;&gt;Untitled222&lt;record-ids&gt;&lt;item&gt;210&lt;/item&gt;&lt;item&gt;213&lt;/item&gt;&lt;/record-ids&gt;&lt;/item&gt;&lt;/Libraries&gt;"/>
  </w:docVars>
  <w:rsids>
    <w:rsidRoot w:val="00806922"/>
    <w:rsid w:val="001473A4"/>
    <w:rsid w:val="001F3905"/>
    <w:rsid w:val="002B0D45"/>
    <w:rsid w:val="004A230F"/>
    <w:rsid w:val="00664BC2"/>
    <w:rsid w:val="00806922"/>
    <w:rsid w:val="009D4EB1"/>
    <w:rsid w:val="00A81C2D"/>
    <w:rsid w:val="00E1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EFE22D-6923-484C-9C97-74641E67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4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4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BC2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64BC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4BC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64BC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64BC2"/>
    <w:rPr>
      <w:rFonts w:ascii="Calibri" w:hAnsi="Calibri" w:cs="Calibri"/>
      <w:noProof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47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473A4"/>
    <w:rPr>
      <w:rFonts w:ascii="Courier New" w:eastAsia="Times New Roman" w:hAnsi="Courier New" w:cs="Courier New"/>
      <w:sz w:val="20"/>
      <w:szCs w:val="20"/>
    </w:rPr>
  </w:style>
  <w:style w:type="character" w:customStyle="1" w:styleId="gntyacmbb4b">
    <w:name w:val="gntyacmbb4b"/>
    <w:basedOn w:val="DefaultParagraphFont"/>
    <w:rsid w:val="00147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1171</Words>
  <Characters>7226</Characters>
  <Application>Microsoft Office Word</Application>
  <DocSecurity>0</DocSecurity>
  <Lines>401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</dc:creator>
  <cp:keywords/>
  <dc:description/>
  <cp:lastModifiedBy>SEi</cp:lastModifiedBy>
  <cp:revision>7</cp:revision>
  <dcterms:created xsi:type="dcterms:W3CDTF">2025-06-18T17:50:00Z</dcterms:created>
  <dcterms:modified xsi:type="dcterms:W3CDTF">2025-08-06T14:13:00Z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1f68b509-9dfe-4429-b46a-7a161dfd8a79</vt:lpwstr>
  </property>
</Properties>
</file>