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66C49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default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  <w:t>C</w:t>
      </w:r>
      <w:r>
        <w:rPr>
          <w:rFonts w:hint="default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  <w:t>atalogue</w:t>
      </w:r>
    </w:p>
    <w:sdt>
      <w:sdtPr>
        <w:rPr>
          <w:rFonts w:ascii="宋体" w:hAnsi="宋体" w:eastAsia="宋体" w:cs="Times New Roman"/>
          <w:kern w:val="2"/>
          <w:sz w:val="21"/>
          <w:szCs w:val="22"/>
          <w:lang w:val="en-US" w:eastAsia="zh-CN" w:bidi="ar-SA"/>
        </w:rPr>
        <w:id w:val="147467877"/>
        <w15:color w:val="DBDBDB"/>
        <w:docPartObj>
          <w:docPartGallery w:val="Table of Contents"/>
          <w:docPartUnique/>
        </w:docPartObj>
      </w:sdtPr>
      <w:sdtEndPr>
        <w:rPr>
          <w:rFonts w:ascii="Times New Roman" w:hAnsi="Times New Roman" w:eastAsia="等线" w:cs="Times New Roman"/>
          <w:bCs/>
          <w:kern w:val="2"/>
          <w:sz w:val="21"/>
          <w:szCs w:val="21"/>
          <w:lang w:val="en-US" w:eastAsia="zh-CN" w:bidi="ar-SA"/>
        </w:rPr>
      </w:sdtEndPr>
      <w:sdtContent>
        <w:p w14:paraId="06100204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</w:p>
        <w:p w14:paraId="54CB8B9A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 w:val="21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 w:val="21"/>
              <w:szCs w:val="21"/>
              <w:lang w:val="en-US" w:eastAsia="zh-CN" w:bidi="ar-SA"/>
            </w:rPr>
            <w:instrText xml:space="preserve">TOC \o "1-1" \h \u </w:instrText>
          </w:r>
          <w:r>
            <w:rPr>
              <w:rFonts w:ascii="Times New Roman" w:hAnsi="Times New Roman" w:eastAsia="等线" w:cs="Times New Roman"/>
              <w:bCs/>
              <w:kern w:val="2"/>
              <w:sz w:val="21"/>
              <w:szCs w:val="21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_Toc26218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 xml:space="preserve">Figure S1. </w:t>
          </w:r>
          <w:r>
            <w:rPr>
              <w:rFonts w:hint="default" w:ascii="Times New Roman" w:hAnsi="Times New Roman" w:cs="Times New Roman"/>
              <w:bCs/>
            </w:rPr>
            <w:t>Flow Chart of participant screening in NHANES and CHARLS cohorts.</w:t>
          </w:r>
          <w:r>
            <w:tab/>
          </w:r>
          <w:r>
            <w:fldChar w:fldCharType="begin"/>
          </w:r>
          <w:r>
            <w:instrText xml:space="preserve"> PAGEREF _Toc26218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68596CA8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_Toc9579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lang w:val="en-US" w:eastAsia="zh-CN"/>
            </w:rPr>
            <w:t xml:space="preserve">Figure S2. </w:t>
          </w:r>
          <w:r>
            <w:rPr>
              <w:rFonts w:hint="default" w:ascii="Times New Roman" w:hAnsi="Times New Roman" w:cs="Times New Roman"/>
              <w:bCs/>
              <w:lang w:val="en-US" w:eastAsia="zh-CN"/>
            </w:rPr>
            <w:t>The multivariable-adjusted OR of stroke among the participants varied with eGDR levels</w:t>
          </w:r>
          <w:r>
            <w:rPr>
              <w:rFonts w:hint="default" w:ascii="Times New Roman" w:hAnsi="Times New Roman" w:cs="Times New Roman"/>
              <w:bCs/>
            </w:rPr>
            <w:t>.</w:t>
          </w:r>
          <w:r>
            <w:rPr>
              <w:rFonts w:hint="default" w:ascii="Times New Roman" w:hAnsi="Times New Roman" w:cs="Times New Roman"/>
            </w:rPr>
            <w:t xml:space="preserve"> </w:t>
          </w:r>
          <w:r>
            <w:rPr>
              <w:rFonts w:hint="eastAsia" w:ascii="Times New Roman" w:hAnsi="Times New Roman" w:eastAsia="等线" w:cs="Times New Roman"/>
              <w:bCs w:val="0"/>
              <w:kern w:val="2"/>
              <w:szCs w:val="21"/>
              <w:lang w:val="en-US" w:eastAsia="zh-CN" w:bidi="ar-SA"/>
            </w:rPr>
            <w:t>.</w:t>
          </w:r>
          <w:r>
            <w:tab/>
          </w:r>
          <w:r>
            <w:fldChar w:fldCharType="begin"/>
          </w:r>
          <w:r>
            <w:instrText xml:space="preserve"> PAGEREF _Toc9579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374E8EFE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_Toc127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Table S</w:t>
          </w:r>
          <w:r>
            <w:rPr>
              <w:rFonts w:hint="default" w:ascii="Times New Roman" w:hAnsi="Times New Roman" w:cs="Times New Roman"/>
              <w:lang w:val="en-US" w:eastAsia="zh-CN"/>
            </w:rPr>
            <w:t xml:space="preserve">1 Validation of the Proportional Hazards Assumption in Cox Regression Models for the Association between </w:t>
          </w:r>
          <w:r>
            <w:rPr>
              <w:rFonts w:hint="eastAsia" w:ascii="Times New Roman" w:hAnsi="Times New Roman" w:cs="Times New Roman"/>
              <w:lang w:val="en-US" w:eastAsia="zh-CN"/>
            </w:rPr>
            <w:t>V</w:t>
          </w:r>
          <w:r>
            <w:rPr>
              <w:rFonts w:hint="default" w:ascii="Times New Roman" w:hAnsi="Times New Roman" w:cs="Times New Roman"/>
              <w:lang w:val="en-US" w:eastAsia="zh-CN"/>
            </w:rPr>
            <w:t>ariables and Mortality in NHANES Study.</w:t>
          </w:r>
          <w:r>
            <w:tab/>
          </w:r>
          <w:r>
            <w:fldChar w:fldCharType="begin"/>
          </w:r>
          <w:r>
            <w:instrText xml:space="preserve"> PAGEREF _Toc127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32E27E16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_Toc25196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 xml:space="preserve">Figure S3. </w:t>
          </w:r>
          <w:r>
            <w:rPr>
              <w:rFonts w:hint="default" w:ascii="Times New Roman" w:hAnsi="Times New Roman" w:cs="Times New Roman" w:eastAsiaTheme="minorEastAsia"/>
              <w:bCs/>
              <w:kern w:val="0"/>
              <w:szCs w:val="22"/>
              <w:lang w:val="en-US" w:eastAsia="zh-CN" w:bidi="ar-SA"/>
            </w:rPr>
            <w:t>Validation of the Proportional Hazards Assumption for Cox Regression Models.</w:t>
          </w:r>
          <w:r>
            <w:rPr>
              <w:rFonts w:hint="eastAsia" w:ascii="Times New Roman" w:hAnsi="Times New Roman" w:cs="Times New Roman"/>
              <w:bCs/>
              <w:lang w:val="en-US" w:eastAsia="zh-CN"/>
            </w:rPr>
            <w:t xml:space="preserve"> </w:t>
          </w:r>
          <w:r>
            <w:tab/>
          </w:r>
          <w:r>
            <w:fldChar w:fldCharType="begin"/>
          </w:r>
          <w:r>
            <w:instrText xml:space="preserve"> PAGEREF _Toc25196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6F7F0FEC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_Toc28893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Table S</w:t>
          </w:r>
          <w:r>
            <w:rPr>
              <w:rFonts w:hint="default" w:ascii="Times New Roman" w:hAnsi="Times New Roman" w:cs="Times New Roman"/>
              <w:lang w:val="en-US" w:eastAsia="zh-CN"/>
            </w:rPr>
            <w:t>2</w:t>
          </w:r>
          <w:r>
            <w:rPr>
              <w:rFonts w:hint="eastAsia" w:ascii="Times New Roman" w:hAnsi="Times New Roman" w:cs="Times New Roman"/>
              <w:lang w:val="en-US" w:eastAsia="zh-CN"/>
            </w:rPr>
            <w:t>.</w:t>
          </w:r>
          <w:r>
            <w:rPr>
              <w:rFonts w:hint="default" w:ascii="Times New Roman" w:hAnsi="Times New Roman" w:cs="Times New Roman"/>
              <w:lang w:val="en-US" w:eastAsia="zh-CN"/>
            </w:rPr>
            <w:t xml:space="preserve"> Validation of the Proportional Hazards Assumption in Cox Regression Models for the Association between Variables and Stroke Incidence and Mortality in CHARLS Study.</w:t>
          </w:r>
          <w:r>
            <w:tab/>
          </w:r>
          <w:r>
            <w:fldChar w:fldCharType="begin"/>
          </w:r>
          <w:r>
            <w:instrText xml:space="preserve"> PAGEREF _Toc28893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1FBBB207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_Toc16335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lang w:val="en-US" w:eastAsia="zh-CN"/>
            </w:rPr>
            <w:t>Figure S</w:t>
          </w:r>
          <w:r>
            <w:rPr>
              <w:rFonts w:hint="eastAsia" w:ascii="Times New Roman" w:hAnsi="Times New Roman" w:cs="Times New Roman"/>
              <w:bCs/>
              <w:lang w:val="en-US" w:eastAsia="zh-CN"/>
            </w:rPr>
            <w:t>4</w:t>
          </w:r>
          <w:r>
            <w:rPr>
              <w:rFonts w:hint="default" w:ascii="Times New Roman" w:hAnsi="Times New Roman" w:cs="Times New Roman"/>
              <w:bCs/>
              <w:lang w:val="en-US" w:eastAsia="zh-CN"/>
            </w:rPr>
            <w:t>. Validation of the Proportional Hazards Assumption for Cox Regression Models.</w:t>
          </w:r>
          <w:r>
            <w:rPr>
              <w:rFonts w:hint="eastAsia" w:ascii="Times New Roman" w:hAnsi="Times New Roman" w:cs="Times New Roman"/>
              <w:bCs/>
              <w:lang w:val="en-US" w:eastAsia="zh-CN"/>
            </w:rPr>
            <w:t xml:space="preserve"> </w:t>
          </w:r>
          <w:r>
            <w:rPr>
              <w:rFonts w:hint="default" w:ascii="Times New Roman" w:hAnsi="Times New Roman" w:cs="Times New Roman"/>
              <w:lang w:val="en-US" w:eastAsia="zh-CN"/>
            </w:rPr>
            <w:t>.</w:t>
          </w:r>
          <w:r>
            <w:tab/>
          </w:r>
          <w:r>
            <w:fldChar w:fldCharType="begin"/>
          </w:r>
          <w:r>
            <w:instrText xml:space="preserve"> PAGEREF _Toc16335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3531FA64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_Toc10762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lang w:val="en-US" w:eastAsia="zh-CN"/>
            </w:rPr>
            <w:t>Table S3. Association Between eGDR and prevalence of Stroke by Specific Baseline Characteristics in NHANES Study.</w:t>
          </w:r>
          <w:r>
            <w:tab/>
          </w:r>
          <w:r>
            <w:fldChar w:fldCharType="begin"/>
          </w:r>
          <w:r>
            <w:instrText xml:space="preserve"> PAGEREF _Toc10762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0389CF98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_Toc8893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>Table S</w:t>
          </w:r>
          <w:r>
            <w:rPr>
              <w:rFonts w:hint="eastAsia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>4</w:t>
          </w:r>
          <w:r>
            <w:rPr>
              <w:rFonts w:hint="default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 xml:space="preserve">. Association Between eGDR And </w:t>
          </w:r>
          <w:r>
            <w:rPr>
              <w:rFonts w:hint="eastAsia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>Risk</w:t>
          </w:r>
          <w:r>
            <w:rPr>
              <w:rFonts w:hint="default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 xml:space="preserve"> of </w:t>
          </w:r>
          <w:r>
            <w:rPr>
              <w:rFonts w:hint="eastAsia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>M</w:t>
          </w:r>
          <w:r>
            <w:rPr>
              <w:rFonts w:hint="default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>ortality by Specific Baseline Characteristics in NHANES Study.</w:t>
          </w:r>
          <w:r>
            <w:tab/>
          </w:r>
          <w:r>
            <w:fldChar w:fldCharType="begin"/>
          </w:r>
          <w:r>
            <w:instrText xml:space="preserve"> PAGEREF _Toc8893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1ED09A47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_Toc28734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>Table S</w:t>
          </w:r>
          <w:r>
            <w:rPr>
              <w:rFonts w:hint="eastAsia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>5</w:t>
          </w:r>
          <w:r>
            <w:rPr>
              <w:rFonts w:hint="default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 xml:space="preserve">. Direct and indirect effects of </w:t>
          </w:r>
          <w:r>
            <w:rPr>
              <w:rFonts w:hint="eastAsia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>eGDR</w:t>
          </w:r>
          <w:r>
            <w:rPr>
              <w:rFonts w:hint="default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 xml:space="preserve"> on the risk of </w:t>
          </w:r>
          <w:r>
            <w:rPr>
              <w:rFonts w:hint="eastAsia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>Stroke and Mortality</w:t>
          </w:r>
          <w:r>
            <w:rPr>
              <w:rFonts w:hint="default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 xml:space="preserve"> Among </w:t>
          </w:r>
          <w:r>
            <w:rPr>
              <w:rFonts w:hint="eastAsia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>P</w:t>
          </w:r>
          <w:r>
            <w:rPr>
              <w:rFonts w:hint="default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 xml:space="preserve">articipants with </w:t>
          </w:r>
          <w:r>
            <w:rPr>
              <w:rFonts w:hint="eastAsia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>Stroke</w:t>
          </w:r>
          <w:r>
            <w:rPr>
              <w:rFonts w:hint="default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 xml:space="preserve"> </w:t>
          </w:r>
          <w:r>
            <w:rPr>
              <w:rFonts w:hint="eastAsia" w:ascii="Times New Roman" w:hAnsi="Times New Roman" w:cs="Times New Roman" w:eastAsiaTheme="minorEastAsia"/>
              <w:kern w:val="0"/>
              <w:szCs w:val="22"/>
              <w:lang w:val="en-US" w:eastAsia="zh-CN" w:bidi="ar-SA"/>
            </w:rPr>
            <w:t>in NHANES Study.</w:t>
          </w:r>
          <w:r>
            <w:tab/>
          </w:r>
          <w:r>
            <w:fldChar w:fldCharType="begin"/>
          </w:r>
          <w:r>
            <w:instrText xml:space="preserve"> PAGEREF _Toc28734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58567E11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_Toc23328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>Table S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6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 xml:space="preserve">. Association Between eGDR and 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Stroke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 xml:space="preserve"> After 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In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>cluding Participants with Missing Covariates in NHANES Study.</w:t>
          </w:r>
          <w:r>
            <w:tab/>
          </w:r>
          <w:r>
            <w:fldChar w:fldCharType="begin"/>
          </w:r>
          <w:r>
            <w:instrText xml:space="preserve"> PAGEREF _Toc23328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29F21CB2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_Toc29112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>Table S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7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>. Association Between eGDR and Mortality After Excluding Participants with Missing Covariates in NHANES Study.</w:t>
          </w:r>
          <w:r>
            <w:tab/>
          </w:r>
          <w:r>
            <w:fldChar w:fldCharType="begin"/>
          </w:r>
          <w:r>
            <w:instrText xml:space="preserve"> PAGEREF _Toc29112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5C32E9AA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_Toc29668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>Table S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8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 xml:space="preserve">. Association Between eGDR and 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Stroke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 xml:space="preserve"> After 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 xml:space="preserve">Including 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 xml:space="preserve">Participants 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Aged 20 years or older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 xml:space="preserve"> in NHANES Study.</w:t>
          </w:r>
          <w:r>
            <w:tab/>
          </w:r>
          <w:r>
            <w:fldChar w:fldCharType="begin"/>
          </w:r>
          <w:r>
            <w:instrText xml:space="preserve"> PAGEREF _Toc29668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15F28DB4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_Toc30841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>Table S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9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 xml:space="preserve">. Association Between eGDR and Mortality After 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In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 xml:space="preserve">cluding Participants 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Aged 20 years or older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 xml:space="preserve"> in NHANES Study.</w:t>
          </w:r>
          <w:r>
            <w:tab/>
          </w:r>
          <w:r>
            <w:fldChar w:fldCharType="begin"/>
          </w:r>
          <w:r>
            <w:instrText xml:space="preserve"> PAGEREF _Toc30841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0E13DBD7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_Toc29345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>Table S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10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>. Multi-factor competing risk model compared the association between eGDR and mortality in the NHANES study.</w:t>
          </w:r>
          <w:r>
            <w:tab/>
          </w:r>
          <w:r>
            <w:fldChar w:fldCharType="begin"/>
          </w:r>
          <w:r>
            <w:instrText xml:space="preserve"> PAGEREF _Toc29345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24AA371E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_Toc12517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 xml:space="preserve">Table 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S11.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 xml:space="preserve"> Baseline characteristics of 6873 participants by tertile of eGDR in CHARLS study</w:t>
          </w:r>
          <w:r>
            <w:tab/>
          </w:r>
          <w:r>
            <w:fldChar w:fldCharType="begin"/>
          </w:r>
          <w:r>
            <w:instrText xml:space="preserve"> PAGEREF _Toc12517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70DDF124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_Toc25234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>Table S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12.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 xml:space="preserve"> Characteristics of 6721 participants by tertile of eGDR in CHARLS Study excluding with history of stroke at baseline or lost to follow-up.</w:t>
          </w:r>
          <w:r>
            <w:tab/>
          </w:r>
          <w:r>
            <w:fldChar w:fldCharType="begin"/>
          </w:r>
          <w:r>
            <w:instrText xml:space="preserve"> PAGEREF _Toc25234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330BF4B8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_Toc28686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 xml:space="preserve">Table 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S13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>.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 xml:space="preserve"> 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 xml:space="preserve">Association between eGDR and incident 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stroke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 xml:space="preserve"> 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and all-cause mortality in CHARLS s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>tudy.</w:t>
          </w:r>
          <w:r>
            <w:tab/>
          </w:r>
          <w:r>
            <w:fldChar w:fldCharType="begin"/>
          </w:r>
          <w:r>
            <w:instrText xml:space="preserve"> PAGEREF _Toc28686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6554D50D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_Toc26685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>Table S1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4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>. Random-Effects Meta-Analysis of eGDR and All-Cause Mortality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 xml:space="preserve"> 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>from the fully-adjusted models (Model 3)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>.</w:t>
          </w:r>
          <w:r>
            <w:tab/>
          </w:r>
          <w:r>
            <w:fldChar w:fldCharType="begin"/>
          </w:r>
          <w:r>
            <w:instrText xml:space="preserve"> PAGEREF _Toc26685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6C9DCD94">
          <w:pPr>
            <w:pStyle w:val="9"/>
            <w:tabs>
              <w:tab w:val="right" w:leader="dot" w:pos="8306"/>
            </w:tabs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instrText xml:space="preserve"> HYPERLINK \l _Toc17720 </w:instrText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>Table S1</w:t>
          </w:r>
          <w:r>
            <w:rPr>
              <w:rFonts w:hint="eastAsia" w:ascii="Times New Roman" w:hAnsi="Times New Roman" w:cs="Times New Roman"/>
              <w:szCs w:val="22"/>
              <w:lang w:val="en-US" w:eastAsia="zh-CN" w:bidi="ar-SA"/>
            </w:rPr>
            <w:t xml:space="preserve">5. </w:t>
          </w:r>
          <w:r>
            <w:rPr>
              <w:rFonts w:hint="default" w:ascii="Times New Roman" w:hAnsi="Times New Roman" w:cs="Times New Roman"/>
              <w:szCs w:val="22"/>
              <w:lang w:val="en-US" w:eastAsia="zh-CN" w:bidi="ar-SA"/>
            </w:rPr>
            <w:t>STROBE Checklist</w:t>
          </w:r>
          <w:r>
            <w:tab/>
          </w:r>
          <w:r>
            <w:fldChar w:fldCharType="begin"/>
          </w:r>
          <w:r>
            <w:instrText xml:space="preserve"> PAGEREF _Toc17720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4E708523">
          <w:pP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sectPr>
              <w:footerReference r:id="rId3" w:type="default"/>
              <w:pgSz w:w="11906" w:h="16838"/>
              <w:pgMar w:top="1440" w:right="1800" w:bottom="1440" w:left="1800" w:header="851" w:footer="992" w:gutter="0"/>
              <w:pgBorders>
                <w:top w:val="none" w:sz="0" w:space="0"/>
                <w:left w:val="none" w:sz="0" w:space="0"/>
                <w:bottom w:val="none" w:sz="0" w:space="0"/>
                <w:right w:val="none" w:sz="0" w:space="0"/>
              </w:pgBorders>
              <w:cols w:space="425" w:num="1"/>
              <w:docGrid w:type="lines" w:linePitch="312" w:charSpace="0"/>
            </w:sectPr>
          </w:pPr>
          <w:r>
            <w:rPr>
              <w:rFonts w:ascii="Times New Roman" w:hAnsi="Times New Roman" w:eastAsia="等线" w:cs="Times New Roman"/>
              <w:bCs/>
              <w:kern w:val="2"/>
              <w:szCs w:val="21"/>
              <w:lang w:val="en-US" w:eastAsia="zh-CN" w:bidi="ar-SA"/>
            </w:rPr>
            <w:fldChar w:fldCharType="end"/>
          </w:r>
        </w:p>
        <w:p w14:paraId="7D16D3BC">
          <w:pPr>
            <w:rPr>
              <w:rFonts w:ascii="Times New Roman" w:hAnsi="Times New Roman" w:eastAsia="等线" w:cs="Times New Roman"/>
              <w:bCs/>
              <w:kern w:val="2"/>
              <w:sz w:val="21"/>
              <w:szCs w:val="21"/>
              <w:lang w:val="en-US" w:eastAsia="zh-CN" w:bidi="ar-SA"/>
            </w:rPr>
          </w:pPr>
        </w:p>
      </w:sdtContent>
    </w:sdt>
    <w:p w14:paraId="15154707">
      <w:pPr>
        <w:rPr>
          <w:rFonts w:ascii="Times New Roman" w:hAnsi="Times New Roman" w:eastAsia="等线" w:cs="Times New Roman"/>
          <w:bCs/>
          <w:kern w:val="2"/>
          <w:sz w:val="21"/>
          <w:szCs w:val="21"/>
          <w:lang w:val="en-US" w:eastAsia="zh-CN" w:bidi="ar-SA"/>
        </w:rPr>
      </w:pP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7"/>
        <w:gridCol w:w="6197"/>
      </w:tblGrid>
      <w:tr w14:paraId="0F28C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7" w:type="dxa"/>
          </w:tcPr>
          <w:p w14:paraId="2D3888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NHANES</w:t>
            </w:r>
          </w:p>
        </w:tc>
        <w:tc>
          <w:tcPr>
            <w:tcW w:w="6197" w:type="dxa"/>
          </w:tcPr>
          <w:p w14:paraId="6CC651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CHARLS</w:t>
            </w:r>
          </w:p>
        </w:tc>
      </w:tr>
      <w:tr w14:paraId="567AD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3" w:hRule="atLeast"/>
        </w:trPr>
        <w:tc>
          <w:tcPr>
            <w:tcW w:w="5677" w:type="dxa"/>
            <w:shd w:val="clear" w:color="auto" w:fill="B5C7EA" w:themeFill="accent1" w:themeFillTint="66"/>
          </w:tcPr>
          <w:p w14:paraId="2B2C2F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  <w:r>
              <w:rPr>
                <w:rFonts w:hint="default"/>
              </w:rPr>
              <w:drawing>
                <wp:inline distT="0" distB="0" distL="114300" distR="114300">
                  <wp:extent cx="3465195" cy="2091055"/>
                  <wp:effectExtent l="0" t="0" r="1905" b="4445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5195" cy="209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7" w:type="dxa"/>
            <w:shd w:val="clear" w:color="auto" w:fill="ACD78D" w:themeFill="accent4" w:themeFillTint="99"/>
          </w:tcPr>
          <w:p w14:paraId="591A06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b/>
                <w:bCs/>
                <w:szCs w:val="21"/>
              </w:rPr>
            </w:pPr>
            <w:r>
              <w:rPr>
                <w:rFonts w:hint="defaul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34290</wp:posOffset>
                  </wp:positionV>
                  <wp:extent cx="3782060" cy="2091690"/>
                  <wp:effectExtent l="0" t="0" r="0" b="4445"/>
                  <wp:wrapNone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5372" cy="2093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CEE1141">
      <w:pPr>
        <w:pStyle w:val="9"/>
        <w:bidi w:val="0"/>
        <w:rPr>
          <w:rFonts w:hint="default" w:ascii="Times New Roman" w:hAnsi="Times New Roman" w:cs="Times New Roman"/>
        </w:rPr>
      </w:pPr>
    </w:p>
    <w:p w14:paraId="42ACA3C6">
      <w:pPr>
        <w:pStyle w:val="9"/>
        <w:bidi w:val="0"/>
        <w:outlineLvl w:val="0"/>
        <w:rPr>
          <w:rFonts w:hint="default" w:ascii="Times New Roman" w:hAnsi="Times New Roman" w:cs="Times New Roman"/>
          <w:b/>
          <w:bCs/>
        </w:rPr>
      </w:pPr>
      <w:bookmarkStart w:id="0" w:name="_Toc26218"/>
      <w:r>
        <w:rPr>
          <w:rFonts w:hint="default" w:ascii="Times New Roman" w:hAnsi="Times New Roman" w:cs="Times New Roman"/>
        </w:rPr>
        <w:t xml:space="preserve">Figure S1. </w:t>
      </w:r>
      <w:r>
        <w:rPr>
          <w:rFonts w:hint="default" w:ascii="Times New Roman" w:hAnsi="Times New Roman" w:cs="Times New Roman"/>
          <w:b/>
          <w:bCs/>
        </w:rPr>
        <w:t>Flow Chart of participant screening in NHANES and CHARLS cohorts.</w:t>
      </w:r>
      <w:bookmarkEnd w:id="0"/>
    </w:p>
    <w:p w14:paraId="40FB4E7B">
      <w:pPr>
        <w:rPr>
          <w:rFonts w:ascii="Times New Roman" w:hAnsi="Times New Roman"/>
          <w:b/>
          <w:bCs/>
          <w:szCs w:val="21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5C296B4">
      <w:pPr>
        <w:rPr>
          <w:rFonts w:ascii="Times New Roman" w:hAnsi="Times New Roman"/>
          <w:b/>
          <w:bCs/>
          <w:szCs w:val="21"/>
        </w:rPr>
      </w:pPr>
    </w:p>
    <w:p w14:paraId="43805DCC">
      <w:pPr>
        <w:rPr>
          <w:rFonts w:ascii="Times New Roman" w:hAnsi="Times New Roman"/>
          <w:b/>
          <w:bCs/>
          <w:szCs w:val="21"/>
        </w:rPr>
      </w:pPr>
      <w:r>
        <w:rPr>
          <w:rFonts w:hint="eastAsia" w:ascii="Times New Roman" w:hAnsi="Times New Roman" w:eastAsia="等线"/>
          <w:b/>
          <w:bCs/>
          <w:szCs w:val="21"/>
          <w:lang w:eastAsia="zh-CN"/>
        </w:rPr>
        <w:drawing>
          <wp:inline distT="0" distB="0" distL="114300" distR="114300">
            <wp:extent cx="3539490" cy="3539490"/>
            <wp:effectExtent l="0" t="0" r="3810" b="3810"/>
            <wp:docPr id="1" name="图片 1" descr="eGDR 与中风发作RCS曲线拟合 模型3调整后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GDR 与中风发作RCS曲线拟合 模型3调整后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39490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591A6">
      <w:pPr>
        <w:rPr>
          <w:rFonts w:ascii="Times New Roman" w:hAnsi="Times New Roman"/>
          <w:b/>
          <w:bCs/>
          <w:szCs w:val="21"/>
        </w:rPr>
      </w:pPr>
    </w:p>
    <w:p w14:paraId="6FAE40BD">
      <w:pPr>
        <w:bidi w:val="0"/>
        <w:outlineLvl w:val="0"/>
        <w:rPr>
          <w:rFonts w:hint="eastAsia"/>
        </w:rPr>
      </w:pPr>
      <w:bookmarkStart w:id="1" w:name="_Toc9579"/>
      <w:r>
        <w:rPr>
          <w:rStyle w:val="27"/>
          <w:rFonts w:hint="default" w:ascii="Times New Roman" w:hAnsi="Times New Roman" w:cs="Times New Roman"/>
          <w:lang w:val="en-US" w:eastAsia="zh-CN"/>
        </w:rPr>
        <w:t xml:space="preserve">Figure S2. </w:t>
      </w:r>
      <w:r>
        <w:rPr>
          <w:rStyle w:val="27"/>
          <w:rFonts w:hint="default" w:ascii="Times New Roman" w:hAnsi="Times New Roman" w:cs="Times New Roman"/>
          <w:b/>
          <w:bCs/>
          <w:lang w:val="en-US" w:eastAsia="zh-CN"/>
        </w:rPr>
        <w:t>The multivariable-adjusted OR of stroke among the participants varied with eGDR levels</w:t>
      </w:r>
      <w:r>
        <w:rPr>
          <w:rStyle w:val="27"/>
          <w:rFonts w:hint="default" w:ascii="Times New Roman" w:hAnsi="Times New Roman" w:cs="Times New Roman"/>
          <w:b/>
          <w:bCs/>
        </w:rPr>
        <w:t>.</w:t>
      </w:r>
      <w:r>
        <w:rPr>
          <w:rStyle w:val="27"/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等线" w:cs="Times New Roman"/>
          <w:b w:val="0"/>
          <w:bCs w:val="0"/>
          <w:kern w:val="2"/>
          <w:szCs w:val="21"/>
          <w:lang w:val="en-US" w:eastAsia="zh-CN" w:bidi="ar-SA"/>
        </w:rPr>
        <w:t>The solid line represents the multivariable-adjusted OR, and the dashed line represents the 95% CI from the RCS regression. Logistic regression analysis was adjusted for age, sex, education, smoking status, alcohol consumption, marital status, race, PIR, BMI, LDL-C, Cho, TG, and Lipid-lowering drugs.</w:t>
      </w:r>
      <w:bookmarkEnd w:id="1"/>
      <w:r>
        <w:rPr>
          <w:rFonts w:hint="eastAsia" w:ascii="Times New Roman" w:hAnsi="Times New Roman" w:eastAsia="等线" w:cs="Times New Roman"/>
          <w:b w:val="0"/>
          <w:bCs w:val="0"/>
          <w:kern w:val="2"/>
          <w:szCs w:val="21"/>
          <w:lang w:val="en-US" w:eastAsia="zh-CN" w:bidi="ar-SA"/>
        </w:rPr>
        <w:t xml:space="preserve"> </w:t>
      </w:r>
    </w:p>
    <w:p w14:paraId="4E72E32D">
      <w:pPr>
        <w:bidi w:val="0"/>
      </w:pPr>
    </w:p>
    <w:p w14:paraId="35F97B57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0D727A58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6E964AB9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2EBF3AD4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70E12D7C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30DF5229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5B48255E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3ACF7823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79000AE8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68697EE0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43B76C22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533689A3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7612B356">
      <w:pPr>
        <w:rPr>
          <w:rFonts w:ascii="Times New Roman" w:hAnsi="Times New Roman" w:cs="Times New Roman"/>
          <w:b/>
          <w:bCs/>
          <w:sz w:val="21"/>
          <w:szCs w:val="21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AE6D34E">
      <w:pPr>
        <w:pStyle w:val="9"/>
        <w:bidi w:val="0"/>
        <w:outlineLvl w:val="0"/>
        <w:rPr>
          <w:rFonts w:hint="default" w:ascii="Times New Roman" w:hAnsi="Times New Roman" w:cs="Times New Roman"/>
          <w:lang w:val="en-US" w:eastAsia="zh-CN"/>
        </w:rPr>
      </w:pPr>
      <w:bookmarkStart w:id="2" w:name="_Toc127"/>
      <w:r>
        <w:rPr>
          <w:rFonts w:hint="default" w:ascii="Times New Roman" w:hAnsi="Times New Roman" w:cs="Times New Roman"/>
        </w:rPr>
        <w:t>Table S</w:t>
      </w:r>
      <w:r>
        <w:rPr>
          <w:rFonts w:hint="default" w:ascii="Times New Roman" w:hAnsi="Times New Roman" w:cs="Times New Roman"/>
          <w:lang w:val="en-US" w:eastAsia="zh-CN"/>
        </w:rPr>
        <w:t xml:space="preserve">1 Validation of the Proportional Hazards Assumption in Cox Regression Models for the Association between </w:t>
      </w:r>
      <w:r>
        <w:rPr>
          <w:rFonts w:hint="eastAsia" w:ascii="Times New Roman" w:hAnsi="Times New Roman" w:cs="Times New Roman"/>
          <w:lang w:val="en-US" w:eastAsia="zh-CN"/>
        </w:rPr>
        <w:t>V</w:t>
      </w:r>
      <w:r>
        <w:rPr>
          <w:rFonts w:hint="default" w:ascii="Times New Roman" w:hAnsi="Times New Roman" w:cs="Times New Roman"/>
          <w:lang w:val="en-US" w:eastAsia="zh-CN"/>
        </w:rPr>
        <w:t>ariables and Mortality in NHANES Study.</w:t>
      </w:r>
      <w:bookmarkEnd w:id="2"/>
    </w:p>
    <w:tbl>
      <w:tblPr>
        <w:tblStyle w:val="13"/>
        <w:tblW w:w="4204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2359"/>
        <w:gridCol w:w="1668"/>
        <w:gridCol w:w="1456"/>
        <w:gridCol w:w="237"/>
        <w:gridCol w:w="1536"/>
        <w:gridCol w:w="1407"/>
        <w:gridCol w:w="185"/>
        <w:gridCol w:w="1602"/>
        <w:gridCol w:w="1395"/>
      </w:tblGrid>
      <w:tr w14:paraId="7C8E1B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99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62E4C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1318" w:type="pct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FD650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All-cause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mortality</w:t>
            </w:r>
          </w:p>
        </w:tc>
        <w:tc>
          <w:tcPr>
            <w:tcW w:w="100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91237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2" w:type="pct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5BC0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CVD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mortality</w:t>
            </w:r>
          </w:p>
        </w:tc>
        <w:tc>
          <w:tcPr>
            <w:tcW w:w="78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5EFE6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5" w:type="pct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CB263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Cerebrovascular diseases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mortality</w:t>
            </w:r>
          </w:p>
        </w:tc>
      </w:tr>
      <w:tr w14:paraId="3E4EBA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995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600689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435910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Chi-sq</w:t>
            </w:r>
          </w:p>
        </w:tc>
        <w:tc>
          <w:tcPr>
            <w:tcW w:w="61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64D712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-value</w:t>
            </w:r>
          </w:p>
        </w:tc>
        <w:tc>
          <w:tcPr>
            <w:tcW w:w="10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E717A2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416488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Chi-sq</w:t>
            </w:r>
          </w:p>
        </w:tc>
        <w:tc>
          <w:tcPr>
            <w:tcW w:w="59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7707B3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-value</w:t>
            </w:r>
          </w:p>
        </w:tc>
        <w:tc>
          <w:tcPr>
            <w:tcW w:w="7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46A9F7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6EF923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Chi-sq</w:t>
            </w:r>
          </w:p>
        </w:tc>
        <w:tc>
          <w:tcPr>
            <w:tcW w:w="58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8F6661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-value</w:t>
            </w:r>
          </w:p>
        </w:tc>
      </w:tr>
      <w:tr w14:paraId="4D3B83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95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1E517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</w:t>
            </w:r>
          </w:p>
        </w:tc>
        <w:tc>
          <w:tcPr>
            <w:tcW w:w="704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AD02D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3.308</w:t>
            </w:r>
          </w:p>
        </w:tc>
        <w:tc>
          <w:tcPr>
            <w:tcW w:w="614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C0A06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0.069</w:t>
            </w:r>
          </w:p>
        </w:tc>
        <w:tc>
          <w:tcPr>
            <w:tcW w:w="10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FA965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1E7B6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0.208</w:t>
            </w:r>
          </w:p>
        </w:tc>
        <w:tc>
          <w:tcPr>
            <w:tcW w:w="593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59645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0.649</w:t>
            </w:r>
          </w:p>
        </w:tc>
        <w:tc>
          <w:tcPr>
            <w:tcW w:w="78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63ED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800BA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0.205</w:t>
            </w:r>
          </w:p>
        </w:tc>
        <w:tc>
          <w:tcPr>
            <w:tcW w:w="588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FA16E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0.651</w:t>
            </w:r>
          </w:p>
        </w:tc>
      </w:tr>
      <w:tr w14:paraId="18C04B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2EC72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FF709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2.471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E7142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0.116</w:t>
            </w:r>
          </w:p>
        </w:tc>
        <w:tc>
          <w:tcPr>
            <w:tcW w:w="1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C7411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CE2F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0.087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CCB66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0.768</w:t>
            </w:r>
          </w:p>
        </w:tc>
        <w:tc>
          <w:tcPr>
            <w:tcW w:w="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E0684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CE4A5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</w:t>
            </w:r>
          </w:p>
        </w:tc>
        <w:tc>
          <w:tcPr>
            <w:tcW w:w="5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61562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0.764</w:t>
            </w:r>
          </w:p>
        </w:tc>
      </w:tr>
      <w:tr w14:paraId="091C63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92AD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PIR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AAF3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1.576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1818D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0.209</w:t>
            </w:r>
          </w:p>
        </w:tc>
        <w:tc>
          <w:tcPr>
            <w:tcW w:w="1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B525B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5DE71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2.872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66532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</w:t>
            </w:r>
          </w:p>
        </w:tc>
        <w:tc>
          <w:tcPr>
            <w:tcW w:w="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6EBB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EBC18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2.862</w:t>
            </w:r>
          </w:p>
        </w:tc>
        <w:tc>
          <w:tcPr>
            <w:tcW w:w="5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C563B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0.091</w:t>
            </w:r>
          </w:p>
        </w:tc>
      </w:tr>
      <w:tr w14:paraId="57AA1D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10D50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Race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D7DE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1.615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FA5C5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0.806</w:t>
            </w:r>
          </w:p>
        </w:tc>
        <w:tc>
          <w:tcPr>
            <w:tcW w:w="1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DDC49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C47C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4.484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BC771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0.344</w:t>
            </w:r>
          </w:p>
        </w:tc>
        <w:tc>
          <w:tcPr>
            <w:tcW w:w="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B1898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69A3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4.485</w:t>
            </w:r>
          </w:p>
        </w:tc>
        <w:tc>
          <w:tcPr>
            <w:tcW w:w="5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FD26A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0.344</w:t>
            </w:r>
          </w:p>
        </w:tc>
      </w:tr>
      <w:tr w14:paraId="518B2B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C7338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6F2EA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1.133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6939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0.889</w:t>
            </w:r>
          </w:p>
        </w:tc>
        <w:tc>
          <w:tcPr>
            <w:tcW w:w="1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61B5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3B28F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1.074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79C7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0.898</w:t>
            </w:r>
          </w:p>
        </w:tc>
        <w:tc>
          <w:tcPr>
            <w:tcW w:w="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6C71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FF22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</w:t>
            </w:r>
          </w:p>
        </w:tc>
        <w:tc>
          <w:tcPr>
            <w:tcW w:w="5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8415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0.896</w:t>
            </w:r>
          </w:p>
        </w:tc>
      </w:tr>
      <w:tr w14:paraId="379D15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3D6B3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status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B04E9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3.746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5F7CE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0.154</w:t>
            </w:r>
          </w:p>
        </w:tc>
        <w:tc>
          <w:tcPr>
            <w:tcW w:w="1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C6BB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497A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2.815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7CD7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0.245</w:t>
            </w:r>
          </w:p>
        </w:tc>
        <w:tc>
          <w:tcPr>
            <w:tcW w:w="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9C60F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9EEBE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2.824</w:t>
            </w:r>
          </w:p>
        </w:tc>
        <w:tc>
          <w:tcPr>
            <w:tcW w:w="5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16B5D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0.244</w:t>
            </w:r>
          </w:p>
        </w:tc>
      </w:tr>
      <w:tr w14:paraId="3FCF28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3E261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consumption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FCAC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4.143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FBB14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0.126</w:t>
            </w:r>
          </w:p>
        </w:tc>
        <w:tc>
          <w:tcPr>
            <w:tcW w:w="1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ED0F6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0D59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2.448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917D2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0.118</w:t>
            </w:r>
          </w:p>
        </w:tc>
        <w:tc>
          <w:tcPr>
            <w:tcW w:w="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F1B7C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AD8A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2.451</w:t>
            </w:r>
          </w:p>
        </w:tc>
        <w:tc>
          <w:tcPr>
            <w:tcW w:w="5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46E5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0.117</w:t>
            </w:r>
          </w:p>
        </w:tc>
      </w:tr>
      <w:tr w14:paraId="53EDE9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4C1F1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Marital status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C92E6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2.787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50060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0.095</w:t>
            </w:r>
          </w:p>
        </w:tc>
        <w:tc>
          <w:tcPr>
            <w:tcW w:w="1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2F67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16B91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1.277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8D30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0.259</w:t>
            </w:r>
          </w:p>
        </w:tc>
        <w:tc>
          <w:tcPr>
            <w:tcW w:w="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8933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2AE7D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</w:t>
            </w:r>
          </w:p>
        </w:tc>
        <w:tc>
          <w:tcPr>
            <w:tcW w:w="5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19B7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0.258</w:t>
            </w:r>
          </w:p>
        </w:tc>
      </w:tr>
      <w:tr w14:paraId="0D73F6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EBDF9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52E1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0.711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3BBB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0.399</w:t>
            </w:r>
          </w:p>
        </w:tc>
        <w:tc>
          <w:tcPr>
            <w:tcW w:w="1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B0AE3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44388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2.883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BCAF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0.089</w:t>
            </w:r>
          </w:p>
        </w:tc>
        <w:tc>
          <w:tcPr>
            <w:tcW w:w="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92B0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E5E04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3.15</w:t>
            </w:r>
          </w:p>
        </w:tc>
        <w:tc>
          <w:tcPr>
            <w:tcW w:w="5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B2243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0.076</w:t>
            </w:r>
          </w:p>
        </w:tc>
      </w:tr>
      <w:tr w14:paraId="253CD9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E2B4F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eGDR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C21E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3.214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1BA3C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0.241</w:t>
            </w:r>
          </w:p>
        </w:tc>
        <w:tc>
          <w:tcPr>
            <w:tcW w:w="1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3ADE4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64921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0.463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0ABA6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0.793</w:t>
            </w:r>
          </w:p>
        </w:tc>
        <w:tc>
          <w:tcPr>
            <w:tcW w:w="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6B2E2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E92C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0.458</w:t>
            </w:r>
          </w:p>
        </w:tc>
        <w:tc>
          <w:tcPr>
            <w:tcW w:w="5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25C4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0.796</w:t>
            </w:r>
          </w:p>
        </w:tc>
      </w:tr>
      <w:tr w14:paraId="79BAA3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BC28A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B7356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ACC5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0.946</w:t>
            </w:r>
          </w:p>
        </w:tc>
        <w:tc>
          <w:tcPr>
            <w:tcW w:w="1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473A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56FF5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777A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0.269</w:t>
            </w:r>
          </w:p>
        </w:tc>
        <w:tc>
          <w:tcPr>
            <w:tcW w:w="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7F655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D5A5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</w:t>
            </w:r>
          </w:p>
        </w:tc>
        <w:tc>
          <w:tcPr>
            <w:tcW w:w="5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291A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0.267</w:t>
            </w:r>
          </w:p>
        </w:tc>
      </w:tr>
      <w:tr w14:paraId="279A3C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A4C0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77938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1.286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E114F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0.257</w:t>
            </w:r>
          </w:p>
        </w:tc>
        <w:tc>
          <w:tcPr>
            <w:tcW w:w="1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4FDA6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6668D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0.135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66677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0.714</w:t>
            </w:r>
          </w:p>
        </w:tc>
        <w:tc>
          <w:tcPr>
            <w:tcW w:w="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B43A6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E317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0.136</w:t>
            </w:r>
          </w:p>
        </w:tc>
        <w:tc>
          <w:tcPr>
            <w:tcW w:w="5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A671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0.712</w:t>
            </w:r>
          </w:p>
        </w:tc>
      </w:tr>
      <w:tr w14:paraId="268CA3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63CF9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LDL-C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E3A8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0.095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3F19B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0.758</w:t>
            </w:r>
          </w:p>
        </w:tc>
        <w:tc>
          <w:tcPr>
            <w:tcW w:w="1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617A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0DB2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3.478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CAE20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0.062</w:t>
            </w:r>
          </w:p>
        </w:tc>
        <w:tc>
          <w:tcPr>
            <w:tcW w:w="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31FB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F8F90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3.496</w:t>
            </w:r>
          </w:p>
        </w:tc>
        <w:tc>
          <w:tcPr>
            <w:tcW w:w="5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AE8F4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0.062</w:t>
            </w:r>
          </w:p>
        </w:tc>
      </w:tr>
      <w:tr w14:paraId="1D412C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825A4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Lipid-lowering drugs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98D1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F8D16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0.979</w:t>
            </w:r>
          </w:p>
        </w:tc>
        <w:tc>
          <w:tcPr>
            <w:tcW w:w="1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DEF56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BAE61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0.404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FD6F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0.525</w:t>
            </w:r>
          </w:p>
        </w:tc>
        <w:tc>
          <w:tcPr>
            <w:tcW w:w="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C287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07107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0.401</w:t>
            </w:r>
          </w:p>
        </w:tc>
        <w:tc>
          <w:tcPr>
            <w:tcW w:w="5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5361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0.526</w:t>
            </w:r>
          </w:p>
        </w:tc>
      </w:tr>
      <w:tr w14:paraId="431392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0AD73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A6E45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28.349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B5EFD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0.257</w:t>
            </w:r>
          </w:p>
        </w:tc>
        <w:tc>
          <w:tcPr>
            <w:tcW w:w="1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219C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7761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30.624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B6645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0.104</w:t>
            </w:r>
          </w:p>
        </w:tc>
        <w:tc>
          <w:tcPr>
            <w:tcW w:w="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2EF6D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81220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30.653</w:t>
            </w:r>
          </w:p>
        </w:tc>
        <w:tc>
          <w:tcPr>
            <w:tcW w:w="5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DEEE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0.103</w:t>
            </w:r>
          </w:p>
        </w:tc>
      </w:tr>
    </w:tbl>
    <w:p w14:paraId="31C4EF31"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14"/>
        <w:tblpPr w:leftFromText="180" w:rightFromText="180" w:vertAnchor="text" w:horzAnchor="page" w:tblpX="1483" w:tblpY="4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6"/>
        <w:gridCol w:w="4716"/>
        <w:gridCol w:w="4716"/>
      </w:tblGrid>
      <w:tr w14:paraId="3D31E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6" w:hRule="atLeast"/>
        </w:trPr>
        <w:tc>
          <w:tcPr>
            <w:tcW w:w="4716" w:type="dxa"/>
          </w:tcPr>
          <w:p w14:paraId="0CDC91F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</w:t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853055" cy="4438015"/>
                  <wp:effectExtent l="0" t="0" r="4445" b="6985"/>
                  <wp:docPr id="15" name="图片 15" descr="proportional.hazard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proportional.hazard.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443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</w:tcPr>
          <w:p w14:paraId="08BD9B2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</w:t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853055" cy="4438015"/>
                  <wp:effectExtent l="0" t="0" r="4445" b="6985"/>
                  <wp:docPr id="5" name="图片 5" descr="proportional.hazard.all.基础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proportional.hazard.all.基础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443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</w:tcPr>
          <w:p w14:paraId="7C33D433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</w:t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853055" cy="4438015"/>
                  <wp:effectExtent l="0" t="0" r="4445" b="6985"/>
                  <wp:docPr id="2" name="图片 2" descr="proportional.hazard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proportional.hazard.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443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6750C8">
      <w:pPr>
        <w:keepNext w:val="0"/>
        <w:keepLines w:val="0"/>
        <w:widowControl/>
        <w:suppressLineNumbers w:val="0"/>
        <w:jc w:val="left"/>
        <w:textAlignment w:val="center"/>
        <w:outlineLvl w:val="0"/>
        <w:rPr>
          <w:rStyle w:val="27"/>
          <w:rFonts w:hint="default" w:ascii="Times New Roman" w:hAnsi="Times New Roman" w:cs="Times New Roman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bookmarkStart w:id="3" w:name="_Toc25196"/>
      <w:r>
        <w:rPr>
          <w:rFonts w:hint="default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 xml:space="preserve">Figure S3. </w:t>
      </w:r>
      <w:r>
        <w:rPr>
          <w:rFonts w:hint="default" w:ascii="Times New Roman" w:hAnsi="Times New Roman" w:cs="Times New Roman" w:eastAsiaTheme="minorEastAsia"/>
          <w:b/>
          <w:bCs/>
          <w:kern w:val="0"/>
          <w:sz w:val="22"/>
          <w:szCs w:val="22"/>
          <w:lang w:val="en-US" w:eastAsia="zh-CN" w:bidi="ar-SA"/>
        </w:rPr>
        <w:t>Validation of the Proportional Hazards Assumption for Cox Regression Models.</w:t>
      </w:r>
      <w:r>
        <w:rPr>
          <w:rStyle w:val="27"/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Style w:val="27"/>
          <w:rFonts w:hint="default" w:ascii="Times New Roman" w:hAnsi="Times New Roman" w:cs="Times New Roman"/>
          <w:lang w:val="en-US" w:eastAsia="zh-CN"/>
        </w:rPr>
        <w:t>Schoenfeld residual plots assess the proportional hazards assumption for the association between key variables and mortality in the NHANES study. A global test for non-proportional hazards was performed, with a non-significant p-value (&gt; 0.05) indicating the assumption was satisfied. Plots are shown for models predicting (A) all-cause mortality, (B) CVD mortality, and (C) cerebrovascular disease mortality. A relatively flat solid line and a non-significant p-value for each model suggest that the proportional hazards assumption was not violated.</w:t>
      </w:r>
      <w:bookmarkEnd w:id="3"/>
    </w:p>
    <w:p w14:paraId="76569B2F">
      <w:pPr>
        <w:pStyle w:val="9"/>
        <w:bidi w:val="0"/>
        <w:outlineLvl w:val="0"/>
        <w:rPr>
          <w:rFonts w:hint="default" w:ascii="Times New Roman" w:hAnsi="Times New Roman" w:cs="Times New Roman"/>
          <w:lang w:val="en-US" w:eastAsia="zh-CN"/>
        </w:rPr>
      </w:pPr>
      <w:bookmarkStart w:id="4" w:name="_Toc28893"/>
      <w:r>
        <w:rPr>
          <w:rFonts w:hint="default" w:ascii="Times New Roman" w:hAnsi="Times New Roman" w:cs="Times New Roman"/>
        </w:rPr>
        <w:t>Table S</w:t>
      </w: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 xml:space="preserve"> Validation of the Proportional Hazards Assumption in Cox Regression Models for the Association between Variables and Stroke Incidence and Mortality in CHARLS Study.</w:t>
      </w:r>
      <w:bookmarkEnd w:id="4"/>
    </w:p>
    <w:tbl>
      <w:tblPr>
        <w:tblStyle w:val="13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6"/>
        <w:gridCol w:w="1149"/>
        <w:gridCol w:w="1265"/>
        <w:gridCol w:w="310"/>
        <w:gridCol w:w="1350"/>
        <w:gridCol w:w="1479"/>
      </w:tblGrid>
      <w:tr w14:paraId="24254D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4F2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1416" w:type="pct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59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Stroke</w:t>
            </w:r>
          </w:p>
        </w:tc>
        <w:tc>
          <w:tcPr>
            <w:tcW w:w="182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95B7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0" w:type="pct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FA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All-cause mortality</w:t>
            </w:r>
          </w:p>
        </w:tc>
      </w:tr>
      <w:tr w14:paraId="281618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1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8A39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31A2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Chi-sq</w:t>
            </w:r>
          </w:p>
        </w:tc>
        <w:tc>
          <w:tcPr>
            <w:tcW w:w="74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040F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-value</w:t>
            </w:r>
          </w:p>
        </w:tc>
        <w:tc>
          <w:tcPr>
            <w:tcW w:w="18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2CF87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2488C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Chi-sq</w:t>
            </w:r>
          </w:p>
        </w:tc>
        <w:tc>
          <w:tcPr>
            <w:tcW w:w="86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F532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-value</w:t>
            </w:r>
          </w:p>
        </w:tc>
      </w:tr>
      <w:tr w14:paraId="140A9D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B7B5C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</w:t>
            </w:r>
          </w:p>
        </w:tc>
        <w:tc>
          <w:tcPr>
            <w:tcW w:w="674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8053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3.606</w:t>
            </w:r>
          </w:p>
        </w:tc>
        <w:tc>
          <w:tcPr>
            <w:tcW w:w="74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F32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0.058</w:t>
            </w:r>
          </w:p>
        </w:tc>
        <w:tc>
          <w:tcPr>
            <w:tcW w:w="182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0720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82F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</w:t>
            </w:r>
          </w:p>
        </w:tc>
        <w:tc>
          <w:tcPr>
            <w:tcW w:w="867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225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0.475</w:t>
            </w:r>
          </w:p>
        </w:tc>
      </w:tr>
      <w:tr w14:paraId="142D8A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F68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FD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  <w:tc>
          <w:tcPr>
            <w:tcW w:w="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81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0.928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9A7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7CD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0.512</w:t>
            </w:r>
          </w:p>
        </w:tc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393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0.474</w:t>
            </w:r>
          </w:p>
        </w:tc>
      </w:tr>
      <w:tr w14:paraId="48FD56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9C8A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46097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1.312</w:t>
            </w:r>
          </w:p>
        </w:tc>
        <w:tc>
          <w:tcPr>
            <w:tcW w:w="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FFA24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0.519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49B90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19E9C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3.182</w:t>
            </w:r>
          </w:p>
        </w:tc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4C45C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0.364</w:t>
            </w:r>
          </w:p>
        </w:tc>
      </w:tr>
      <w:tr w14:paraId="39F8FC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F713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status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60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1.251</w:t>
            </w:r>
          </w:p>
        </w:tc>
        <w:tc>
          <w:tcPr>
            <w:tcW w:w="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CF5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0.535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7ABE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31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1.564</w:t>
            </w:r>
          </w:p>
        </w:tc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CBE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0.458</w:t>
            </w:r>
          </w:p>
        </w:tc>
      </w:tr>
      <w:tr w14:paraId="3295B8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F3A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consumption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04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0.111</w:t>
            </w:r>
          </w:p>
        </w:tc>
        <w:tc>
          <w:tcPr>
            <w:tcW w:w="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9F5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0.739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BB9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2DB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1.523</w:t>
            </w:r>
          </w:p>
        </w:tc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A98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0.217</w:t>
            </w:r>
          </w:p>
        </w:tc>
      </w:tr>
      <w:tr w14:paraId="6C46B8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0B6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Marital status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FC8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0.377</w:t>
            </w:r>
          </w:p>
        </w:tc>
        <w:tc>
          <w:tcPr>
            <w:tcW w:w="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788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0.539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10EC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89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</w:t>
            </w:r>
          </w:p>
        </w:tc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F3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0.894</w:t>
            </w:r>
          </w:p>
        </w:tc>
      </w:tr>
      <w:tr w14:paraId="12F63A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E6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8BE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0.073</w:t>
            </w:r>
          </w:p>
        </w:tc>
        <w:tc>
          <w:tcPr>
            <w:tcW w:w="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C5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0.787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8D70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0F4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809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</w:tr>
      <w:tr w14:paraId="1CD947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C0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eGDR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4B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3.214</w:t>
            </w:r>
          </w:p>
        </w:tc>
        <w:tc>
          <w:tcPr>
            <w:tcW w:w="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6C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A54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6B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0.658</w:t>
            </w:r>
          </w:p>
        </w:tc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91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</w:p>
        </w:tc>
      </w:tr>
      <w:tr w14:paraId="16A4C2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E7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CRP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35D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0.105</w:t>
            </w:r>
          </w:p>
        </w:tc>
        <w:tc>
          <w:tcPr>
            <w:tcW w:w="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23C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0.745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86F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307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0.915</w:t>
            </w:r>
          </w:p>
        </w:tc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9C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0.339</w:t>
            </w:r>
          </w:p>
        </w:tc>
      </w:tr>
      <w:tr w14:paraId="6E2DC7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9A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UA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076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1.364</w:t>
            </w:r>
          </w:p>
        </w:tc>
        <w:tc>
          <w:tcPr>
            <w:tcW w:w="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B2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0.243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8BE1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487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2.823</w:t>
            </w:r>
          </w:p>
        </w:tc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E82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0.093</w:t>
            </w:r>
          </w:p>
        </w:tc>
      </w:tr>
      <w:tr w14:paraId="3B300F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40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EA2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0.352</w:t>
            </w:r>
          </w:p>
        </w:tc>
        <w:tc>
          <w:tcPr>
            <w:tcW w:w="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413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0.553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B7F1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120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0.102</w:t>
            </w:r>
          </w:p>
        </w:tc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0ED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0.749</w:t>
            </w:r>
          </w:p>
        </w:tc>
      </w:tr>
      <w:tr w14:paraId="539415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0A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BEA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</w:t>
            </w:r>
          </w:p>
        </w:tc>
        <w:tc>
          <w:tcPr>
            <w:tcW w:w="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59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0.926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1435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8D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0.339</w:t>
            </w:r>
          </w:p>
        </w:tc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80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</w:t>
            </w:r>
          </w:p>
        </w:tc>
      </w:tr>
      <w:tr w14:paraId="5696DA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A5A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LDL-C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A9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0.111</w:t>
            </w:r>
          </w:p>
        </w:tc>
        <w:tc>
          <w:tcPr>
            <w:tcW w:w="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BC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0.739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1E8B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562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2.202</w:t>
            </w:r>
          </w:p>
        </w:tc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CBF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0.333</w:t>
            </w:r>
          </w:p>
        </w:tc>
      </w:tr>
      <w:tr w14:paraId="519A40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70C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lipid-lowering drugs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E00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2.741</w:t>
            </w:r>
          </w:p>
        </w:tc>
        <w:tc>
          <w:tcPr>
            <w:tcW w:w="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61A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0.098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2A27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234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0.063</w:t>
            </w:r>
          </w:p>
        </w:tc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7867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0.802</w:t>
            </w:r>
          </w:p>
        </w:tc>
      </w:tr>
      <w:tr w14:paraId="24F364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6F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9EA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18.977</w:t>
            </w:r>
          </w:p>
        </w:tc>
        <w:tc>
          <w:tcPr>
            <w:tcW w:w="7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E03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0.215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10CD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ED3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14.762</w:t>
            </w:r>
          </w:p>
        </w:tc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49A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0.542</w:t>
            </w:r>
          </w:p>
        </w:tc>
      </w:tr>
    </w:tbl>
    <w:p w14:paraId="41486357">
      <w:pPr>
        <w:pStyle w:val="5"/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448CB16C">
      <w:pPr>
        <w:pStyle w:val="5"/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1FC3DC68">
      <w:pPr>
        <w:pStyle w:val="5"/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76710CC7">
      <w:pPr>
        <w:pStyle w:val="5"/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089D48D0">
      <w:pPr>
        <w:pStyle w:val="5"/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191BB0FC">
      <w:pPr>
        <w:pStyle w:val="5"/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bookmarkStart w:id="115" w:name="_GoBack"/>
      <w:bookmarkEnd w:id="115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3"/>
        <w:gridCol w:w="5829"/>
      </w:tblGrid>
      <w:tr w14:paraId="09A31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42" w:hRule="atLeast"/>
        </w:trPr>
        <w:tc>
          <w:tcPr>
            <w:tcW w:w="5753" w:type="dxa"/>
            <w:vAlign w:val="top"/>
          </w:tcPr>
          <w:p w14:paraId="585FBD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</w:t>
            </w: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3357880" cy="5250180"/>
                  <wp:effectExtent l="0" t="0" r="7620" b="7620"/>
                  <wp:docPr id="12" name="图片 12" descr="proportional.hazard.原始14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proportional.hazard.原始14.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7880" cy="525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</w:t>
            </w:r>
          </w:p>
        </w:tc>
        <w:tc>
          <w:tcPr>
            <w:tcW w:w="5829" w:type="dxa"/>
          </w:tcPr>
          <w:p w14:paraId="343161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B</w:t>
            </w: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3379470" cy="5257165"/>
                  <wp:effectExtent l="0" t="0" r="11430" b="635"/>
                  <wp:docPr id="13" name="图片 13" descr="proportional.hazard.eGD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proportional.hazard.eGDR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470" cy="525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</w:t>
            </w:r>
          </w:p>
        </w:tc>
      </w:tr>
    </w:tbl>
    <w:p w14:paraId="6090F1B8">
      <w:pPr>
        <w:pStyle w:val="9"/>
        <w:bidi w:val="0"/>
        <w:outlineLvl w:val="0"/>
        <w:rPr>
          <w:rStyle w:val="27"/>
          <w:rFonts w:hint="default" w:ascii="Times New Roman" w:hAnsi="Times New Roman" w:cs="Times New Roman"/>
          <w:lang w:val="en-US" w:eastAsia="zh-CN"/>
        </w:rPr>
      </w:pPr>
      <w:bookmarkStart w:id="5" w:name="_Toc16335"/>
      <w:r>
        <w:rPr>
          <w:rFonts w:hint="default" w:ascii="Times New Roman" w:hAnsi="Times New Roman" w:cs="Times New Roman"/>
          <w:b/>
          <w:bCs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. Validation of the Proportional Hazards Assumption for Cox Regression Models.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Style w:val="27"/>
          <w:rFonts w:hint="default" w:ascii="Times New Roman" w:hAnsi="Times New Roman" w:cs="Times New Roman"/>
          <w:lang w:val="en-US" w:eastAsia="zh-CN"/>
        </w:rPr>
        <w:t>Schoenfeld residual plots assess the proportional hazards assumption for the association between key variables and mortality in the CHARLS study. A global test for non-proportional hazards was performed, with a non-significant p-value (&gt; 0.05) indicating the assumption was satisfied. Plots are shown for models predicting (A) Stroke Incidence, (B) All-cause mortality.</w:t>
      </w:r>
      <w:bookmarkEnd w:id="5"/>
    </w:p>
    <w:p w14:paraId="26D2568E">
      <w:pPr>
        <w:pStyle w:val="9"/>
        <w:bidi w:val="0"/>
        <w:outlineLvl w:val="0"/>
        <w:rPr>
          <w:rFonts w:hint="default" w:ascii="Times New Roman" w:hAnsi="Times New Roman" w:cs="Times New Roman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bookmarkStart w:id="6" w:name="_Toc8520"/>
      <w:bookmarkStart w:id="7" w:name="_Toc24409"/>
      <w:r>
        <w:rPr>
          <w:rStyle w:val="27"/>
          <w:rFonts w:hint="default" w:ascii="Times New Roman" w:hAnsi="Times New Roman" w:cs="Times New Roman"/>
          <w:lang w:val="en-US" w:eastAsia="zh-CN"/>
        </w:rPr>
        <w:t>A relatively flat solid line and a non-significant p-value for each model suggest that the proportional hazards assumption was not violate</w:t>
      </w:r>
      <w:r>
        <w:rPr>
          <w:rStyle w:val="27"/>
          <w:rFonts w:hint="eastAsia" w:ascii="Times New Roman" w:hAnsi="Times New Roman" w:cs="Times New Roman"/>
          <w:lang w:val="en-US" w:eastAsia="zh-CN"/>
        </w:rPr>
        <w:t>d.</w:t>
      </w:r>
      <w:bookmarkEnd w:id="6"/>
      <w:bookmarkEnd w:id="7"/>
    </w:p>
    <w:p w14:paraId="57ACD3C3">
      <w:pPr>
        <w:pStyle w:val="9"/>
        <w:bidi w:val="0"/>
        <w:outlineLvl w:val="0"/>
        <w:rPr>
          <w:rFonts w:hint="default" w:ascii="Times New Roman" w:hAnsi="Times New Roman" w:cs="Times New Roman"/>
          <w:lang w:val="en-US" w:eastAsia="zh-CN"/>
        </w:rPr>
      </w:pPr>
      <w:bookmarkStart w:id="8" w:name="_Toc10762"/>
      <w:r>
        <w:rPr>
          <w:rFonts w:hint="default" w:ascii="Times New Roman" w:hAnsi="Times New Roman" w:cs="Times New Roman"/>
          <w:lang w:val="en-US" w:eastAsia="zh-CN"/>
        </w:rPr>
        <w:t>Table S3. Association Between eGDR and prevalence of Stroke by Specific Baseline Characteristics in NHANES Study.</w:t>
      </w:r>
      <w:bookmarkEnd w:id="8"/>
    </w:p>
    <w:tbl>
      <w:tblPr>
        <w:tblStyle w:val="13"/>
        <w:tblW w:w="5052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900"/>
        <w:gridCol w:w="1033"/>
        <w:gridCol w:w="767"/>
        <w:gridCol w:w="1144"/>
        <w:gridCol w:w="713"/>
        <w:gridCol w:w="1100"/>
        <w:gridCol w:w="798"/>
        <w:gridCol w:w="989"/>
      </w:tblGrid>
      <w:tr w14:paraId="7255B45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44B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Variable</w:t>
            </w:r>
          </w:p>
        </w:tc>
        <w:tc>
          <w:tcPr>
            <w:tcW w:w="52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E1E1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Event, n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(%)</w:t>
            </w:r>
          </w:p>
        </w:tc>
        <w:tc>
          <w:tcPr>
            <w:tcW w:w="1045" w:type="pct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42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Model 1</w:t>
            </w:r>
          </w:p>
        </w:tc>
        <w:tc>
          <w:tcPr>
            <w:tcW w:w="1078" w:type="pct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835F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Model 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02" w:type="pct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0BF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Model 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4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DD2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for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interaction</w:t>
            </w:r>
          </w:p>
        </w:tc>
      </w:tr>
      <w:tr w14:paraId="3851546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F34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22" w:type="pct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7AB2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D1B0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OR (95%CI)</w:t>
            </w:r>
          </w:p>
        </w:tc>
        <w:tc>
          <w:tcPr>
            <w:tcW w:w="445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0CA3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  <w:tc>
          <w:tcPr>
            <w:tcW w:w="66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969E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OR (95%CI)</w:t>
            </w:r>
          </w:p>
        </w:tc>
        <w:tc>
          <w:tcPr>
            <w:tcW w:w="41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F90C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  <w:tc>
          <w:tcPr>
            <w:tcW w:w="63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1695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OR (95%CI)</w:t>
            </w:r>
          </w:p>
        </w:tc>
        <w:tc>
          <w:tcPr>
            <w:tcW w:w="46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1978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  <w:tc>
          <w:tcPr>
            <w:tcW w:w="574" w:type="pct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FB9A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387D1FC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31F4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Sex</w:t>
            </w:r>
          </w:p>
        </w:tc>
        <w:tc>
          <w:tcPr>
            <w:tcW w:w="52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1691C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87B58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F0D58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E1484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41C5B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EEDE0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6D74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CE000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5D4EFE7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8E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DC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176 (3.4)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E02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0.84 (0.79~0.9)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E6E5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C2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0.88 (0.82~0.95)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34F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5F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0.85 (0.78~0.94)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03D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80D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0.454</w:t>
            </w:r>
          </w:p>
        </w:tc>
      </w:tr>
      <w:tr w14:paraId="226E27D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840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Female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FCD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204 (3.5)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17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0.82 (0.77~0.87)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C0C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29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0.86 (0.8~0.92)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01D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C98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0.83 (0.76~0.91)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A5B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705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526D7F2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FB9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Age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24E2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2198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EFC4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6519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A017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B070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E2EE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F072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4F97024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46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160" w:firstLineChars="100"/>
              <w:jc w:val="right"/>
              <w:textAlignment w:val="top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&lt;60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20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91 (1.7)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0A2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0.79 (0.73~0.86)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36A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5C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 (0.73~0.87)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9FB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457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0.78 (0.69~0.88)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971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15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</w:tr>
      <w:tr w14:paraId="202E114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3F8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160" w:firstLineChars="100"/>
              <w:jc w:val="right"/>
              <w:textAlignment w:val="top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≥60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43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289 (5.1)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EC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0.89 (0.85~0.94)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3F7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F3C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0.91 (0.86~0.96)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7E0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A51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0.88 (0.81~0.94)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442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CD40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2BCF2CE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59D6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BMI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42F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549E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5B86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36E5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1337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50EB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6745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D581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4EE6B1D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AC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&lt;25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805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122 (3.7)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62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0.75 (0.68~0.83)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5C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F83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0.86 (0.78~0.96)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98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0.007</w:t>
            </w: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FF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0.87 (0.78~0.98)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77E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0.019</w:t>
            </w: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F598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0.926</w:t>
            </w:r>
          </w:p>
        </w:tc>
      </w:tr>
      <w:tr w14:paraId="58D7BC4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28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25-30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DC9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138 (3.3)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655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0.73 (0.66~0.8)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F9F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E20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0.85 (0.77~0.95)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5C47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A4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0.87 (0.78~0.97)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B83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EFB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38C8F6D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5EC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≥30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086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120 (3.4)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16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0.81 (0.74~0.88)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F11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BA7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0.84 (0.76~0.92)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BC7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DA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0.78 (0.69~0.88)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91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240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19FEC9D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AD70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Smoking status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6F6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FAE6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5709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045E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A8F4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A2E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A5DC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04FAB63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2A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Never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29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150 (2.7)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A23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0.84 (0.78~0.9)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A70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62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0.88 (0.81~0.95)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DE6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F41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0.85 (0.76~0.94)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3E31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AB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0.263</w:t>
            </w:r>
          </w:p>
        </w:tc>
      </w:tr>
      <w:tr w14:paraId="0A12651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DB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Former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75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151 (4.1)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0E1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0.85 (0.79~0.91)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BD1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86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0.91 (0.84~0.98)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C96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0.019</w:t>
            </w: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8B2A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0.87 (0.78~0.96)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70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0.007</w:t>
            </w: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A00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68BA95B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BC4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Current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57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79 (4.4)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843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0.79 (0.71~0.87)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15FF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09A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0.81 (0.73~0.9)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672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E8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0.81 (0.71~0.94)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8F1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0.005</w:t>
            </w: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4CD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74D7E1A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1CAD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Alcohol consumption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3ACB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9E8A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9B5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3428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0DF7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E9FC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7E00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593B3EE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F7D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57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296 (3.1)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1FE1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0.83 (0.79~0.87)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1F3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75B6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0.88 (0.83~0.93)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D7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22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0.85 (0.79~0.92)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1EC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87D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0.987</w:t>
            </w:r>
          </w:p>
        </w:tc>
      </w:tr>
      <w:tr w14:paraId="6376FBA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7F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0E8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84 (5.5)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3E7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0.85 (0.78~0.94)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4A19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73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0.86 (0.77~0.95)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E085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BB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0.83 (0.73~0.96)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C88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ABD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07F9D86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A23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Race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A42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706D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878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4C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5AED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ADC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1CD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C433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2FA3076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F09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Non-Hispanic White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C20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219 (3.8)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F8F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0.84 (0.79~0.89)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BC4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4A6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0.88 (0.82~0.94)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C63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4E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0.84 (0.77~0.92)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01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21D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0.287</w:t>
            </w:r>
          </w:p>
        </w:tc>
      </w:tr>
      <w:tr w14:paraId="2A7D935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F8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Non-Hispanic Black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D2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88 (4.2)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9DB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0.86 (0.79~0.95)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9EC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6653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0.87 (0.79~0.97)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462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0.008</w:t>
            </w: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82F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0.87 (0.75~1)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1B6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0.049</w:t>
            </w: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F029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7E7BCA3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898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Hispanic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B3A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38 (2.6)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CFF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0.85 (0.73~0.98)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25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0.026</w:t>
            </w: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3C0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 (0.77~1.06)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5AB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0.205</w:t>
            </w: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09A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0.91 (0.75~1.12)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830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0.37</w:t>
            </w: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FA39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22E98D9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08C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Non-Hispanic Asian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B32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14 (1.6)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EC2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0.94 (0.74~1.2)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383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0.631</w:t>
            </w: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59C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0.98 (0.75~1.28)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0A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0.896</w:t>
            </w: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709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1.01 (0.71~1.42)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B2C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0.971</w:t>
            </w: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70A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2C1A3B1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EA8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Other Race</w:t>
            </w: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BB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 (2.7)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C50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0.68 (0.55~0.83)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85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6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AD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0.71 (0.56~0.88)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F6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6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3303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0.55 (0.38~0.78)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B8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5BA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</w:tbl>
    <w:p w14:paraId="055A4F1B">
      <w:pPr>
        <w:rPr>
          <w:rFonts w:ascii="Times New Roman" w:hAnsi="Times New Roman" w:eastAsia="楷体"/>
          <w:b/>
          <w:bCs/>
          <w:sz w:val="22"/>
        </w:rPr>
      </w:pPr>
      <w:r>
        <w:rPr>
          <w:rFonts w:ascii="Times New Roman" w:hAnsi="Times New Roman"/>
          <w:sz w:val="16"/>
          <w:szCs w:val="16"/>
        </w:rPr>
        <w:t xml:space="preserve">Model 1: crude. Model 2: age, sex, education,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smoking status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alcohol consumption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 xml:space="preserve">marital status, </w:t>
      </w:r>
      <w:r>
        <w:rPr>
          <w:rFonts w:ascii="Times New Roman" w:hAnsi="Times New Roman"/>
          <w:sz w:val="16"/>
          <w:szCs w:val="16"/>
        </w:rPr>
        <w:t xml:space="preserve">race, 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 xml:space="preserve">and </w:t>
      </w:r>
      <w:r>
        <w:rPr>
          <w:rFonts w:ascii="Times New Roman" w:hAnsi="Times New Roman"/>
          <w:sz w:val="16"/>
          <w:szCs w:val="16"/>
        </w:rPr>
        <w:t xml:space="preserve">PIR. Model 3 is adjusted for model 2 covariates plus BMI, LDL-C, Cho, TG, 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 xml:space="preserve">and </w:t>
      </w:r>
      <w:r>
        <w:rPr>
          <w:rFonts w:ascii="Times New Roman" w:hAnsi="Times New Roman"/>
          <w:color w:val="000000"/>
          <w:kern w:val="0"/>
          <w:sz w:val="16"/>
          <w:szCs w:val="16"/>
        </w:rPr>
        <w:t>Lipid-lowering drugs</w:t>
      </w:r>
      <w:r>
        <w:rPr>
          <w:rFonts w:ascii="Times New Roman" w:hAnsi="Times New Roman"/>
          <w:sz w:val="16"/>
          <w:szCs w:val="16"/>
        </w:rPr>
        <w:t>. Abbreviations: NHANES, National Health and Nutrition Examination Survey.</w:t>
      </w:r>
      <w:r>
        <w:rPr>
          <w:rFonts w:hint="eastAsia" w:ascii="Times New Roman" w:hAnsi="Times New Roman"/>
          <w:sz w:val="16"/>
          <w:szCs w:val="16"/>
        </w:rPr>
        <w:t xml:space="preserve"> BMI</w:t>
      </w:r>
      <w:r>
        <w:rPr>
          <w:rFonts w:ascii="Times New Roman" w:hAnsi="Times New Roman"/>
          <w:sz w:val="16"/>
          <w:szCs w:val="16"/>
        </w:rPr>
        <w:t>, body mass index</w:t>
      </w:r>
      <w:r>
        <w:rPr>
          <w:rFonts w:hint="eastAsia" w:ascii="Times New Roman" w:hAnsi="Times New Roman"/>
          <w:sz w:val="16"/>
          <w:szCs w:val="16"/>
        </w:rPr>
        <w:t>.</w:t>
      </w:r>
    </w:p>
    <w:p w14:paraId="74997F8B">
      <w:pPr>
        <w:rPr>
          <w:rFonts w:ascii="Times New Roman" w:hAnsi="Times New Roman"/>
          <w:b/>
          <w:bCs/>
          <w:sz w:val="22"/>
        </w:rPr>
      </w:pPr>
    </w:p>
    <w:p w14:paraId="3FBEF54D">
      <w:pPr>
        <w:rPr>
          <w:rFonts w:ascii="Times New Roman" w:hAnsi="Times New Roman"/>
          <w:b/>
          <w:bCs/>
          <w:sz w:val="22"/>
        </w:rPr>
      </w:pPr>
    </w:p>
    <w:p w14:paraId="1BD563EA">
      <w:pPr>
        <w:rPr>
          <w:rFonts w:ascii="Times New Roman" w:hAnsi="Times New Roman"/>
          <w:b/>
          <w:bCs/>
          <w:szCs w:val="21"/>
        </w:rPr>
      </w:pPr>
    </w:p>
    <w:p w14:paraId="6466D2C9">
      <w:pPr>
        <w:rPr>
          <w:rFonts w:ascii="Times New Roman" w:hAnsi="Times New Roman"/>
          <w:b/>
          <w:bCs/>
          <w:szCs w:val="21"/>
        </w:rPr>
      </w:pPr>
    </w:p>
    <w:p w14:paraId="57B14D7F">
      <w:pPr>
        <w:rPr>
          <w:rFonts w:ascii="Times New Roman" w:hAnsi="Times New Roman"/>
          <w:b/>
          <w:bCs/>
          <w:szCs w:val="21"/>
        </w:rPr>
      </w:pPr>
    </w:p>
    <w:p w14:paraId="47F6F13B">
      <w:pPr>
        <w:rPr>
          <w:rFonts w:ascii="Times New Roman" w:hAnsi="Times New Roman"/>
          <w:b/>
          <w:bCs/>
          <w:szCs w:val="21"/>
        </w:rPr>
      </w:pPr>
    </w:p>
    <w:p w14:paraId="67913415">
      <w:pPr>
        <w:rPr>
          <w:rFonts w:ascii="Times New Roman" w:hAnsi="Times New Roman"/>
          <w:b/>
          <w:bCs/>
          <w:szCs w:val="21"/>
        </w:rPr>
      </w:pPr>
    </w:p>
    <w:p w14:paraId="4887E6B1">
      <w:pPr>
        <w:rPr>
          <w:rFonts w:ascii="Times New Roman" w:hAnsi="Times New Roman"/>
          <w:b/>
          <w:bCs/>
          <w:szCs w:val="21"/>
        </w:rPr>
      </w:pPr>
    </w:p>
    <w:p w14:paraId="20A9DEB5">
      <w:pPr>
        <w:rPr>
          <w:rFonts w:ascii="Times New Roman" w:hAnsi="Times New Roman"/>
          <w:b/>
          <w:bCs/>
          <w:szCs w:val="21"/>
        </w:rPr>
      </w:pPr>
    </w:p>
    <w:p w14:paraId="2FD18764">
      <w:pPr>
        <w:rPr>
          <w:rFonts w:ascii="Times New Roman" w:hAnsi="Times New Roman"/>
          <w:b/>
          <w:bCs/>
          <w:szCs w:val="21"/>
        </w:rPr>
      </w:pPr>
    </w:p>
    <w:p w14:paraId="1443E5AA">
      <w:pPr>
        <w:rPr>
          <w:rFonts w:ascii="Times New Roman" w:hAnsi="Times New Roman"/>
          <w:b/>
          <w:bCs/>
          <w:szCs w:val="21"/>
        </w:rPr>
      </w:pPr>
    </w:p>
    <w:p w14:paraId="0BCE7889">
      <w:pPr>
        <w:rPr>
          <w:rFonts w:ascii="Times New Roman" w:hAnsi="Times New Roman"/>
          <w:b/>
          <w:bCs/>
          <w:szCs w:val="21"/>
        </w:rPr>
      </w:pPr>
    </w:p>
    <w:p w14:paraId="0AF2E814">
      <w:pPr>
        <w:rPr>
          <w:rFonts w:ascii="Times New Roman" w:hAnsi="Times New Roman"/>
          <w:b/>
          <w:bCs/>
          <w:szCs w:val="21"/>
        </w:rPr>
      </w:pPr>
    </w:p>
    <w:p w14:paraId="23BE059C">
      <w:pPr>
        <w:rPr>
          <w:rFonts w:ascii="Times New Roman" w:hAnsi="Times New Roman"/>
          <w:b/>
          <w:bCs/>
          <w:szCs w:val="21"/>
        </w:rPr>
      </w:pPr>
    </w:p>
    <w:p w14:paraId="4BE9E9F1">
      <w:pPr>
        <w:rPr>
          <w:rFonts w:ascii="Times New Roman" w:hAnsi="Times New Roman"/>
          <w:b/>
          <w:bCs/>
          <w:szCs w:val="21"/>
        </w:rPr>
      </w:pPr>
    </w:p>
    <w:p w14:paraId="67C0AC33">
      <w:pPr>
        <w:rPr>
          <w:rFonts w:ascii="Times New Roman" w:hAnsi="Times New Roman"/>
          <w:b/>
          <w:bCs/>
          <w:szCs w:val="21"/>
        </w:rPr>
      </w:pPr>
    </w:p>
    <w:p w14:paraId="659AFEB6">
      <w:pPr>
        <w:rPr>
          <w:rFonts w:ascii="Times New Roman" w:hAnsi="Times New Roman"/>
          <w:b/>
          <w:bCs/>
          <w:szCs w:val="21"/>
        </w:rPr>
      </w:pPr>
    </w:p>
    <w:p w14:paraId="062A7253">
      <w:pPr>
        <w:rPr>
          <w:rFonts w:ascii="Times New Roman" w:hAnsi="Times New Roman"/>
          <w:b/>
          <w:bCs/>
          <w:szCs w:val="21"/>
        </w:rPr>
      </w:pPr>
    </w:p>
    <w:p w14:paraId="25708457">
      <w:pPr>
        <w:rPr>
          <w:rFonts w:ascii="Times New Roman" w:hAnsi="Times New Roman"/>
          <w:b/>
          <w:bCs/>
          <w:szCs w:val="21"/>
        </w:rPr>
      </w:pPr>
    </w:p>
    <w:p w14:paraId="6891BB32">
      <w:pPr>
        <w:rPr>
          <w:rFonts w:ascii="Times New Roman" w:hAnsi="Times New Roman"/>
          <w:b/>
          <w:bCs/>
          <w:szCs w:val="21"/>
        </w:rPr>
      </w:pPr>
    </w:p>
    <w:p w14:paraId="39C752D8">
      <w:pPr>
        <w:rPr>
          <w:rFonts w:ascii="Times New Roman" w:hAnsi="Times New Roman"/>
          <w:b/>
          <w:bCs/>
          <w:szCs w:val="21"/>
        </w:rPr>
      </w:pPr>
    </w:p>
    <w:p w14:paraId="2EC1EE9A">
      <w:pPr>
        <w:rPr>
          <w:rFonts w:ascii="Times New Roman" w:hAnsi="Times New Roman"/>
          <w:b/>
          <w:bCs/>
          <w:szCs w:val="21"/>
        </w:rPr>
      </w:pPr>
    </w:p>
    <w:p w14:paraId="60EB6462">
      <w:pPr>
        <w:rPr>
          <w:rFonts w:ascii="Times New Roman" w:hAnsi="Times New Roman"/>
          <w:b/>
          <w:bCs/>
          <w:szCs w:val="21"/>
        </w:rPr>
      </w:pPr>
    </w:p>
    <w:p w14:paraId="097B99D2">
      <w:pPr>
        <w:rPr>
          <w:rFonts w:ascii="Times New Roman" w:hAnsi="Times New Roman"/>
          <w:b/>
          <w:bCs/>
          <w:szCs w:val="21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65C8B825">
      <w:pPr>
        <w:outlineLvl w:val="0"/>
        <w:rPr>
          <w:rFonts w:hint="default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</w:pPr>
      <w:bookmarkStart w:id="9" w:name="_Toc8893"/>
      <w:r>
        <w:rPr>
          <w:rFonts w:hint="default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>Table S</w:t>
      </w:r>
      <w:r>
        <w:rPr>
          <w:rFonts w:hint="eastAsia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>4</w:t>
      </w:r>
      <w:r>
        <w:rPr>
          <w:rFonts w:hint="default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 xml:space="preserve">. Association Between eGDR And </w:t>
      </w:r>
      <w:r>
        <w:rPr>
          <w:rFonts w:hint="eastAsia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>Risk</w:t>
      </w:r>
      <w:r>
        <w:rPr>
          <w:rFonts w:hint="default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 xml:space="preserve"> of </w:t>
      </w:r>
      <w:r>
        <w:rPr>
          <w:rFonts w:hint="eastAsia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>M</w:t>
      </w:r>
      <w:r>
        <w:rPr>
          <w:rFonts w:hint="default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>ortality by Specific Baseline Characteristics in NHANES Study.</w:t>
      </w:r>
      <w:bookmarkEnd w:id="9"/>
    </w:p>
    <w:tbl>
      <w:tblPr>
        <w:tblStyle w:val="13"/>
        <w:tblW w:w="4997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561"/>
        <w:gridCol w:w="1043"/>
        <w:gridCol w:w="1499"/>
        <w:gridCol w:w="1618"/>
        <w:gridCol w:w="929"/>
        <w:gridCol w:w="1521"/>
        <w:gridCol w:w="1686"/>
        <w:gridCol w:w="997"/>
        <w:gridCol w:w="1473"/>
      </w:tblGrid>
      <w:tr w14:paraId="490E4C3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D5F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48" w:type="pct"/>
            <w:gridSpan w:val="3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5F09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bCs/>
                <w:sz w:val="16"/>
                <w:szCs w:val="16"/>
              </w:rPr>
              <w:t>All-cause mortality*</w:t>
            </w:r>
          </w:p>
        </w:tc>
        <w:tc>
          <w:tcPr>
            <w:tcW w:w="1436" w:type="pct"/>
            <w:gridSpan w:val="3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F618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bCs/>
                <w:sz w:val="16"/>
                <w:szCs w:val="16"/>
              </w:rPr>
              <w:t>C</w:t>
            </w:r>
            <w:r>
              <w:rPr>
                <w:rFonts w:hint="eastAsia" w:ascii="Times New Roman" w:hAnsi="Times New Roman"/>
                <w:b/>
                <w:bCs/>
                <w:sz w:val="16"/>
                <w:szCs w:val="16"/>
              </w:rPr>
              <w:t>VD</w:t>
            </w:r>
            <w:r>
              <w:rPr>
                <w:rFonts w:hint="default" w:ascii="Times New Roman" w:hAnsi="Times New Roman"/>
                <w:b/>
                <w:bCs/>
                <w:sz w:val="16"/>
                <w:szCs w:val="16"/>
              </w:rPr>
              <w:t xml:space="preserve"> mortality*</w:t>
            </w:r>
          </w:p>
        </w:tc>
        <w:tc>
          <w:tcPr>
            <w:tcW w:w="1467" w:type="pct"/>
            <w:gridSpan w:val="3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07CB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Cerebrovascular diseases </w:t>
            </w:r>
            <w:r>
              <w:rPr>
                <w:rFonts w:hint="default" w:ascii="Times New Roman" w:hAnsi="Times New Roman"/>
                <w:b/>
                <w:bCs/>
                <w:sz w:val="16"/>
                <w:szCs w:val="16"/>
              </w:rPr>
              <w:t>mortality*</w:t>
            </w:r>
          </w:p>
        </w:tc>
      </w:tr>
      <w:tr w14:paraId="67951ED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48EC9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Subgroup</w:t>
            </w:r>
          </w:p>
        </w:tc>
        <w:tc>
          <w:tcPr>
            <w:tcW w:w="55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4D9C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HR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95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%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CI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36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25A2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  <w:tc>
          <w:tcPr>
            <w:tcW w:w="52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747F9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for interaction</w:t>
            </w:r>
          </w:p>
        </w:tc>
        <w:tc>
          <w:tcPr>
            <w:tcW w:w="57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F436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HR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95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%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CI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32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880B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  <w:tc>
          <w:tcPr>
            <w:tcW w:w="53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C936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for interaction</w:t>
            </w:r>
          </w:p>
        </w:tc>
        <w:tc>
          <w:tcPr>
            <w:tcW w:w="59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D812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HR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95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%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CI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35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DBCA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  <w:tc>
          <w:tcPr>
            <w:tcW w:w="52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8C1A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for interaction</w:t>
            </w:r>
          </w:p>
        </w:tc>
      </w:tr>
      <w:tr w14:paraId="3CE634D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CDF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b/>
                <w:bCs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477B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364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3860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97B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0DA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13A9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AFF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FD6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499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147EDDF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6B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B0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0.96 (0.92~0.99)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71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0.014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8CF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0.553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07B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0.94 (0.88~1.01)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18D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0.104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28B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0.647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78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0.81 (0.69~0.95)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C81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224A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0.895</w:t>
            </w:r>
          </w:p>
        </w:tc>
      </w:tr>
      <w:tr w14:paraId="6836F14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160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Female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A55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0.93 (0.89~0.97)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D3E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79E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8AC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0.85 (0.77~0.93)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FE32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4AE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0FA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0.95 (0.81~1.11)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A9F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0.512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833F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6A9C7E7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</w:tcPr>
          <w:p w14:paraId="1ED24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Age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C3A3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673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8ED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D76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A1AB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4B29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7D78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2D8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85D0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2740D6F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</w:tcPr>
          <w:p w14:paraId="10AD5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160" w:firstLineChars="100"/>
              <w:jc w:val="right"/>
              <w:textAlignment w:val="top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&lt;60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44A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0.87 (0.82~0.93)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D1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1570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0.323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86B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0.76 (0.65~0.89)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266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B84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0.044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5E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0.71 (0.48~1.06)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135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0.093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05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0.881</w:t>
            </w:r>
          </w:p>
        </w:tc>
      </w:tr>
      <w:tr w14:paraId="66D8491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</w:tcPr>
          <w:p w14:paraId="7D842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160" w:firstLineChars="100"/>
              <w:jc w:val="right"/>
              <w:textAlignment w:val="top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≥60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C55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0.96 (0.93~0.98)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55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4C2D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75C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0.92 (0.87~0.98)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46B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0.006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577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445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 (0.8~1.01)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D0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0.078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58D4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6430149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796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BMI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BDCB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D8D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A8FE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587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AD1B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019C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E97F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DB83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378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693A128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27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&lt;25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6F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0.93 (0.89~0.97)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FE4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2D55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0.252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4B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0.89 (0.81~0.98)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B6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0.02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9C2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EB2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0.96 (0.81~1.14)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55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0.653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5306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0.341</w:t>
            </w:r>
          </w:p>
        </w:tc>
      </w:tr>
      <w:tr w14:paraId="63156E0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60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25-30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5C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0.94 (0.9~0.98)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CD7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0.005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458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446D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0.96 (0.88~1.06)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33C0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0.441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5BF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20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0.79 (0.64~0.96)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806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0.02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294A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73E466D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29E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≥30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C30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0.95 (0.9~1)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EF8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0.059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9597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47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0.81 (0.72~0.9)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01F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244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7A93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0.87 (0.68~1.11)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84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0.267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9C9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53E0A16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49D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Smoking status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8EED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4B4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037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F204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AF48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66A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BFB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16DD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D91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2BA8F45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9D8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Never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7509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0.95 (0.91~0.99)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070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A469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0.445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05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0.91 (0.83~0.99)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AD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0.023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4121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0.887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70B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0.92 (0.78~1.09)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357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0.32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62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0.485</w:t>
            </w:r>
          </w:p>
        </w:tc>
      </w:tr>
      <w:tr w14:paraId="4DF2356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B22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Former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FFB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0.95 (0.91~0.99)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4F0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211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CEF4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 (0.82~0.98)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83A3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0.022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953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835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0.91 (0.77~1.08)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0FFB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0.277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2D3F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6853264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F6C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Current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F2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0.92 (0.87~0.98)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48A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0.007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F7B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081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0.88 (0.76~1.01)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28A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0.067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99F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27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0.72 (0.51~1)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26C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2A0D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697C748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F07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Alcohol consumption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156F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F29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848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BF34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5751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460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8462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33D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605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570990B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07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47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0.94 (0.92~0.97)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25F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43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0.128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EA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0.91 (0.86~0.97)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90D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7C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0.259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89E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0.89 (0.79~1)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66A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0.051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7F5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0.753</w:t>
            </w:r>
          </w:p>
        </w:tc>
      </w:tr>
      <w:tr w14:paraId="1DFC0D2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00F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05EC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0.93 (0.88~0.99)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5F1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0.034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47EB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1B1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0.82 (0.71~0.96)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1BA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0.014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08D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0809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0.79 (0.54~1.17)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718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0.244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5DD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2D0393B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20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Race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944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0DF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08AB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9E96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37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CF7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07AD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A146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1621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0450EBD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5A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Non-Hispanic White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8D9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0.96 (0.93~0.99)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66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0.005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B97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0.603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86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0.92 (0.86~0.98)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4A3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0.016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3F4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0.99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D8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0.94 (0.82~1.08)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28E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0.385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BFC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0.238</w:t>
            </w:r>
          </w:p>
        </w:tc>
      </w:tr>
      <w:tr w14:paraId="01D24D9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39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Non-Hispanic Black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42D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0.93 (0.88~1)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E6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0.041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1B1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33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0.88 (0.77~1.01)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105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0.079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D56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55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0.55 (0.34~0.91)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7C2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0.019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08AC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6DCF903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F846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Hispanic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E7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0.89 (0.81~0.97)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39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82B0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71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0.82 (0.67~1.01)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00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0.06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094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5E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0.95 (0.71~1.27)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F3A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0.734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D0C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69FC821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DDA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Non-Hispanic Asian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438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0.89 (0.78~1.02)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E6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0.099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FB65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EE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0.91 (0.66~1.25)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FA2B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0.564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717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1EB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0.23 (0.1~0.52)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244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8C7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1A9C51D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8DB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Other Race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95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0.97 (0.85~1.12)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8BF0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0.724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86F6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9F0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0.83 (0.56~1.22)</w:t>
            </w:r>
          </w:p>
        </w:tc>
        <w:tc>
          <w:tcPr>
            <w:tcW w:w="3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3460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0.34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8C2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344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0.97 (0.63~1.49)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A58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1A14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</w:tbl>
    <w:p w14:paraId="79FC716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*</w:t>
      </w:r>
      <w:r>
        <w:rPr>
          <w:rFonts w:hint="eastAsia"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z w:val="16"/>
          <w:szCs w:val="16"/>
        </w:rPr>
        <w:t xml:space="preserve">djusted for age, sex, education,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smoking status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alcohol consumption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 xml:space="preserve">marital status, </w:t>
      </w:r>
      <w:r>
        <w:rPr>
          <w:rFonts w:ascii="Times New Roman" w:hAnsi="Times New Roman"/>
          <w:sz w:val="16"/>
          <w:szCs w:val="16"/>
        </w:rPr>
        <w:t>race</w:t>
      </w:r>
      <w:r>
        <w:rPr>
          <w:rFonts w:hint="eastAsia"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 xml:space="preserve">PIR, </w:t>
      </w:r>
      <w:r>
        <w:rPr>
          <w:rFonts w:ascii="Times New Roman" w:hAnsi="Times New Roman"/>
          <w:sz w:val="16"/>
          <w:szCs w:val="16"/>
        </w:rPr>
        <w:t xml:space="preserve">BMI, LDL-C, Cho, TG, 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 xml:space="preserve">and </w:t>
      </w:r>
      <w:r>
        <w:rPr>
          <w:rFonts w:ascii="Times New Roman" w:hAnsi="Times New Roman"/>
          <w:color w:val="000000"/>
          <w:kern w:val="0"/>
          <w:sz w:val="16"/>
          <w:szCs w:val="16"/>
        </w:rPr>
        <w:t>Lipid-lowering drugs</w:t>
      </w:r>
      <w:r>
        <w:rPr>
          <w:rFonts w:ascii="Times New Roman" w:hAnsi="Times New Roman"/>
          <w:sz w:val="16"/>
          <w:szCs w:val="16"/>
        </w:rPr>
        <w:t>. Abbreviations: NHANES, National Health and Nutrition Examination Survey.</w:t>
      </w:r>
      <w:r>
        <w:rPr>
          <w:rFonts w:hint="eastAsia"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CVD, cardiovascular disease.</w:t>
      </w:r>
      <w:r>
        <w:rPr>
          <w:rFonts w:hint="eastAsia" w:ascii="Times New Roman" w:hAnsi="Times New Roman"/>
          <w:sz w:val="16"/>
          <w:szCs w:val="16"/>
        </w:rPr>
        <w:t xml:space="preserve"> BMI</w:t>
      </w:r>
      <w:r>
        <w:rPr>
          <w:rFonts w:ascii="Times New Roman" w:hAnsi="Times New Roman"/>
          <w:sz w:val="16"/>
          <w:szCs w:val="16"/>
        </w:rPr>
        <w:t>, body mass index</w:t>
      </w:r>
      <w:r>
        <w:rPr>
          <w:rFonts w:hint="eastAsia" w:ascii="Times New Roman" w:hAnsi="Times New Roman"/>
          <w:sz w:val="16"/>
          <w:szCs w:val="16"/>
        </w:rPr>
        <w:t>.</w:t>
      </w:r>
    </w:p>
    <w:p w14:paraId="6496A9FF">
      <w:pPr>
        <w:rPr>
          <w:rFonts w:hint="eastAsia"/>
          <w:sz w:val="20"/>
          <w:szCs w:val="20"/>
        </w:rPr>
      </w:pPr>
    </w:p>
    <w:p w14:paraId="03047CF9">
      <w:pPr>
        <w:rPr>
          <w:rFonts w:ascii="Times New Roman" w:hAnsi="Times New Roman"/>
          <w:b/>
          <w:bCs/>
          <w:szCs w:val="21"/>
        </w:rPr>
      </w:pPr>
    </w:p>
    <w:p w14:paraId="5E3B0E0F">
      <w:pPr>
        <w:rPr>
          <w:rFonts w:ascii="Times New Roman" w:hAnsi="Times New Roman"/>
          <w:b/>
          <w:bCs/>
          <w:szCs w:val="21"/>
        </w:rPr>
      </w:pPr>
    </w:p>
    <w:p w14:paraId="1A9738BC">
      <w:pPr>
        <w:rPr>
          <w:rFonts w:ascii="Times New Roman" w:hAnsi="Times New Roman"/>
          <w:b/>
          <w:bCs/>
          <w:szCs w:val="21"/>
        </w:rPr>
      </w:pPr>
    </w:p>
    <w:p w14:paraId="36684243">
      <w:pPr>
        <w:rPr>
          <w:rFonts w:ascii="Times New Roman" w:hAnsi="Times New Roman"/>
          <w:b/>
          <w:bCs/>
          <w:szCs w:val="21"/>
        </w:rPr>
      </w:pPr>
    </w:p>
    <w:p w14:paraId="58C2E67F">
      <w:pPr>
        <w:rPr>
          <w:rFonts w:ascii="Times New Roman" w:hAnsi="Times New Roman"/>
          <w:b/>
          <w:bCs/>
          <w:szCs w:val="21"/>
        </w:rPr>
      </w:pPr>
    </w:p>
    <w:p w14:paraId="48116E07">
      <w:pPr>
        <w:rPr>
          <w:rFonts w:ascii="Times New Roman" w:hAnsi="Times New Roman"/>
          <w:b/>
          <w:bCs/>
          <w:szCs w:val="21"/>
        </w:rPr>
      </w:pPr>
    </w:p>
    <w:p w14:paraId="5FB6DEDA">
      <w:pPr>
        <w:rPr>
          <w:rFonts w:ascii="Times New Roman" w:hAnsi="Times New Roman"/>
          <w:b/>
          <w:bCs/>
          <w:szCs w:val="21"/>
        </w:rPr>
      </w:pPr>
    </w:p>
    <w:p w14:paraId="05904902">
      <w:pPr>
        <w:rPr>
          <w:rFonts w:ascii="Times New Roman" w:hAnsi="Times New Roman"/>
          <w:b/>
          <w:bCs/>
          <w:szCs w:val="21"/>
        </w:rPr>
      </w:pPr>
    </w:p>
    <w:p w14:paraId="0B4D9637">
      <w:pPr>
        <w:rPr>
          <w:rFonts w:ascii="Times New Roman" w:hAnsi="Times New Roman"/>
          <w:b/>
          <w:bCs/>
          <w:szCs w:val="21"/>
        </w:rPr>
      </w:pPr>
    </w:p>
    <w:p w14:paraId="3A887035">
      <w:pPr>
        <w:rPr>
          <w:rFonts w:ascii="Times New Roman" w:hAnsi="Times New Roman"/>
          <w:b/>
          <w:bCs/>
          <w:szCs w:val="21"/>
        </w:rPr>
      </w:pPr>
    </w:p>
    <w:p w14:paraId="1F456BE3">
      <w:pPr>
        <w:rPr>
          <w:rFonts w:ascii="Times New Roman" w:hAnsi="Times New Roman"/>
          <w:b/>
          <w:bCs/>
          <w:szCs w:val="21"/>
        </w:rPr>
      </w:pPr>
    </w:p>
    <w:p w14:paraId="454893A5">
      <w:pPr>
        <w:rPr>
          <w:rFonts w:ascii="Times New Roman" w:hAnsi="Times New Roman"/>
          <w:b/>
          <w:bCs/>
          <w:szCs w:val="21"/>
        </w:rPr>
      </w:pPr>
    </w:p>
    <w:p w14:paraId="0C54F2EB">
      <w:pPr>
        <w:rPr>
          <w:rFonts w:ascii="Times New Roman" w:hAnsi="Times New Roman"/>
          <w:b/>
          <w:bCs/>
          <w:szCs w:val="21"/>
        </w:rPr>
      </w:pPr>
    </w:p>
    <w:p w14:paraId="31F7C9E9">
      <w:pPr>
        <w:rPr>
          <w:rFonts w:ascii="Times New Roman" w:hAnsi="Times New Roman"/>
          <w:b/>
          <w:bCs/>
          <w:szCs w:val="21"/>
        </w:rPr>
      </w:pPr>
    </w:p>
    <w:p w14:paraId="0A09AD64">
      <w:pPr>
        <w:rPr>
          <w:rFonts w:ascii="Times New Roman" w:hAnsi="Times New Roman"/>
          <w:b/>
          <w:bCs/>
          <w:szCs w:val="21"/>
        </w:rPr>
      </w:pPr>
    </w:p>
    <w:p w14:paraId="304D7C38">
      <w:pPr>
        <w:rPr>
          <w:rFonts w:ascii="Times New Roman" w:hAnsi="Times New Roman"/>
          <w:b/>
          <w:bCs/>
          <w:szCs w:val="21"/>
        </w:rPr>
      </w:pPr>
    </w:p>
    <w:p w14:paraId="27A32E3D">
      <w:pPr>
        <w:rPr>
          <w:rFonts w:ascii="Times New Roman" w:hAnsi="Times New Roman"/>
          <w:b/>
          <w:bCs/>
          <w:szCs w:val="21"/>
        </w:rPr>
      </w:pPr>
    </w:p>
    <w:p w14:paraId="3A318EFC">
      <w:pPr>
        <w:rPr>
          <w:rFonts w:ascii="Times New Roman" w:hAnsi="Times New Roman"/>
          <w:b/>
          <w:bCs/>
          <w:szCs w:val="21"/>
        </w:rPr>
      </w:pPr>
    </w:p>
    <w:p w14:paraId="1A473590">
      <w:pPr>
        <w:rPr>
          <w:rFonts w:ascii="Times New Roman" w:hAnsi="Times New Roman"/>
          <w:b/>
          <w:bCs/>
          <w:szCs w:val="21"/>
        </w:rPr>
      </w:pPr>
    </w:p>
    <w:p w14:paraId="38DE8AE3">
      <w:pPr>
        <w:rPr>
          <w:rFonts w:ascii="Times New Roman" w:hAnsi="Times New Roman"/>
          <w:b/>
          <w:bCs/>
          <w:szCs w:val="21"/>
        </w:rPr>
      </w:pPr>
    </w:p>
    <w:p w14:paraId="4C82FB6F">
      <w:pPr>
        <w:rPr>
          <w:rFonts w:ascii="Times New Roman" w:hAnsi="Times New Roman"/>
          <w:b/>
          <w:bCs/>
          <w:szCs w:val="21"/>
        </w:rPr>
      </w:pPr>
    </w:p>
    <w:p w14:paraId="57F4AA6A">
      <w:pPr>
        <w:rPr>
          <w:rFonts w:ascii="Times New Roman" w:hAnsi="Times New Roman"/>
          <w:b/>
          <w:bCs/>
          <w:szCs w:val="21"/>
        </w:rPr>
      </w:pPr>
    </w:p>
    <w:p w14:paraId="603A7D39">
      <w:pPr>
        <w:rPr>
          <w:rFonts w:ascii="Times New Roman" w:hAnsi="Times New Roman"/>
          <w:b/>
          <w:bCs/>
          <w:szCs w:val="21"/>
        </w:rPr>
      </w:pPr>
    </w:p>
    <w:p w14:paraId="3EE2CFF2">
      <w:pPr>
        <w:outlineLvl w:val="0"/>
        <w:rPr>
          <w:rFonts w:hint="default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</w:pPr>
      <w:bookmarkStart w:id="10" w:name="_Toc28734"/>
      <w:r>
        <w:rPr>
          <w:rFonts w:hint="default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>Table S</w:t>
      </w:r>
      <w:r>
        <w:rPr>
          <w:rFonts w:hint="eastAsia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>5</w:t>
      </w:r>
      <w:r>
        <w:rPr>
          <w:rFonts w:hint="default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 xml:space="preserve">. Direct and indirect effects of </w:t>
      </w:r>
      <w:r>
        <w:rPr>
          <w:rFonts w:hint="eastAsia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>eGDR</w:t>
      </w:r>
      <w:r>
        <w:rPr>
          <w:rFonts w:hint="default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 xml:space="preserve"> on the risk of </w:t>
      </w:r>
      <w:r>
        <w:rPr>
          <w:rFonts w:hint="eastAsia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>Stroke and Mortality</w:t>
      </w:r>
      <w:r>
        <w:rPr>
          <w:rFonts w:hint="default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 xml:space="preserve"> Among </w:t>
      </w:r>
      <w:r>
        <w:rPr>
          <w:rFonts w:hint="eastAsia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>P</w:t>
      </w:r>
      <w:r>
        <w:rPr>
          <w:rFonts w:hint="default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 xml:space="preserve">articipants with </w:t>
      </w:r>
      <w:r>
        <w:rPr>
          <w:rFonts w:hint="eastAsia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>Stroke</w:t>
      </w:r>
      <w:r>
        <w:rPr>
          <w:rFonts w:hint="default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 w:eastAsiaTheme="minorEastAsia"/>
          <w:kern w:val="0"/>
          <w:sz w:val="22"/>
          <w:szCs w:val="22"/>
          <w:lang w:val="en-US" w:eastAsia="zh-CN" w:bidi="ar-SA"/>
        </w:rPr>
        <w:t>in NHANES Study.</w:t>
      </w:r>
      <w:bookmarkEnd w:id="10"/>
    </w:p>
    <w:tbl>
      <w:tblPr>
        <w:tblStyle w:val="13"/>
        <w:tblW w:w="4996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748"/>
        <w:gridCol w:w="1377"/>
        <w:gridCol w:w="1379"/>
        <w:gridCol w:w="972"/>
        <w:gridCol w:w="1042"/>
        <w:gridCol w:w="1411"/>
        <w:gridCol w:w="1357"/>
        <w:gridCol w:w="955"/>
        <w:gridCol w:w="2003"/>
        <w:gridCol w:w="946"/>
      </w:tblGrid>
      <w:tr w14:paraId="4D67C2D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44" w:type="pct"/>
            <w:vMerge w:val="restar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5041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Mediators</w:t>
            </w:r>
          </w:p>
        </w:tc>
        <w:tc>
          <w:tcPr>
            <w:tcW w:w="1590" w:type="pct"/>
            <w:gridSpan w:val="3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988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Average Causal Mediation Effects</w:t>
            </w:r>
          </w:p>
        </w:tc>
        <w:tc>
          <w:tcPr>
            <w:tcW w:w="343" w:type="pct"/>
            <w:vMerge w:val="restar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1EA5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  <w:tc>
          <w:tcPr>
            <w:tcW w:w="1345" w:type="pct"/>
            <w:gridSpan w:val="3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C5D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Average Direct Effects</w:t>
            </w:r>
          </w:p>
        </w:tc>
        <w:tc>
          <w:tcPr>
            <w:tcW w:w="337" w:type="pct"/>
            <w:vMerge w:val="restar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2376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  <w:tc>
          <w:tcPr>
            <w:tcW w:w="707" w:type="pct"/>
            <w:vMerge w:val="restar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34EDF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Proportion of Mediated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(%)</w:t>
            </w:r>
          </w:p>
        </w:tc>
        <w:tc>
          <w:tcPr>
            <w:tcW w:w="330" w:type="pct"/>
            <w:vMerge w:val="restar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3EEDB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</w:tr>
      <w:tr w14:paraId="616BF4D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" w:type="pct"/>
            <w:vMerge w:val="continue"/>
            <w:tcBorders>
              <w:top w:val="single" w:color="000000" w:sz="4" w:space="0"/>
              <w:bottom w:val="single" w:color="auto" w:sz="4" w:space="0"/>
              <w:tl2br w:val="nil"/>
              <w:tr2bl w:val="nil"/>
            </w:tcBorders>
            <w:shd w:val="clear" w:color="auto" w:fill="auto"/>
          </w:tcPr>
          <w:p w14:paraId="20ABC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宋体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7" w:type="pct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99CE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Estimate</w:t>
            </w:r>
          </w:p>
        </w:tc>
        <w:tc>
          <w:tcPr>
            <w:tcW w:w="486" w:type="pct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4562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Lower 95%CI</w:t>
            </w:r>
          </w:p>
        </w:tc>
        <w:tc>
          <w:tcPr>
            <w:tcW w:w="486" w:type="pct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933A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Upper 95%CI</w:t>
            </w:r>
          </w:p>
        </w:tc>
        <w:tc>
          <w:tcPr>
            <w:tcW w:w="343" w:type="pct"/>
            <w:vMerge w:val="continue"/>
            <w:tcBorders>
              <w:top w:val="single" w:color="000000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1A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" w:type="pct"/>
            <w:tcBorders>
              <w:top w:val="single" w:color="000000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90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Estimate</w:t>
            </w:r>
          </w:p>
        </w:tc>
        <w:tc>
          <w:tcPr>
            <w:tcW w:w="498" w:type="pct"/>
            <w:tcBorders>
              <w:top w:val="single" w:color="000000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33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Lower 95%CI</w:t>
            </w:r>
          </w:p>
        </w:tc>
        <w:tc>
          <w:tcPr>
            <w:tcW w:w="478" w:type="pct"/>
            <w:tcBorders>
              <w:top w:val="single" w:color="000000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97B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Upper 95%CI</w:t>
            </w:r>
          </w:p>
        </w:tc>
        <w:tc>
          <w:tcPr>
            <w:tcW w:w="337" w:type="pct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935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00DB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" w:type="pct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8A23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8D12A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11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59CA5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Stroke</w:t>
            </w:r>
            <w:r>
              <w:rPr>
                <w:rFonts w:hint="default" w:ascii="Times New Roman" w:hAnsi="Times New Roman"/>
                <w:b/>
                <w:bCs/>
                <w:sz w:val="16"/>
                <w:szCs w:val="16"/>
              </w:rPr>
              <w:t>*</w:t>
            </w:r>
          </w:p>
        </w:tc>
      </w:tr>
      <w:tr w14:paraId="29C7C1B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</w:tcPr>
          <w:p w14:paraId="70114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TG</w:t>
            </w:r>
          </w:p>
        </w:tc>
        <w:tc>
          <w:tcPr>
            <w:tcW w:w="6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27D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2A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-0.0003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E4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0.0006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5EF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0.498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F384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-0.0091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216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-0.0152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6C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-0.0046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CEE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  <w:tc>
          <w:tcPr>
            <w:tcW w:w="7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C67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-1.53</w:t>
            </w:r>
          </w:p>
        </w:tc>
        <w:tc>
          <w:tcPr>
            <w:tcW w:w="3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C7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0.498</w:t>
            </w:r>
          </w:p>
        </w:tc>
      </w:tr>
      <w:tr w14:paraId="2D20818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</w:tcPr>
          <w:p w14:paraId="6F5F6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Cho</w:t>
            </w:r>
          </w:p>
        </w:tc>
        <w:tc>
          <w:tcPr>
            <w:tcW w:w="6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DC4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33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C7B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0.0002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46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0.266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C0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-0.0089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A6E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-0.0149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0B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-0.0046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36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  <w:tc>
          <w:tcPr>
            <w:tcW w:w="7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2591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-0.74</w:t>
            </w:r>
          </w:p>
        </w:tc>
        <w:tc>
          <w:tcPr>
            <w:tcW w:w="3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4BF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0.266</w:t>
            </w:r>
          </w:p>
        </w:tc>
      </w:tr>
      <w:tr w14:paraId="61B4123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</w:tcPr>
          <w:p w14:paraId="5316B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LDL-C</w:t>
            </w:r>
          </w:p>
        </w:tc>
        <w:tc>
          <w:tcPr>
            <w:tcW w:w="6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F0E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FE26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2310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0.0002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4E97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0.092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E3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-0.009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CD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-0.0151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B3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-0.0046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32F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  <w:tc>
          <w:tcPr>
            <w:tcW w:w="7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87F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-0.82</w:t>
            </w:r>
          </w:p>
        </w:tc>
        <w:tc>
          <w:tcPr>
            <w:tcW w:w="3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03B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0.092</w:t>
            </w:r>
          </w:p>
        </w:tc>
      </w:tr>
      <w:tr w14:paraId="76D5FB6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</w:tcPr>
          <w:p w14:paraId="542B4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HDL-C</w:t>
            </w:r>
          </w:p>
        </w:tc>
        <w:tc>
          <w:tcPr>
            <w:tcW w:w="6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BD4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-0.0008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D83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-0.0018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09C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85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0.044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D1C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-0.0082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0D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-0.0142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A7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-0.004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58B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  <w:tc>
          <w:tcPr>
            <w:tcW w:w="7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0C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9.08</w:t>
            </w:r>
          </w:p>
        </w:tc>
        <w:tc>
          <w:tcPr>
            <w:tcW w:w="3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93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0.044</w:t>
            </w:r>
          </w:p>
        </w:tc>
      </w:tr>
      <w:tr w14:paraId="106ACD6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1987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All-cause mortality</w:t>
            </w:r>
            <w:r>
              <w:rPr>
                <w:rFonts w:hint="default" w:ascii="Times New Roman" w:hAnsi="Times New Roman"/>
                <w:b/>
                <w:bCs/>
                <w:sz w:val="16"/>
                <w:szCs w:val="16"/>
              </w:rPr>
              <w:t>*</w:t>
            </w:r>
          </w:p>
        </w:tc>
      </w:tr>
      <w:tr w14:paraId="7DD6191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</w:tcPr>
          <w:p w14:paraId="6C57D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TG</w:t>
            </w:r>
          </w:p>
        </w:tc>
        <w:tc>
          <w:tcPr>
            <w:tcW w:w="6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A7E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24F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-0.0002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A6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0.0004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5AB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0.634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614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-0.0043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4DC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-0.0081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802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-0.001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B93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7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55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-2.23</w:t>
            </w:r>
          </w:p>
        </w:tc>
        <w:tc>
          <w:tcPr>
            <w:tcW w:w="3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1B4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0.638</w:t>
            </w:r>
          </w:p>
        </w:tc>
      </w:tr>
      <w:tr w14:paraId="2D8AA53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</w:tcPr>
          <w:p w14:paraId="198D0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Cho</w:t>
            </w:r>
          </w:p>
        </w:tc>
        <w:tc>
          <w:tcPr>
            <w:tcW w:w="6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1DE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CB30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14C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0.0001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40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0.316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192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-0.0043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2E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-0.0081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5B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-0.0009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907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  <w:tc>
          <w:tcPr>
            <w:tcW w:w="7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F01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-0.73</w:t>
            </w:r>
          </w:p>
        </w:tc>
        <w:tc>
          <w:tcPr>
            <w:tcW w:w="3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01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0.324</w:t>
            </w:r>
          </w:p>
        </w:tc>
      </w:tr>
      <w:tr w14:paraId="5651D9F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</w:tcPr>
          <w:p w14:paraId="3AF018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LDL-C</w:t>
            </w:r>
          </w:p>
        </w:tc>
        <w:tc>
          <w:tcPr>
            <w:tcW w:w="6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DE3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35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A7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0.0002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7BA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0E22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-0.0043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5B5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-0.0081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D0B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-0.001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DE2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  <w:tc>
          <w:tcPr>
            <w:tcW w:w="7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498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-1.6</w:t>
            </w:r>
          </w:p>
        </w:tc>
        <w:tc>
          <w:tcPr>
            <w:tcW w:w="3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1D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0.108</w:t>
            </w:r>
          </w:p>
        </w:tc>
      </w:tr>
      <w:tr w14:paraId="007AC67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</w:tcPr>
          <w:p w14:paraId="1D2343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HDL-C</w:t>
            </w:r>
          </w:p>
        </w:tc>
        <w:tc>
          <w:tcPr>
            <w:tcW w:w="6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D6D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0.0005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E4E1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-0.0002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BE3B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0.0013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F28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0.168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758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-0.0047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90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-0.0086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BF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-0.0014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139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  <w:tc>
          <w:tcPr>
            <w:tcW w:w="7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910B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-12.87</w:t>
            </w:r>
          </w:p>
        </w:tc>
        <w:tc>
          <w:tcPr>
            <w:tcW w:w="3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7924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0.172</w:t>
            </w:r>
          </w:p>
        </w:tc>
      </w:tr>
      <w:tr w14:paraId="2479DE7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1BD9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CVD mortality</w:t>
            </w:r>
            <w:r>
              <w:rPr>
                <w:rFonts w:hint="default" w:ascii="Times New Roman" w:hAnsi="Times New Roman"/>
                <w:b/>
                <w:bCs/>
                <w:sz w:val="16"/>
                <w:szCs w:val="16"/>
              </w:rPr>
              <w:t>*</w:t>
            </w:r>
          </w:p>
        </w:tc>
      </w:tr>
      <w:tr w14:paraId="1D3DF24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</w:tcPr>
          <w:p w14:paraId="72597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TG</w:t>
            </w:r>
          </w:p>
        </w:tc>
        <w:tc>
          <w:tcPr>
            <w:tcW w:w="6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07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6B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-0.0005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7A6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0.0002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8AD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0.436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A90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-0.0079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0A4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-0.0143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6E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-0.0039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9AB2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  <w:tc>
          <w:tcPr>
            <w:tcW w:w="7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B65F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1.6</w:t>
            </w:r>
          </w:p>
        </w:tc>
        <w:tc>
          <w:tcPr>
            <w:tcW w:w="3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78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0.436</w:t>
            </w:r>
          </w:p>
        </w:tc>
      </w:tr>
      <w:tr w14:paraId="31D60DE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</w:tcPr>
          <w:p w14:paraId="6C841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Cho</w:t>
            </w:r>
          </w:p>
        </w:tc>
        <w:tc>
          <w:tcPr>
            <w:tcW w:w="6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8A8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68C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6F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E96D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0.916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205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-0.008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CED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-0.0145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EC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-0.0039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AD7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  <w:tc>
          <w:tcPr>
            <w:tcW w:w="7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96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3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030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0.916</w:t>
            </w:r>
          </w:p>
        </w:tc>
      </w:tr>
      <w:tr w14:paraId="2AB670A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</w:tcPr>
          <w:p w14:paraId="7BDF0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LDL-C</w:t>
            </w:r>
          </w:p>
        </w:tc>
        <w:tc>
          <w:tcPr>
            <w:tcW w:w="6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750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9E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AC5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0.0001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CFD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104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-0.008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BA9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-0.0146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2B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-0.0039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39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  <w:tc>
          <w:tcPr>
            <w:tcW w:w="7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5F0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-0.46</w:t>
            </w:r>
          </w:p>
        </w:tc>
        <w:tc>
          <w:tcPr>
            <w:tcW w:w="3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97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</w:tr>
      <w:tr w14:paraId="5E90E81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</w:tcPr>
          <w:p w14:paraId="340BF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HDL-C</w:t>
            </w:r>
          </w:p>
        </w:tc>
        <w:tc>
          <w:tcPr>
            <w:tcW w:w="6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59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0.0005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89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-0.0002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41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0.0012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06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0.16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B0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-0.0084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797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-0.0151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099C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-0.0043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C0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  <w:tc>
          <w:tcPr>
            <w:tcW w:w="7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35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-6.29</w:t>
            </w:r>
          </w:p>
        </w:tc>
        <w:tc>
          <w:tcPr>
            <w:tcW w:w="3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EB9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0.16</w:t>
            </w:r>
          </w:p>
        </w:tc>
      </w:tr>
      <w:tr w14:paraId="136EC9B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23E0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Cerebrovascular diseases </w:t>
            </w:r>
            <w:r>
              <w:rPr>
                <w:rStyle w:val="23"/>
                <w:rFonts w:eastAsia="宋体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mortality</w:t>
            </w:r>
            <w:r>
              <w:rPr>
                <w:rFonts w:hint="default" w:ascii="Times New Roman" w:hAnsi="Times New Roman"/>
                <w:b/>
                <w:bCs/>
                <w:sz w:val="16"/>
                <w:szCs w:val="16"/>
              </w:rPr>
              <w:t>*</w:t>
            </w:r>
          </w:p>
        </w:tc>
      </w:tr>
      <w:tr w14:paraId="10DF1F5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</w:tcPr>
          <w:p w14:paraId="1C3CC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TG</w:t>
            </w:r>
          </w:p>
        </w:tc>
        <w:tc>
          <w:tcPr>
            <w:tcW w:w="6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84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3E8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84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0.0003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D35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0.09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1D5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-0.0011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2AE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-0.0036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8FF7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0.0002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44A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0.13</w:t>
            </w:r>
          </w:p>
        </w:tc>
        <w:tc>
          <w:tcPr>
            <w:tcW w:w="7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405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-13.44</w:t>
            </w:r>
          </w:p>
        </w:tc>
        <w:tc>
          <w:tcPr>
            <w:tcW w:w="3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0B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0.264</w:t>
            </w:r>
          </w:p>
        </w:tc>
      </w:tr>
      <w:tr w14:paraId="66CDA93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</w:tcPr>
          <w:p w14:paraId="5AC29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Cho</w:t>
            </w:r>
          </w:p>
        </w:tc>
        <w:tc>
          <w:tcPr>
            <w:tcW w:w="6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636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17A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01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5C9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0.644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4F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-0.001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35B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-0.0035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03A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0.0002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946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0.166</w:t>
            </w:r>
          </w:p>
        </w:tc>
        <w:tc>
          <w:tcPr>
            <w:tcW w:w="7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51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-0.46</w:t>
            </w:r>
          </w:p>
        </w:tc>
        <w:tc>
          <w:tcPr>
            <w:tcW w:w="3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D76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0.71</w:t>
            </w:r>
          </w:p>
        </w:tc>
      </w:tr>
      <w:tr w14:paraId="77927D5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</w:tcPr>
          <w:p w14:paraId="7AE15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LDL-C</w:t>
            </w:r>
          </w:p>
        </w:tc>
        <w:tc>
          <w:tcPr>
            <w:tcW w:w="6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A1A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9B7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1DF3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DD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D7E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-0.001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E4A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-0.0035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D6F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0.0003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246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0.176</w:t>
            </w:r>
          </w:p>
        </w:tc>
        <w:tc>
          <w:tcPr>
            <w:tcW w:w="7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6F1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1.03</w:t>
            </w:r>
          </w:p>
        </w:tc>
        <w:tc>
          <w:tcPr>
            <w:tcW w:w="3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0E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0.528</w:t>
            </w:r>
          </w:p>
        </w:tc>
      </w:tr>
      <w:tr w14:paraId="548F82A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</w:tcPr>
          <w:p w14:paraId="49E08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HDL-C</w:t>
            </w:r>
          </w:p>
        </w:tc>
        <w:tc>
          <w:tcPr>
            <w:tcW w:w="6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61E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F4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-0.0004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082F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0.0002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0A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0.522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6F3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-0.0009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367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-0.0034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ACC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0.0003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38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0.222</w:t>
            </w:r>
          </w:p>
        </w:tc>
        <w:tc>
          <w:tcPr>
            <w:tcW w:w="7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6F7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10.11</w:t>
            </w:r>
          </w:p>
        </w:tc>
        <w:tc>
          <w:tcPr>
            <w:tcW w:w="3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2E8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0.604</w:t>
            </w:r>
          </w:p>
        </w:tc>
      </w:tr>
    </w:tbl>
    <w:p w14:paraId="20956338">
      <w:pPr>
        <w:rPr>
          <w:rFonts w:ascii="Times New Roman" w:hAnsi="Times New Roman"/>
          <w:sz w:val="16"/>
          <w:szCs w:val="16"/>
        </w:rPr>
      </w:pPr>
      <w:r>
        <w:rPr>
          <w:rFonts w:hint="eastAsia"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z w:val="16"/>
          <w:szCs w:val="16"/>
        </w:rPr>
        <w:t>djusted for</w:t>
      </w:r>
      <w:r>
        <w:rPr>
          <w:rFonts w:hint="eastAsia"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age, sex, education,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smoking status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alcohol consumption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 xml:space="preserve">marital status, </w:t>
      </w:r>
      <w:r>
        <w:rPr>
          <w:rFonts w:ascii="Times New Roman" w:hAnsi="Times New Roman"/>
          <w:sz w:val="16"/>
          <w:szCs w:val="16"/>
        </w:rPr>
        <w:t xml:space="preserve">race, 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 xml:space="preserve">and </w:t>
      </w:r>
      <w:r>
        <w:rPr>
          <w:rFonts w:ascii="Times New Roman" w:hAnsi="Times New Roman"/>
          <w:sz w:val="16"/>
          <w:szCs w:val="16"/>
        </w:rPr>
        <w:t>PIR</w:t>
      </w:r>
      <w:r>
        <w:rPr>
          <w:rFonts w:hint="eastAsia" w:ascii="Times New Roman" w:hAnsi="Times New Roman"/>
          <w:sz w:val="16"/>
          <w:szCs w:val="16"/>
        </w:rPr>
        <w:t>.</w:t>
      </w:r>
    </w:p>
    <w:p w14:paraId="1E0C278C">
      <w:pPr>
        <w:rPr>
          <w:rFonts w:ascii="Times New Roman" w:hAnsi="Times New Roman"/>
          <w:b/>
          <w:bCs/>
          <w:szCs w:val="21"/>
        </w:rPr>
      </w:pPr>
    </w:p>
    <w:p w14:paraId="5355F548">
      <w:pPr>
        <w:rPr>
          <w:rFonts w:ascii="Times New Roman" w:hAnsi="Times New Roman"/>
          <w:b/>
          <w:bCs/>
          <w:szCs w:val="21"/>
        </w:rPr>
      </w:pPr>
    </w:p>
    <w:p w14:paraId="23AFB9AD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  <w:bookmarkStart w:id="11" w:name="_Toc23328"/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>Table S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6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 xml:space="preserve">. Association Between eGDR and 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Stroke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 xml:space="preserve"> After 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In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>cluding Participants with Missing Covariates in NHANES Study.</w:t>
      </w:r>
      <w:bookmarkEnd w:id="11"/>
    </w:p>
    <w:tbl>
      <w:tblPr>
        <w:tblStyle w:val="13"/>
        <w:tblW w:w="12535" w:type="dxa"/>
        <w:tblInd w:w="98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021"/>
        <w:gridCol w:w="1206"/>
        <w:gridCol w:w="1976"/>
        <w:gridCol w:w="1021"/>
        <w:gridCol w:w="1976"/>
        <w:gridCol w:w="1021"/>
        <w:gridCol w:w="1976"/>
        <w:gridCol w:w="1022"/>
      </w:tblGrid>
      <w:tr w14:paraId="26BF1F6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16" w:type="dxa"/>
            <w:vMerge w:val="restart"/>
            <w:shd w:val="clear" w:color="auto" w:fill="auto"/>
            <w:noWrap/>
            <w:vAlign w:val="center"/>
          </w:tcPr>
          <w:p w14:paraId="2772F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Variable</w:t>
            </w:r>
          </w:p>
        </w:tc>
        <w:tc>
          <w:tcPr>
            <w:tcW w:w="1021" w:type="dxa"/>
            <w:vMerge w:val="restart"/>
            <w:shd w:val="clear" w:color="auto" w:fill="auto"/>
            <w:noWrap/>
            <w:vAlign w:val="center"/>
          </w:tcPr>
          <w:p w14:paraId="00B88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</w:t>
            </w:r>
          </w:p>
        </w:tc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14:paraId="41F62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Event, n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(%)</w:t>
            </w:r>
          </w:p>
        </w:tc>
        <w:tc>
          <w:tcPr>
            <w:tcW w:w="29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AE4CD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Model 1</w:t>
            </w:r>
          </w:p>
        </w:tc>
        <w:tc>
          <w:tcPr>
            <w:tcW w:w="29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6B526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Model 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2998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E9B4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Model 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</w:tr>
      <w:tr w14:paraId="25DECE3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16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D236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021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12A5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206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07460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9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BAE7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OR (95%CI)</w:t>
            </w:r>
          </w:p>
        </w:tc>
        <w:tc>
          <w:tcPr>
            <w:tcW w:w="102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FEF2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  <w:tc>
          <w:tcPr>
            <w:tcW w:w="19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5D90A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OR (95%CI)</w:t>
            </w:r>
          </w:p>
        </w:tc>
        <w:tc>
          <w:tcPr>
            <w:tcW w:w="102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27A43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  <w:tc>
          <w:tcPr>
            <w:tcW w:w="19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784B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OR (95%CI)</w:t>
            </w:r>
          </w:p>
        </w:tc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8DE5E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</w:tr>
      <w:tr w14:paraId="3029879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16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6F9A2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楷体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</w:rPr>
              <w:t>Continuous variable per unit</w:t>
            </w:r>
          </w:p>
        </w:tc>
        <w:tc>
          <w:tcPr>
            <w:tcW w:w="1021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083B3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4588</w:t>
            </w:r>
          </w:p>
        </w:tc>
        <w:tc>
          <w:tcPr>
            <w:tcW w:w="1206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63706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171 (3.7)</w:t>
            </w:r>
          </w:p>
        </w:tc>
        <w:tc>
          <w:tcPr>
            <w:tcW w:w="1976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69F2F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0.84 (0.78~0.89)</w:t>
            </w:r>
          </w:p>
        </w:tc>
        <w:tc>
          <w:tcPr>
            <w:tcW w:w="1021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284E4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1976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5F03E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0.88 (0.82~0.95)</w:t>
            </w:r>
          </w:p>
        </w:tc>
        <w:tc>
          <w:tcPr>
            <w:tcW w:w="1021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33DED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1976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07D18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0.87 (0.79~0.96)</w:t>
            </w:r>
          </w:p>
        </w:tc>
        <w:tc>
          <w:tcPr>
            <w:tcW w:w="1022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0C18D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0.006</w:t>
            </w:r>
          </w:p>
        </w:tc>
      </w:tr>
      <w:tr w14:paraId="4F7BBCA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1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4439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Q1(&lt;6.42)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7132A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1528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3EC5E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87 (5.7)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49D12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789C9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2B87A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0F0E3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2FF2C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0ECC5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15F6D2E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16" w:type="dxa"/>
            <w:shd w:val="clear" w:color="auto" w:fill="auto"/>
            <w:noWrap/>
            <w:vAlign w:val="center"/>
          </w:tcPr>
          <w:p w14:paraId="59026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Q2(6.42-9.18)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241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D4D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50 (3.3)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FB8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0.56 (0.39~0.8)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82A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2C3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0.63 (0.44~0.9)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909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D80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0.66 (0.45~0.98)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A96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0.04</w:t>
            </w:r>
          </w:p>
        </w:tc>
      </w:tr>
      <w:tr w14:paraId="39AB987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16" w:type="dxa"/>
            <w:shd w:val="clear" w:color="auto" w:fill="auto"/>
            <w:noWrap/>
            <w:vAlign w:val="center"/>
          </w:tcPr>
          <w:p w14:paraId="39060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Q3(&gt;9.18)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EB0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7CD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34 (2.2)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770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0.38 (0.25~0.56)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AAF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27E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0.54 (0.35~0.83)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E81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D27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0.58 (0.36~0.95)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480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0.031</w:t>
            </w:r>
          </w:p>
        </w:tc>
      </w:tr>
      <w:tr w14:paraId="3663A3B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16" w:type="dxa"/>
            <w:shd w:val="clear" w:color="auto" w:fill="auto"/>
            <w:noWrap/>
            <w:vAlign w:val="center"/>
          </w:tcPr>
          <w:p w14:paraId="07050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Trend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test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7F7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4588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2DFB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171 (3.7)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1F8F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0.61 (0.5~0.74)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DF5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C40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0.72 (0.58~0.88)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250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EA9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0.75 (0.59~0.96)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CE5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0.02</w:t>
            </w:r>
          </w:p>
        </w:tc>
      </w:tr>
    </w:tbl>
    <w:p w14:paraId="278C6F3C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16"/>
          <w:szCs w:val="16"/>
        </w:rPr>
        <w:t xml:space="preserve">Model 1: crude. Model 2: age, sex, education,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smoking status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alcohol consumption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 xml:space="preserve">marital status, </w:t>
      </w:r>
      <w:r>
        <w:rPr>
          <w:rFonts w:ascii="Times New Roman" w:hAnsi="Times New Roman"/>
          <w:sz w:val="16"/>
          <w:szCs w:val="16"/>
        </w:rPr>
        <w:t xml:space="preserve">race, 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 xml:space="preserve">and </w:t>
      </w:r>
      <w:r>
        <w:rPr>
          <w:rFonts w:ascii="Times New Roman" w:hAnsi="Times New Roman"/>
          <w:sz w:val="16"/>
          <w:szCs w:val="16"/>
        </w:rPr>
        <w:t xml:space="preserve">PIR. Model 3 is adjusted for model 2 covariates plus BMI, LDL-C, Cho, TG, 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 xml:space="preserve">and </w:t>
      </w:r>
      <w:r>
        <w:rPr>
          <w:rFonts w:ascii="Times New Roman" w:hAnsi="Times New Roman"/>
          <w:color w:val="000000"/>
          <w:kern w:val="0"/>
          <w:sz w:val="16"/>
          <w:szCs w:val="16"/>
        </w:rPr>
        <w:t>Lipid-lowering drugs</w:t>
      </w:r>
      <w:r>
        <w:rPr>
          <w:rFonts w:ascii="Times New Roman" w:hAnsi="Times New Roman"/>
          <w:sz w:val="16"/>
          <w:szCs w:val="16"/>
        </w:rPr>
        <w:t>. Abbreviations: NHANES, National Health and Nutrition Examination Survey.</w:t>
      </w:r>
      <w:r>
        <w:rPr>
          <w:rFonts w:hint="eastAsia" w:ascii="Times New Roman" w:hAnsi="Times New Roman"/>
          <w:sz w:val="16"/>
          <w:szCs w:val="16"/>
        </w:rPr>
        <w:t xml:space="preserve"> </w:t>
      </w:r>
    </w:p>
    <w:p w14:paraId="51941CC6">
      <w:pPr>
        <w:rPr>
          <w:rFonts w:ascii="Times New Roman" w:hAnsi="Times New Roman"/>
          <w:sz w:val="22"/>
        </w:rPr>
      </w:pPr>
    </w:p>
    <w:p w14:paraId="3A20B8D0">
      <w:pPr>
        <w:rPr>
          <w:rFonts w:ascii="Times New Roman" w:hAnsi="Times New Roman"/>
          <w:sz w:val="22"/>
        </w:rPr>
      </w:pPr>
    </w:p>
    <w:p w14:paraId="145ED816">
      <w:pPr>
        <w:rPr>
          <w:rFonts w:ascii="Times New Roman" w:hAnsi="Times New Roman"/>
          <w:sz w:val="22"/>
        </w:rPr>
      </w:pPr>
    </w:p>
    <w:p w14:paraId="15947346">
      <w:pPr>
        <w:rPr>
          <w:rFonts w:ascii="Times New Roman" w:hAnsi="Times New Roman"/>
          <w:sz w:val="22"/>
        </w:rPr>
      </w:pPr>
    </w:p>
    <w:p w14:paraId="7B170F81">
      <w:pPr>
        <w:rPr>
          <w:rFonts w:ascii="Times New Roman" w:hAnsi="Times New Roman"/>
          <w:sz w:val="22"/>
        </w:rPr>
      </w:pPr>
    </w:p>
    <w:p w14:paraId="3EBAC837">
      <w:pPr>
        <w:rPr>
          <w:rFonts w:ascii="Times New Roman" w:hAnsi="Times New Roman"/>
          <w:sz w:val="22"/>
        </w:rPr>
      </w:pPr>
    </w:p>
    <w:p w14:paraId="1E9FC5AB">
      <w:pPr>
        <w:rPr>
          <w:rFonts w:ascii="Times New Roman" w:hAnsi="Times New Roman"/>
          <w:sz w:val="22"/>
        </w:rPr>
      </w:pPr>
    </w:p>
    <w:p w14:paraId="726EE2DF">
      <w:pPr>
        <w:rPr>
          <w:rFonts w:ascii="Times New Roman" w:hAnsi="Times New Roman"/>
          <w:sz w:val="22"/>
        </w:rPr>
      </w:pPr>
    </w:p>
    <w:p w14:paraId="2302763B">
      <w:pPr>
        <w:rPr>
          <w:rFonts w:ascii="Times New Roman" w:hAnsi="Times New Roman"/>
          <w:sz w:val="22"/>
        </w:rPr>
      </w:pPr>
    </w:p>
    <w:p w14:paraId="307E7A98">
      <w:pPr>
        <w:rPr>
          <w:rFonts w:ascii="Times New Roman" w:hAnsi="Times New Roman"/>
          <w:sz w:val="22"/>
        </w:rPr>
      </w:pPr>
    </w:p>
    <w:p w14:paraId="7F31E5CB">
      <w:pPr>
        <w:rPr>
          <w:rFonts w:ascii="Times New Roman" w:hAnsi="Times New Roman"/>
          <w:sz w:val="22"/>
        </w:rPr>
      </w:pPr>
    </w:p>
    <w:p w14:paraId="38498F03">
      <w:pPr>
        <w:rPr>
          <w:rFonts w:ascii="Times New Roman" w:hAnsi="Times New Roman"/>
          <w:sz w:val="22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9004013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  <w:bookmarkStart w:id="12" w:name="_Toc29112"/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>Table S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7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>. Association Between eGDR and Mortality After Excluding Participants with Missing Covariates in NHANES Study.</w:t>
      </w:r>
      <w:bookmarkEnd w:id="12"/>
    </w:p>
    <w:tbl>
      <w:tblPr>
        <w:tblStyle w:val="13"/>
        <w:tblW w:w="4747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931"/>
        <w:gridCol w:w="1319"/>
        <w:gridCol w:w="1527"/>
        <w:gridCol w:w="1527"/>
        <w:gridCol w:w="1527"/>
        <w:gridCol w:w="1527"/>
        <w:gridCol w:w="1527"/>
        <w:gridCol w:w="1529"/>
      </w:tblGrid>
      <w:tr w14:paraId="05CF37C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A71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Variable</w:t>
            </w:r>
          </w:p>
        </w:tc>
        <w:tc>
          <w:tcPr>
            <w:tcW w:w="346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84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</w:t>
            </w:r>
          </w:p>
        </w:tc>
        <w:tc>
          <w:tcPr>
            <w:tcW w:w="489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30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Event, n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(%)</w:t>
            </w:r>
          </w:p>
        </w:tc>
        <w:tc>
          <w:tcPr>
            <w:tcW w:w="1134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542F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Model 1</w:t>
            </w:r>
          </w:p>
        </w:tc>
        <w:tc>
          <w:tcPr>
            <w:tcW w:w="1134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41A7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Model 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5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59A2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Model 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</w:tr>
      <w:tr w14:paraId="25BB7AB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99B9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46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0A474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0231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E7AF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HR (95%CI)</w:t>
            </w:r>
          </w:p>
        </w:tc>
        <w:tc>
          <w:tcPr>
            <w:tcW w:w="56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F577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  <w:tc>
          <w:tcPr>
            <w:tcW w:w="56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A0A5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HR (95%CI)</w:t>
            </w:r>
          </w:p>
        </w:tc>
        <w:tc>
          <w:tcPr>
            <w:tcW w:w="56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A8E3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  <w:tc>
          <w:tcPr>
            <w:tcW w:w="56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C7EA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HR (95%CI)</w:t>
            </w:r>
          </w:p>
        </w:tc>
        <w:tc>
          <w:tcPr>
            <w:tcW w:w="56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0CD0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</w:tr>
      <w:tr w14:paraId="137AD9B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05" w:type="pct"/>
            <w:gridSpan w:val="2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ED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All-cause </w:t>
            </w:r>
            <w:r>
              <w:rPr>
                <w:rFonts w:hint="default" w:ascii="Times New Roman" w:hAnsi="Times New Roman"/>
                <w:b/>
                <w:bCs/>
                <w:sz w:val="16"/>
                <w:szCs w:val="16"/>
              </w:rPr>
              <w:t>mortality</w:t>
            </w:r>
          </w:p>
        </w:tc>
        <w:tc>
          <w:tcPr>
            <w:tcW w:w="48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E7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67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C8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67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2E0F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67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268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67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6F7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67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EBE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68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94D3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14:paraId="05B1892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FFD3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</w:rPr>
              <w:t>Continuous variable per unit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72A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4588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35B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847 (18.5)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A08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0.89 (0.86~0.92)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803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777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0.98 (0.95~1.01)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0C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0.288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997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0.94 (0.9~0.98)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BDB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</w:tr>
      <w:tr w14:paraId="048AAEF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67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Q1(&lt;6.42)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AE8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1528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9DF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377 (24.7)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94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189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34F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60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70D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886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3A18563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661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Q2(6.42-9.18)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89A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1529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23BD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287 (18.8)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82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0.78 (0.67~0.91)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F11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F84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0.95 (0.81~1.11)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885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0.516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683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0.85 (0.72~1.01)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C4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0.058</w:t>
            </w:r>
          </w:p>
        </w:tc>
      </w:tr>
      <w:tr w14:paraId="18BDB13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F7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Q3(&gt;9.18)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B3A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1531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5CE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183 (12)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C42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 (0.42~0.59)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5E6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2A1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0.93 (0.77~1.12)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9841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0.432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26C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0.78 (0.63~0.96)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AEE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0.019</w:t>
            </w:r>
          </w:p>
        </w:tc>
      </w:tr>
      <w:tr w14:paraId="4830B16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42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Trend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test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D58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4588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802F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847 (18.5)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16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0.71 (0.66~0.78)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D6B7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496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0.96 (0.88~1.05)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5A0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0.396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73EA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0.88 (0.79~0.97)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C7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0.014</w:t>
            </w:r>
          </w:p>
        </w:tc>
      </w:tr>
      <w:tr w14:paraId="497A797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1220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CVD </w:t>
            </w:r>
            <w:r>
              <w:rPr>
                <w:rFonts w:hint="default" w:ascii="Times New Roman" w:hAnsi="Times New Roman"/>
                <w:b/>
                <w:bCs/>
                <w:sz w:val="16"/>
                <w:szCs w:val="16"/>
              </w:rPr>
              <w:t>mortality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7FFE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0AC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E87C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0E65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BBA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A62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D1B7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570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5C8827F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268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</w:rPr>
              <w:t>Continuous variable per unit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73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4588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089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193 (4.2)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C7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0.81 (0.76~0.87)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F02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128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0.88 (0.82~0.95)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EB2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BC2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0.88 (0.8~0.96)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63B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</w:tr>
      <w:tr w14:paraId="68A0E8F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7289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Q1(&lt;6.42)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129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1528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FCE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99 (6.5)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798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AE4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393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71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7B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BD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4D4B54C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15F6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Q2(6.42-9.18)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65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1529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3D5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63 (4.1)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326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0.65 (0.48~0.9)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5F07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05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0.79 (0.58~1.09)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78B7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0.154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121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0.83 (0.59~1.16)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D2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0.278</w:t>
            </w:r>
          </w:p>
        </w:tc>
      </w:tr>
      <w:tr w14:paraId="0257DEA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00E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Q3(&gt;9.18)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A7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1531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35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31 (2)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54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0.32 (0.21~0.48)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63E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A4F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0.61 (0.4~0.93)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A9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0.022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F830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0.68 (0.42~1.08)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5A6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0.101</w:t>
            </w:r>
          </w:p>
        </w:tc>
      </w:tr>
      <w:tr w14:paraId="4D15310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064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Trend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test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9C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4588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EE3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193 (4.2)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E07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0.58 (0.48~0.7)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A4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6C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0.79 (0.65~0.96)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E753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0.016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81E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0.82 (0.66~1.03)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9C9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0.09</w:t>
            </w:r>
          </w:p>
        </w:tc>
      </w:tr>
      <w:tr w14:paraId="64A9027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5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06AF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Cerebrovascular diseases </w:t>
            </w:r>
            <w:r>
              <w:rPr>
                <w:rFonts w:hint="default" w:ascii="Times New Roman" w:hAnsi="Times New Roman"/>
                <w:b/>
                <w:bCs/>
                <w:sz w:val="16"/>
                <w:szCs w:val="16"/>
              </w:rPr>
              <w:t>mortality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870F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573C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B901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8D70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267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D24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4185B19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CF97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</w:rPr>
              <w:t>Continuous variable per unit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F69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4588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6ACF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51 (1.1)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AF6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0.81 (0.72~0.91)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501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CFB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0.87 (0.76~1.01)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33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0.067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67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0.74 (0.6~0.9)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F509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</w:tr>
      <w:tr w14:paraId="4985A88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FC0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Q1(&lt;6.42)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369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1528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F5A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32 (2.1)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331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D59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08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8FC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2B2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133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082C3B9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A05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Q2(6.42-9.18)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DC7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1529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AD0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 (0.8)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AD9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0.39 (0.2~0.75)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14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0.005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2E6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0.49 (0.25~0.95)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C8A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0.036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241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0.33 (0.16~0.69)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B9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</w:tr>
      <w:tr w14:paraId="4344641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72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Q3(&gt;9.18)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C6E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1531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3B3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 (0.5)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5CB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0.22 (0.1~0.51)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69E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7B8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0.44 (0.19~1.03)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75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0.057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1E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0.23 (0.09~0.6)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AE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</w:tr>
      <w:tr w14:paraId="59FC2EE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C1B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Trend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test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994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4588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64C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51 (1.1)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37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0.45 (0.31~0.67)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95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602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0.61 (0.41~0.92)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C35C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0.018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89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0.44 (0.27~0.71)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0D6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</w:tr>
    </w:tbl>
    <w:p w14:paraId="3AA10AA5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Model 1: crude. Model 2: age, sex, education,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smoking status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alcohol consumption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 xml:space="preserve">marital status, </w:t>
      </w:r>
      <w:r>
        <w:rPr>
          <w:rFonts w:ascii="Times New Roman" w:hAnsi="Times New Roman"/>
          <w:sz w:val="16"/>
          <w:szCs w:val="16"/>
        </w:rPr>
        <w:t xml:space="preserve">race, 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 xml:space="preserve">and </w:t>
      </w:r>
      <w:r>
        <w:rPr>
          <w:rFonts w:ascii="Times New Roman" w:hAnsi="Times New Roman"/>
          <w:sz w:val="16"/>
          <w:szCs w:val="16"/>
        </w:rPr>
        <w:t xml:space="preserve">PIR. Model 3 is adjusted for model 2 covariates plus BMI, LDL-C, Cho, TG, 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 xml:space="preserve">and </w:t>
      </w:r>
      <w:r>
        <w:rPr>
          <w:rFonts w:ascii="Times New Roman" w:hAnsi="Times New Roman"/>
          <w:color w:val="000000"/>
          <w:kern w:val="0"/>
          <w:sz w:val="16"/>
          <w:szCs w:val="16"/>
        </w:rPr>
        <w:t>Lipid-lowering drugs</w:t>
      </w:r>
      <w:r>
        <w:rPr>
          <w:rFonts w:ascii="Times New Roman" w:hAnsi="Times New Roman"/>
          <w:sz w:val="16"/>
          <w:szCs w:val="16"/>
        </w:rPr>
        <w:t>. Abbreviations: NHANES, National Health and Nutrition Examination Survey.</w:t>
      </w:r>
      <w:r>
        <w:rPr>
          <w:rFonts w:hint="eastAsia"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CVD, cardiovascular disease.</w:t>
      </w:r>
    </w:p>
    <w:p w14:paraId="4F223FE5">
      <w:pPr>
        <w:jc w:val="left"/>
        <w:rPr>
          <w:rFonts w:ascii="Times" w:hAnsi="Times"/>
          <w:sz w:val="22"/>
        </w:rPr>
      </w:pPr>
    </w:p>
    <w:p w14:paraId="6FFA19DE">
      <w:pPr>
        <w:jc w:val="left"/>
        <w:rPr>
          <w:rFonts w:ascii="Times" w:hAnsi="Times"/>
          <w:sz w:val="22"/>
        </w:rPr>
      </w:pPr>
    </w:p>
    <w:p w14:paraId="68BF4624">
      <w:pPr>
        <w:rPr>
          <w:rFonts w:ascii="Times New Roman" w:hAnsi="Times New Roman"/>
          <w:b/>
          <w:bCs/>
          <w:sz w:val="22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CF2D3E2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  <w:bookmarkStart w:id="13" w:name="_Toc29668"/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>Table S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8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 xml:space="preserve">. Association Between eGDR and 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Stroke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 xml:space="preserve"> After 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 xml:space="preserve">Including 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 xml:space="preserve">Participants 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Aged 20 years or older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 xml:space="preserve"> in NHANES Study.</w:t>
      </w:r>
      <w:bookmarkEnd w:id="13"/>
    </w:p>
    <w:tbl>
      <w:tblPr>
        <w:tblStyle w:val="13"/>
        <w:tblW w:w="4996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1185"/>
        <w:gridCol w:w="1188"/>
        <w:gridCol w:w="2058"/>
        <w:gridCol w:w="1403"/>
        <w:gridCol w:w="1933"/>
        <w:gridCol w:w="1210"/>
        <w:gridCol w:w="1933"/>
        <w:gridCol w:w="1210"/>
      </w:tblGrid>
      <w:tr w14:paraId="5D8C21B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20" w:type="pct"/>
            <w:vMerge w:val="restart"/>
            <w:shd w:val="clear" w:color="auto" w:fill="auto"/>
            <w:noWrap/>
            <w:vAlign w:val="center"/>
          </w:tcPr>
          <w:p w14:paraId="5AB741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Variable</w:t>
            </w:r>
          </w:p>
        </w:tc>
        <w:tc>
          <w:tcPr>
            <w:tcW w:w="418" w:type="pct"/>
            <w:vMerge w:val="restart"/>
            <w:shd w:val="clear" w:color="auto" w:fill="auto"/>
            <w:noWrap/>
            <w:vAlign w:val="center"/>
          </w:tcPr>
          <w:p w14:paraId="4363E7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</w:t>
            </w:r>
          </w:p>
        </w:tc>
        <w:tc>
          <w:tcPr>
            <w:tcW w:w="419" w:type="pct"/>
            <w:vMerge w:val="restart"/>
            <w:shd w:val="clear" w:color="auto" w:fill="auto"/>
            <w:noWrap/>
            <w:vAlign w:val="center"/>
          </w:tcPr>
          <w:p w14:paraId="6AB61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Event, n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(%)</w:t>
            </w:r>
          </w:p>
        </w:tc>
        <w:tc>
          <w:tcPr>
            <w:tcW w:w="1221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79B7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Model 1</w:t>
            </w:r>
          </w:p>
        </w:tc>
        <w:tc>
          <w:tcPr>
            <w:tcW w:w="1109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37485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Model 1</w:t>
            </w:r>
          </w:p>
        </w:tc>
        <w:tc>
          <w:tcPr>
            <w:tcW w:w="1109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8422B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Model 2</w:t>
            </w:r>
          </w:p>
        </w:tc>
      </w:tr>
      <w:tr w14:paraId="65F5458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20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3F593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F18A2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F2413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609B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OR (95%CI)</w:t>
            </w:r>
          </w:p>
        </w:tc>
        <w:tc>
          <w:tcPr>
            <w:tcW w:w="49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EFC8E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  <w:tc>
          <w:tcPr>
            <w:tcW w:w="68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9FDC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OR (95%CI)</w:t>
            </w:r>
          </w:p>
        </w:tc>
        <w:tc>
          <w:tcPr>
            <w:tcW w:w="42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886CF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  <w:tc>
          <w:tcPr>
            <w:tcW w:w="68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6E54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OR (95%CI)</w:t>
            </w:r>
          </w:p>
        </w:tc>
        <w:tc>
          <w:tcPr>
            <w:tcW w:w="42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4BB0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</w:tr>
      <w:tr w14:paraId="7B2AD4C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20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0D79FF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</w:rPr>
              <w:t>Continuous variable per unit</w:t>
            </w:r>
          </w:p>
        </w:tc>
        <w:tc>
          <w:tcPr>
            <w:tcW w:w="418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1C396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22330</w:t>
            </w:r>
          </w:p>
        </w:tc>
        <w:tc>
          <w:tcPr>
            <w:tcW w:w="419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61A3D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426 (1.9)</w:t>
            </w:r>
          </w:p>
        </w:tc>
        <w:tc>
          <w:tcPr>
            <w:tcW w:w="726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664D7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0.76 (0.73~0.79)</w:t>
            </w:r>
          </w:p>
        </w:tc>
        <w:tc>
          <w:tcPr>
            <w:tcW w:w="494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44803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82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05936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0.87 (0.83~0.91)</w:t>
            </w:r>
          </w:p>
        </w:tc>
        <w:tc>
          <w:tcPr>
            <w:tcW w:w="427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02C09A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82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32049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0.82 (0.77~0.87)</w:t>
            </w:r>
          </w:p>
        </w:tc>
        <w:tc>
          <w:tcPr>
            <w:tcW w:w="427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7465A9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14:paraId="3B2FB91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20" w:type="pct"/>
            <w:tcBorders>
              <w:top w:val="nil"/>
            </w:tcBorders>
            <w:shd w:val="clear" w:color="auto" w:fill="auto"/>
            <w:noWrap/>
            <w:vAlign w:val="center"/>
          </w:tcPr>
          <w:p w14:paraId="35316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Q1(&lt;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7.82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418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33DD8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7442</w:t>
            </w:r>
          </w:p>
        </w:tc>
        <w:tc>
          <w:tcPr>
            <w:tcW w:w="419" w:type="pct"/>
            <w:tcBorders>
              <w:top w:val="nil"/>
            </w:tcBorders>
            <w:shd w:val="clear" w:color="auto" w:fill="auto"/>
            <w:noWrap/>
            <w:vAlign w:val="center"/>
          </w:tcPr>
          <w:p w14:paraId="36B47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289 (3.9)</w:t>
            </w:r>
          </w:p>
        </w:tc>
        <w:tc>
          <w:tcPr>
            <w:tcW w:w="72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3E99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49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7496A3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1F9B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427" w:type="pct"/>
            <w:tcBorders>
              <w:top w:val="nil"/>
            </w:tcBorders>
            <w:shd w:val="clear" w:color="auto" w:fill="auto"/>
            <w:noWrap/>
            <w:vAlign w:val="center"/>
          </w:tcPr>
          <w:p w14:paraId="736987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</w:tcBorders>
            <w:shd w:val="clear" w:color="auto" w:fill="auto"/>
            <w:noWrap/>
            <w:vAlign w:val="center"/>
          </w:tcPr>
          <w:p w14:paraId="3273C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427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E6F9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1D4C11D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20" w:type="pct"/>
            <w:shd w:val="clear" w:color="auto" w:fill="auto"/>
            <w:noWrap/>
            <w:vAlign w:val="center"/>
          </w:tcPr>
          <w:p w14:paraId="30DD8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Q2(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7.82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-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9.95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3E5F9F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7443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57CE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88 (1.2)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4A604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 (0.23~0.38)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000CEC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14:paraId="0ADA0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0.54 (0.42~0.69)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68E7C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14:paraId="1DD8A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0.55 (0.42~0.71)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B72C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14:paraId="147C942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20" w:type="pct"/>
            <w:shd w:val="clear" w:color="auto" w:fill="auto"/>
            <w:noWrap/>
            <w:vAlign w:val="center"/>
          </w:tcPr>
          <w:p w14:paraId="0A549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Q3(&gt;9.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9.95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694CE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7445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66396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49 (0.7)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75975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0.16 (0.12~0.22)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4B3F7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14:paraId="5BD85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0.44 (0.32~0.61)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5E86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14:paraId="0FC90E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0.41 (0.29~0.6)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F3EB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14:paraId="42AA2EE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20" w:type="pct"/>
            <w:shd w:val="clear" w:color="auto" w:fill="auto"/>
            <w:noWrap/>
            <w:vAlign w:val="center"/>
          </w:tcPr>
          <w:p w14:paraId="0A4C6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Trend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test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2F24C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22330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016C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426 (1.9)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758DCF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0.37 (0.32~0.43)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5C6BB0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14:paraId="2A523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0.63 (0.54~0.73)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E220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14:paraId="69B9C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0.61 (0.52~0.73)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7917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</w:tbl>
    <w:p w14:paraId="15D606B9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Model 1: crude. Model 2: age, sex, education,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smoking status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alcohol consumption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 xml:space="preserve">marital status, </w:t>
      </w:r>
      <w:r>
        <w:rPr>
          <w:rFonts w:ascii="Times New Roman" w:hAnsi="Times New Roman"/>
          <w:sz w:val="16"/>
          <w:szCs w:val="16"/>
        </w:rPr>
        <w:t xml:space="preserve">race, 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 xml:space="preserve">and </w:t>
      </w:r>
      <w:r>
        <w:rPr>
          <w:rFonts w:ascii="Times New Roman" w:hAnsi="Times New Roman"/>
          <w:sz w:val="16"/>
          <w:szCs w:val="16"/>
        </w:rPr>
        <w:t xml:space="preserve">PIR. Model 3 is adjusted for model 2 covariates plus BMI, LDL-C, Cho, TG, 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 xml:space="preserve">and </w:t>
      </w:r>
      <w:r>
        <w:rPr>
          <w:rFonts w:ascii="Times New Roman" w:hAnsi="Times New Roman"/>
          <w:color w:val="000000"/>
          <w:kern w:val="0"/>
          <w:sz w:val="16"/>
          <w:szCs w:val="16"/>
        </w:rPr>
        <w:t>Lipid-lowering drugs</w:t>
      </w:r>
      <w:r>
        <w:rPr>
          <w:rFonts w:ascii="Times New Roman" w:hAnsi="Times New Roman"/>
          <w:sz w:val="16"/>
          <w:szCs w:val="16"/>
        </w:rPr>
        <w:t>. Abbreviations: NHANES, National Health and Nutrition Examination Survey.</w:t>
      </w:r>
    </w:p>
    <w:p w14:paraId="4ECCA087">
      <w:pPr>
        <w:rPr>
          <w:rFonts w:ascii="Times" w:hAnsi="Times"/>
          <w:b/>
          <w:bCs/>
          <w:sz w:val="24"/>
          <w:szCs w:val="24"/>
        </w:rPr>
      </w:pPr>
    </w:p>
    <w:p w14:paraId="1B373329">
      <w:pPr>
        <w:rPr>
          <w:rFonts w:ascii="Times" w:hAnsi="Times"/>
          <w:b/>
          <w:bCs/>
          <w:sz w:val="24"/>
          <w:szCs w:val="24"/>
        </w:rPr>
      </w:pPr>
    </w:p>
    <w:p w14:paraId="2FB276C0">
      <w:pPr>
        <w:rPr>
          <w:rFonts w:ascii="Times" w:hAnsi="Times"/>
          <w:b/>
          <w:bCs/>
          <w:sz w:val="24"/>
          <w:szCs w:val="24"/>
        </w:rPr>
      </w:pPr>
    </w:p>
    <w:p w14:paraId="6C8268D5">
      <w:pPr>
        <w:rPr>
          <w:rFonts w:ascii="Times" w:hAnsi="Times"/>
          <w:b/>
          <w:bCs/>
          <w:sz w:val="24"/>
          <w:szCs w:val="24"/>
        </w:rPr>
      </w:pPr>
    </w:p>
    <w:p w14:paraId="61FC9F59">
      <w:pPr>
        <w:rPr>
          <w:rFonts w:ascii="Times" w:hAnsi="Times"/>
          <w:b/>
          <w:bCs/>
          <w:sz w:val="24"/>
          <w:szCs w:val="24"/>
        </w:rPr>
      </w:pPr>
    </w:p>
    <w:p w14:paraId="337A0FCB">
      <w:pPr>
        <w:rPr>
          <w:rFonts w:ascii="Times" w:hAnsi="Times"/>
          <w:b/>
          <w:bCs/>
          <w:sz w:val="24"/>
          <w:szCs w:val="24"/>
        </w:rPr>
      </w:pPr>
    </w:p>
    <w:p w14:paraId="6CBCBF40">
      <w:pPr>
        <w:rPr>
          <w:rFonts w:ascii="Times" w:hAnsi="Times"/>
          <w:b/>
          <w:bCs/>
          <w:sz w:val="24"/>
          <w:szCs w:val="24"/>
        </w:rPr>
      </w:pPr>
    </w:p>
    <w:p w14:paraId="2001F8A8">
      <w:pPr>
        <w:rPr>
          <w:rFonts w:ascii="Times" w:hAnsi="Times"/>
          <w:b/>
          <w:bCs/>
          <w:sz w:val="24"/>
          <w:szCs w:val="24"/>
        </w:rPr>
      </w:pPr>
    </w:p>
    <w:p w14:paraId="06AD08FF">
      <w:pPr>
        <w:rPr>
          <w:rFonts w:ascii="Times" w:hAnsi="Times"/>
          <w:b/>
          <w:bCs/>
          <w:sz w:val="24"/>
          <w:szCs w:val="24"/>
        </w:rPr>
      </w:pPr>
    </w:p>
    <w:p w14:paraId="373EC873">
      <w:pPr>
        <w:rPr>
          <w:rFonts w:ascii="Times" w:hAnsi="Times"/>
          <w:b/>
          <w:bCs/>
          <w:sz w:val="24"/>
          <w:szCs w:val="24"/>
        </w:rPr>
      </w:pPr>
    </w:p>
    <w:p w14:paraId="7E9CA4E3">
      <w:pPr>
        <w:rPr>
          <w:rFonts w:ascii="Times" w:hAnsi="Times"/>
          <w:b/>
          <w:bCs/>
          <w:sz w:val="24"/>
          <w:szCs w:val="24"/>
        </w:rPr>
      </w:pPr>
    </w:p>
    <w:p w14:paraId="5A6E92BF">
      <w:pPr>
        <w:rPr>
          <w:rFonts w:ascii="Times" w:hAnsi="Times"/>
          <w:b/>
          <w:bCs/>
          <w:sz w:val="24"/>
          <w:szCs w:val="24"/>
        </w:rPr>
      </w:pPr>
    </w:p>
    <w:p w14:paraId="5F009402">
      <w:pPr>
        <w:rPr>
          <w:rFonts w:ascii="Times" w:hAnsi="Times"/>
          <w:b/>
          <w:bCs/>
          <w:sz w:val="24"/>
          <w:szCs w:val="24"/>
        </w:rPr>
      </w:pPr>
    </w:p>
    <w:p w14:paraId="343AFCC6">
      <w:pPr>
        <w:rPr>
          <w:rFonts w:ascii="Times" w:hAnsi="Times"/>
          <w:b/>
          <w:bCs/>
          <w:sz w:val="24"/>
          <w:szCs w:val="24"/>
        </w:rPr>
      </w:pPr>
    </w:p>
    <w:p w14:paraId="56000EEC">
      <w:pPr>
        <w:rPr>
          <w:rFonts w:ascii="Times" w:hAnsi="Times"/>
          <w:b/>
          <w:bCs/>
          <w:sz w:val="24"/>
          <w:szCs w:val="24"/>
        </w:rPr>
      </w:pPr>
    </w:p>
    <w:p w14:paraId="5B494927">
      <w:pPr>
        <w:rPr>
          <w:rFonts w:ascii="Times" w:hAnsi="Times"/>
          <w:b/>
          <w:bCs/>
          <w:sz w:val="24"/>
          <w:szCs w:val="24"/>
        </w:rPr>
      </w:pPr>
    </w:p>
    <w:p w14:paraId="258839B5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  <w:bookmarkStart w:id="14" w:name="_Toc30841"/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>Table S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9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 xml:space="preserve">. Association Between eGDR and Mortality After 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In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 xml:space="preserve">cluding Participants 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Aged 20 years or older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 xml:space="preserve"> in NHANES Study.</w:t>
      </w:r>
      <w:bookmarkEnd w:id="14"/>
    </w:p>
    <w:tbl>
      <w:tblPr>
        <w:tblStyle w:val="13"/>
        <w:tblW w:w="4997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8"/>
        <w:gridCol w:w="907"/>
        <w:gridCol w:w="1457"/>
        <w:gridCol w:w="1899"/>
        <w:gridCol w:w="1032"/>
        <w:gridCol w:w="1899"/>
        <w:gridCol w:w="1032"/>
        <w:gridCol w:w="1899"/>
        <w:gridCol w:w="1032"/>
      </w:tblGrid>
      <w:tr w14:paraId="6237C75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1" w:type="pct"/>
            <w:vMerge w:val="restart"/>
            <w:shd w:val="clear" w:color="auto" w:fill="auto"/>
            <w:noWrap/>
            <w:vAlign w:val="center"/>
          </w:tcPr>
          <w:p w14:paraId="761A9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Variable</w:t>
            </w:r>
          </w:p>
        </w:tc>
        <w:tc>
          <w:tcPr>
            <w:tcW w:w="320" w:type="pct"/>
            <w:vMerge w:val="restart"/>
            <w:shd w:val="clear" w:color="auto" w:fill="auto"/>
            <w:noWrap/>
            <w:vAlign w:val="center"/>
          </w:tcPr>
          <w:p w14:paraId="74C91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</w:t>
            </w:r>
          </w:p>
        </w:tc>
        <w:tc>
          <w:tcPr>
            <w:tcW w:w="514" w:type="pct"/>
            <w:vMerge w:val="restart"/>
            <w:shd w:val="clear" w:color="auto" w:fill="auto"/>
            <w:noWrap/>
            <w:vAlign w:val="center"/>
          </w:tcPr>
          <w:p w14:paraId="623126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Event, n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(%)</w:t>
            </w:r>
          </w:p>
        </w:tc>
        <w:tc>
          <w:tcPr>
            <w:tcW w:w="1034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28C2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Model 1</w:t>
            </w:r>
          </w:p>
        </w:tc>
        <w:tc>
          <w:tcPr>
            <w:tcW w:w="1034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6E30C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Model 2</w:t>
            </w:r>
          </w:p>
        </w:tc>
        <w:tc>
          <w:tcPr>
            <w:tcW w:w="1034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F59C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Model 3</w:t>
            </w:r>
          </w:p>
        </w:tc>
      </w:tr>
      <w:tr w14:paraId="31ED8CA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1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0E877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149E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14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AD28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9616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OR (95%CI)</w:t>
            </w:r>
          </w:p>
        </w:tc>
        <w:tc>
          <w:tcPr>
            <w:tcW w:w="36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9F36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  <w:tc>
          <w:tcPr>
            <w:tcW w:w="67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8FE9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OR (95%CI)</w:t>
            </w:r>
          </w:p>
        </w:tc>
        <w:tc>
          <w:tcPr>
            <w:tcW w:w="36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9B0D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  <w:tc>
          <w:tcPr>
            <w:tcW w:w="67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06F5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OR (95%CI)</w:t>
            </w:r>
          </w:p>
        </w:tc>
        <w:tc>
          <w:tcPr>
            <w:tcW w:w="36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A080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</w:tr>
      <w:tr w14:paraId="33D3470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81" w:type="pct"/>
            <w:gridSpan w:val="2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0139A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All-cause </w:t>
            </w:r>
            <w:r>
              <w:rPr>
                <w:rFonts w:hint="default" w:ascii="Times New Roman" w:hAnsi="Times New Roman"/>
                <w:b/>
                <w:bCs/>
                <w:sz w:val="16"/>
                <w:szCs w:val="16"/>
              </w:rPr>
              <w:t>mortality</w:t>
            </w:r>
          </w:p>
        </w:tc>
        <w:tc>
          <w:tcPr>
            <w:tcW w:w="514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1CF39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70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46FDD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364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132C3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70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214EC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364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66BB0B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70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30BA0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364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6ABB7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14:paraId="03E4395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B57B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</w:rPr>
              <w:t>Continuous variable per unit</w:t>
            </w:r>
          </w:p>
        </w:tc>
        <w:tc>
          <w:tcPr>
            <w:tcW w:w="320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02CF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22330</w:t>
            </w:r>
          </w:p>
        </w:tc>
        <w:tc>
          <w:tcPr>
            <w:tcW w:w="51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7455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2244 (10)</w:t>
            </w:r>
          </w:p>
        </w:tc>
        <w:tc>
          <w:tcPr>
            <w:tcW w:w="670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A3AF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0.81 (0.79~0.82)</w:t>
            </w:r>
          </w:p>
        </w:tc>
        <w:tc>
          <w:tcPr>
            <w:tcW w:w="36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2327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70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5A83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0.99 (0.97~1.01)</w:t>
            </w:r>
          </w:p>
        </w:tc>
        <w:tc>
          <w:tcPr>
            <w:tcW w:w="36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1627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0.244</w:t>
            </w:r>
          </w:p>
        </w:tc>
        <w:tc>
          <w:tcPr>
            <w:tcW w:w="670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88CD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0.94 (0.92~0.96)</w:t>
            </w:r>
          </w:p>
        </w:tc>
        <w:tc>
          <w:tcPr>
            <w:tcW w:w="36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F009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14:paraId="01CD482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1" w:type="pct"/>
            <w:shd w:val="clear" w:color="auto" w:fill="auto"/>
            <w:noWrap/>
            <w:vAlign w:val="center"/>
          </w:tcPr>
          <w:p w14:paraId="65784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Q1(&lt;6.42)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539E9C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7442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6DE02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1381 (18.6)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0E080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64304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2AC3D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3539F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0B99F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2DDFE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57047BD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1" w:type="pct"/>
            <w:shd w:val="clear" w:color="auto" w:fill="auto"/>
            <w:noWrap/>
            <w:vAlign w:val="center"/>
          </w:tcPr>
          <w:p w14:paraId="3B557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Q2(6.42-9.18)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5928B6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7443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9F65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527 (7.1)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AE9A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0.38 (0.34~0.42)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7FD93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A1C5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0.85 (0.77~0.94)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3C05F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B281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 (0.72~0.89)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5D2B08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14:paraId="504C181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1" w:type="pct"/>
            <w:shd w:val="clear" w:color="auto" w:fill="auto"/>
            <w:noWrap/>
            <w:vAlign w:val="center"/>
          </w:tcPr>
          <w:p w14:paraId="6210E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Q3(&gt;9.18)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3DC9D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7445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3366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336 (4.5)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58C53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0.23 (0.21~0.26)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200EF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78C84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0.94 (0.83~1.07)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35A45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0.346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7D342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0.77 (0.67~0.89)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5580F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14:paraId="044A16F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1" w:type="pct"/>
            <w:shd w:val="clear" w:color="auto" w:fill="auto"/>
            <w:noWrap/>
            <w:vAlign w:val="center"/>
          </w:tcPr>
          <w:p w14:paraId="124528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Trend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test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022B2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22330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C458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2244 (10)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22FEB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0.46 (0.43~0.49)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20134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EB44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0.94 (0.89~1)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048A98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0.058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53FC6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0.86 (0.8~0.92)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14866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14:paraId="4B9C3BD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81" w:type="pct"/>
            <w:gridSpan w:val="2"/>
            <w:shd w:val="clear" w:color="auto" w:fill="auto"/>
            <w:noWrap/>
            <w:vAlign w:val="center"/>
          </w:tcPr>
          <w:p w14:paraId="2960D6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CVD </w:t>
            </w:r>
            <w:r>
              <w:rPr>
                <w:rFonts w:hint="default" w:ascii="Times New Roman" w:hAnsi="Times New Roman"/>
                <w:b/>
                <w:bCs/>
                <w:sz w:val="16"/>
                <w:szCs w:val="16"/>
              </w:rPr>
              <w:t>mortality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31A90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2D1B3E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0926BD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2E3262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5E03F9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59951B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4853A2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76192DC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1" w:type="pct"/>
            <w:shd w:val="clear" w:color="auto" w:fill="auto"/>
            <w:noWrap/>
            <w:vAlign w:val="center"/>
          </w:tcPr>
          <w:p w14:paraId="43B0D0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</w:rPr>
              <w:t>Continuous variable per unit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7147C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22330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A5F6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494 (2.2)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6898C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0.75 (0.72~0.77)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4852A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250A1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0.91 (0.87~0.94)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0E42B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301C5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0.89 (0.85~0.94)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4A353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14:paraId="16862A6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1" w:type="pct"/>
            <w:shd w:val="clear" w:color="auto" w:fill="auto"/>
            <w:noWrap/>
            <w:vAlign w:val="center"/>
          </w:tcPr>
          <w:p w14:paraId="3EFE3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Q1(&lt;6.42)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38C04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7442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489F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342 (4.6)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7BF1AD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019A0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0E48A9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14884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AABB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37DC39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2FC771B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1" w:type="pct"/>
            <w:shd w:val="clear" w:color="auto" w:fill="auto"/>
            <w:noWrap/>
            <w:vAlign w:val="center"/>
          </w:tcPr>
          <w:p w14:paraId="34147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Q2(6.42-9.18)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11708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7443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44F1C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99 (1.3)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09FB6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0.29 (0.23~0.36)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0DF57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D90C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 (0.56~0.88)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56D41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21F52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0.71 (0.56~0.89)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54D2A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</w:tr>
      <w:tr w14:paraId="3B3AF7C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1" w:type="pct"/>
            <w:shd w:val="clear" w:color="auto" w:fill="auto"/>
            <w:noWrap/>
            <w:vAlign w:val="center"/>
          </w:tcPr>
          <w:p w14:paraId="11632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Q3(&gt;9.18)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238E1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7445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D52D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53 (0.7)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0EDB8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0.15 (0.11~0.2)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16523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6BFE9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0.69 (0.51~0.93)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2085FB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F0B50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0.72 (0.52~0.99)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000AD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0.044</w:t>
            </w:r>
          </w:p>
        </w:tc>
      </w:tr>
      <w:tr w14:paraId="5CDE17F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1" w:type="pct"/>
            <w:shd w:val="clear" w:color="auto" w:fill="auto"/>
            <w:noWrap/>
            <w:vAlign w:val="center"/>
          </w:tcPr>
          <w:p w14:paraId="60416C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Trend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test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48F9F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22330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9B59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494 (2.2)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07596B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0.35 (0.31~0.41)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0C82D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17C6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0.79 (0.69~0.91)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6D6827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FAF3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 (0.69~0.93)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0F12B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</w:tr>
      <w:tr w14:paraId="46E0D11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81" w:type="pct"/>
            <w:gridSpan w:val="2"/>
            <w:shd w:val="clear" w:color="auto" w:fill="auto"/>
            <w:noWrap/>
            <w:vAlign w:val="center"/>
          </w:tcPr>
          <w:p w14:paraId="4F4A18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Cerebrovascular diseases </w:t>
            </w:r>
            <w:r>
              <w:rPr>
                <w:rFonts w:hint="default" w:ascii="Times New Roman" w:hAnsi="Times New Roman"/>
                <w:b/>
                <w:bCs/>
                <w:sz w:val="16"/>
                <w:szCs w:val="16"/>
              </w:rPr>
              <w:t>mortality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8A081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70A08C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5A2AF0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3C48D8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51B3F5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7FE840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0BFEBE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4B9D2A4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1" w:type="pct"/>
            <w:shd w:val="clear" w:color="auto" w:fill="auto"/>
            <w:noWrap/>
            <w:vAlign w:val="center"/>
          </w:tcPr>
          <w:p w14:paraId="39C2E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</w:rPr>
              <w:t>Continuous variable per unit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052E78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22330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2CE3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124 (0.6)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D593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0.78 (0.73~0.83)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01AA6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0218B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0.95 (0.87~1.04)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0A88E4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0.25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0C38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0.89 (0.8~0.99)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284073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0.036</w:t>
            </w:r>
          </w:p>
        </w:tc>
      </w:tr>
      <w:tr w14:paraId="0CAEACF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1" w:type="pct"/>
            <w:shd w:val="clear" w:color="auto" w:fill="auto"/>
            <w:noWrap/>
            <w:vAlign w:val="center"/>
          </w:tcPr>
          <w:p w14:paraId="676AF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Q1(&lt;6.42)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0DA5B4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7442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91BC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84 (1.1)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2A4BBC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367ED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3BFF4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4AB582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305CA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6E8F5B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6876B52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1" w:type="pct"/>
            <w:shd w:val="clear" w:color="auto" w:fill="auto"/>
            <w:noWrap/>
            <w:vAlign w:val="center"/>
          </w:tcPr>
          <w:p w14:paraId="242E02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Q2(6.42-9.18)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14341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7443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E518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29 (0.4)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07CAE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0.34 (0.23~0.52)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0D28A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6B81F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0.87 (0.56~1.33)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7446B4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0.513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5798B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0.82 (0.53~1.27)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190B7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0.367</w:t>
            </w:r>
          </w:p>
        </w:tc>
      </w:tr>
      <w:tr w14:paraId="5A7F351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1" w:type="pct"/>
            <w:shd w:val="clear" w:color="auto" w:fill="auto"/>
            <w:noWrap/>
            <w:vAlign w:val="center"/>
          </w:tcPr>
          <w:p w14:paraId="2D106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Q3(&gt;9.18)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6A277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7445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60A9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 (0.1)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5EF4B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0.13 (0.07~0.24)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6D815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5D9F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 (0.31~1.14)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651AD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0.119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51A83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0.48 (0.24~0.96)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3E303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0.038</w:t>
            </w:r>
          </w:p>
        </w:tc>
      </w:tr>
      <w:tr w14:paraId="3583CBC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1" w:type="pct"/>
            <w:shd w:val="clear" w:color="auto" w:fill="auto"/>
            <w:noWrap/>
            <w:vAlign w:val="center"/>
          </w:tcPr>
          <w:p w14:paraId="5D25D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Trend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test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0FB14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22330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04F5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124 (0.6)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E0B8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0.35 (0.27~0.46)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3BB05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777D5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 (0.61~1.06)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1EBE1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0.116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7DEE4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0.73 (0.55~0.98)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3A3C4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0.038</w:t>
            </w:r>
          </w:p>
        </w:tc>
      </w:tr>
    </w:tbl>
    <w:p w14:paraId="1C2DC593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Model 1: crude. Model 2: age, sex, education,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smoking status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alcohol consumption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 xml:space="preserve">marital status, </w:t>
      </w:r>
      <w:r>
        <w:rPr>
          <w:rFonts w:ascii="Times New Roman" w:hAnsi="Times New Roman"/>
          <w:sz w:val="16"/>
          <w:szCs w:val="16"/>
        </w:rPr>
        <w:t xml:space="preserve">race, 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 xml:space="preserve">and </w:t>
      </w:r>
      <w:r>
        <w:rPr>
          <w:rFonts w:ascii="Times New Roman" w:hAnsi="Times New Roman"/>
          <w:sz w:val="16"/>
          <w:szCs w:val="16"/>
        </w:rPr>
        <w:t xml:space="preserve">PIR. Model 3 is adjusted for model 2 covariates plus BMI, LDL-C, Cho, TG, 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 xml:space="preserve">and </w:t>
      </w:r>
      <w:r>
        <w:rPr>
          <w:rFonts w:ascii="Times New Roman" w:hAnsi="Times New Roman"/>
          <w:sz w:val="16"/>
          <w:szCs w:val="16"/>
        </w:rPr>
        <w:t>lipid-lowering drugs. Abbreviations: NHANES, National Health and Nutrition Examination Survey.</w:t>
      </w:r>
    </w:p>
    <w:p w14:paraId="23014CEE">
      <w:pPr>
        <w:rPr>
          <w:rFonts w:ascii="Times New Roman" w:hAnsi="Times New Roman"/>
          <w:sz w:val="16"/>
          <w:szCs w:val="16"/>
        </w:rPr>
      </w:pPr>
    </w:p>
    <w:p w14:paraId="03F1069B">
      <w:pPr>
        <w:rPr>
          <w:rFonts w:ascii="Times New Roman" w:hAnsi="Times New Roman"/>
          <w:b/>
          <w:bCs/>
          <w:szCs w:val="21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CBDA2B2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  <w:bookmarkStart w:id="15" w:name="_Toc29345"/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>Table S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10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>. Multi-factor competing risk model compared the association between eGDR and mortality in the NHANES study.</w:t>
      </w:r>
      <w:bookmarkEnd w:id="15"/>
    </w:p>
    <w:tbl>
      <w:tblPr>
        <w:tblStyle w:val="13"/>
        <w:tblpPr w:leftFromText="180" w:rightFromText="180" w:vertAnchor="text" w:horzAnchor="page" w:tblpX="1534" w:tblpY="300"/>
        <w:tblOverlap w:val="never"/>
        <w:tblW w:w="5058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067"/>
        <w:gridCol w:w="1389"/>
        <w:gridCol w:w="689"/>
        <w:gridCol w:w="1400"/>
        <w:gridCol w:w="689"/>
        <w:gridCol w:w="1356"/>
        <w:gridCol w:w="688"/>
      </w:tblGrid>
      <w:tr w14:paraId="0F50506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9" w:type="pc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9FD71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Variable</w:t>
            </w:r>
          </w:p>
        </w:tc>
        <w:tc>
          <w:tcPr>
            <w:tcW w:w="618" w:type="pc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C3C27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5" w:type="pct"/>
            <w:gridSpan w:val="2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F269B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Model 1</w:t>
            </w:r>
          </w:p>
        </w:tc>
        <w:tc>
          <w:tcPr>
            <w:tcW w:w="1211" w:type="pct"/>
            <w:gridSpan w:val="2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29C90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Model 2</w:t>
            </w:r>
          </w:p>
        </w:tc>
        <w:tc>
          <w:tcPr>
            <w:tcW w:w="1185" w:type="pct"/>
            <w:gridSpan w:val="2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E08EF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Model 3</w:t>
            </w:r>
          </w:p>
        </w:tc>
      </w:tr>
      <w:tr w14:paraId="1282E2F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D04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eGDR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036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Event, n (%)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6A1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HR (95%CI)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A9F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9F9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HR (95%CI)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4BF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P </w:t>
            </w: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CFB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HR (95%CI)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0C6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</w:tr>
      <w:tr w14:paraId="3419356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7BE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All-cause mortality</w:t>
            </w:r>
          </w:p>
        </w:tc>
      </w:tr>
      <w:tr w14:paraId="5E154A3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95B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Continuous variable per unit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BAB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2046 (18.5)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455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 (0.89~0.92)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E37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E39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0.99 (0.97~1.02)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550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0.613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498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0.94(0.92~0.97)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CF2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7F2086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C9A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Q1(&lt;6.38)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D5D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873 (23.7)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908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1(Ref)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9F9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09C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1(Ref)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2C8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5FC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1(Ref)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E80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1EB6C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840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Q2(6.38-9.14)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ADF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731 (19.8)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90E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0.89(0.81~0.98)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F32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0.021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334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1.06 (0.96~1.17)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2A7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0.234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0B8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0.94(0.85~1.05)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33A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0.259</w:t>
            </w:r>
          </w:p>
        </w:tc>
      </w:tr>
      <w:tr w14:paraId="604867D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D74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Q3(&gt;9.14)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A75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442 (12)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473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0.52(0.46~0.58)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195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C1B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0.96 (0.85~1.08)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555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0.466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D12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0.78(0.68~0.89)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36B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E44430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226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Trend test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301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2046 (18.5)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06C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0.74 (0.7~0.78)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41F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F2C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0.99 (0.93~1.05)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3F9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0.693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D23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0.89 (0.83~0.95)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4D2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15C188C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139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CVD mortality</w:t>
            </w:r>
          </w:p>
        </w:tc>
      </w:tr>
      <w:tr w14:paraId="61CC7E0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870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Continuous variable per unit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F42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463 (4.2)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673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0.84(0.81~0.87)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0C2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3E2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0.92(0.88~0.96)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3CC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450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 (0.85~0.95)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3F4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6761E2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184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Q1(&lt;6.38)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7B0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229 (6.2)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688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1(Ref)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69C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B56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1(Ref)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30F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AF1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1(Ref)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A52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9CECC6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6F7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Q2(6.38-9.14)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53E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154 (4.2)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D9A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0.71(0.58~0.88)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8F2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82A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0.86(0.7~1.06)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F59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0.163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1F4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0.83 (0.67~1.02)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EE1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0.078</w:t>
            </w:r>
          </w:p>
        </w:tc>
      </w:tr>
      <w:tr w14:paraId="7D2389B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125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Q3(&gt;9.14)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3AA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 (2.2)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EE0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0.37(0.29~0.48)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365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69A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0.7(0.54~0.91)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93B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549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 (0.52~0.94)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3E0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0.017</w:t>
            </w:r>
          </w:p>
        </w:tc>
      </w:tr>
      <w:tr w14:paraId="314EE6A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55B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Trend test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D0E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463 (4.2)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B9C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0.63 (0.56~0.7)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5AD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F76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0.84(0.75~0.95)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F12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9B5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0.83 (0.72~0.96)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CC0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</w:tr>
      <w:tr w14:paraId="624DDFF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3B5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Cerebrovascular diseases mortality</w:t>
            </w:r>
          </w:p>
        </w:tc>
      </w:tr>
      <w:tr w14:paraId="195BA8B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BE9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Continuous variable per unit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771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120 (1.1)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80D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0.89(0.83~0.95)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9D8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BC2D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0.96(0.88~1.05)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D36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0.397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68F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0.89 (0.79~1)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7A7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0.044</w:t>
            </w:r>
          </w:p>
        </w:tc>
      </w:tr>
      <w:tr w14:paraId="7F64275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299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Q1(&lt;6.38)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8E3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58 (1.6)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390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1(Ref)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CD7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6AD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1(Ref)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06F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0E1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1(Ref)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3A1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6DAB3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094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Q2(6.38-9.14)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F8C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39 (1.1)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DCF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0.72(0.48~1.08)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B7F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0.108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7A2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0.83 (0.55~1.25)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087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0.374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90F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0.65 (0.41~1.02)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D50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0.061</w:t>
            </w:r>
          </w:p>
        </w:tc>
      </w:tr>
      <w:tr w14:paraId="6CE97FD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677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Q3(&gt;9.14)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E60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23 (0.6)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83A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0.43 (0.27~0.7)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EE9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7A6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0.76 (0.46~1.24)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AFD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0.271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2E5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0.53 (0.29~0.98)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048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0.042</w:t>
            </w:r>
          </w:p>
        </w:tc>
      </w:tr>
      <w:tr w14:paraId="5EDA8B7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9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87D3E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Trend test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D439C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120 (1.1)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1DBE6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0.66(0.53~0.83)</w:t>
            </w:r>
          </w:p>
        </w:tc>
        <w:tc>
          <w:tcPr>
            <w:tcW w:w="399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84DBE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32363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0.86 (0.68~1.1)</w:t>
            </w:r>
          </w:p>
        </w:tc>
        <w:tc>
          <w:tcPr>
            <w:tcW w:w="399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60420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0.231</w:t>
            </w:r>
          </w:p>
        </w:tc>
        <w:tc>
          <w:tcPr>
            <w:tcW w:w="786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5E581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0.72 (0.53~0.98)</w:t>
            </w:r>
          </w:p>
        </w:tc>
        <w:tc>
          <w:tcPr>
            <w:tcW w:w="398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BAF82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0.034</w:t>
            </w:r>
          </w:p>
        </w:tc>
      </w:tr>
    </w:tbl>
    <w:p w14:paraId="75342CAC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57FA94A6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Model 1: crude. Model 2: age, sex, education,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smoking status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alcohol consumption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 xml:space="preserve">marital status, </w:t>
      </w:r>
      <w:r>
        <w:rPr>
          <w:rFonts w:ascii="Times New Roman" w:hAnsi="Times New Roman"/>
          <w:sz w:val="16"/>
          <w:szCs w:val="16"/>
        </w:rPr>
        <w:t>race,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 xml:space="preserve"> and</w:t>
      </w:r>
      <w:r>
        <w:rPr>
          <w:rFonts w:ascii="Times New Roman" w:hAnsi="Times New Roman"/>
          <w:sz w:val="16"/>
          <w:szCs w:val="16"/>
        </w:rPr>
        <w:t xml:space="preserve"> PIR. Model 3 is adjusted for model 2 covariates plus BMI, LDL-C, Cho, TG,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 xml:space="preserve"> and</w:t>
      </w:r>
      <w:r>
        <w:rPr>
          <w:rFonts w:ascii="Times New Roman" w:hAnsi="Times New Roman"/>
          <w:sz w:val="16"/>
          <w:szCs w:val="16"/>
        </w:rPr>
        <w:t xml:space="preserve"> lipid-lowering drugs. Abbreviations: NHANES, National Health and Nutrition Examination Survey.</w:t>
      </w:r>
    </w:p>
    <w:p w14:paraId="59EB70B3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18AA6F9D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32E442F3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723B99FA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56A1B1B3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027EC29F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25848A57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0261A1D3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04F4674A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6F8F73E4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27684D35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07250896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523B2AD6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</w:p>
    <w:p w14:paraId="50970801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  <w:bookmarkStart w:id="16" w:name="_Toc12517"/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 xml:space="preserve">Table 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S11.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 xml:space="preserve"> Baseline characteristics of 6873 participants by tertile of eGDR in CHARLS study</w:t>
      </w:r>
      <w:bookmarkEnd w:id="16"/>
    </w:p>
    <w:tbl>
      <w:tblPr>
        <w:tblStyle w:val="13"/>
        <w:tblW w:w="9082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1848"/>
        <w:gridCol w:w="1542"/>
        <w:gridCol w:w="1465"/>
        <w:gridCol w:w="1409"/>
        <w:gridCol w:w="965"/>
      </w:tblGrid>
      <w:tr w14:paraId="33D14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Header/>
        </w:trPr>
        <w:tc>
          <w:tcPr>
            <w:tcW w:w="1853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1AE1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Variables</w:t>
            </w:r>
          </w:p>
        </w:tc>
        <w:tc>
          <w:tcPr>
            <w:tcW w:w="1848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568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Total (n = 6873)</w:t>
            </w:r>
          </w:p>
        </w:tc>
        <w:tc>
          <w:tcPr>
            <w:tcW w:w="4416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CE1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eGDR(mg/kg/min)</w:t>
            </w:r>
          </w:p>
        </w:tc>
        <w:tc>
          <w:tcPr>
            <w:tcW w:w="965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A1C3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283A9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</w:trPr>
        <w:tc>
          <w:tcPr>
            <w:tcW w:w="185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2EE6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84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3E28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220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Q1(&lt;8.29)</w:t>
            </w:r>
          </w:p>
          <w:p w14:paraId="7C98DB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(n = 2290)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CB4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Q2(8.29-10.91)</w:t>
            </w:r>
          </w:p>
          <w:p w14:paraId="0F1E60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(n = 2292)</w:t>
            </w:r>
          </w:p>
        </w:tc>
        <w:tc>
          <w:tcPr>
            <w:tcW w:w="1409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48E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Q3(&gt;10.91)</w:t>
            </w:r>
          </w:p>
          <w:p w14:paraId="1B61B1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(n = 2291)</w:t>
            </w: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EF1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</w:rPr>
              <w:t xml:space="preserve"> value</w:t>
            </w:r>
            <w:r>
              <w:rPr>
                <w:rFonts w:hint="default" w:ascii="Times New Roman" w:hAnsi="Times New Roman"/>
                <w:sz w:val="16"/>
                <w:szCs w:val="16"/>
                <w:vertAlign w:val="superscript"/>
              </w:rPr>
              <w:t>a</w:t>
            </w:r>
          </w:p>
        </w:tc>
      </w:tr>
      <w:tr w14:paraId="35007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4D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Age</w:t>
            </w:r>
            <w:r>
              <w:rPr>
                <w:rStyle w:val="19"/>
                <w:rFonts w:hint="default" w:ascii="Times New Roman" w:hAnsi="Times New Roman" w:cs="Times New Roman"/>
                <w:lang w:bidi="ar"/>
              </w:rPr>
              <w:t>，</w:t>
            </w:r>
            <w:r>
              <w:rPr>
                <w:rStyle w:val="20"/>
                <w:rFonts w:eastAsia="宋体"/>
                <w:lang w:bidi="ar"/>
              </w:rPr>
              <w:t>y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315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59.0 ± 9.4</w:t>
            </w:r>
          </w:p>
        </w:tc>
        <w:tc>
          <w:tcPr>
            <w:tcW w:w="154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6F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61.3 ± 9.6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F8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57.9 ± 9.2</w:t>
            </w:r>
          </w:p>
        </w:tc>
        <w:tc>
          <w:tcPr>
            <w:tcW w:w="14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84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57.9 ± 9.0</w:t>
            </w: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5A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54171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72C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Sex,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D8E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83E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DB5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6D2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6A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41C32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3A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DCB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3273 (47.6)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44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1045 (45.6)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32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1063 (46.4)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B0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1165 (50.9)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4A4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4286C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A3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Female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9E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3600 (52.4)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06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1245 (54.4)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34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1229 (53.6)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ED5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1126 (49.1)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A5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3924B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20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Education,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0FF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F6D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99B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16A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86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0.02</w:t>
            </w:r>
          </w:p>
        </w:tc>
      </w:tr>
      <w:tr w14:paraId="68ADA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F30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Less than 9th grade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952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6228 (90.6)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C1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2104 (91.9)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DCA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2053 (89.6)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D81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2071 (90.4)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6C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18283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8B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9-11th grade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07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561 (8.2)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868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159 (6.9)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DD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212 (9.2)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3B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190 (8.3)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22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06DBC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67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High school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46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70 (1.0)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A6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 (1)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F8A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26 (1.1)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D1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 (1)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B2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09BED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8BA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College or above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B4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14 (0.2)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13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 (0.2)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2A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 (0)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78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 (0.3)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4E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32889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89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Smoking status,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2BC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982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1E1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B0B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3F5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37937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35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Never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B8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4116 (59.9)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3C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1406 (61.4)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D7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1423 (62.1)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9F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1287 (56.2)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E72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504D1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66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Former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481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586 (8.5)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96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213 (9.3)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3F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221 (9.6)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0D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152 (6.6)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A3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03E10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9D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Current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9BD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2171 (31.6)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A7B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671 (29.3)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91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648 (28.3)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0C2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852 (37.2)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B9A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53A6A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10E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Alcohol consumption, n (%)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364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093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935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5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0.039</w:t>
            </w:r>
          </w:p>
        </w:tc>
      </w:tr>
      <w:tr w14:paraId="741C4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68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E1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4531 (65.9)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83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1549 (67.6)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4C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1514 (66.1)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8E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1468 (64.1)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1B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5E938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00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76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2342 (34.1)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46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741 (32.4)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D7F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778 (33.9)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1C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823 (35.9)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5D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19E78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E9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Marital status,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8DD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4C0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9DE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77D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81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06CB0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40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Not married nor living with a partner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36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5765 (83.9)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AB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1856 (81)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0B9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1955 (85.3)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6F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1954 (85.3)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14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6AF4D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A9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Married or living with a partner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53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1108 (16.1)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06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434 (19)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C0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337 (14.7)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30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337 (14.7)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79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6EB12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DD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BMI,</w:t>
            </w:r>
            <w:r>
              <w:rPr>
                <w:rStyle w:val="19"/>
                <w:rFonts w:hint="default" w:ascii="Times New Roman" w:hAnsi="Times New Roman" w:cs="Times New Roman"/>
                <w:lang w:bidi="ar"/>
              </w:rPr>
              <w:t xml:space="preserve"> </w:t>
            </w:r>
            <w:r>
              <w:rPr>
                <w:rStyle w:val="20"/>
                <w:rFonts w:eastAsia="宋体"/>
                <w:lang w:bidi="ar"/>
              </w:rPr>
              <w:t>kg/m2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B9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372.4 ± 9269.1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F49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537.4 ± 11123.2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D2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275.4 ± 8501.7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10A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304.7 ± 7861.2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F2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0.577</w:t>
            </w:r>
          </w:p>
        </w:tc>
      </w:tr>
      <w:tr w14:paraId="74D47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340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HbA1c,</w:t>
            </w:r>
            <w:r>
              <w:rPr>
                <w:rStyle w:val="19"/>
                <w:rFonts w:hint="default" w:ascii="Times New Roman" w:hAnsi="Times New Roman" w:cs="Times New Roman"/>
                <w:lang w:bidi="ar"/>
              </w:rPr>
              <w:t xml:space="preserve"> </w:t>
            </w:r>
            <w:r>
              <w:rPr>
                <w:rStyle w:val="20"/>
                <w:rFonts w:eastAsia="宋体"/>
                <w:lang w:bidi="ar"/>
              </w:rPr>
              <w:t>%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ED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5.1 ± 0.4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09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5.1 ± 0.4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8B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5.1 ± 0.4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A4F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5.0 ± 0.4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A4B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2732C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D4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FBG,</w:t>
            </w:r>
            <w:r>
              <w:rPr>
                <w:rStyle w:val="19"/>
                <w:rFonts w:hint="default" w:ascii="Times New Roman" w:hAnsi="Times New Roman" w:cs="Times New Roman"/>
                <w:lang w:bidi="ar"/>
              </w:rPr>
              <w:t xml:space="preserve"> </w:t>
            </w:r>
            <w:r>
              <w:rPr>
                <w:rStyle w:val="20"/>
                <w:rFonts w:eastAsia="宋体"/>
                <w:lang w:bidi="ar"/>
              </w:rPr>
              <w:t>mmol/L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FA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99.9 ± 11.9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8C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101.6 ± 11.9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99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100.3 ± 11.7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73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97.9 ± 11.7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30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45847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0E0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Cho, mg/dl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4C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192.1 ± 37.3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9B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196.7 ± 38.1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432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193.2 ± 36.8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2A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186.5 ± 36.3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1F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0D1F1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B9C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HDL, mg/dl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5C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52.3 ± 15.1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79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49.9 ± 14.3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C2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50.8 ± 14.5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24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56.2 ± 15.5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EC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6F9A1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36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LDL, mg/dl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73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116.7 ± 33.9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165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120.2 ± 35.4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31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118.2 ± 33.4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B79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111.7 ± 32.3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F4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542C9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43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TG, mg/dl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67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100.0 (72.6, 144.3)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95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113.3 (80.5, 162.0)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9D7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105.3 (74.3, 147.8)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8D4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85.8 (63.7, 119.9)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A2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65716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AA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eGDR, mg/kg/min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C2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9.5 ± 2.1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F9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6.9 ± 0.8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CC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10.0 ± 0.7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8A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11.6 ± 0.5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7D6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2FCAF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8C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 w:bidi="ar"/>
              </w:rPr>
              <w:t>hs-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CRP, mg/L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E1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2.6 ± 7.4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C5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3.0 ± 8.4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78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2.3 ± 5.4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552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2.4 ± 8.2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64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2B47A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CD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UA, mg/dL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E2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4.4 ± 1.2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DF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4.7 ± 1.3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22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4.4 ± 1.2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8D9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4.2 ± 1.2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66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45C8D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06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SBP, mmHg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65A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129.9 ± 21.1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BA3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148.7 ± 20.0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CF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123.7 ± 15.8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A0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117.2 ± 11.3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64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7D536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C1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DBP, mmHg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7B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75.6 ± 11.9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10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84.2 ± 12.0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EB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73.2 ± 9.7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3C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69.4 ± 8.4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25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24AA4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BDA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Hypertension,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EB4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651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1EE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A68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6BC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35F22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7F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19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4312 (62.7)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9E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13 (0.6)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68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2009 (87.7)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09C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2290 (100)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5D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01ED2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B1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33A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2561 (37.3)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B8A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2277 (99.4)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43C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283 (12.3)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66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 (0)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F9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6FEF1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5E5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Antihypertensive drugs, n (%)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449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531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6B7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7C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03B06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023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169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5845 (85.0)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AFDB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1340 (58.5)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8188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2214 (96.6)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6F3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2291 (100)</w:t>
            </w: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787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2BCAB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8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A2D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252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1028 (15.0)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4B4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950 (41.5)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255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78 (3.4)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9A4B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 (0)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C08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64EED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3701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00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Hyperlipemia, n (%)</w:t>
            </w:r>
          </w:p>
        </w:tc>
        <w:tc>
          <w:tcPr>
            <w:tcW w:w="154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23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7D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92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0DE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634F7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F0E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94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3927 (57.1)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84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1073 (46.9)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29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1240 (54.1)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5C0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1614 (70.4)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1A8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3B0C0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32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924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2946 (42.9)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ED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1217 (53.1)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37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1052 (45.9)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C0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677 (29.6)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ED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7D503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B1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8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Lipid-lowering drugs,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B5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CF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94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14E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30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788F8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4C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1E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6661 (96.9)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9A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2153 (94)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6AB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2238 (97.6)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CF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2270 (99.1)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42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3ABAA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E0E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58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212 (3.1)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3D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137 (6)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5F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54 (2.4)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FC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 (0.9)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5E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56678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FD3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320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Stroke,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636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55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C4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E1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5D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43DC0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EF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A62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6753 (98.3)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91B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2221 (97)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94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2260 (98.6)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2F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2272 (99.2)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29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5F2D8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8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9B9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1C34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120 (1.7)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270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69 (3)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7F5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32 (1.4)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353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19 (0.8)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01B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</w:tbl>
    <w:p w14:paraId="2D738D61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Values for categorical variables were presented as count (%), mean ± SD. TG variable were presented as median and interquartile range (IQR). Abbreviations: BMI, body mass index; Cho, Cholesterol; TG, triglyceride; 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>hs-</w:t>
      </w:r>
      <w:r>
        <w:rPr>
          <w:rFonts w:hint="eastAsia" w:ascii="Times New Roman" w:hAnsi="Times New Roman"/>
          <w:sz w:val="16"/>
          <w:szCs w:val="16"/>
        </w:rPr>
        <w:t>CRP: high-sensitivity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/>
          <w:sz w:val="16"/>
          <w:szCs w:val="16"/>
        </w:rPr>
        <w:t xml:space="preserve">C-reactive protein; </w:t>
      </w:r>
      <w:r>
        <w:rPr>
          <w:rFonts w:ascii="Times New Roman" w:hAnsi="Times New Roman"/>
          <w:sz w:val="16"/>
          <w:szCs w:val="16"/>
        </w:rPr>
        <w:t xml:space="preserve">DBP, diastolic blood pressure; eGDR, estimated glucose disposal rate; FBG, Fasting blood glucose; HbA1c, </w:t>
      </w:r>
      <w:r>
        <w:rPr>
          <w:rFonts w:hint="eastAsia"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z w:val="16"/>
          <w:szCs w:val="16"/>
        </w:rPr>
        <w:t>emoglobin A1c; HDL-C, high-density lipoprotein cholesterol; LDL-C, low-density lipoprotein cholesterol; SBP</w:t>
      </w:r>
      <w:r>
        <w:rPr>
          <w:rFonts w:hint="eastAsia"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sz w:val="16"/>
          <w:szCs w:val="16"/>
        </w:rPr>
        <w:t>systolic blood pressure;</w:t>
      </w:r>
      <w:r>
        <w:rPr>
          <w:rFonts w:hint="eastAsia" w:ascii="Times New Roman" w:hAnsi="Times New Roman"/>
          <w:sz w:val="16"/>
          <w:szCs w:val="16"/>
        </w:rPr>
        <w:t xml:space="preserve"> UA, uric acid.</w:t>
      </w:r>
    </w:p>
    <w:p w14:paraId="45038167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a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z w:val="16"/>
          <w:szCs w:val="16"/>
        </w:rPr>
        <w:t>P</w:t>
      </w:r>
      <w:r>
        <w:rPr>
          <w:rFonts w:ascii="Times New Roman" w:hAnsi="Times New Roman"/>
          <w:sz w:val="16"/>
          <w:szCs w:val="16"/>
        </w:rPr>
        <w:t xml:space="preserve"> values derived from χ2 tests (categorical variables) or ANOVA (continuous variables) comparing values across tertiles.</w:t>
      </w:r>
    </w:p>
    <w:p w14:paraId="32882AFB">
      <w:pPr>
        <w:rPr>
          <w:rFonts w:hint="eastAsia"/>
        </w:rPr>
      </w:pPr>
    </w:p>
    <w:p w14:paraId="2CE59B81">
      <w:pPr>
        <w:rPr>
          <w:rFonts w:hint="eastAsia"/>
        </w:rPr>
      </w:pPr>
    </w:p>
    <w:p w14:paraId="7F8B5FCD">
      <w:pPr>
        <w:rPr>
          <w:rFonts w:hint="eastAsia"/>
        </w:rPr>
      </w:pPr>
    </w:p>
    <w:p w14:paraId="20E747AA">
      <w:pPr>
        <w:rPr>
          <w:rFonts w:hint="eastAsia"/>
        </w:rPr>
      </w:pPr>
    </w:p>
    <w:p w14:paraId="63B518E7">
      <w:pPr>
        <w:rPr>
          <w:rFonts w:hint="eastAsia"/>
        </w:rPr>
      </w:pPr>
    </w:p>
    <w:p w14:paraId="35892F15">
      <w:pPr>
        <w:rPr>
          <w:rFonts w:hint="eastAsia"/>
        </w:rPr>
      </w:pPr>
    </w:p>
    <w:p w14:paraId="6AE0184F">
      <w:pPr>
        <w:rPr>
          <w:rFonts w:hint="eastAsia"/>
        </w:rPr>
      </w:pPr>
    </w:p>
    <w:p w14:paraId="32118D2E">
      <w:pPr>
        <w:rPr>
          <w:rFonts w:hint="eastAsia"/>
        </w:rPr>
      </w:pPr>
    </w:p>
    <w:p w14:paraId="6661E890">
      <w:pPr>
        <w:rPr>
          <w:rFonts w:hint="eastAsia"/>
        </w:rPr>
      </w:pPr>
    </w:p>
    <w:p w14:paraId="5523C7C2">
      <w:pPr>
        <w:rPr>
          <w:rFonts w:hint="eastAsia"/>
        </w:rPr>
      </w:pPr>
    </w:p>
    <w:p w14:paraId="58B34972">
      <w:pPr>
        <w:rPr>
          <w:rFonts w:hint="eastAsia"/>
        </w:rPr>
      </w:pPr>
    </w:p>
    <w:p w14:paraId="711590CC">
      <w:pPr>
        <w:rPr>
          <w:rFonts w:hint="eastAsia"/>
        </w:rPr>
      </w:pPr>
    </w:p>
    <w:p w14:paraId="6360E203">
      <w:pPr>
        <w:rPr>
          <w:rFonts w:hint="eastAsia"/>
        </w:rPr>
      </w:pPr>
    </w:p>
    <w:p w14:paraId="16CB6954">
      <w:pPr>
        <w:rPr>
          <w:rFonts w:hint="eastAsia"/>
        </w:rPr>
      </w:pPr>
    </w:p>
    <w:p w14:paraId="149485FF">
      <w:pPr>
        <w:rPr>
          <w:rFonts w:hint="eastAsia"/>
        </w:rPr>
      </w:pPr>
    </w:p>
    <w:p w14:paraId="20E5503F">
      <w:pPr>
        <w:rPr>
          <w:rFonts w:hint="eastAsia"/>
        </w:rPr>
      </w:pPr>
    </w:p>
    <w:p w14:paraId="184434BD">
      <w:pPr>
        <w:rPr>
          <w:rFonts w:hint="eastAsia"/>
        </w:rPr>
      </w:pPr>
    </w:p>
    <w:p w14:paraId="0BA804D0">
      <w:pPr>
        <w:rPr>
          <w:rFonts w:hint="eastAsia"/>
        </w:rPr>
      </w:pPr>
    </w:p>
    <w:p w14:paraId="47CD6459">
      <w:pPr>
        <w:rPr>
          <w:rFonts w:hint="eastAsia"/>
        </w:rPr>
      </w:pPr>
    </w:p>
    <w:p w14:paraId="2D8F7A6F">
      <w:pPr>
        <w:rPr>
          <w:rFonts w:hint="eastAsia"/>
        </w:rPr>
      </w:pPr>
    </w:p>
    <w:p w14:paraId="7458AE77">
      <w:pPr>
        <w:rPr>
          <w:rFonts w:hint="eastAsia"/>
        </w:rPr>
      </w:pPr>
    </w:p>
    <w:p w14:paraId="092A09A3">
      <w:pPr>
        <w:rPr>
          <w:rFonts w:hint="eastAsia"/>
        </w:rPr>
      </w:pPr>
    </w:p>
    <w:p w14:paraId="2CC0762D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6E826C85">
      <w:pP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  <w:bookmarkStart w:id="17" w:name="_Toc25234"/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>Table S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12.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 xml:space="preserve"> Characteristics of 6721 participants by tertile of eGDR in CHARLS Study excluding with history of stroke at baseline or lost to follow-up.</w:t>
      </w:r>
      <w:bookmarkEnd w:id="17"/>
    </w:p>
    <w:tbl>
      <w:tblPr>
        <w:tblStyle w:val="13"/>
        <w:tblW w:w="8963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2"/>
        <w:gridCol w:w="1444"/>
        <w:gridCol w:w="1472"/>
        <w:gridCol w:w="1521"/>
        <w:gridCol w:w="1450"/>
        <w:gridCol w:w="874"/>
      </w:tblGrid>
      <w:tr w14:paraId="58E33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Header/>
        </w:trPr>
        <w:tc>
          <w:tcPr>
            <w:tcW w:w="2202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A1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Variables</w:t>
            </w:r>
          </w:p>
        </w:tc>
        <w:tc>
          <w:tcPr>
            <w:tcW w:w="1444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96C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Total (n = 6721)</w:t>
            </w:r>
          </w:p>
        </w:tc>
        <w:tc>
          <w:tcPr>
            <w:tcW w:w="147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D80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DF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eGDR (mg/kg/min)</w:t>
            </w:r>
          </w:p>
        </w:tc>
        <w:tc>
          <w:tcPr>
            <w:tcW w:w="145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338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676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507D2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tblHeader/>
        </w:trPr>
        <w:tc>
          <w:tcPr>
            <w:tcW w:w="2202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0DD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D05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D1C1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Q1(&lt;8.30)</w:t>
            </w:r>
          </w:p>
          <w:p w14:paraId="22B8A3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(n = 2236)</w:t>
            </w:r>
          </w:p>
        </w:tc>
        <w:tc>
          <w:tcPr>
            <w:tcW w:w="1521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B19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Q2(8.30-10.91)</w:t>
            </w:r>
          </w:p>
          <w:p w14:paraId="2062CA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(n = 2244)</w:t>
            </w:r>
          </w:p>
        </w:tc>
        <w:tc>
          <w:tcPr>
            <w:tcW w:w="1450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56E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Q3(&gt;10.91)</w:t>
            </w:r>
          </w:p>
          <w:p w14:paraId="09123A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(n = 2241)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66C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/>
                <w:sz w:val="16"/>
                <w:szCs w:val="16"/>
                <w:vertAlign w:val="superscript"/>
              </w:rPr>
              <w:t>a</w:t>
            </w:r>
            <w:r>
              <w:rPr>
                <w:rFonts w:hint="default" w:ascii="Times New Roman" w:hAnsi="Times New Roman"/>
                <w:sz w:val="16"/>
                <w:szCs w:val="16"/>
              </w:rPr>
              <w:t xml:space="preserve"> </w:t>
            </w:r>
          </w:p>
        </w:tc>
      </w:tr>
      <w:tr w14:paraId="12547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F59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Style w:val="21"/>
                <w:rFonts w:eastAsia="宋体"/>
                <w:sz w:val="16"/>
                <w:szCs w:val="16"/>
                <w:lang w:bidi="ar"/>
              </w:rPr>
              <w:t>Age</w:t>
            </w:r>
            <w:r>
              <w:rPr>
                <w:rStyle w:val="22"/>
                <w:rFonts w:hint="default" w:ascii="Times New Roman" w:hAnsi="Times New Roman" w:cs="Times New Roman"/>
                <w:sz w:val="16"/>
                <w:szCs w:val="16"/>
                <w:lang w:bidi="ar"/>
              </w:rPr>
              <w:t>，</w:t>
            </w:r>
            <w:r>
              <w:rPr>
                <w:rStyle w:val="21"/>
                <w:rFonts w:eastAsia="宋体"/>
                <w:sz w:val="16"/>
                <w:szCs w:val="16"/>
                <w:lang w:bidi="ar"/>
              </w:rPr>
              <w:t>y</w:t>
            </w:r>
          </w:p>
        </w:tc>
        <w:tc>
          <w:tcPr>
            <w:tcW w:w="14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1B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58.9 ± 9.4</w:t>
            </w:r>
          </w:p>
        </w:tc>
        <w:tc>
          <w:tcPr>
            <w:tcW w:w="147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2B7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61.2 ± 9.6</w:t>
            </w:r>
          </w:p>
        </w:tc>
        <w:tc>
          <w:tcPr>
            <w:tcW w:w="152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CD6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57.8 ± 9.2</w:t>
            </w:r>
          </w:p>
        </w:tc>
        <w:tc>
          <w:tcPr>
            <w:tcW w:w="14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F6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57.7 ± 9.0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F40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33F20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11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Sex, n (%)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FB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01A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627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883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90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4E004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B9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FC9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3211 (47.8)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97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1024 (45.8)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A4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1039 (46.3)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A0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1148 (51.2)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54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4B9E5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F40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Female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73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3510 (52.2)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5D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1212 (54.2)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EB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1205 (53.7)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29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1093 (48.8)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A5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48836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892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Education, n (%)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B20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337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71B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C72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96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0.03</w:t>
            </w:r>
          </w:p>
        </w:tc>
      </w:tr>
      <w:tr w14:paraId="0BC0F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72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Less than 9th grade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3F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6083 (90.5)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AB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2051 (91.7)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E4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2008 (89.5)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97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2024 (90.3)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A4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1486E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C68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9-11th grade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B0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555 (8.3)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B7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159 (7.1)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91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208 (9.3)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90B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188 (8.4)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04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7EE0C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C5A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High school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792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69 (1.0)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FCB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 (0.9)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77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27 (1.2)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94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 (0.9)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4E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4C2EF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849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College or above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930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14 (0.2)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B1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 (0.2)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53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 (0)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BA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 (0.4)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D01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6ECE8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6A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Smoking status, n (%)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7FC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057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B56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306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1B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3DDEB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45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Never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7FD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4020 (59.8)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57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1367 (61.1)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C3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1398 (62.3)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DD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1255 (56)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30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69784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E6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Former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A28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561 (8.3)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19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197 (8.8)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4F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217 (9.7)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04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147 (6.6)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58F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7CE27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8B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Current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87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2140 (31.8)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3F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672 (30.1)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63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629 (28)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A5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839 (37.4)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BF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6F150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7C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Alcohol consumption, n (%)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A28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61B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779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16E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0.044</w:t>
            </w:r>
          </w:p>
        </w:tc>
      </w:tr>
      <w:tr w14:paraId="73974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DA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95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4421 (65.8)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43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1506 (67.4)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37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1484 (66.1)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3F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1431 (63.9)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39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1188B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D5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B24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2300 (34.2)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83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730 (32.6)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B7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760 (33.9)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898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810 (36.1)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CC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7C5FE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BD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Marital status, n (%)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7A8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8A2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F50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379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1B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25076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75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Married or living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with a partner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2F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5648 (84.0)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D7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1817 (81.3)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80F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1917 (85.4)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2C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1914 (85.4)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CE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6B72B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57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Not married nor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living with a partner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64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1073 (16.0)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742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419 (18.7)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7CA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327 (14.6)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62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327 (14.6)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60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66A8E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08C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BMI,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kg/m2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86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23.2 ± 3.7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AD6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24.7 ± 3.8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1F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24.2 ± 3.3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A8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20.8 ± 2.5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53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4A196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EC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HbA1c,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%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05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5.1 ± 0.4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99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5.1 ± 0.4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E6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5.1 ± 0.4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47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5.0 ± 0.4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88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73E5E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94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FBG,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mmol/L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156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5.6 ± 0.7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39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5.6 ± 0.7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B9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5.6 ± 0.6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69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5.4 ± 0.7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AC5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76BF3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9A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Cho, mg/dL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12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192.3 ± 37.4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D9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197.0 ± 38.2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F9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193.3 ± 36.8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60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186.6 ± 36.4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2A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14:paraId="38CCE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00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HDL, mg/dL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00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52.4 ± 15.0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54A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50.2 ± 14.4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5D8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50.8 ± 14.5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0C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56.1 ± 15.4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2F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14:paraId="68F25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950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LDL, mg/dL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E2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116.9 ± 33.9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91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120.6 ± 35.4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07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118.3 ± 33.3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6A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112.0 ± 32.3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BF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14:paraId="67E19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27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TG, mg/dL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7E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100.0 (72.6, 144.3)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DE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112.4 (80.5, 161.3)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D8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104.9 (75.0, 147.8)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7B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85.8 (63.7, 119.5)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D5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14:paraId="5DFFB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4E3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 w:bidi="ar"/>
              </w:rPr>
              <w:t>hs-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CRP, mg/L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5F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2.6 ± 7.7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38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3.0 ± 8.2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F0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2.2 ± 5.4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63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2.5 ± 9.0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07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</w:tr>
      <w:tr w14:paraId="73359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73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UA, mg/dL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BB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4.4 ± 1.2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48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4.7 ± 1.3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9C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4.4 ± 1.2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C51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4.2 ± 1.2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FF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3B084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BD5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eGDR,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mg/kg/min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757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9.5 ± 2.1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44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6.9 ± 0.8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D4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10.0 ± 0.7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C7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11.6 ± 0.5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EE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76163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0A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SBP,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mmHg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DF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129.9 ± 21.1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DB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149.0 ± 20.0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3F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123.5 ± 15.8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94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117.2 ± 11.3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92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2CC8E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23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DBP,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mmHg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23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75.6 ± 12.0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B0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84.4 ± 12.0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BF9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73.1 ± 9.7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91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69.4 ± 8.4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41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0E7BD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82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Hypertension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, n (%)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889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865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77E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2A6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F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28A68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65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37D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4237 (63.0)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F6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 (0.5)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56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1984 (88.4)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76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2241 (100)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DA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41645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99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61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2484 (37.0)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E88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2224 (99.5)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60A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260 (11.6)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17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 (0)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3E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1EF09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05A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</w:rPr>
              <w:t>Antihypertensive drugs, n (%)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8BC3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C514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B8AD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E080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BF4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542E9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DF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68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5738 (85.4)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47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1324 (59.2)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AF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2173 (96.8)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50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2241 (100)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25D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1B3EB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DD2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713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983 (14.6)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2E5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912 (40.8)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EA2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71 (3.2)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5A9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 (0)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87D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6F33D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A4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320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</w:rPr>
              <w:t>H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</w:rPr>
              <w:t>yperlipemia, n (%)</w:t>
            </w:r>
          </w:p>
        </w:tc>
        <w:tc>
          <w:tcPr>
            <w:tcW w:w="14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7B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71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A12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32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39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399CA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B7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B28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3849 (57.3)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94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1055 (47.2)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55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1218 (54.3)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2D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1576 (70.3)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54B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5973E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9A4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8A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2872 (42.7)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1E7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1181 (52.8)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64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1026 (45.7)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D7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665 (29.7)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43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134BC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20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6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</w:rPr>
              <w:t>Lipid-lowering drugs, n (%)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7D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17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F1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0C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F4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16325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FE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59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6515 (96.9)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15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2104 (94.1)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92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2190 (97.6)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3C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2221 (99.1)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E3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39AC2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E3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0D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206 (3.1)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04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132 (5.9)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48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54 (2.4)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0C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20 (0.9)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DD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49C31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DA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320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</w:rPr>
              <w:t>Stroke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</w:rPr>
              <w:t xml:space="preserve"> new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6E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46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D4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FE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0D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 0.001</w:t>
            </w:r>
          </w:p>
        </w:tc>
      </w:tr>
      <w:tr w14:paraId="024A9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C2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FCA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6289 (93.6)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1B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2019 (90.3)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4F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2117 (94.3)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E7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2153 (96.1)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A4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50403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16B1D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55E6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432 (6.4)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1F53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217 (9.7)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78AB1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127 (5.7)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EB68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88 (3.9)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C8E0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</w:tbl>
    <w:p w14:paraId="3F3C83B4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Values for categorical variables were presented as count (%), mean ± SD. TG variable were presented as median and interquartile range (IQR). Abbreviations: BMI, body mass index; Cho, Cholesterol; TG, triglyceride; 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>hs-</w:t>
      </w:r>
      <w:r>
        <w:rPr>
          <w:rFonts w:hint="eastAsia" w:ascii="Times New Roman" w:hAnsi="Times New Roman"/>
          <w:sz w:val="16"/>
          <w:szCs w:val="16"/>
        </w:rPr>
        <w:t>CRP: high-sensitivity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/>
          <w:sz w:val="16"/>
          <w:szCs w:val="16"/>
        </w:rPr>
        <w:t xml:space="preserve">C-reactive protein; </w:t>
      </w:r>
      <w:r>
        <w:rPr>
          <w:rFonts w:ascii="Times New Roman" w:hAnsi="Times New Roman"/>
          <w:sz w:val="16"/>
          <w:szCs w:val="16"/>
        </w:rPr>
        <w:t xml:space="preserve">DBP, diastolic blood pressure; eGDR, estimated glucose disposal rate; FBG, Fasting blood glucose; HbA1c, </w:t>
      </w:r>
      <w:r>
        <w:rPr>
          <w:rFonts w:hint="eastAsia"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z w:val="16"/>
          <w:szCs w:val="16"/>
        </w:rPr>
        <w:t>emoglobin A1c; HDL-C, high-density lipoprotein cholesterol; LDL-C, low-density lipoprotein cholesterol; SBP</w:t>
      </w:r>
      <w:r>
        <w:rPr>
          <w:rFonts w:hint="eastAsia"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sz w:val="16"/>
          <w:szCs w:val="16"/>
        </w:rPr>
        <w:t>systolic blood pressure;</w:t>
      </w:r>
      <w:r>
        <w:rPr>
          <w:rFonts w:hint="eastAsia" w:ascii="Times New Roman" w:hAnsi="Times New Roman"/>
          <w:sz w:val="16"/>
          <w:szCs w:val="16"/>
        </w:rPr>
        <w:t xml:space="preserve"> UA, uric acid.</w:t>
      </w:r>
    </w:p>
    <w:p w14:paraId="0F9556E7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a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z w:val="16"/>
          <w:szCs w:val="16"/>
        </w:rPr>
        <w:t>P</w:t>
      </w:r>
      <w:r>
        <w:rPr>
          <w:rFonts w:ascii="Times New Roman" w:hAnsi="Times New Roman"/>
          <w:sz w:val="16"/>
          <w:szCs w:val="16"/>
        </w:rPr>
        <w:t xml:space="preserve"> values derived from χ2 tests (categorical variables) or ANOVA (continuous variables) comparing values across tertiles.</w:t>
      </w:r>
    </w:p>
    <w:p w14:paraId="6F338C78">
      <w:pPr>
        <w:rPr>
          <w:rFonts w:hint="eastAsia"/>
        </w:rPr>
      </w:pPr>
    </w:p>
    <w:p w14:paraId="27A0CC69">
      <w:pPr>
        <w:rPr>
          <w:rFonts w:hint="eastAsia"/>
        </w:rPr>
      </w:pPr>
    </w:p>
    <w:p w14:paraId="5ECE9283">
      <w:pPr>
        <w:rPr>
          <w:rFonts w:hint="eastAsia"/>
        </w:rPr>
      </w:pPr>
    </w:p>
    <w:p w14:paraId="35D79889">
      <w:pPr>
        <w:rPr>
          <w:rFonts w:hint="eastAsia"/>
        </w:rPr>
      </w:pPr>
    </w:p>
    <w:p w14:paraId="2B039DA8">
      <w:pPr>
        <w:rPr>
          <w:rFonts w:hint="eastAsia"/>
        </w:rPr>
      </w:pPr>
    </w:p>
    <w:p w14:paraId="44C4005C">
      <w:pPr>
        <w:rPr>
          <w:rFonts w:hint="eastAsia"/>
        </w:rPr>
      </w:pPr>
    </w:p>
    <w:p w14:paraId="2E4EAA75">
      <w:pPr>
        <w:rPr>
          <w:rFonts w:hint="eastAsia"/>
        </w:rPr>
      </w:pPr>
    </w:p>
    <w:p w14:paraId="1AEE0699">
      <w:pPr>
        <w:rPr>
          <w:rFonts w:hint="eastAsia"/>
        </w:rPr>
      </w:pPr>
    </w:p>
    <w:p w14:paraId="387FE8FC">
      <w:pPr>
        <w:rPr>
          <w:rFonts w:hint="eastAsia"/>
        </w:rPr>
      </w:pPr>
    </w:p>
    <w:p w14:paraId="1E19D760">
      <w:pPr>
        <w:rPr>
          <w:rFonts w:hint="eastAsia"/>
        </w:rPr>
      </w:pPr>
    </w:p>
    <w:p w14:paraId="606850D2">
      <w:pPr>
        <w:rPr>
          <w:rFonts w:hint="eastAsia"/>
        </w:rPr>
      </w:pPr>
    </w:p>
    <w:p w14:paraId="1CF1650E">
      <w:pPr>
        <w:rPr>
          <w:rFonts w:hint="eastAsia"/>
        </w:rPr>
      </w:pPr>
    </w:p>
    <w:p w14:paraId="73BE789D">
      <w:pPr>
        <w:rPr>
          <w:rFonts w:hint="eastAsia"/>
        </w:rPr>
      </w:pPr>
    </w:p>
    <w:p w14:paraId="6D261784">
      <w:pPr>
        <w:rPr>
          <w:rFonts w:hint="eastAsia"/>
        </w:rPr>
      </w:pPr>
    </w:p>
    <w:p w14:paraId="69612626">
      <w:pPr>
        <w:rPr>
          <w:rFonts w:hint="eastAsia"/>
        </w:rPr>
      </w:pPr>
    </w:p>
    <w:p w14:paraId="4F01821B">
      <w:pPr>
        <w:rPr>
          <w:rFonts w:hint="eastAsia"/>
        </w:rPr>
      </w:pPr>
    </w:p>
    <w:p w14:paraId="07E91AC8">
      <w:pPr>
        <w:rPr>
          <w:rFonts w:hint="eastAsia"/>
        </w:rPr>
      </w:pPr>
    </w:p>
    <w:p w14:paraId="14B51D63">
      <w:pPr>
        <w:rPr>
          <w:rFonts w:hint="eastAsia"/>
        </w:rPr>
      </w:pPr>
    </w:p>
    <w:p w14:paraId="03351152">
      <w:pPr>
        <w:rPr>
          <w:rFonts w:hint="eastAsia"/>
        </w:rPr>
      </w:pPr>
    </w:p>
    <w:p w14:paraId="25E62CAA">
      <w:pPr>
        <w:rPr>
          <w:rFonts w:hint="eastAsia"/>
        </w:rPr>
      </w:pPr>
    </w:p>
    <w:p w14:paraId="0A4C403E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2A4943C5">
      <w:pPr>
        <w:outlineLvl w:val="0"/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</w:pPr>
      <w:bookmarkStart w:id="18" w:name="_Toc28686"/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 xml:space="preserve">Table 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S13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>.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 xml:space="preserve"> 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 xml:space="preserve">Association between eGDR and incident 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stroke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 xml:space="preserve"> 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and all-cause mortality in CHARLS s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>tudy.</w:t>
      </w:r>
      <w:bookmarkEnd w:id="18"/>
    </w:p>
    <w:tbl>
      <w:tblPr>
        <w:tblStyle w:val="13"/>
        <w:tblW w:w="5000" w:type="pct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2"/>
        <w:gridCol w:w="1536"/>
        <w:gridCol w:w="1899"/>
        <w:gridCol w:w="1590"/>
        <w:gridCol w:w="2648"/>
        <w:gridCol w:w="1117"/>
        <w:gridCol w:w="1908"/>
        <w:gridCol w:w="1404"/>
      </w:tblGrid>
      <w:tr w14:paraId="0A97E22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31" w:type="pct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B9A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Variable</w:t>
            </w:r>
          </w:p>
        </w:tc>
        <w:tc>
          <w:tcPr>
            <w:tcW w:w="542" w:type="pct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4A1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Event, n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(%)</w:t>
            </w:r>
          </w:p>
        </w:tc>
        <w:tc>
          <w:tcPr>
            <w:tcW w:w="1231" w:type="pct"/>
            <w:gridSpan w:val="2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9FF91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Model 1</w:t>
            </w:r>
          </w:p>
        </w:tc>
        <w:tc>
          <w:tcPr>
            <w:tcW w:w="1328" w:type="pct"/>
            <w:gridSpan w:val="2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72B4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Model 2</w:t>
            </w:r>
          </w:p>
        </w:tc>
        <w:tc>
          <w:tcPr>
            <w:tcW w:w="1168" w:type="pct"/>
            <w:gridSpan w:val="2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747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Model 3</w:t>
            </w:r>
          </w:p>
        </w:tc>
      </w:tr>
      <w:tr w14:paraId="58D4424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31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CB4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542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5BE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3CE1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HR (95%CI)</w:t>
            </w:r>
          </w:p>
        </w:tc>
        <w:tc>
          <w:tcPr>
            <w:tcW w:w="561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F97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  <w:tc>
          <w:tcPr>
            <w:tcW w:w="934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26F7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HR (95%CI)</w:t>
            </w:r>
          </w:p>
        </w:tc>
        <w:tc>
          <w:tcPr>
            <w:tcW w:w="394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5F8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  <w:tc>
          <w:tcPr>
            <w:tcW w:w="673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140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HR (95%CI)</w:t>
            </w:r>
          </w:p>
        </w:tc>
        <w:tc>
          <w:tcPr>
            <w:tcW w:w="495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7EE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value</w:t>
            </w:r>
          </w:p>
        </w:tc>
      </w:tr>
      <w:tr w14:paraId="43DEC58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3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F5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Stroke</w:t>
            </w:r>
          </w:p>
        </w:tc>
        <w:tc>
          <w:tcPr>
            <w:tcW w:w="54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5B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C0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3D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3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37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CB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DC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9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0C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14:paraId="536604B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CC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</w:rPr>
              <w:t>Continuous variable per unit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60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432 (6.4)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76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0.94 (0.89~0.98)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5C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0.005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48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0.93 (0.89~0.98)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95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268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0.92 (0.87~0.97)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67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</w:tr>
      <w:tr w14:paraId="1733A6A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F7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Q1(&lt;8.30)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50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217 (9.7)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A5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67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91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B3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90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BC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</w:p>
        </w:tc>
      </w:tr>
      <w:tr w14:paraId="7BEB23D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CC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Q2(8.30-10.91)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DA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127 (5.7)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82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0.75(0.6~0.93)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99F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564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0.73 (0.58~0.91)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0A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572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0.72 (0.57~0.91)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E1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0.006</w:t>
            </w:r>
          </w:p>
        </w:tc>
      </w:tr>
      <w:tr w14:paraId="36D0083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A1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Q3(&gt;10.91)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72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88 (3.9)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20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0.69 (0.54~0.89)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22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FD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0.69 (0.53~0.89)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AA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66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0.65 (0.48~0.87)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30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</w:tr>
      <w:tr w14:paraId="15BDFAA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7E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Trend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test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15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432 (6.4)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97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0.82 (0.72~0.92)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3DA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B0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0.81 (0.72~0.92)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FE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9D3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0.79 (0.68~0.91)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42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</w:tr>
      <w:tr w14:paraId="37AC315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56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" w:hAnsi="Times"/>
                <w:b/>
                <w:bCs/>
                <w:sz w:val="16"/>
                <w:szCs w:val="16"/>
              </w:rPr>
              <w:t>All-cause mortality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D3C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7A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A9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AD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47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7F7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14:paraId="771963E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E0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</w:rPr>
              <w:t>Continuous variable per unit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76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669 (10)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F1C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0.99 (0.95~1.02)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5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0.511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C9F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0.99 (0.96~1.03)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67A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0.612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3D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0.98 (0.94~1.02)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7B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0.282</w:t>
            </w:r>
          </w:p>
        </w:tc>
      </w:tr>
      <w:tr w14:paraId="6A66D35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9F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Q1(&lt;8.30)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4AD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286 (12.8)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88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61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81F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D4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CC0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1(Ref)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F7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</w:tr>
      <w:tr w14:paraId="2E8951C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7D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Q2(8.30-10.91)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7A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185 (8.2)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E5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0.86 (0.72~1.04)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85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0.125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759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0.88 (0.73~1.06)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36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0.185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D0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0.86 (0.71~1.05)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DD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0.133</w:t>
            </w:r>
          </w:p>
        </w:tc>
      </w:tr>
      <w:tr w14:paraId="02BA896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3C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Q3(&gt;10.91)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0E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198 (8.8)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66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0.93 (0.77~1.11)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65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0.406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40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0.93 (0.78~1.12)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61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0.466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4CD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0.88 (0.71~1.08)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AC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0.215</w:t>
            </w:r>
          </w:p>
        </w:tc>
      </w:tr>
      <w:tr w14:paraId="0F9A6DE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31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9368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Trend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test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D182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669 (10)</w:t>
            </w:r>
          </w:p>
        </w:tc>
        <w:tc>
          <w:tcPr>
            <w:tcW w:w="67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3952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0.96 (0.87~1.05)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D59C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0.344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848D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0.96 (0.88~1.06)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C84C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0.41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E1DD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0.93 (0.84~1.04)</w:t>
            </w:r>
          </w:p>
        </w:tc>
        <w:tc>
          <w:tcPr>
            <w:tcW w:w="49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A9D4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0.189</w:t>
            </w:r>
          </w:p>
        </w:tc>
      </w:tr>
    </w:tbl>
    <w:p w14:paraId="32776341">
      <w:pPr>
        <w:rPr>
          <w:rFonts w:hint="eastAsia"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Model 1: crude. Model 2: age, sex, education,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smoking status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alcohol consumption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marital status</w:t>
      </w:r>
      <w:r>
        <w:rPr>
          <w:rFonts w:ascii="Times New Roman" w:hAnsi="Times New Roman"/>
          <w:sz w:val="16"/>
          <w:szCs w:val="16"/>
        </w:rPr>
        <w:t xml:space="preserve">. Model 3 is adjusted for model 2 covariates plus BMI, LDL-C, Cho, TG, </w:t>
      </w:r>
      <w:r>
        <w:rPr>
          <w:rFonts w:ascii="Times New Roman" w:hAnsi="Times New Roman"/>
          <w:color w:val="000000"/>
          <w:kern w:val="0"/>
          <w:sz w:val="16"/>
          <w:szCs w:val="16"/>
        </w:rPr>
        <w:t>Lipid-lowering drugs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hint="eastAsia" w:ascii="Times New Roman" w:hAnsi="Times New Roman"/>
          <w:sz w:val="16"/>
          <w:szCs w:val="16"/>
          <w:lang w:val="en-US" w:eastAsia="zh-CN"/>
        </w:rPr>
        <w:t>hs-</w:t>
      </w:r>
      <w:r>
        <w:rPr>
          <w:rFonts w:ascii="Times New Roman" w:hAnsi="Times New Roman"/>
          <w:sz w:val="16"/>
          <w:szCs w:val="16"/>
        </w:rPr>
        <w:t>CRP</w:t>
      </w:r>
      <w:r>
        <w:rPr>
          <w:rFonts w:hint="eastAsia" w:ascii="Times New Roman" w:hAnsi="Times New Roman"/>
          <w:sz w:val="16"/>
          <w:szCs w:val="16"/>
        </w:rPr>
        <w:t>, UA.</w:t>
      </w:r>
    </w:p>
    <w:p w14:paraId="79AD8BB0">
      <w:pPr>
        <w:rPr>
          <w:rFonts w:hint="eastAsia" w:ascii="Times New Roman" w:hAnsi="Times New Roman"/>
          <w:sz w:val="16"/>
          <w:szCs w:val="16"/>
        </w:rPr>
      </w:pPr>
    </w:p>
    <w:p w14:paraId="1BF5AE4F">
      <w:pPr>
        <w:rPr>
          <w:rFonts w:hint="eastAsia" w:ascii="Times New Roman" w:hAnsi="Times New Roman"/>
          <w:sz w:val="16"/>
          <w:szCs w:val="16"/>
        </w:rPr>
      </w:pPr>
    </w:p>
    <w:p w14:paraId="5C5D0574">
      <w:pPr>
        <w:rPr>
          <w:rFonts w:hint="eastAsia" w:ascii="Times New Roman" w:hAnsi="Times New Roman"/>
          <w:sz w:val="16"/>
          <w:szCs w:val="16"/>
        </w:rPr>
      </w:pPr>
    </w:p>
    <w:p w14:paraId="41CAA88D">
      <w:pPr>
        <w:rPr>
          <w:rFonts w:hint="eastAsia" w:ascii="Times New Roman" w:hAnsi="Times New Roman"/>
          <w:sz w:val="16"/>
          <w:szCs w:val="16"/>
        </w:rPr>
      </w:pPr>
    </w:p>
    <w:p w14:paraId="0912DB08">
      <w:pPr>
        <w:rPr>
          <w:rFonts w:hint="eastAsia" w:ascii="Times New Roman" w:hAnsi="Times New Roman"/>
          <w:sz w:val="16"/>
          <w:szCs w:val="16"/>
        </w:rPr>
      </w:pPr>
    </w:p>
    <w:p w14:paraId="61FA6572">
      <w:pPr>
        <w:rPr>
          <w:rFonts w:hint="eastAsia" w:ascii="Times New Roman" w:hAnsi="Times New Roman"/>
          <w:sz w:val="16"/>
          <w:szCs w:val="16"/>
        </w:rPr>
      </w:pPr>
    </w:p>
    <w:p w14:paraId="78F7A0EA">
      <w:pPr>
        <w:rPr>
          <w:rFonts w:hint="eastAsia" w:ascii="Times New Roman" w:hAnsi="Times New Roman"/>
          <w:sz w:val="16"/>
          <w:szCs w:val="16"/>
        </w:rPr>
      </w:pPr>
    </w:p>
    <w:p w14:paraId="29B7A97B">
      <w:pPr>
        <w:rPr>
          <w:rFonts w:hint="eastAsia" w:ascii="Times New Roman" w:hAnsi="Times New Roman"/>
          <w:sz w:val="16"/>
          <w:szCs w:val="16"/>
        </w:rPr>
      </w:pPr>
    </w:p>
    <w:p w14:paraId="2EDE89BF">
      <w:pPr>
        <w:rPr>
          <w:rFonts w:hint="eastAsia" w:ascii="Times New Roman" w:hAnsi="Times New Roman"/>
          <w:sz w:val="16"/>
          <w:szCs w:val="16"/>
        </w:rPr>
      </w:pPr>
    </w:p>
    <w:p w14:paraId="55DFC77B">
      <w:pPr>
        <w:rPr>
          <w:rFonts w:hint="eastAsia" w:ascii="Times New Roman" w:hAnsi="Times New Roman"/>
          <w:sz w:val="16"/>
          <w:szCs w:val="16"/>
        </w:rPr>
      </w:pPr>
    </w:p>
    <w:p w14:paraId="0C5D7BBF">
      <w:pPr>
        <w:pStyle w:val="9"/>
        <w:bidi w:val="0"/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  <w:bookmarkStart w:id="19" w:name="_Toc26685"/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>Table S1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4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>. Random-Effects Meta-Analysis of eGDR and All-Cause Mortality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 xml:space="preserve"> 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>from the fully-adjusted models (Model 3)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>.</w:t>
      </w:r>
      <w:bookmarkEnd w:id="19"/>
    </w:p>
    <w:tbl>
      <w:tblPr>
        <w:tblStyle w:val="13"/>
        <w:tblW w:w="4214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499"/>
        <w:gridCol w:w="1700"/>
        <w:gridCol w:w="1042"/>
        <w:gridCol w:w="1846"/>
        <w:gridCol w:w="1054"/>
        <w:gridCol w:w="1035"/>
        <w:gridCol w:w="1535"/>
      </w:tblGrid>
      <w:tr w14:paraId="2977FA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35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58658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Analysis Type</w:t>
            </w:r>
          </w:p>
        </w:tc>
        <w:tc>
          <w:tcPr>
            <w:tcW w:w="627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B8A2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Study</w:t>
            </w:r>
          </w:p>
        </w:tc>
        <w:tc>
          <w:tcPr>
            <w:tcW w:w="711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F7B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436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A35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772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704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Pooled HR (95% CI)</w:t>
            </w:r>
          </w:p>
        </w:tc>
        <w:tc>
          <w:tcPr>
            <w:tcW w:w="441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EA6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-pooled</w:t>
            </w:r>
          </w:p>
        </w:tc>
        <w:tc>
          <w:tcPr>
            <w:tcW w:w="433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24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(%)</w:t>
            </w:r>
          </w:p>
        </w:tc>
        <w:tc>
          <w:tcPr>
            <w:tcW w:w="642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08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-heterogeneity</w:t>
            </w:r>
          </w:p>
        </w:tc>
      </w:tr>
      <w:tr w14:paraId="75372E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35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5384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Continuous variable per unit</w:t>
            </w:r>
          </w:p>
        </w:tc>
        <w:tc>
          <w:tcPr>
            <w:tcW w:w="62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13C3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NHANES</w:t>
            </w:r>
          </w:p>
        </w:tc>
        <w:tc>
          <w:tcPr>
            <w:tcW w:w="71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1127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 (0.92-0.97)</w:t>
            </w:r>
          </w:p>
        </w:tc>
        <w:tc>
          <w:tcPr>
            <w:tcW w:w="43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D17E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72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666D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 (0.92-0.98)</w:t>
            </w:r>
          </w:p>
        </w:tc>
        <w:tc>
          <w:tcPr>
            <w:tcW w:w="441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A5CE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433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E1CB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68.3</w:t>
            </w:r>
          </w:p>
        </w:tc>
        <w:tc>
          <w:tcPr>
            <w:tcW w:w="642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74C1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</w:p>
        </w:tc>
      </w:tr>
      <w:tr w14:paraId="6F705D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3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85ED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DCB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CHARLS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A1A2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 (0.94-1.02)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E797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0.282</w:t>
            </w:r>
          </w:p>
        </w:tc>
        <w:tc>
          <w:tcPr>
            <w:tcW w:w="77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E99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366A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3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7334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23DC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AC5DF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3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9F8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AF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NHANES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71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 (0.83-0.95)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A30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77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8AC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 (0.84-0.97)</w:t>
            </w:r>
          </w:p>
        </w:tc>
        <w:tc>
          <w:tcPr>
            <w:tcW w:w="44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1D4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</w:t>
            </w:r>
          </w:p>
        </w:tc>
        <w:tc>
          <w:tcPr>
            <w:tcW w:w="433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BBE6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2E61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</w:t>
            </w:r>
          </w:p>
        </w:tc>
      </w:tr>
      <w:tr w14:paraId="188550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3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D2E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A1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CHARLS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DEB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 (0.84-1.04)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8AD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0.189</w:t>
            </w:r>
          </w:p>
        </w:tc>
        <w:tc>
          <w:tcPr>
            <w:tcW w:w="77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6704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3D5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3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77EC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6FE9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3C92EB39"/>
    <w:p w14:paraId="3BE8B96B">
      <w:pPr>
        <w:rPr>
          <w:rFonts w:hint="eastAsia"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Model 3 is adjusted for age, sex, education, smoking status, alcohol consumption, marital status, race (NHANES only),</w:t>
      </w:r>
      <w:r>
        <w:rPr>
          <w:rFonts w:hint="eastAsia" w:ascii="Times New Roman" w:hAnsi="Times New Roman" w:cs="Times New Roman"/>
          <w:color w:val="000000"/>
          <w:sz w:val="16"/>
          <w:szCs w:val="16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</w:rPr>
        <w:t>PIR (NHANES only)</w:t>
      </w:r>
      <w:r>
        <w:rPr>
          <w:rFonts w:hint="eastAsia" w:ascii="Times New Roman" w:hAnsi="Times New Roman" w:cs="Times New Roman"/>
          <w:color w:val="000000"/>
          <w:sz w:val="16"/>
          <w:szCs w:val="16"/>
          <w:lang w:val="en-US" w:eastAsia="zh-CN"/>
        </w:rPr>
        <w:t>,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BMI, LDL-C, Cho, TG, Lipid-lowering drugs, </w:t>
      </w:r>
      <w:r>
        <w:rPr>
          <w:rFonts w:hint="eastAsia" w:ascii="Times New Roman" w:hAnsi="Times New Roman" w:cs="Times New Roman"/>
          <w:color w:val="000000"/>
          <w:sz w:val="16"/>
          <w:szCs w:val="16"/>
          <w:lang w:val="en-US" w:eastAsia="zh-CN"/>
        </w:rPr>
        <w:t>hs-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CRP (CHARLS only), and UA (CHARLS only). </w:t>
      </w:r>
    </w:p>
    <w:p w14:paraId="7A009FF9">
      <w:pPr>
        <w:rPr>
          <w:rFonts w:hint="eastAsia" w:ascii="Times New Roman" w:hAnsi="Times New Roman"/>
          <w:sz w:val="16"/>
          <w:szCs w:val="16"/>
        </w:rPr>
      </w:pPr>
    </w:p>
    <w:p w14:paraId="19C31924">
      <w:pPr>
        <w:rPr>
          <w:rFonts w:hint="eastAsia" w:ascii="Times New Roman" w:hAnsi="Times New Roman"/>
          <w:sz w:val="16"/>
          <w:szCs w:val="16"/>
        </w:rPr>
      </w:pPr>
    </w:p>
    <w:p w14:paraId="27C039E8">
      <w:pPr>
        <w:rPr>
          <w:rFonts w:hint="eastAsia" w:ascii="Times New Roman" w:hAnsi="Times New Roman"/>
          <w:sz w:val="16"/>
          <w:szCs w:val="16"/>
        </w:rPr>
      </w:pPr>
    </w:p>
    <w:p w14:paraId="23294E32">
      <w:pPr>
        <w:rPr>
          <w:rFonts w:hint="eastAsia" w:ascii="Times New Roman" w:hAnsi="Times New Roman"/>
          <w:sz w:val="16"/>
          <w:szCs w:val="16"/>
        </w:rPr>
      </w:pPr>
    </w:p>
    <w:p w14:paraId="598A650B">
      <w:pPr>
        <w:rPr>
          <w:rFonts w:hint="eastAsia" w:ascii="Times New Roman" w:hAnsi="Times New Roman"/>
          <w:sz w:val="16"/>
          <w:szCs w:val="16"/>
        </w:rPr>
      </w:pPr>
    </w:p>
    <w:p w14:paraId="5A550F31">
      <w:pPr>
        <w:rPr>
          <w:rFonts w:hint="eastAsia" w:ascii="Times New Roman" w:hAnsi="Times New Roman"/>
          <w:sz w:val="16"/>
          <w:szCs w:val="16"/>
        </w:rPr>
      </w:pPr>
    </w:p>
    <w:p w14:paraId="14F1537C">
      <w:pPr>
        <w:rPr>
          <w:rFonts w:hint="eastAsia" w:ascii="Times New Roman" w:hAnsi="Times New Roman"/>
          <w:sz w:val="16"/>
          <w:szCs w:val="16"/>
        </w:rPr>
      </w:pPr>
    </w:p>
    <w:p w14:paraId="434CE40C">
      <w:pPr>
        <w:rPr>
          <w:rFonts w:hint="eastAsia" w:ascii="Times New Roman" w:hAnsi="Times New Roman"/>
          <w:sz w:val="16"/>
          <w:szCs w:val="16"/>
        </w:rPr>
      </w:pPr>
    </w:p>
    <w:p w14:paraId="1EE2B5A7">
      <w:pPr>
        <w:rPr>
          <w:rFonts w:hint="eastAsia" w:ascii="Times New Roman" w:hAnsi="Times New Roman"/>
          <w:sz w:val="16"/>
          <w:szCs w:val="16"/>
        </w:rPr>
      </w:pPr>
    </w:p>
    <w:p w14:paraId="75EE721D">
      <w:pPr>
        <w:rPr>
          <w:rFonts w:hint="eastAsia" w:ascii="Times New Roman" w:hAnsi="Times New Roman"/>
          <w:sz w:val="16"/>
          <w:szCs w:val="16"/>
        </w:rPr>
      </w:pPr>
    </w:p>
    <w:p w14:paraId="4CAF2270">
      <w:pPr>
        <w:rPr>
          <w:rFonts w:hint="eastAsia" w:ascii="Times New Roman" w:hAnsi="Times New Roman"/>
          <w:sz w:val="16"/>
          <w:szCs w:val="16"/>
        </w:rPr>
      </w:pPr>
    </w:p>
    <w:p w14:paraId="3357778F">
      <w:pPr>
        <w:rPr>
          <w:rFonts w:hint="eastAsia" w:ascii="Times New Roman" w:hAnsi="Times New Roman"/>
          <w:sz w:val="16"/>
          <w:szCs w:val="16"/>
        </w:rPr>
      </w:pPr>
    </w:p>
    <w:p w14:paraId="7162BE82">
      <w:pPr>
        <w:rPr>
          <w:rFonts w:hint="eastAsia" w:ascii="Times New Roman" w:hAnsi="Times New Roman"/>
          <w:sz w:val="16"/>
          <w:szCs w:val="16"/>
        </w:rPr>
      </w:pPr>
    </w:p>
    <w:p w14:paraId="7BC69146">
      <w:pPr>
        <w:rPr>
          <w:rFonts w:hint="eastAsia" w:ascii="Times New Roman" w:hAnsi="Times New Roman"/>
          <w:sz w:val="16"/>
          <w:szCs w:val="16"/>
        </w:rPr>
      </w:pPr>
    </w:p>
    <w:p w14:paraId="5CEB7048">
      <w:pPr>
        <w:rPr>
          <w:rFonts w:hint="eastAsia" w:ascii="Times New Roman" w:hAnsi="Times New Roman"/>
          <w:sz w:val="16"/>
          <w:szCs w:val="16"/>
        </w:rPr>
      </w:pPr>
    </w:p>
    <w:p w14:paraId="1FB7A5B6">
      <w:pPr>
        <w:rPr>
          <w:rFonts w:hint="eastAsia" w:ascii="Times New Roman" w:hAnsi="Times New Roman"/>
          <w:sz w:val="16"/>
          <w:szCs w:val="16"/>
        </w:rPr>
      </w:pPr>
    </w:p>
    <w:p w14:paraId="4501C012">
      <w:pPr>
        <w:rPr>
          <w:rFonts w:hint="eastAsia" w:ascii="Times New Roman" w:hAnsi="Times New Roman"/>
          <w:sz w:val="16"/>
          <w:szCs w:val="16"/>
        </w:rPr>
      </w:pPr>
    </w:p>
    <w:p w14:paraId="3D40538B">
      <w:pPr>
        <w:rPr>
          <w:rFonts w:hint="eastAsia" w:ascii="Times New Roman" w:hAnsi="Times New Roman"/>
          <w:sz w:val="16"/>
          <w:szCs w:val="16"/>
        </w:rPr>
      </w:pPr>
    </w:p>
    <w:p w14:paraId="69A7F692">
      <w:pPr>
        <w:pStyle w:val="28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outlineLvl w:val="0"/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</w:pPr>
      <w:bookmarkStart w:id="20" w:name="_Toc17720"/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>Table S1</w:t>
      </w:r>
      <w:r>
        <w:rPr>
          <w:rStyle w:val="27"/>
          <w:rFonts w:hint="eastAsia" w:ascii="Times New Roman" w:hAnsi="Times New Roman" w:cs="Times New Roman"/>
          <w:szCs w:val="22"/>
          <w:lang w:val="en-US" w:eastAsia="zh-CN" w:bidi="ar-SA"/>
        </w:rPr>
        <w:t xml:space="preserve">5. </w:t>
      </w:r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>STROBE Checklist</w:t>
      </w:r>
      <w:bookmarkEnd w:id="20"/>
      <w:r>
        <w:rPr>
          <w:rStyle w:val="27"/>
          <w:rFonts w:hint="default" w:ascii="Times New Roman" w:hAnsi="Times New Roman" w:cs="Times New Roman"/>
          <w:szCs w:val="22"/>
          <w:lang w:val="en-US" w:eastAsia="zh-CN" w:bidi="ar-SA"/>
        </w:rPr>
        <w:t xml:space="preserve"> 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137"/>
        <w:gridCol w:w="6144"/>
        <w:gridCol w:w="4771"/>
      </w:tblGrid>
      <w:tr w14:paraId="72AE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3204C05B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bookmarkStart w:id="21" w:name="italic3" w:colFirst="2" w:colLast="2"/>
            <w:bookmarkStart w:id="22" w:name="bold2" w:colFirst="2" w:colLast="2"/>
            <w:bookmarkStart w:id="23" w:name="bold3" w:colFirst="3" w:colLast="3"/>
            <w:bookmarkStart w:id="24" w:name="bold1" w:colFirst="1" w:colLast="1"/>
            <w:bookmarkStart w:id="25" w:name="italic5" w:colFirst="4" w:colLast="4"/>
            <w:bookmarkStart w:id="26" w:name="italic1" w:colFirst="0" w:colLast="0"/>
            <w:bookmarkStart w:id="27" w:name="italic2" w:colFirst="1" w:colLast="1"/>
            <w:bookmarkStart w:id="28" w:name="italic4" w:colFirst="3" w:colLast="3"/>
            <w:bookmarkStart w:id="29" w:name="bold4" w:colFirst="4" w:colLast="4"/>
          </w:p>
        </w:tc>
        <w:tc>
          <w:tcPr>
            <w:tcW w:w="1137" w:type="dxa"/>
            <w:noWrap w:val="0"/>
            <w:vAlign w:val="top"/>
          </w:tcPr>
          <w:p w14:paraId="417A991F">
            <w:pPr>
              <w:pStyle w:val="29"/>
              <w:keepNext w:val="0"/>
              <w:keepLines w:val="0"/>
              <w:suppressLineNumbers w:val="0"/>
              <w:tabs>
                <w:tab w:val="left" w:pos="5400"/>
              </w:tabs>
              <w:spacing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Item No</w:t>
            </w:r>
          </w:p>
        </w:tc>
        <w:tc>
          <w:tcPr>
            <w:tcW w:w="6144" w:type="dxa"/>
            <w:noWrap w:val="0"/>
            <w:vAlign w:val="bottom"/>
          </w:tcPr>
          <w:p w14:paraId="44A443C6">
            <w:pPr>
              <w:pStyle w:val="29"/>
              <w:keepNext w:val="0"/>
              <w:keepLines w:val="0"/>
              <w:suppressLineNumbers w:val="0"/>
              <w:tabs>
                <w:tab w:val="left" w:pos="5400"/>
              </w:tabs>
              <w:spacing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Recommendation</w:t>
            </w:r>
          </w:p>
        </w:tc>
        <w:tc>
          <w:tcPr>
            <w:tcW w:w="4771" w:type="dxa"/>
            <w:noWrap w:val="0"/>
            <w:vAlign w:val="bottom"/>
          </w:tcPr>
          <w:p w14:paraId="2890B14D">
            <w:pPr>
              <w:pStyle w:val="29"/>
              <w:keepNext w:val="0"/>
              <w:keepLines w:val="0"/>
              <w:suppressLineNumbers w:val="0"/>
              <w:tabs>
                <w:tab w:val="left" w:pos="5400"/>
              </w:tabs>
              <w:spacing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Page /Paragraph</w:t>
            </w:r>
          </w:p>
        </w:tc>
      </w:t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tr w14:paraId="0552A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noWrap w:val="0"/>
            <w:vAlign w:val="top"/>
          </w:tcPr>
          <w:p w14:paraId="21FF9025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bookmarkStart w:id="30" w:name="italic6"/>
            <w:bookmarkStart w:id="31" w:name="bold5"/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Title and abstract</w:t>
            </w:r>
            <w:bookmarkEnd w:id="30"/>
            <w:bookmarkEnd w:id="31"/>
          </w:p>
        </w:tc>
        <w:tc>
          <w:tcPr>
            <w:tcW w:w="1137" w:type="dxa"/>
            <w:vMerge w:val="restart"/>
            <w:noWrap w:val="0"/>
            <w:vAlign w:val="top"/>
          </w:tcPr>
          <w:p w14:paraId="6134F77D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144" w:type="dxa"/>
            <w:noWrap w:val="0"/>
            <w:vAlign w:val="top"/>
          </w:tcPr>
          <w:p w14:paraId="03EEEB66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cs="Times New Roman"/>
                <w:i/>
                <w:sz w:val="22"/>
                <w:szCs w:val="22"/>
              </w:rPr>
              <w:t>a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) Indicate the study’s design with a commonly used term in the title or the abstract</w:t>
            </w:r>
          </w:p>
        </w:tc>
        <w:tc>
          <w:tcPr>
            <w:tcW w:w="4771" w:type="dxa"/>
            <w:noWrap w:val="0"/>
            <w:vAlign w:val="top"/>
          </w:tcPr>
          <w:p w14:paraId="1C1E6D9F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Page</w:t>
            </w:r>
            <w:r>
              <w:rPr>
                <w:rFonts w:hint="eastAsia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Title: Evidence from Two Prospective Cohort Studies</w:t>
            </w:r>
          </w:p>
        </w:tc>
      </w:tr>
      <w:tr w14:paraId="28DFE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noWrap w:val="0"/>
            <w:vAlign w:val="top"/>
          </w:tcPr>
          <w:p w14:paraId="45AABD82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32" w:name="bold6" w:colFirst="0" w:colLast="0"/>
            <w:bookmarkStart w:id="33" w:name="italic7" w:colFirst="0" w:colLast="0"/>
          </w:p>
        </w:tc>
        <w:tc>
          <w:tcPr>
            <w:tcW w:w="1137" w:type="dxa"/>
            <w:vMerge w:val="continue"/>
            <w:noWrap w:val="0"/>
            <w:vAlign w:val="top"/>
          </w:tcPr>
          <w:p w14:paraId="50EEA9DB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44" w:type="dxa"/>
            <w:noWrap w:val="0"/>
            <w:vAlign w:val="top"/>
          </w:tcPr>
          <w:p w14:paraId="632CA84A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cs="Times New Roman"/>
                <w:i/>
                <w:sz w:val="22"/>
                <w:szCs w:val="22"/>
              </w:rPr>
              <w:t>b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) Provide in the abstract an informative and balanced summary of what was done and what was found</w:t>
            </w:r>
          </w:p>
        </w:tc>
        <w:tc>
          <w:tcPr>
            <w:tcW w:w="4771" w:type="dxa"/>
            <w:noWrap w:val="0"/>
            <w:vAlign w:val="top"/>
          </w:tcPr>
          <w:p w14:paraId="5D3C5399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Page</w:t>
            </w: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1-3.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Abstract include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background, methods, results, and conclusions.</w:t>
            </w:r>
          </w:p>
        </w:tc>
      </w:tr>
      <w:bookmarkEnd w:id="32"/>
      <w:bookmarkEnd w:id="33"/>
      <w:tr w14:paraId="59393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3" w:type="dxa"/>
            <w:gridSpan w:val="3"/>
            <w:noWrap w:val="0"/>
            <w:vAlign w:val="top"/>
          </w:tcPr>
          <w:p w14:paraId="475A0FAF">
            <w:pPr>
              <w:pStyle w:val="31"/>
              <w:keepNext w:val="0"/>
              <w:keepLines w:val="0"/>
              <w:suppressLineNumbers w:val="0"/>
              <w:tabs>
                <w:tab w:val="left" w:pos="5400"/>
              </w:tabs>
              <w:spacing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bookmarkStart w:id="34" w:name="italic8"/>
            <w:bookmarkStart w:id="35" w:name="bold7"/>
            <w:r>
              <w:rPr>
                <w:rFonts w:hint="default" w:ascii="Times New Roman" w:hAnsi="Times New Roman" w:cs="Times New Roman"/>
                <w:sz w:val="22"/>
                <w:szCs w:val="22"/>
              </w:rPr>
              <w:t>Introduction</w:t>
            </w:r>
            <w:bookmarkEnd w:id="34"/>
            <w:bookmarkEnd w:id="35"/>
          </w:p>
        </w:tc>
        <w:tc>
          <w:tcPr>
            <w:tcW w:w="4771" w:type="dxa"/>
            <w:noWrap w:val="0"/>
            <w:vAlign w:val="top"/>
          </w:tcPr>
          <w:p w14:paraId="4C1956DC">
            <w:pPr>
              <w:pStyle w:val="31"/>
              <w:keepNext w:val="0"/>
              <w:keepLines w:val="0"/>
              <w:suppressLineNumbers w:val="0"/>
              <w:tabs>
                <w:tab w:val="left" w:pos="5400"/>
              </w:tabs>
              <w:spacing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05384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65E704E3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36" w:name="bold8"/>
            <w:bookmarkStart w:id="37" w:name="italic9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Background/</w:t>
            </w:r>
            <w:bookmarkEnd w:id="36"/>
            <w:bookmarkEnd w:id="37"/>
            <w:bookmarkStart w:id="38" w:name="bold9"/>
            <w:bookmarkStart w:id="39" w:name="italic10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rationale</w:t>
            </w:r>
            <w:bookmarkEnd w:id="38"/>
            <w:bookmarkEnd w:id="39"/>
          </w:p>
        </w:tc>
        <w:tc>
          <w:tcPr>
            <w:tcW w:w="1137" w:type="dxa"/>
            <w:noWrap w:val="0"/>
            <w:vAlign w:val="top"/>
          </w:tcPr>
          <w:p w14:paraId="11E883EF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44" w:type="dxa"/>
            <w:noWrap w:val="0"/>
            <w:vAlign w:val="top"/>
          </w:tcPr>
          <w:p w14:paraId="3C5C632C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Explain the scientific background and rationale for the investigation being reported</w:t>
            </w:r>
          </w:p>
        </w:tc>
        <w:tc>
          <w:tcPr>
            <w:tcW w:w="4771" w:type="dxa"/>
            <w:noWrap w:val="0"/>
            <w:vAlign w:val="top"/>
          </w:tcPr>
          <w:p w14:paraId="799E1B0E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Page</w:t>
            </w: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en-US" w:eastAsia="zh-CN"/>
              </w:rPr>
              <w:t>3-4. Background includes the burden of stroke, the association between IR and CVD, and the advantages of eGDR.</w:t>
            </w:r>
          </w:p>
        </w:tc>
      </w:tr>
      <w:tr w14:paraId="41C61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15A1AEFE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40" w:name="italic11" w:colFirst="0" w:colLast="0"/>
            <w:bookmarkStart w:id="41" w:name="bold10" w:colFirst="0" w:colLast="0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Objectives</w:t>
            </w:r>
          </w:p>
        </w:tc>
        <w:tc>
          <w:tcPr>
            <w:tcW w:w="1137" w:type="dxa"/>
            <w:noWrap w:val="0"/>
            <w:vAlign w:val="top"/>
          </w:tcPr>
          <w:p w14:paraId="7D225F9D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144" w:type="dxa"/>
            <w:noWrap w:val="0"/>
            <w:vAlign w:val="top"/>
          </w:tcPr>
          <w:p w14:paraId="704C45C4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State specific objectives, including any prespecified hypotheses</w:t>
            </w:r>
          </w:p>
        </w:tc>
        <w:tc>
          <w:tcPr>
            <w:tcW w:w="4771" w:type="dxa"/>
            <w:noWrap w:val="0"/>
            <w:vAlign w:val="top"/>
          </w:tcPr>
          <w:p w14:paraId="0126AE13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Page</w:t>
            </w:r>
            <w:r>
              <w:rPr>
                <w:rFonts w:hint="eastAsia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4.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The final paragraph of the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ackground section: "</w:t>
            </w: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To address this ...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"</w:t>
            </w:r>
          </w:p>
        </w:tc>
      </w:tr>
      <w:bookmarkEnd w:id="40"/>
      <w:bookmarkEnd w:id="41"/>
      <w:tr w14:paraId="142D3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3" w:type="dxa"/>
            <w:gridSpan w:val="3"/>
            <w:noWrap w:val="0"/>
            <w:vAlign w:val="top"/>
          </w:tcPr>
          <w:p w14:paraId="5EB14F59">
            <w:pPr>
              <w:pStyle w:val="31"/>
              <w:keepNext w:val="0"/>
              <w:keepLines w:val="0"/>
              <w:suppressLineNumbers w:val="0"/>
              <w:tabs>
                <w:tab w:val="left" w:pos="5400"/>
              </w:tabs>
              <w:spacing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bookmarkStart w:id="42" w:name="italic12"/>
            <w:bookmarkStart w:id="43" w:name="bold11"/>
            <w:r>
              <w:rPr>
                <w:rFonts w:hint="default" w:ascii="Times New Roman" w:hAnsi="Times New Roman" w:cs="Times New Roman"/>
                <w:sz w:val="22"/>
                <w:szCs w:val="22"/>
              </w:rPr>
              <w:t>Methods</w:t>
            </w:r>
            <w:bookmarkEnd w:id="42"/>
            <w:bookmarkEnd w:id="43"/>
          </w:p>
        </w:tc>
        <w:tc>
          <w:tcPr>
            <w:tcW w:w="4771" w:type="dxa"/>
            <w:noWrap w:val="0"/>
            <w:vAlign w:val="top"/>
          </w:tcPr>
          <w:p w14:paraId="3FFC9D98">
            <w:pPr>
              <w:pStyle w:val="31"/>
              <w:keepNext w:val="0"/>
              <w:keepLines w:val="0"/>
              <w:suppressLineNumbers w:val="0"/>
              <w:tabs>
                <w:tab w:val="left" w:pos="5400"/>
              </w:tabs>
              <w:spacing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B5C9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16963926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44" w:name="bold12" w:colFirst="0" w:colLast="0"/>
            <w:bookmarkStart w:id="45" w:name="italic13" w:colFirst="0" w:colLast="0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Study design</w:t>
            </w:r>
          </w:p>
        </w:tc>
        <w:tc>
          <w:tcPr>
            <w:tcW w:w="1137" w:type="dxa"/>
            <w:noWrap w:val="0"/>
            <w:vAlign w:val="top"/>
          </w:tcPr>
          <w:p w14:paraId="35CDBA12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44" w:type="dxa"/>
            <w:noWrap w:val="0"/>
            <w:vAlign w:val="top"/>
          </w:tcPr>
          <w:p w14:paraId="17F64869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Present key elements of study design early in the paper</w:t>
            </w:r>
          </w:p>
        </w:tc>
        <w:tc>
          <w:tcPr>
            <w:tcW w:w="4771" w:type="dxa"/>
            <w:noWrap w:val="0"/>
            <w:vAlign w:val="top"/>
          </w:tcPr>
          <w:p w14:paraId="0882E4F9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Page</w:t>
            </w:r>
            <w:r>
              <w:rPr>
                <w:rFonts w:hint="eastAsia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4-5.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2"/>
                <w:szCs w:val="22"/>
                <w:shd w:val="clear" w:fill="FFFFFF"/>
              </w:rPr>
              <w:t>Methods："prospective cohorts"</w:t>
            </w:r>
          </w:p>
        </w:tc>
      </w:tr>
      <w:bookmarkEnd w:id="44"/>
      <w:bookmarkEnd w:id="45"/>
      <w:tr w14:paraId="33315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54B7F438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46" w:name="bold13" w:colFirst="0" w:colLast="0"/>
            <w:bookmarkStart w:id="47" w:name="italic14" w:colFirst="0" w:colLast="0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Setting</w:t>
            </w:r>
          </w:p>
        </w:tc>
        <w:tc>
          <w:tcPr>
            <w:tcW w:w="1137" w:type="dxa"/>
            <w:noWrap w:val="0"/>
            <w:vAlign w:val="top"/>
          </w:tcPr>
          <w:p w14:paraId="59CFE393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144" w:type="dxa"/>
            <w:noWrap w:val="0"/>
            <w:vAlign w:val="top"/>
          </w:tcPr>
          <w:p w14:paraId="1AC8B6B3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4771" w:type="dxa"/>
            <w:noWrap w:val="0"/>
            <w:vAlign w:val="top"/>
          </w:tcPr>
          <w:p w14:paraId="5B5152C5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Page</w:t>
            </w:r>
            <w:r>
              <w:rPr>
                <w:rFonts w:hint="eastAsia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4-6.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2"/>
                <w:szCs w:val="22"/>
                <w:shd w:val="clear" w:fill="FFFFFF"/>
              </w:rPr>
              <w:t>Methods："NHANES (2003-2014)"; "CHARLS (2011-2012)"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. Mortality assessment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section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.</w:t>
            </w:r>
          </w:p>
        </w:tc>
      </w:tr>
      <w:bookmarkEnd w:id="46"/>
      <w:bookmarkEnd w:id="47"/>
      <w:tr w14:paraId="3CE11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3335D59E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Participants</w:t>
            </w:r>
          </w:p>
        </w:tc>
        <w:tc>
          <w:tcPr>
            <w:tcW w:w="1137" w:type="dxa"/>
            <w:noWrap w:val="0"/>
            <w:vAlign w:val="top"/>
          </w:tcPr>
          <w:p w14:paraId="3B838F5D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44" w:type="dxa"/>
            <w:noWrap w:val="0"/>
            <w:vAlign w:val="top"/>
          </w:tcPr>
          <w:p w14:paraId="3F60E8C9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cs="Times New Roman"/>
                <w:i/>
                <w:sz w:val="22"/>
                <w:szCs w:val="22"/>
              </w:rPr>
              <w:t>a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) Give the eligibility criteria, and the sources and methods of selection of participants</w:t>
            </w:r>
          </w:p>
        </w:tc>
        <w:tc>
          <w:tcPr>
            <w:tcW w:w="4771" w:type="dxa"/>
            <w:noWrap w:val="0"/>
            <w:vAlign w:val="top"/>
          </w:tcPr>
          <w:p w14:paraId="24372FB9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2"/>
                <w:szCs w:val="22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2"/>
                <w:szCs w:val="22"/>
                <w:shd w:val="clear" w:fill="FFFFFF"/>
              </w:rPr>
              <w:t>Page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4-5.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2"/>
                <w:szCs w:val="22"/>
                <w:shd w:val="clear" w:fill="FFFFFF"/>
              </w:rPr>
              <w:t>Methods：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2"/>
                <w:szCs w:val="22"/>
                <w:shd w:val="clear" w:fill="FFFFFF"/>
                <w:lang w:val="en-US" w:eastAsia="zh-CN"/>
              </w:rPr>
              <w:t>Participant Cohort</w:t>
            </w:r>
          </w:p>
          <w:p w14:paraId="19E12A8B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3DBA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7E90EC0B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48" w:name="italic17" w:colFirst="0" w:colLast="0"/>
            <w:bookmarkStart w:id="49" w:name="bold16" w:colFirst="0" w:colLast="0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Variables</w:t>
            </w:r>
          </w:p>
        </w:tc>
        <w:tc>
          <w:tcPr>
            <w:tcW w:w="1137" w:type="dxa"/>
            <w:noWrap w:val="0"/>
            <w:vAlign w:val="top"/>
          </w:tcPr>
          <w:p w14:paraId="08E2B6F5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144" w:type="dxa"/>
            <w:noWrap w:val="0"/>
            <w:vAlign w:val="top"/>
          </w:tcPr>
          <w:p w14:paraId="15D11264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4771" w:type="dxa"/>
            <w:noWrap w:val="0"/>
            <w:vAlign w:val="top"/>
          </w:tcPr>
          <w:p w14:paraId="616009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Page</w:t>
            </w:r>
            <w:r>
              <w:rPr>
                <w:rFonts w:hint="eastAsia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5-6.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2"/>
                <w:szCs w:val="22"/>
                <w:shd w:val="clear" w:fill="FFFFFF"/>
              </w:rPr>
              <w:t>Methods</w:t>
            </w: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：</w:t>
            </w: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en-US" w:eastAsia="zh-CN"/>
              </w:rPr>
              <w:t>Determination of Exposure Factors and Outcome Measures;Mortality assessment;Covariates of interest</w:t>
            </w:r>
          </w:p>
        </w:tc>
      </w:tr>
      <w:bookmarkEnd w:id="48"/>
      <w:bookmarkEnd w:id="49"/>
      <w:tr w14:paraId="40BD2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22" w:type="dxa"/>
            <w:noWrap w:val="0"/>
            <w:vAlign w:val="top"/>
          </w:tcPr>
          <w:p w14:paraId="69610EB5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50" w:name="italic18"/>
            <w:bookmarkStart w:id="51" w:name="bold17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Data sources/</w:t>
            </w:r>
            <w:bookmarkEnd w:id="50"/>
            <w:bookmarkEnd w:id="51"/>
            <w:bookmarkStart w:id="52" w:name="bold18"/>
            <w:bookmarkStart w:id="53" w:name="italic19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 xml:space="preserve"> measurement</w:t>
            </w:r>
            <w:bookmarkEnd w:id="52"/>
            <w:bookmarkEnd w:id="53"/>
          </w:p>
        </w:tc>
        <w:tc>
          <w:tcPr>
            <w:tcW w:w="1137" w:type="dxa"/>
            <w:noWrap w:val="0"/>
            <w:vAlign w:val="top"/>
          </w:tcPr>
          <w:p w14:paraId="2364ED1D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  <w:bookmarkStart w:id="54" w:name="bold19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*</w:t>
            </w:r>
            <w:bookmarkEnd w:id="54"/>
          </w:p>
        </w:tc>
        <w:tc>
          <w:tcPr>
            <w:tcW w:w="6144" w:type="dxa"/>
            <w:noWrap w:val="0"/>
            <w:vAlign w:val="top"/>
          </w:tcPr>
          <w:p w14:paraId="2621AE4A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4771" w:type="dxa"/>
            <w:noWrap w:val="0"/>
            <w:vAlign w:val="top"/>
          </w:tcPr>
          <w:p w14:paraId="55F9C882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Page</w:t>
            </w: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en-US" w:eastAsia="zh-CN"/>
              </w:rPr>
              <w:t>4-6.</w:t>
            </w:r>
            <w:r>
              <w:rPr>
                <w:rFonts w:hint="eastAsia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2"/>
                <w:szCs w:val="22"/>
                <w:shd w:val="clear" w:fill="FFFFFF"/>
              </w:rPr>
              <w:t>Methods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2"/>
                <w:szCs w:val="22"/>
                <w:shd w:val="clear" w:fill="FFFFFF"/>
                <w:lang w:eastAsia="zh-CN"/>
              </w:rPr>
              <w:t>：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2"/>
                <w:szCs w:val="22"/>
                <w:shd w:val="clear" w:fill="FFFFFF"/>
              </w:rPr>
              <w:t>"Questionnaire, physical examination, and laboratory tests"</w:t>
            </w:r>
          </w:p>
        </w:tc>
      </w:tr>
      <w:tr w14:paraId="11F33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7AE82FD9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color w:val="000000"/>
                <w:sz w:val="22"/>
                <w:szCs w:val="22"/>
              </w:rPr>
            </w:pPr>
            <w:bookmarkStart w:id="55" w:name="bold20" w:colFirst="0" w:colLast="0"/>
            <w:bookmarkStart w:id="56" w:name="italic20" w:colFirst="0" w:colLast="0"/>
            <w:r>
              <w:rPr>
                <w:rFonts w:hint="default" w:ascii="Times New Roman" w:hAnsi="Times New Roman" w:cs="Times New Roman"/>
                <w:bCs/>
                <w:color w:val="000000"/>
                <w:sz w:val="22"/>
                <w:szCs w:val="22"/>
              </w:rPr>
              <w:t>Bias</w:t>
            </w:r>
          </w:p>
        </w:tc>
        <w:tc>
          <w:tcPr>
            <w:tcW w:w="1137" w:type="dxa"/>
            <w:noWrap w:val="0"/>
            <w:vAlign w:val="top"/>
          </w:tcPr>
          <w:p w14:paraId="302B3E48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144" w:type="dxa"/>
            <w:noWrap w:val="0"/>
            <w:vAlign w:val="top"/>
          </w:tcPr>
          <w:p w14:paraId="7A137AAD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Describe any efforts to address potential sources of bias</w:t>
            </w:r>
          </w:p>
        </w:tc>
        <w:tc>
          <w:tcPr>
            <w:tcW w:w="4771" w:type="dxa"/>
            <w:noWrap w:val="0"/>
            <w:vAlign w:val="top"/>
          </w:tcPr>
          <w:p w14:paraId="66594A85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Page</w:t>
            </w:r>
            <w:r>
              <w:rPr>
                <w:rFonts w:hint="eastAsia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7-8.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Methods: "Multivariate adjustment, sensitivity analysis (excluding missing/ expanding age range)"</w:t>
            </w:r>
          </w:p>
        </w:tc>
      </w:tr>
      <w:bookmarkEnd w:id="55"/>
      <w:bookmarkEnd w:id="56"/>
      <w:tr w14:paraId="4DE40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5A872C38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57" w:name="italic21" w:colFirst="0" w:colLast="0"/>
            <w:bookmarkStart w:id="58" w:name="bold21" w:colFirst="0" w:colLast="0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Study size</w:t>
            </w:r>
          </w:p>
        </w:tc>
        <w:tc>
          <w:tcPr>
            <w:tcW w:w="1137" w:type="dxa"/>
            <w:noWrap w:val="0"/>
            <w:vAlign w:val="top"/>
          </w:tcPr>
          <w:p w14:paraId="49D43D95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144" w:type="dxa"/>
            <w:noWrap w:val="0"/>
            <w:vAlign w:val="top"/>
          </w:tcPr>
          <w:p w14:paraId="4346AA33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Explain how the study size was arrived at</w:t>
            </w:r>
          </w:p>
        </w:tc>
        <w:tc>
          <w:tcPr>
            <w:tcW w:w="4771" w:type="dxa"/>
            <w:noWrap w:val="0"/>
            <w:vAlign w:val="top"/>
          </w:tcPr>
          <w:p w14:paraId="14595DA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Page</w:t>
            </w:r>
            <w:r>
              <w:rPr>
                <w:rFonts w:hint="eastAsia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 4</w:t>
            </w: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. </w:t>
            </w: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Methods：</w:t>
            </w:r>
            <w:r>
              <w:rPr>
                <w:rFonts w:hint="eastAsia" w:ascii="Times New Roman" w:hAnsi="Times New Roman" w:cs="Times New Roman"/>
                <w:bCs/>
                <w:sz w:val="22"/>
                <w:szCs w:val="22"/>
              </w:rPr>
              <w:t>Participant Cohort</w:t>
            </w:r>
          </w:p>
          <w:p w14:paraId="14EA00AB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bookmarkEnd w:id="57"/>
      <w:bookmarkEnd w:id="58"/>
      <w:tr w14:paraId="086E0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6D7EF3E4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59" w:name="bold22"/>
            <w:bookmarkStart w:id="60" w:name="italic22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Quantitative</w:t>
            </w:r>
            <w:bookmarkEnd w:id="59"/>
            <w:bookmarkEnd w:id="60"/>
            <w:bookmarkStart w:id="61" w:name="bold23"/>
            <w:bookmarkStart w:id="62" w:name="italic23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 xml:space="preserve"> variables</w:t>
            </w:r>
            <w:bookmarkEnd w:id="61"/>
            <w:bookmarkEnd w:id="62"/>
          </w:p>
        </w:tc>
        <w:tc>
          <w:tcPr>
            <w:tcW w:w="1137" w:type="dxa"/>
            <w:noWrap w:val="0"/>
            <w:vAlign w:val="top"/>
          </w:tcPr>
          <w:p w14:paraId="37E03CAB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6144" w:type="dxa"/>
            <w:noWrap w:val="0"/>
            <w:vAlign w:val="top"/>
          </w:tcPr>
          <w:p w14:paraId="7F0D9C43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4771" w:type="dxa"/>
            <w:noWrap w:val="0"/>
            <w:vAlign w:val="top"/>
          </w:tcPr>
          <w:p w14:paraId="1BD5E6B2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Page</w:t>
            </w:r>
            <w:r>
              <w:rPr>
                <w:rFonts w:hint="eastAsia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7.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Method: Continuous variable of eGDR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and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tertiles</w:t>
            </w:r>
          </w:p>
        </w:tc>
      </w:tr>
      <w:tr w14:paraId="4252B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noWrap w:val="0"/>
            <w:vAlign w:val="top"/>
          </w:tcPr>
          <w:p w14:paraId="231798C9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bookmarkStart w:id="63" w:name="italic24"/>
            <w:r>
              <w:rPr>
                <w:rFonts w:hint="default" w:ascii="Times New Roman" w:hAnsi="Times New Roman" w:cs="Times New Roman"/>
                <w:sz w:val="22"/>
                <w:szCs w:val="22"/>
              </w:rPr>
              <w:t>Statistical</w:t>
            </w:r>
            <w:bookmarkEnd w:id="63"/>
            <w:bookmarkStart w:id="64" w:name="italic25"/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methods</w:t>
            </w:r>
            <w:bookmarkEnd w:id="64"/>
          </w:p>
        </w:tc>
        <w:tc>
          <w:tcPr>
            <w:tcW w:w="1137" w:type="dxa"/>
            <w:vMerge w:val="restart"/>
            <w:noWrap w:val="0"/>
            <w:vAlign w:val="top"/>
          </w:tcPr>
          <w:p w14:paraId="08D2703C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144" w:type="dxa"/>
            <w:noWrap w:val="0"/>
            <w:vAlign w:val="top"/>
          </w:tcPr>
          <w:p w14:paraId="07842587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cs="Times New Roman"/>
                <w:i/>
                <w:sz w:val="22"/>
                <w:szCs w:val="22"/>
              </w:rPr>
              <w:t>a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) Describe all statistical methods, including those used to control for confounding</w:t>
            </w:r>
          </w:p>
        </w:tc>
        <w:tc>
          <w:tcPr>
            <w:tcW w:w="4771" w:type="dxa"/>
            <w:noWrap w:val="0"/>
            <w:vAlign w:val="top"/>
          </w:tcPr>
          <w:p w14:paraId="2988B11A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Page</w:t>
            </w:r>
            <w:r>
              <w:rPr>
                <w:rFonts w:hint="eastAsia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7.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Method: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Clearly list Cox/logistic models, RCS, Fine-Gray models, mediation analysis, subgroup/interaction analysis, and missing data handling.</w:t>
            </w:r>
          </w:p>
        </w:tc>
      </w:tr>
      <w:tr w14:paraId="17B5E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noWrap w:val="0"/>
            <w:vAlign w:val="top"/>
          </w:tcPr>
          <w:p w14:paraId="0DA9AA30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65" w:name="bold24" w:colFirst="0" w:colLast="0"/>
            <w:bookmarkStart w:id="66" w:name="italic26" w:colFirst="0" w:colLast="0"/>
          </w:p>
        </w:tc>
        <w:tc>
          <w:tcPr>
            <w:tcW w:w="1137" w:type="dxa"/>
            <w:vMerge w:val="continue"/>
            <w:noWrap w:val="0"/>
            <w:vAlign w:val="top"/>
          </w:tcPr>
          <w:p w14:paraId="1D543559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44" w:type="dxa"/>
            <w:noWrap w:val="0"/>
            <w:vAlign w:val="top"/>
          </w:tcPr>
          <w:p w14:paraId="27FA9F22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cs="Times New Roman"/>
                <w:i/>
                <w:sz w:val="22"/>
                <w:szCs w:val="22"/>
              </w:rPr>
              <w:t>b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) Describe any methods used to examine subgroups and interactions</w:t>
            </w:r>
          </w:p>
        </w:tc>
        <w:tc>
          <w:tcPr>
            <w:tcW w:w="4771" w:type="dxa"/>
            <w:noWrap w:val="0"/>
            <w:vAlign w:val="top"/>
          </w:tcPr>
          <w:p w14:paraId="7F65DD43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Page</w:t>
            </w:r>
            <w:r>
              <w:rPr>
                <w:rFonts w:hint="eastAsia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8.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Method: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Stratified by age/gender, etc.</w:t>
            </w:r>
          </w:p>
        </w:tc>
      </w:tr>
      <w:bookmarkEnd w:id="65"/>
      <w:bookmarkEnd w:id="66"/>
      <w:tr w14:paraId="0EA92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noWrap w:val="0"/>
            <w:vAlign w:val="top"/>
          </w:tcPr>
          <w:p w14:paraId="31302C44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67" w:name="italic27" w:colFirst="0" w:colLast="0"/>
            <w:bookmarkStart w:id="68" w:name="bold25" w:colFirst="0" w:colLast="0"/>
          </w:p>
        </w:tc>
        <w:tc>
          <w:tcPr>
            <w:tcW w:w="1137" w:type="dxa"/>
            <w:vMerge w:val="continue"/>
            <w:noWrap w:val="0"/>
            <w:vAlign w:val="top"/>
          </w:tcPr>
          <w:p w14:paraId="7B25EC8A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44" w:type="dxa"/>
            <w:noWrap w:val="0"/>
            <w:vAlign w:val="top"/>
          </w:tcPr>
          <w:p w14:paraId="2AB9E45E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cs="Times New Roman"/>
                <w:i/>
                <w:sz w:val="22"/>
                <w:szCs w:val="22"/>
              </w:rPr>
              <w:t>c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) Explain how missing data were addressed</w:t>
            </w:r>
          </w:p>
        </w:tc>
        <w:tc>
          <w:tcPr>
            <w:tcW w:w="4771" w:type="dxa"/>
            <w:noWrap w:val="0"/>
            <w:vAlign w:val="top"/>
          </w:tcPr>
          <w:p w14:paraId="685866D0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Page</w:t>
            </w:r>
            <w:r>
              <w:rPr>
                <w:rFonts w:hint="eastAsia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en-US" w:eastAsia="zh-CN"/>
              </w:rPr>
              <w:t xml:space="preserve">8.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Method: "Deletion Method + Multiple Imputation"</w:t>
            </w:r>
          </w:p>
        </w:tc>
      </w:tr>
      <w:bookmarkEnd w:id="67"/>
      <w:bookmarkEnd w:id="68"/>
      <w:tr w14:paraId="3209C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noWrap w:val="0"/>
            <w:vAlign w:val="top"/>
          </w:tcPr>
          <w:p w14:paraId="1EF960DA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69" w:name="bold26" w:colFirst="0" w:colLast="0"/>
            <w:bookmarkStart w:id="70" w:name="italic28" w:colFirst="0" w:colLast="0"/>
          </w:p>
        </w:tc>
        <w:tc>
          <w:tcPr>
            <w:tcW w:w="1137" w:type="dxa"/>
            <w:vMerge w:val="continue"/>
            <w:noWrap w:val="0"/>
            <w:vAlign w:val="top"/>
          </w:tcPr>
          <w:p w14:paraId="5072B708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44" w:type="dxa"/>
            <w:noWrap w:val="0"/>
            <w:vAlign w:val="top"/>
          </w:tcPr>
          <w:p w14:paraId="571CC834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cs="Times New Roman"/>
                <w:i/>
                <w:sz w:val="22"/>
                <w:szCs w:val="22"/>
              </w:rPr>
              <w:t>d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) If applicable, describe analytical methods taking account of sampling strategy</w:t>
            </w:r>
          </w:p>
        </w:tc>
        <w:tc>
          <w:tcPr>
            <w:tcW w:w="4771" w:type="dxa"/>
            <w:noWrap w:val="0"/>
            <w:vAlign w:val="top"/>
          </w:tcPr>
          <w:p w14:paraId="1BA7CE0A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Not Applicable</w:t>
            </w:r>
          </w:p>
        </w:tc>
      </w:tr>
      <w:bookmarkEnd w:id="69"/>
      <w:bookmarkEnd w:id="70"/>
      <w:tr w14:paraId="3C574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noWrap w:val="0"/>
            <w:vAlign w:val="top"/>
          </w:tcPr>
          <w:p w14:paraId="2F0011DF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71" w:name="italic29" w:colFirst="0" w:colLast="0"/>
            <w:bookmarkStart w:id="72" w:name="bold27" w:colFirst="0" w:colLast="0"/>
          </w:p>
        </w:tc>
        <w:tc>
          <w:tcPr>
            <w:tcW w:w="1137" w:type="dxa"/>
            <w:vMerge w:val="continue"/>
            <w:noWrap w:val="0"/>
            <w:vAlign w:val="top"/>
          </w:tcPr>
          <w:p w14:paraId="5F5A5DA4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44" w:type="dxa"/>
            <w:noWrap w:val="0"/>
            <w:vAlign w:val="top"/>
          </w:tcPr>
          <w:p w14:paraId="2676104D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cs="Times New Roman"/>
                <w:i/>
                <w:sz w:val="22"/>
                <w:szCs w:val="22"/>
                <w:u w:val="single"/>
              </w:rPr>
              <w:t>e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) Describe any sensitivity analyses</w:t>
            </w:r>
          </w:p>
        </w:tc>
        <w:tc>
          <w:tcPr>
            <w:tcW w:w="4771" w:type="dxa"/>
            <w:noWrap w:val="0"/>
            <w:vAlign w:val="top"/>
          </w:tcPr>
          <w:p w14:paraId="44F7887A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Page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8.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Method: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Statistical Analysis</w:t>
            </w:r>
          </w:p>
        </w:tc>
      </w:tr>
      <w:bookmarkEnd w:id="71"/>
      <w:bookmarkEnd w:id="72"/>
      <w:tr w14:paraId="2A002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3" w:type="dxa"/>
            <w:gridSpan w:val="3"/>
            <w:noWrap w:val="0"/>
            <w:vAlign w:val="top"/>
          </w:tcPr>
          <w:p w14:paraId="4FCC9FA2">
            <w:pPr>
              <w:pStyle w:val="31"/>
              <w:keepNext w:val="0"/>
              <w:keepLines w:val="0"/>
              <w:suppressLineNumbers w:val="0"/>
              <w:tabs>
                <w:tab w:val="left" w:pos="5400"/>
              </w:tabs>
              <w:spacing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bookmarkStart w:id="73" w:name="italic30"/>
            <w:bookmarkStart w:id="74" w:name="bold28"/>
            <w:r>
              <w:rPr>
                <w:rFonts w:hint="default" w:ascii="Times New Roman" w:hAnsi="Times New Roman" w:cs="Times New Roman"/>
                <w:sz w:val="22"/>
                <w:szCs w:val="22"/>
              </w:rPr>
              <w:t>Results</w:t>
            </w:r>
            <w:bookmarkEnd w:id="73"/>
            <w:bookmarkEnd w:id="74"/>
          </w:p>
        </w:tc>
        <w:tc>
          <w:tcPr>
            <w:tcW w:w="4771" w:type="dxa"/>
            <w:noWrap w:val="0"/>
            <w:vAlign w:val="top"/>
          </w:tcPr>
          <w:p w14:paraId="6D71B345">
            <w:pPr>
              <w:pStyle w:val="31"/>
              <w:keepNext w:val="0"/>
              <w:keepLines w:val="0"/>
              <w:suppressLineNumbers w:val="0"/>
              <w:tabs>
                <w:tab w:val="left" w:pos="5400"/>
              </w:tabs>
              <w:spacing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0341C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noWrap w:val="0"/>
            <w:vAlign w:val="top"/>
          </w:tcPr>
          <w:p w14:paraId="1F73FB0C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75" w:name="bold29"/>
            <w:bookmarkStart w:id="76" w:name="italic31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Participants</w:t>
            </w:r>
            <w:bookmarkEnd w:id="75"/>
            <w:bookmarkEnd w:id="76"/>
          </w:p>
        </w:tc>
        <w:tc>
          <w:tcPr>
            <w:tcW w:w="1137" w:type="dxa"/>
            <w:vMerge w:val="restart"/>
            <w:noWrap w:val="0"/>
            <w:vAlign w:val="top"/>
          </w:tcPr>
          <w:p w14:paraId="4B58FFC6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  <w:bookmarkStart w:id="77" w:name="bold30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*</w:t>
            </w:r>
            <w:bookmarkEnd w:id="77"/>
          </w:p>
        </w:tc>
        <w:tc>
          <w:tcPr>
            <w:tcW w:w="6144" w:type="dxa"/>
            <w:noWrap w:val="0"/>
            <w:vAlign w:val="top"/>
          </w:tcPr>
          <w:p w14:paraId="3A61A8EF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4771" w:type="dxa"/>
            <w:noWrap w:val="0"/>
            <w:vAlign w:val="top"/>
          </w:tcPr>
          <w:p w14:paraId="74FEE768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Page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9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. 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Results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Baseline features</w:t>
            </w:r>
          </w:p>
          <w:p w14:paraId="405EDA8E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1B16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noWrap w:val="0"/>
            <w:vAlign w:val="top"/>
          </w:tcPr>
          <w:p w14:paraId="438E5569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78" w:name="bold31" w:colFirst="0" w:colLast="0"/>
            <w:bookmarkStart w:id="79" w:name="italic32" w:colFirst="0" w:colLast="0"/>
          </w:p>
        </w:tc>
        <w:tc>
          <w:tcPr>
            <w:tcW w:w="1137" w:type="dxa"/>
            <w:vMerge w:val="continue"/>
            <w:noWrap w:val="0"/>
            <w:vAlign w:val="top"/>
          </w:tcPr>
          <w:p w14:paraId="3B5DC38C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44" w:type="dxa"/>
            <w:noWrap w:val="0"/>
            <w:vAlign w:val="top"/>
          </w:tcPr>
          <w:p w14:paraId="75552464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(b) Give reasons for non-participation at each stage</w:t>
            </w:r>
          </w:p>
        </w:tc>
        <w:tc>
          <w:tcPr>
            <w:tcW w:w="4771" w:type="dxa"/>
            <w:noWrap w:val="0"/>
            <w:vAlign w:val="top"/>
          </w:tcPr>
          <w:p w14:paraId="19D7E3CB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Refer to "Fig. S1" </w:t>
            </w:r>
          </w:p>
        </w:tc>
      </w:tr>
      <w:bookmarkEnd w:id="78"/>
      <w:bookmarkEnd w:id="79"/>
      <w:tr w14:paraId="56C2D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noWrap w:val="0"/>
            <w:vAlign w:val="top"/>
          </w:tcPr>
          <w:p w14:paraId="1BBCF200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80" w:name="bold32" w:colFirst="0" w:colLast="0"/>
            <w:bookmarkStart w:id="81" w:name="italic33" w:colFirst="0" w:colLast="0"/>
          </w:p>
        </w:tc>
        <w:tc>
          <w:tcPr>
            <w:tcW w:w="1137" w:type="dxa"/>
            <w:vMerge w:val="continue"/>
            <w:noWrap w:val="0"/>
            <w:vAlign w:val="top"/>
          </w:tcPr>
          <w:p w14:paraId="398FB229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44" w:type="dxa"/>
            <w:noWrap w:val="0"/>
            <w:vAlign w:val="top"/>
          </w:tcPr>
          <w:p w14:paraId="2E42F0D5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bookmarkStart w:id="82" w:name="OLE_LINK4"/>
            <w:r>
              <w:rPr>
                <w:rFonts w:hint="default" w:ascii="Times New Roman" w:hAnsi="Times New Roman" w:cs="Times New Roman"/>
                <w:sz w:val="22"/>
                <w:szCs w:val="22"/>
              </w:rPr>
              <w:t>(c) Consider use of a flow diagram</w:t>
            </w:r>
            <w:bookmarkEnd w:id="82"/>
          </w:p>
        </w:tc>
        <w:tc>
          <w:tcPr>
            <w:tcW w:w="4771" w:type="dxa"/>
            <w:noWrap w:val="0"/>
            <w:vAlign w:val="top"/>
          </w:tcPr>
          <w:p w14:paraId="4290A44D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Refer to "Fig. S1" </w:t>
            </w:r>
          </w:p>
        </w:tc>
      </w:tr>
      <w:bookmarkEnd w:id="80"/>
      <w:bookmarkEnd w:id="81"/>
      <w:tr w14:paraId="43B1D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noWrap w:val="0"/>
            <w:vAlign w:val="top"/>
          </w:tcPr>
          <w:p w14:paraId="5E67757E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83" w:name="bold33"/>
            <w:bookmarkStart w:id="84" w:name="italic34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 xml:space="preserve">Descriptive </w:t>
            </w:r>
            <w:bookmarkEnd w:id="83"/>
            <w:bookmarkEnd w:id="84"/>
            <w:bookmarkStart w:id="85" w:name="bold34"/>
            <w:bookmarkStart w:id="86" w:name="italic35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data</w:t>
            </w:r>
            <w:bookmarkEnd w:id="85"/>
            <w:bookmarkEnd w:id="86"/>
          </w:p>
        </w:tc>
        <w:tc>
          <w:tcPr>
            <w:tcW w:w="1137" w:type="dxa"/>
            <w:vMerge w:val="restart"/>
            <w:noWrap w:val="0"/>
            <w:vAlign w:val="top"/>
          </w:tcPr>
          <w:p w14:paraId="136F7F86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  <w:bookmarkStart w:id="87" w:name="bold35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*</w:t>
            </w:r>
            <w:bookmarkEnd w:id="87"/>
          </w:p>
        </w:tc>
        <w:tc>
          <w:tcPr>
            <w:tcW w:w="6144" w:type="dxa"/>
            <w:noWrap w:val="0"/>
            <w:vAlign w:val="top"/>
          </w:tcPr>
          <w:p w14:paraId="47823DF7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4771" w:type="dxa"/>
            <w:noWrap w:val="0"/>
            <w:vAlign w:val="top"/>
          </w:tcPr>
          <w:p w14:paraId="23D815F5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Table 1（NHANES）、Table S10-11（CHARLS） </w:t>
            </w:r>
          </w:p>
        </w:tc>
      </w:tr>
      <w:tr w14:paraId="00AD9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noWrap w:val="0"/>
            <w:vAlign w:val="top"/>
          </w:tcPr>
          <w:p w14:paraId="368007DA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88" w:name="italic36" w:colFirst="0" w:colLast="0"/>
            <w:bookmarkStart w:id="89" w:name="bold36" w:colFirst="0" w:colLast="0"/>
          </w:p>
        </w:tc>
        <w:tc>
          <w:tcPr>
            <w:tcW w:w="1137" w:type="dxa"/>
            <w:vMerge w:val="continue"/>
            <w:noWrap w:val="0"/>
            <w:vAlign w:val="top"/>
          </w:tcPr>
          <w:p w14:paraId="6B4987FA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44" w:type="dxa"/>
            <w:noWrap w:val="0"/>
            <w:vAlign w:val="top"/>
          </w:tcPr>
          <w:p w14:paraId="70AD4069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(b) Indicate number of participants with missing data for each variable of interest</w:t>
            </w:r>
          </w:p>
        </w:tc>
        <w:tc>
          <w:tcPr>
            <w:tcW w:w="4771" w:type="dxa"/>
            <w:noWrap w:val="0"/>
            <w:vAlign w:val="top"/>
          </w:tcPr>
          <w:p w14:paraId="57EC74C1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Refer to "Fig. S1" </w:t>
            </w:r>
          </w:p>
        </w:tc>
      </w:tr>
      <w:bookmarkEnd w:id="88"/>
      <w:bookmarkEnd w:id="89"/>
      <w:tr w14:paraId="18D77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22" w:type="dxa"/>
            <w:noWrap w:val="0"/>
            <w:vAlign w:val="top"/>
          </w:tcPr>
          <w:p w14:paraId="42574408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90" w:name="italic38" w:colFirst="0" w:colLast="0"/>
            <w:bookmarkStart w:id="91" w:name="bold38" w:colFirst="0" w:colLast="0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Outcome data</w:t>
            </w:r>
          </w:p>
        </w:tc>
        <w:tc>
          <w:tcPr>
            <w:tcW w:w="1137" w:type="dxa"/>
            <w:noWrap w:val="0"/>
            <w:vAlign w:val="top"/>
          </w:tcPr>
          <w:p w14:paraId="43ED9F10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  <w:bookmarkStart w:id="92" w:name="bold39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*</w:t>
            </w:r>
            <w:bookmarkEnd w:id="92"/>
          </w:p>
        </w:tc>
        <w:tc>
          <w:tcPr>
            <w:tcW w:w="6144" w:type="dxa"/>
            <w:noWrap w:val="0"/>
            <w:vAlign w:val="top"/>
          </w:tcPr>
          <w:p w14:paraId="4B8F0B82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Report numbers of outcome events or summary measures</w:t>
            </w:r>
          </w:p>
        </w:tc>
        <w:tc>
          <w:tcPr>
            <w:tcW w:w="4771" w:type="dxa"/>
            <w:noWrap w:val="0"/>
            <w:vAlign w:val="top"/>
          </w:tcPr>
          <w:p w14:paraId="5EDAB592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Page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9,10,12.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Results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"380 cases of stroke"; "2,046 deaths"; "432 cases of stroke in CHARLS"</w:t>
            </w:r>
          </w:p>
        </w:tc>
      </w:tr>
      <w:bookmarkEnd w:id="90"/>
      <w:bookmarkEnd w:id="91"/>
      <w:tr w14:paraId="24611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noWrap w:val="0"/>
            <w:vAlign w:val="top"/>
          </w:tcPr>
          <w:p w14:paraId="63F319D2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93" w:name="bold41" w:colFirst="0" w:colLast="0"/>
            <w:bookmarkStart w:id="94" w:name="italic40" w:colFirst="0" w:colLast="0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Main results</w:t>
            </w:r>
          </w:p>
        </w:tc>
        <w:tc>
          <w:tcPr>
            <w:tcW w:w="1137" w:type="dxa"/>
            <w:vMerge w:val="restart"/>
            <w:noWrap w:val="0"/>
            <w:vAlign w:val="top"/>
          </w:tcPr>
          <w:p w14:paraId="55C7D2F7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6144" w:type="dxa"/>
            <w:noWrap w:val="0"/>
            <w:vAlign w:val="top"/>
          </w:tcPr>
          <w:p w14:paraId="35A28C87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cs="Times New Roman"/>
                <w:i/>
                <w:sz w:val="22"/>
                <w:szCs w:val="22"/>
              </w:rPr>
              <w:t>a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4771" w:type="dxa"/>
            <w:noWrap w:val="0"/>
            <w:vAlign w:val="top"/>
          </w:tcPr>
          <w:p w14:paraId="5F5BFF46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2"/>
                <w:szCs w:val="22"/>
                <w:shd w:val="clear" w:fill="FFFFFF"/>
              </w:rPr>
              <w:t>Table 2-3；Table S12（CHARLS）</w:t>
            </w:r>
          </w:p>
        </w:tc>
      </w:tr>
      <w:bookmarkEnd w:id="93"/>
      <w:bookmarkEnd w:id="94"/>
      <w:tr w14:paraId="028C7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noWrap w:val="0"/>
            <w:vAlign w:val="top"/>
          </w:tcPr>
          <w:p w14:paraId="1B8D1724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95" w:name="italic41" w:colFirst="0" w:colLast="0"/>
            <w:bookmarkStart w:id="96" w:name="bold42" w:colFirst="0" w:colLast="0"/>
          </w:p>
        </w:tc>
        <w:tc>
          <w:tcPr>
            <w:tcW w:w="1137" w:type="dxa"/>
            <w:vMerge w:val="continue"/>
            <w:noWrap w:val="0"/>
            <w:vAlign w:val="top"/>
          </w:tcPr>
          <w:p w14:paraId="781CBD22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44" w:type="dxa"/>
            <w:noWrap w:val="0"/>
            <w:vAlign w:val="top"/>
          </w:tcPr>
          <w:p w14:paraId="00914FB4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cs="Times New Roman"/>
                <w:i/>
                <w:sz w:val="22"/>
                <w:szCs w:val="22"/>
              </w:rPr>
              <w:t>b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) Report category boundaries when continuous variables were categorized</w:t>
            </w:r>
          </w:p>
        </w:tc>
        <w:tc>
          <w:tcPr>
            <w:tcW w:w="4771" w:type="dxa"/>
            <w:noWrap w:val="0"/>
            <w:vAlign w:val="top"/>
          </w:tcPr>
          <w:p w14:paraId="2A465402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2"/>
                <w:szCs w:val="22"/>
                <w:shd w:val="clear" w:fill="FFFFFF"/>
              </w:rPr>
              <w:t>Table 2-3；Table S12（CHARLS）</w:t>
            </w:r>
          </w:p>
        </w:tc>
      </w:tr>
      <w:bookmarkEnd w:id="95"/>
      <w:bookmarkEnd w:id="96"/>
      <w:tr w14:paraId="76669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33B03A5F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97" w:name="italic42" w:colFirst="0" w:colLast="0"/>
            <w:bookmarkStart w:id="98" w:name="bold43" w:colFirst="0" w:colLast="0"/>
          </w:p>
        </w:tc>
        <w:tc>
          <w:tcPr>
            <w:tcW w:w="1137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18AC7B31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44" w:type="dxa"/>
            <w:tcBorders>
              <w:bottom w:val="single" w:color="auto" w:sz="4" w:space="0"/>
            </w:tcBorders>
            <w:noWrap w:val="0"/>
            <w:vAlign w:val="top"/>
          </w:tcPr>
          <w:p w14:paraId="6975D6E4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cs="Times New Roman"/>
                <w:i/>
                <w:sz w:val="22"/>
                <w:szCs w:val="22"/>
              </w:rPr>
              <w:t>c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) If relevant, consider translating estimates of relative risk into absolute risk for a meaningful time period</w:t>
            </w:r>
          </w:p>
        </w:tc>
        <w:tc>
          <w:tcPr>
            <w:tcW w:w="4771" w:type="dxa"/>
            <w:tcBorders>
              <w:bottom w:val="single" w:color="auto" w:sz="4" w:space="0"/>
            </w:tcBorders>
            <w:noWrap w:val="0"/>
            <w:vAlign w:val="top"/>
          </w:tcPr>
          <w:p w14:paraId="18F88B15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Not Applicable</w:t>
            </w:r>
          </w:p>
        </w:tc>
      </w:tr>
      <w:bookmarkEnd w:id="97"/>
      <w:bookmarkEnd w:id="98"/>
      <w:tr w14:paraId="72459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2739DC7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99" w:name="bold44"/>
            <w:bookmarkStart w:id="100" w:name="italic43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Other analyses</w:t>
            </w:r>
            <w:bookmarkEnd w:id="99"/>
            <w:bookmarkEnd w:id="100"/>
          </w:p>
        </w:tc>
        <w:tc>
          <w:tcPr>
            <w:tcW w:w="113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5A997BD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61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A95284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Report other analyses done—eg analyses of subgroups and interactions, and sensitivity analyses</w:t>
            </w:r>
          </w:p>
        </w:tc>
        <w:tc>
          <w:tcPr>
            <w:tcW w:w="477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CD48AAB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Subgroup (Tables S2 - S3), mediation (Table S4), sensitivity (Tables S5 - S8), and meta-analysis (Table S13)</w:t>
            </w:r>
          </w:p>
        </w:tc>
      </w:tr>
      <w:tr w14:paraId="0CE4B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3" w:type="dxa"/>
            <w:gridSpan w:val="3"/>
            <w:tcBorders>
              <w:top w:val="single" w:color="auto" w:sz="4" w:space="0"/>
            </w:tcBorders>
            <w:noWrap w:val="0"/>
            <w:vAlign w:val="top"/>
          </w:tcPr>
          <w:p w14:paraId="54B9C6D2">
            <w:pPr>
              <w:pStyle w:val="31"/>
              <w:keepNext w:val="0"/>
              <w:keepLines w:val="0"/>
              <w:suppressLineNumbers w:val="0"/>
              <w:tabs>
                <w:tab w:val="left" w:pos="5400"/>
              </w:tabs>
              <w:spacing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bookmarkStart w:id="101" w:name="italic44"/>
            <w:bookmarkStart w:id="102" w:name="bold45"/>
            <w:r>
              <w:rPr>
                <w:rFonts w:hint="default" w:ascii="Times New Roman" w:hAnsi="Times New Roman" w:cs="Times New Roman"/>
                <w:sz w:val="22"/>
                <w:szCs w:val="22"/>
              </w:rPr>
              <w:t>Discussion</w:t>
            </w:r>
            <w:bookmarkEnd w:id="101"/>
            <w:bookmarkEnd w:id="102"/>
          </w:p>
        </w:tc>
        <w:tc>
          <w:tcPr>
            <w:tcW w:w="4771" w:type="dxa"/>
            <w:tcBorders>
              <w:top w:val="single" w:color="auto" w:sz="4" w:space="0"/>
            </w:tcBorders>
            <w:noWrap w:val="0"/>
            <w:vAlign w:val="top"/>
          </w:tcPr>
          <w:p w14:paraId="654477DC">
            <w:pPr>
              <w:pStyle w:val="31"/>
              <w:keepNext w:val="0"/>
              <w:keepLines w:val="0"/>
              <w:suppressLineNumbers w:val="0"/>
              <w:tabs>
                <w:tab w:val="left" w:pos="5400"/>
              </w:tabs>
              <w:spacing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690D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3A5F34B8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103" w:name="bold46" w:colFirst="0" w:colLast="0"/>
            <w:bookmarkStart w:id="104" w:name="italic45" w:colFirst="0" w:colLast="0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Key results</w:t>
            </w:r>
          </w:p>
        </w:tc>
        <w:tc>
          <w:tcPr>
            <w:tcW w:w="1137" w:type="dxa"/>
            <w:noWrap w:val="0"/>
            <w:vAlign w:val="top"/>
          </w:tcPr>
          <w:p w14:paraId="2BDD7FED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6144" w:type="dxa"/>
            <w:noWrap w:val="0"/>
            <w:vAlign w:val="top"/>
          </w:tcPr>
          <w:p w14:paraId="2F5DCCF5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Summarise key results with reference to study objectives</w:t>
            </w:r>
          </w:p>
        </w:tc>
        <w:tc>
          <w:tcPr>
            <w:tcW w:w="4771" w:type="dxa"/>
            <w:noWrap w:val="0"/>
            <w:vAlign w:val="top"/>
          </w:tcPr>
          <w:p w14:paraId="0808E0E5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Page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13.D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iscussion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: The first paragraph</w:t>
            </w:r>
          </w:p>
        </w:tc>
      </w:tr>
      <w:bookmarkEnd w:id="103"/>
      <w:bookmarkEnd w:id="104"/>
      <w:tr w14:paraId="4E3AE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7F8EA26D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105" w:name="bold47" w:colFirst="0" w:colLast="0"/>
            <w:bookmarkStart w:id="106" w:name="italic46" w:colFirst="0" w:colLast="0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Limitations</w:t>
            </w:r>
          </w:p>
        </w:tc>
        <w:tc>
          <w:tcPr>
            <w:tcW w:w="1137" w:type="dxa"/>
            <w:noWrap w:val="0"/>
            <w:vAlign w:val="top"/>
          </w:tcPr>
          <w:p w14:paraId="5ED3B085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6144" w:type="dxa"/>
            <w:noWrap w:val="0"/>
            <w:vAlign w:val="top"/>
          </w:tcPr>
          <w:p w14:paraId="4833DA92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4771" w:type="dxa"/>
            <w:noWrap w:val="0"/>
            <w:vAlign w:val="top"/>
          </w:tcPr>
          <w:p w14:paraId="0B84CE64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Page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13.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The Discussion section concludes by listing three limitations.</w:t>
            </w:r>
          </w:p>
        </w:tc>
      </w:tr>
      <w:bookmarkEnd w:id="105"/>
      <w:bookmarkEnd w:id="106"/>
      <w:tr w14:paraId="7AAB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7E9817BE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107" w:name="bold48" w:colFirst="0" w:colLast="0"/>
            <w:bookmarkStart w:id="108" w:name="italic47" w:colFirst="0" w:colLast="0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Interpretation</w:t>
            </w:r>
          </w:p>
        </w:tc>
        <w:tc>
          <w:tcPr>
            <w:tcW w:w="1137" w:type="dxa"/>
            <w:noWrap w:val="0"/>
            <w:vAlign w:val="top"/>
          </w:tcPr>
          <w:p w14:paraId="6A43183D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6144" w:type="dxa"/>
            <w:noWrap w:val="0"/>
            <w:vAlign w:val="top"/>
          </w:tcPr>
          <w:p w14:paraId="7178E37C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4771" w:type="dxa"/>
            <w:noWrap w:val="0"/>
            <w:vAlign w:val="top"/>
          </w:tcPr>
          <w:p w14:paraId="287136B8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Discussion: Comparing literature and exploring mechanisms</w:t>
            </w:r>
          </w:p>
        </w:tc>
      </w:tr>
      <w:bookmarkEnd w:id="107"/>
      <w:bookmarkEnd w:id="108"/>
      <w:tr w14:paraId="6488D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top"/>
          </w:tcPr>
          <w:p w14:paraId="077BCC16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109" w:name="bold49" w:colFirst="0" w:colLast="0"/>
            <w:bookmarkStart w:id="110" w:name="italic48" w:colFirst="0" w:colLast="0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Generalisability</w:t>
            </w:r>
          </w:p>
        </w:tc>
        <w:tc>
          <w:tcPr>
            <w:tcW w:w="1137" w:type="dxa"/>
            <w:noWrap w:val="0"/>
            <w:vAlign w:val="top"/>
          </w:tcPr>
          <w:p w14:paraId="6646DFEA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6144" w:type="dxa"/>
            <w:noWrap w:val="0"/>
            <w:vAlign w:val="top"/>
          </w:tcPr>
          <w:p w14:paraId="2570DAFB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Discuss the generalisability (external validity) of the study results</w:t>
            </w:r>
          </w:p>
        </w:tc>
        <w:tc>
          <w:tcPr>
            <w:tcW w:w="4771" w:type="dxa"/>
            <w:noWrap w:val="0"/>
            <w:vAlign w:val="top"/>
          </w:tcPr>
          <w:p w14:paraId="3E27581A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Discussion: Analysis of Differences between China and the United States and Applicability Limitations</w:t>
            </w:r>
          </w:p>
        </w:tc>
      </w:tr>
      <w:bookmarkEnd w:id="109"/>
      <w:bookmarkEnd w:id="110"/>
      <w:tr w14:paraId="43074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3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3DFC0971">
            <w:pPr>
              <w:pStyle w:val="31"/>
              <w:keepNext w:val="0"/>
              <w:keepLines w:val="0"/>
              <w:suppressLineNumbers w:val="0"/>
              <w:tabs>
                <w:tab w:val="left" w:pos="5400"/>
              </w:tabs>
              <w:spacing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bookmarkStart w:id="111" w:name="italic49"/>
            <w:bookmarkStart w:id="112" w:name="bold50"/>
            <w:r>
              <w:rPr>
                <w:rFonts w:hint="default" w:ascii="Times New Roman" w:hAnsi="Times New Roman" w:cs="Times New Roman"/>
                <w:sz w:val="22"/>
                <w:szCs w:val="22"/>
              </w:rPr>
              <w:t>Other information</w:t>
            </w:r>
            <w:bookmarkEnd w:id="111"/>
            <w:bookmarkEnd w:id="112"/>
          </w:p>
        </w:tc>
        <w:tc>
          <w:tcPr>
            <w:tcW w:w="4771" w:type="dxa"/>
            <w:tcBorders>
              <w:bottom w:val="single" w:color="auto" w:sz="4" w:space="0"/>
            </w:tcBorders>
            <w:noWrap w:val="0"/>
            <w:vAlign w:val="top"/>
          </w:tcPr>
          <w:p w14:paraId="68A0A913">
            <w:pPr>
              <w:pStyle w:val="31"/>
              <w:keepNext w:val="0"/>
              <w:keepLines w:val="0"/>
              <w:suppressLineNumbers w:val="0"/>
              <w:tabs>
                <w:tab w:val="left" w:pos="5400"/>
              </w:tabs>
              <w:spacing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8F76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tcBorders>
              <w:top w:val="single" w:color="auto" w:sz="4" w:space="0"/>
            </w:tcBorders>
            <w:noWrap w:val="0"/>
            <w:vAlign w:val="top"/>
          </w:tcPr>
          <w:p w14:paraId="2F7863C4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bookmarkStart w:id="113" w:name="bold51" w:colFirst="0" w:colLast="0"/>
            <w:bookmarkStart w:id="114" w:name="italic50" w:colFirst="0" w:colLast="0"/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Funding</w:t>
            </w:r>
          </w:p>
        </w:tc>
        <w:tc>
          <w:tcPr>
            <w:tcW w:w="1137" w:type="dxa"/>
            <w:tcBorders>
              <w:top w:val="single" w:color="auto" w:sz="4" w:space="0"/>
            </w:tcBorders>
            <w:noWrap w:val="0"/>
            <w:vAlign w:val="top"/>
          </w:tcPr>
          <w:p w14:paraId="24CB2FEB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6144" w:type="dxa"/>
            <w:tcBorders>
              <w:top w:val="single" w:color="auto" w:sz="4" w:space="0"/>
            </w:tcBorders>
            <w:noWrap w:val="0"/>
            <w:vAlign w:val="top"/>
          </w:tcPr>
          <w:p w14:paraId="100F7156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4771" w:type="dxa"/>
            <w:tcBorders>
              <w:top w:val="single" w:color="auto" w:sz="4" w:space="0"/>
            </w:tcBorders>
            <w:noWrap w:val="0"/>
            <w:vAlign w:val="top"/>
          </w:tcPr>
          <w:p w14:paraId="6B9A674C">
            <w:pPr>
              <w:keepNext w:val="0"/>
              <w:keepLines w:val="0"/>
              <w:suppressLineNumbers w:val="0"/>
              <w:tabs>
                <w:tab w:val="left" w:pos="5400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Declaration: "No funding"</w:t>
            </w:r>
          </w:p>
        </w:tc>
      </w:tr>
      <w:bookmarkEnd w:id="113"/>
      <w:bookmarkEnd w:id="114"/>
    </w:tbl>
    <w:p w14:paraId="1058C180">
      <w:pPr>
        <w:pStyle w:val="32"/>
        <w:tabs>
          <w:tab w:val="left" w:pos="5400"/>
        </w:tabs>
        <w:rPr>
          <w:bCs/>
          <w:sz w:val="20"/>
        </w:rPr>
      </w:pPr>
    </w:p>
    <w:p w14:paraId="60CCB0CE">
      <w:pPr>
        <w:pStyle w:val="32"/>
        <w:tabs>
          <w:tab w:val="left" w:pos="5400"/>
        </w:tabs>
        <w:rPr>
          <w:rFonts w:hint="default" w:ascii="Times New Roman" w:hAnsi="Times New Roman" w:eastAsia="等线" w:cs="Times New Roman"/>
          <w:kern w:val="2"/>
          <w:sz w:val="22"/>
          <w:szCs w:val="22"/>
          <w:lang w:val="en-US" w:eastAsia="zh-CN" w:bidi="ar-SA"/>
        </w:rPr>
      </w:pPr>
      <w:r>
        <w:rPr>
          <w:rFonts w:hint="default" w:ascii="Times New Roman" w:hAnsi="Times New Roman" w:eastAsia="等线" w:cs="Times New Roman"/>
          <w:kern w:val="2"/>
          <w:sz w:val="22"/>
          <w:szCs w:val="22"/>
          <w:lang w:val="en-US" w:eastAsia="zh-CN" w:bidi="ar-SA"/>
        </w:rPr>
        <w:t>*Give information separately for exposed and unexposed groups.</w:t>
      </w:r>
    </w:p>
    <w:p w14:paraId="145A7D36">
      <w:pPr>
        <w:pStyle w:val="32"/>
        <w:tabs>
          <w:tab w:val="left" w:pos="5400"/>
        </w:tabs>
        <w:rPr>
          <w:sz w:val="20"/>
        </w:rPr>
      </w:pPr>
    </w:p>
    <w:p w14:paraId="1A2CBB6C">
      <w:pPr>
        <w:rPr>
          <w:rFonts w:hint="eastAsia" w:ascii="Times New Roman" w:hAnsi="Times New Roman"/>
          <w:sz w:val="16"/>
          <w:szCs w:val="16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05971163"/>
    </w:sdtPr>
    <w:sdtContent>
      <w:p w14:paraId="6E19314E">
        <w:pPr>
          <w:pStyle w:val="7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7857BBD">
    <w:pPr>
      <w:pStyle w:val="7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16C"/>
    <w:rsid w:val="000D1D0B"/>
    <w:rsid w:val="001A5900"/>
    <w:rsid w:val="002041E2"/>
    <w:rsid w:val="0026544C"/>
    <w:rsid w:val="002D3ED8"/>
    <w:rsid w:val="002E5977"/>
    <w:rsid w:val="00365B26"/>
    <w:rsid w:val="00397741"/>
    <w:rsid w:val="003A23FD"/>
    <w:rsid w:val="00425C92"/>
    <w:rsid w:val="00442C77"/>
    <w:rsid w:val="00466BF8"/>
    <w:rsid w:val="004931E0"/>
    <w:rsid w:val="005D5EBC"/>
    <w:rsid w:val="005F6F5E"/>
    <w:rsid w:val="006B5447"/>
    <w:rsid w:val="006B7AB1"/>
    <w:rsid w:val="006E4DBB"/>
    <w:rsid w:val="0078016C"/>
    <w:rsid w:val="00786CA3"/>
    <w:rsid w:val="008B63A7"/>
    <w:rsid w:val="00906714"/>
    <w:rsid w:val="009A5D96"/>
    <w:rsid w:val="009F7793"/>
    <w:rsid w:val="00A1616F"/>
    <w:rsid w:val="00A177AD"/>
    <w:rsid w:val="00A71067"/>
    <w:rsid w:val="00B13C04"/>
    <w:rsid w:val="00B7559E"/>
    <w:rsid w:val="00B93098"/>
    <w:rsid w:val="00BE7355"/>
    <w:rsid w:val="00C225BA"/>
    <w:rsid w:val="00D04C90"/>
    <w:rsid w:val="00DD2F65"/>
    <w:rsid w:val="00DE53C2"/>
    <w:rsid w:val="00E073B0"/>
    <w:rsid w:val="00E54504"/>
    <w:rsid w:val="00EF47B5"/>
    <w:rsid w:val="00F77A76"/>
    <w:rsid w:val="00FD50EE"/>
    <w:rsid w:val="013407C3"/>
    <w:rsid w:val="01C163EB"/>
    <w:rsid w:val="021F4265"/>
    <w:rsid w:val="04634A06"/>
    <w:rsid w:val="062734D4"/>
    <w:rsid w:val="07613F6C"/>
    <w:rsid w:val="09141170"/>
    <w:rsid w:val="0A961E4D"/>
    <w:rsid w:val="0B273E7A"/>
    <w:rsid w:val="0B6A3E04"/>
    <w:rsid w:val="0C387C7B"/>
    <w:rsid w:val="0D654732"/>
    <w:rsid w:val="19CD414F"/>
    <w:rsid w:val="1A282C83"/>
    <w:rsid w:val="1A4D67C7"/>
    <w:rsid w:val="1AC02C89"/>
    <w:rsid w:val="1ADC49B4"/>
    <w:rsid w:val="1F611967"/>
    <w:rsid w:val="1F947BE9"/>
    <w:rsid w:val="22230DB0"/>
    <w:rsid w:val="22DE5B4A"/>
    <w:rsid w:val="22E60071"/>
    <w:rsid w:val="23DD1433"/>
    <w:rsid w:val="262670C1"/>
    <w:rsid w:val="27303A79"/>
    <w:rsid w:val="29373393"/>
    <w:rsid w:val="29693E94"/>
    <w:rsid w:val="2B9A7BF8"/>
    <w:rsid w:val="2C254822"/>
    <w:rsid w:val="2D2C76B3"/>
    <w:rsid w:val="2F1200EA"/>
    <w:rsid w:val="2F194722"/>
    <w:rsid w:val="2F876AF5"/>
    <w:rsid w:val="309303AE"/>
    <w:rsid w:val="3176115B"/>
    <w:rsid w:val="32FD5495"/>
    <w:rsid w:val="35690D78"/>
    <w:rsid w:val="35992FE9"/>
    <w:rsid w:val="37372B31"/>
    <w:rsid w:val="37B85A62"/>
    <w:rsid w:val="3A5F274A"/>
    <w:rsid w:val="3BD72EE0"/>
    <w:rsid w:val="3C073006"/>
    <w:rsid w:val="3C263250"/>
    <w:rsid w:val="40770853"/>
    <w:rsid w:val="44612946"/>
    <w:rsid w:val="453A222E"/>
    <w:rsid w:val="467D4684"/>
    <w:rsid w:val="48A73C3A"/>
    <w:rsid w:val="49FC17CC"/>
    <w:rsid w:val="4C0F63BD"/>
    <w:rsid w:val="4D0005C3"/>
    <w:rsid w:val="55384597"/>
    <w:rsid w:val="577361D3"/>
    <w:rsid w:val="5A8738CB"/>
    <w:rsid w:val="5C95550D"/>
    <w:rsid w:val="5D017965"/>
    <w:rsid w:val="5D08326C"/>
    <w:rsid w:val="5D406B1A"/>
    <w:rsid w:val="5E671A49"/>
    <w:rsid w:val="5F4D50E3"/>
    <w:rsid w:val="5FD2383A"/>
    <w:rsid w:val="6079314F"/>
    <w:rsid w:val="61042E0B"/>
    <w:rsid w:val="633517FC"/>
    <w:rsid w:val="639E1B51"/>
    <w:rsid w:val="64520AA6"/>
    <w:rsid w:val="656535CF"/>
    <w:rsid w:val="6729365E"/>
    <w:rsid w:val="6A695499"/>
    <w:rsid w:val="6B114B1B"/>
    <w:rsid w:val="6C4A2188"/>
    <w:rsid w:val="71751EB5"/>
    <w:rsid w:val="742970E4"/>
    <w:rsid w:val="746E36DA"/>
    <w:rsid w:val="74DA0D6F"/>
    <w:rsid w:val="75674EB3"/>
    <w:rsid w:val="76A00EDF"/>
    <w:rsid w:val="777A43D5"/>
    <w:rsid w:val="7B3D7927"/>
    <w:rsid w:val="7DE10F84"/>
    <w:rsid w:val="7EF90044"/>
    <w:rsid w:val="7FF3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6">
    <w:name w:val="toc 3"/>
    <w:basedOn w:val="1"/>
    <w:next w:val="1"/>
    <w:autoRedefine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</w:rPr>
  </w:style>
  <w:style w:type="paragraph" w:styleId="7">
    <w:name w:val="footer"/>
    <w:basedOn w:val="1"/>
    <w:link w:val="2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link w:val="27"/>
    <w:autoRedefine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</w:rPr>
  </w:style>
  <w:style w:type="paragraph" w:styleId="1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11">
    <w:name w:val="toc 2"/>
    <w:basedOn w:val="1"/>
    <w:next w:val="1"/>
    <w:autoRedefine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</w:r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character" w:styleId="18">
    <w:name w:val="Hyperlink"/>
    <w:basedOn w:val="15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font41"/>
    <w:basedOn w:val="1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0">
    <w:name w:val="font21"/>
    <w:basedOn w:val="1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1">
    <w:name w:val="font11"/>
    <w:basedOn w:val="1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2">
    <w:name w:val="font0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61"/>
    <w:basedOn w:val="15"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  <w:style w:type="character" w:customStyle="1" w:styleId="24">
    <w:name w:val="标题 1 字符"/>
    <w:basedOn w:val="15"/>
    <w:link w:val="2"/>
    <w:qFormat/>
    <w:uiPriority w:val="0"/>
    <w:rPr>
      <w:rFonts w:ascii="等线" w:hAnsi="等线" w:eastAsia="等线"/>
      <w:b/>
      <w:bCs/>
      <w:kern w:val="44"/>
      <w:sz w:val="44"/>
      <w:szCs w:val="44"/>
    </w:rPr>
  </w:style>
  <w:style w:type="paragraph" w:customStyle="1" w:styleId="25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  <w:style w:type="character" w:customStyle="1" w:styleId="26">
    <w:name w:val="页脚 字符"/>
    <w:basedOn w:val="15"/>
    <w:link w:val="7"/>
    <w:qFormat/>
    <w:uiPriority w:val="99"/>
    <w:rPr>
      <w:rFonts w:ascii="等线" w:hAnsi="等线" w:eastAsia="等线"/>
      <w:kern w:val="2"/>
      <w:sz w:val="18"/>
      <w:szCs w:val="22"/>
    </w:rPr>
  </w:style>
  <w:style w:type="character" w:customStyle="1" w:styleId="27">
    <w:name w:val="目录 1 Char"/>
    <w:link w:val="9"/>
    <w:qFormat/>
    <w:uiPriority w:val="39"/>
    <w:rPr>
      <w:rFonts w:cs="Times New Roman" w:asciiTheme="minorHAnsi" w:hAnsiTheme="minorHAnsi" w:eastAsiaTheme="minorEastAsia"/>
      <w:kern w:val="0"/>
      <w:sz w:val="22"/>
      <w:szCs w:val="22"/>
      <w:lang w:val="en-US" w:eastAsia="zh-CN" w:bidi="ar-SA"/>
    </w:rPr>
  </w:style>
  <w:style w:type="paragraph" w:customStyle="1" w:styleId="28">
    <w:name w:val="TableTitle"/>
    <w:basedOn w:val="1"/>
    <w:qFormat/>
    <w:uiPriority w:val="0"/>
  </w:style>
  <w:style w:type="paragraph" w:customStyle="1" w:styleId="29">
    <w:name w:val="TableHeader"/>
    <w:basedOn w:val="30"/>
    <w:qFormat/>
    <w:uiPriority w:val="0"/>
    <w:pPr>
      <w:spacing w:before="120" w:line="240" w:lineRule="auto"/>
      <w:ind w:firstLine="0"/>
    </w:pPr>
    <w:rPr>
      <w:b/>
    </w:rPr>
  </w:style>
  <w:style w:type="paragraph" w:customStyle="1" w:styleId="30">
    <w:name w:val="Para"/>
    <w:basedOn w:val="1"/>
    <w:qFormat/>
    <w:uiPriority w:val="0"/>
    <w:pPr>
      <w:spacing w:line="360" w:lineRule="auto"/>
      <w:ind w:firstLine="288"/>
    </w:pPr>
  </w:style>
  <w:style w:type="paragraph" w:customStyle="1" w:styleId="31">
    <w:name w:val="TableSubHead"/>
    <w:basedOn w:val="29"/>
    <w:qFormat/>
    <w:uiPriority w:val="0"/>
  </w:style>
  <w:style w:type="paragraph" w:customStyle="1" w:styleId="32">
    <w:name w:val="TableNote"/>
    <w:basedOn w:val="1"/>
    <w:qFormat/>
    <w:uiPriority w:val="0"/>
  </w:style>
  <w:style w:type="paragraph" w:customStyle="1" w:styleId="33">
    <w:name w:val="样式1"/>
    <w:basedOn w:val="10"/>
    <w:qFormat/>
    <w:uiPriority w:val="0"/>
    <w:pPr>
      <w:widowControl/>
      <w:spacing w:after="100" w:line="259" w:lineRule="auto"/>
      <w:jc w:val="left"/>
    </w:pPr>
    <w:rPr>
      <w:rFonts w:asciiTheme="minorAscii" w:hAnsiTheme="minorAscii" w:eastAsiaTheme="minorEastAsia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85C05-010F-41D2-8F08-5349DF286E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29</Pages>
  <Words>1188</Words>
  <Characters>6797</Characters>
  <Lines>156</Lines>
  <Paragraphs>44</Paragraphs>
  <TotalTime>48</TotalTime>
  <ScaleCrop>false</ScaleCrop>
  <LinksUpToDate>false</LinksUpToDate>
  <CharactersWithSpaces>7635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2025-06-06T03:39:00Z</dcterms:created>
  <dc:creator>86159</dc:creator>
  <cp:lastModifiedBy>小西</cp:lastModifiedBy>
  <dcterms:modified xsi:type="dcterms:W3CDTF">2025-09-09T07:16:09Z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eyJoZGlkIjoiMzEwNTM5NzYwMDRjMzkwZTVkZjY2ODkwMGIxNGU0OTUiLCJ1c2VySWQiOiIyMzEwMDcwNTcifQ==</vt:lpwstr>
  </property>
  <property fmtid="{D5CDD505-2E9C-101B-9397-08002B2CF9AE}" pid="4" name="ICV">
    <vt:lpwstr>654BF46D3C0E4184AF8B2488ED91D889_12</vt:lpwstr>
  </property>
</Properties>
</file>