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4659F" w14:textId="40F0BFC8" w:rsidR="00953DF6" w:rsidRDefault="00000000">
      <w:pPr>
        <w:jc w:val="left"/>
        <w:rPr>
          <w:rFonts w:ascii="Times New Roman" w:eastAsia="等线" w:hAnsi="Times New Roman" w:cs="Times New Roman"/>
          <w:color w:val="000000" w:themeColor="text1"/>
          <w:szCs w:val="21"/>
        </w:rPr>
      </w:pPr>
      <w:r>
        <w:rPr>
          <w:rFonts w:ascii="Times New Roman" w:eastAsia="等线" w:hAnsi="Times New Roman" w:cs="Times New Roman"/>
          <w:b/>
          <w:bCs/>
          <w:color w:val="000000" w:themeColor="text1"/>
          <w:szCs w:val="21"/>
        </w:rPr>
        <w:t>Table</w:t>
      </w:r>
      <w:r w:rsidR="005E5AAB">
        <w:rPr>
          <w:rFonts w:ascii="Times New Roman" w:eastAsia="等线" w:hAnsi="Times New Roman" w:cs="Times New Roman"/>
          <w:b/>
          <w:bCs/>
          <w:color w:val="000000" w:themeColor="text1"/>
          <w:szCs w:val="21"/>
        </w:rPr>
        <w:t xml:space="preserve"> </w:t>
      </w:r>
      <w:r>
        <w:rPr>
          <w:rFonts w:ascii="Times New Roman" w:eastAsia="等线" w:hAnsi="Times New Roman" w:cs="Times New Roman"/>
          <w:b/>
          <w:bCs/>
          <w:color w:val="000000" w:themeColor="text1"/>
          <w:szCs w:val="21"/>
        </w:rPr>
        <w:t>S1</w:t>
      </w:r>
      <w:r>
        <w:rPr>
          <w:rFonts w:ascii="Times New Roman" w:eastAsia="等线" w:hAnsi="Times New Roman" w:cs="Times New Roman"/>
          <w:color w:val="000000" w:themeColor="text1"/>
          <w:szCs w:val="21"/>
        </w:rPr>
        <w:t xml:space="preserve"> Areas under the Receiver </w:t>
      </w:r>
      <w:r w:rsidR="005E5AAB">
        <w:rPr>
          <w:rFonts w:ascii="Times New Roman" w:eastAsia="等线" w:hAnsi="Times New Roman" w:cs="Times New Roman"/>
          <w:color w:val="000000" w:themeColor="text1"/>
          <w:szCs w:val="21"/>
        </w:rPr>
        <w:t>Operating C</w:t>
      </w:r>
      <w:r>
        <w:rPr>
          <w:rFonts w:ascii="Times New Roman" w:eastAsia="等线" w:hAnsi="Times New Roman" w:cs="Times New Roman"/>
          <w:color w:val="000000" w:themeColor="text1"/>
          <w:szCs w:val="21"/>
        </w:rPr>
        <w:t xml:space="preserve">haracteristic curves for each evaluated parameter in identifying </w:t>
      </w:r>
      <w:r>
        <w:rPr>
          <w:rFonts w:ascii="Times New Roman" w:eastAsia="等线" w:hAnsi="Times New Roman" w:cs="Times New Roman" w:hint="eastAsia"/>
          <w:color w:val="000000" w:themeColor="text1"/>
          <w:szCs w:val="21"/>
        </w:rPr>
        <w:t xml:space="preserve">stroke </w:t>
      </w:r>
    </w:p>
    <w:tbl>
      <w:tblPr>
        <w:tblStyle w:val="61"/>
        <w:tblW w:w="90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084"/>
        <w:gridCol w:w="1638"/>
        <w:gridCol w:w="1279"/>
        <w:gridCol w:w="1137"/>
        <w:gridCol w:w="1126"/>
        <w:gridCol w:w="1391"/>
      </w:tblGrid>
      <w:tr w:rsidR="00953DF6" w14:paraId="250FF7E1" w14:textId="77777777" w:rsidTr="00953D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B0B4C3E" w14:textId="77777777" w:rsidR="00953DF6" w:rsidRDefault="00000000">
            <w:pPr>
              <w:jc w:val="left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Test</w:t>
            </w:r>
          </w:p>
        </w:tc>
        <w:tc>
          <w:tcPr>
            <w:tcW w:w="1084" w:type="dxa"/>
          </w:tcPr>
          <w:p w14:paraId="0B78CB4E" w14:textId="77777777" w:rsidR="00953DF6" w:rsidRDefault="0000000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  <w:t>AUROC</w:t>
            </w:r>
          </w:p>
        </w:tc>
        <w:tc>
          <w:tcPr>
            <w:tcW w:w="1638" w:type="dxa"/>
          </w:tcPr>
          <w:p w14:paraId="341C2E94" w14:textId="77777777" w:rsidR="00953DF6" w:rsidRDefault="0000000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  <w:t>95%CI</w:t>
            </w:r>
          </w:p>
        </w:tc>
        <w:tc>
          <w:tcPr>
            <w:tcW w:w="1279" w:type="dxa"/>
          </w:tcPr>
          <w:p w14:paraId="3833A2EE" w14:textId="77777777" w:rsidR="00953DF6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Best threshold</w:t>
            </w:r>
          </w:p>
        </w:tc>
        <w:tc>
          <w:tcPr>
            <w:tcW w:w="1137" w:type="dxa"/>
          </w:tcPr>
          <w:p w14:paraId="2FFE6306" w14:textId="77777777" w:rsidR="00953DF6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Specificity</w:t>
            </w:r>
          </w:p>
        </w:tc>
        <w:tc>
          <w:tcPr>
            <w:tcW w:w="1126" w:type="dxa"/>
          </w:tcPr>
          <w:p w14:paraId="4D29997F" w14:textId="77777777" w:rsidR="00953DF6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Sensitivity</w:t>
            </w:r>
          </w:p>
        </w:tc>
        <w:tc>
          <w:tcPr>
            <w:tcW w:w="1391" w:type="dxa"/>
          </w:tcPr>
          <w:p w14:paraId="4FF27F71" w14:textId="77777777" w:rsidR="00953DF6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Youden Index</w:t>
            </w:r>
          </w:p>
        </w:tc>
      </w:tr>
      <w:tr w:rsidR="00953DF6" w14:paraId="4CD06160" w14:textId="77777777" w:rsidTr="00953DF6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0A546CE" w14:textId="77777777" w:rsidR="00953DF6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18"/>
                <w:szCs w:val="18"/>
              </w:rPr>
              <w:t>TyG-ABSI</w:t>
            </w:r>
          </w:p>
        </w:tc>
        <w:tc>
          <w:tcPr>
            <w:tcW w:w="1084" w:type="dxa"/>
            <w:vAlign w:val="center"/>
          </w:tcPr>
          <w:p w14:paraId="0F9A4566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0.5805</w:t>
            </w:r>
          </w:p>
        </w:tc>
        <w:tc>
          <w:tcPr>
            <w:tcW w:w="1638" w:type="dxa"/>
            <w:vAlign w:val="center"/>
          </w:tcPr>
          <w:p w14:paraId="2C651793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0.5601-0.6009</w:t>
            </w:r>
          </w:p>
        </w:tc>
        <w:tc>
          <w:tcPr>
            <w:tcW w:w="1279" w:type="dxa"/>
            <w:vAlign w:val="center"/>
          </w:tcPr>
          <w:p w14:paraId="3D461AC0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7.2781</w:t>
            </w:r>
          </w:p>
        </w:tc>
        <w:tc>
          <w:tcPr>
            <w:tcW w:w="1137" w:type="dxa"/>
            <w:vAlign w:val="center"/>
          </w:tcPr>
          <w:p w14:paraId="457D0201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0.5788</w:t>
            </w:r>
          </w:p>
        </w:tc>
        <w:tc>
          <w:tcPr>
            <w:tcW w:w="1126" w:type="dxa"/>
            <w:vAlign w:val="center"/>
          </w:tcPr>
          <w:p w14:paraId="67C2BA6D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0.5391</w:t>
            </w:r>
          </w:p>
        </w:tc>
        <w:tc>
          <w:tcPr>
            <w:tcW w:w="1391" w:type="dxa"/>
            <w:vAlign w:val="center"/>
          </w:tcPr>
          <w:p w14:paraId="3476CE2D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0.1179</w:t>
            </w:r>
          </w:p>
        </w:tc>
      </w:tr>
      <w:tr w:rsidR="00953DF6" w14:paraId="03879700" w14:textId="77777777" w:rsidTr="00953DF6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1346F39" w14:textId="77777777" w:rsidR="00953DF6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18"/>
                <w:szCs w:val="18"/>
              </w:rPr>
              <w:t>TyG index</w:t>
            </w:r>
          </w:p>
        </w:tc>
        <w:tc>
          <w:tcPr>
            <w:tcW w:w="1084" w:type="dxa"/>
            <w:vAlign w:val="center"/>
          </w:tcPr>
          <w:p w14:paraId="039BC543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0.5714</w:t>
            </w:r>
          </w:p>
        </w:tc>
        <w:tc>
          <w:tcPr>
            <w:tcW w:w="1638" w:type="dxa"/>
            <w:vAlign w:val="center"/>
          </w:tcPr>
          <w:p w14:paraId="09EB5005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0.5513-0.5914</w:t>
            </w:r>
          </w:p>
        </w:tc>
        <w:tc>
          <w:tcPr>
            <w:tcW w:w="1279" w:type="dxa"/>
            <w:vAlign w:val="center"/>
          </w:tcPr>
          <w:p w14:paraId="23697788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8.5908</w:t>
            </w:r>
          </w:p>
        </w:tc>
        <w:tc>
          <w:tcPr>
            <w:tcW w:w="1137" w:type="dxa"/>
            <w:vAlign w:val="center"/>
          </w:tcPr>
          <w:p w14:paraId="201B5A39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0.5030</w:t>
            </w:r>
          </w:p>
        </w:tc>
        <w:tc>
          <w:tcPr>
            <w:tcW w:w="1126" w:type="dxa"/>
            <w:vAlign w:val="center"/>
          </w:tcPr>
          <w:p w14:paraId="546110ED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0.6149</w:t>
            </w:r>
          </w:p>
        </w:tc>
        <w:tc>
          <w:tcPr>
            <w:tcW w:w="1391" w:type="dxa"/>
            <w:vAlign w:val="center"/>
          </w:tcPr>
          <w:p w14:paraId="2AD3343B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0.1179</w:t>
            </w:r>
          </w:p>
        </w:tc>
      </w:tr>
      <w:tr w:rsidR="00953DF6" w14:paraId="25FF535F" w14:textId="77777777" w:rsidTr="00953DF6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3B88D22" w14:textId="77777777" w:rsidR="00953DF6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18"/>
                <w:szCs w:val="18"/>
              </w:rPr>
              <w:t>BMI</w:t>
            </w:r>
          </w:p>
        </w:tc>
        <w:tc>
          <w:tcPr>
            <w:tcW w:w="1084" w:type="dxa"/>
            <w:vAlign w:val="center"/>
          </w:tcPr>
          <w:p w14:paraId="5A0AF252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0.5787</w:t>
            </w:r>
          </w:p>
        </w:tc>
        <w:tc>
          <w:tcPr>
            <w:tcW w:w="1638" w:type="dxa"/>
            <w:vAlign w:val="center"/>
          </w:tcPr>
          <w:p w14:paraId="70FF0AA1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0.5583-0.5992</w:t>
            </w:r>
          </w:p>
        </w:tc>
        <w:tc>
          <w:tcPr>
            <w:tcW w:w="1279" w:type="dxa"/>
            <w:vAlign w:val="center"/>
          </w:tcPr>
          <w:p w14:paraId="0347B056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24.4972</w:t>
            </w:r>
          </w:p>
        </w:tc>
        <w:tc>
          <w:tcPr>
            <w:tcW w:w="1137" w:type="dxa"/>
            <w:vAlign w:val="center"/>
          </w:tcPr>
          <w:p w14:paraId="704491CE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0.6569</w:t>
            </w:r>
          </w:p>
        </w:tc>
        <w:tc>
          <w:tcPr>
            <w:tcW w:w="1126" w:type="dxa"/>
            <w:vAlign w:val="center"/>
          </w:tcPr>
          <w:p w14:paraId="119A7F62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0.4584</w:t>
            </w:r>
          </w:p>
        </w:tc>
        <w:tc>
          <w:tcPr>
            <w:tcW w:w="1391" w:type="dxa"/>
            <w:vAlign w:val="center"/>
          </w:tcPr>
          <w:p w14:paraId="6F157A3C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0.1153</w:t>
            </w:r>
          </w:p>
        </w:tc>
      </w:tr>
      <w:tr w:rsidR="00953DF6" w14:paraId="57707953" w14:textId="77777777" w:rsidTr="00953DF6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4F2E3BDA" w14:textId="77777777" w:rsidR="00953DF6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18"/>
                <w:szCs w:val="18"/>
              </w:rPr>
              <w:t>ABSI</w:t>
            </w:r>
          </w:p>
        </w:tc>
        <w:tc>
          <w:tcPr>
            <w:tcW w:w="1084" w:type="dxa"/>
            <w:vAlign w:val="center"/>
          </w:tcPr>
          <w:p w14:paraId="3BBAF9F4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0.5467</w:t>
            </w:r>
          </w:p>
        </w:tc>
        <w:tc>
          <w:tcPr>
            <w:tcW w:w="1638" w:type="dxa"/>
            <w:vAlign w:val="center"/>
          </w:tcPr>
          <w:p w14:paraId="0F13E4BA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0.5262-0.5671</w:t>
            </w:r>
          </w:p>
        </w:tc>
        <w:tc>
          <w:tcPr>
            <w:tcW w:w="1279" w:type="dxa"/>
            <w:vAlign w:val="center"/>
          </w:tcPr>
          <w:p w14:paraId="093A7A4E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0.8108</w:t>
            </w:r>
          </w:p>
        </w:tc>
        <w:tc>
          <w:tcPr>
            <w:tcW w:w="1137" w:type="dxa"/>
            <w:vAlign w:val="center"/>
          </w:tcPr>
          <w:p w14:paraId="2372C7CC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0.3671</w:t>
            </w:r>
          </w:p>
        </w:tc>
        <w:tc>
          <w:tcPr>
            <w:tcW w:w="1126" w:type="dxa"/>
            <w:vAlign w:val="center"/>
          </w:tcPr>
          <w:p w14:paraId="05679F33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0.7093</w:t>
            </w:r>
          </w:p>
        </w:tc>
        <w:tc>
          <w:tcPr>
            <w:tcW w:w="1391" w:type="dxa"/>
            <w:vAlign w:val="center"/>
          </w:tcPr>
          <w:p w14:paraId="735322F1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0.0764</w:t>
            </w:r>
          </w:p>
        </w:tc>
      </w:tr>
    </w:tbl>
    <w:p w14:paraId="443EE920" w14:textId="77777777" w:rsidR="00953DF6" w:rsidRDefault="00000000">
      <w:pPr>
        <w:widowControl/>
        <w:jc w:val="left"/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>AUROC: area under the receiver operating characteristic curve; TyG-ABSI: triglyceride glucose-a body shape index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18"/>
          <w:szCs w:val="18"/>
        </w:rPr>
        <w:t xml:space="preserve">; TyG index: </w:t>
      </w:r>
      <w:r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  <w:t>triglyceride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15"/>
          <w:szCs w:val="15"/>
        </w:rPr>
        <w:t>-</w:t>
      </w:r>
      <w:r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  <w:t>glucose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15"/>
          <w:szCs w:val="15"/>
        </w:rPr>
        <w:t xml:space="preserve"> index; BMI: body mass index; ABSI: a body shape index</w:t>
      </w:r>
    </w:p>
    <w:p w14:paraId="49F396CF" w14:textId="77777777" w:rsidR="00953DF6" w:rsidRDefault="00953DF6">
      <w:pPr>
        <w:rPr>
          <w:rFonts w:ascii="Times New Roman" w:hAnsi="Times New Roman" w:cs="Times New Roman"/>
        </w:rPr>
      </w:pPr>
    </w:p>
    <w:p w14:paraId="3E42DD1F" w14:textId="77777777" w:rsidR="00953DF6" w:rsidRDefault="00953DF6">
      <w:pPr>
        <w:rPr>
          <w:rFonts w:ascii="Times New Roman" w:hAnsi="Times New Roman" w:cs="Times New Roman"/>
        </w:rPr>
      </w:pPr>
    </w:p>
    <w:p w14:paraId="4BA7180D" w14:textId="77777777" w:rsidR="00953DF6" w:rsidRDefault="00953DF6">
      <w:pPr>
        <w:rPr>
          <w:rFonts w:ascii="Times New Roman" w:hAnsi="Times New Roman" w:cs="Times New Roman"/>
        </w:rPr>
      </w:pPr>
    </w:p>
    <w:p w14:paraId="33410ABB" w14:textId="77777777" w:rsidR="00953DF6" w:rsidRDefault="00953DF6">
      <w:pPr>
        <w:rPr>
          <w:rFonts w:ascii="Times New Roman" w:hAnsi="Times New Roman" w:cs="Times New Roman"/>
        </w:rPr>
      </w:pPr>
    </w:p>
    <w:p w14:paraId="56915FFF" w14:textId="77777777" w:rsidR="00953DF6" w:rsidRDefault="00953DF6">
      <w:pPr>
        <w:rPr>
          <w:rFonts w:ascii="Times New Roman" w:hAnsi="Times New Roman" w:cs="Times New Roman"/>
        </w:rPr>
      </w:pPr>
    </w:p>
    <w:p w14:paraId="5A003EC4" w14:textId="77777777" w:rsidR="00953DF6" w:rsidRDefault="00953DF6">
      <w:pPr>
        <w:rPr>
          <w:rFonts w:ascii="Times New Roman" w:hAnsi="Times New Roman" w:cs="Times New Roman"/>
        </w:rPr>
      </w:pPr>
    </w:p>
    <w:p w14:paraId="51E7AC56" w14:textId="77777777" w:rsidR="00953DF6" w:rsidRDefault="00953DF6">
      <w:pPr>
        <w:rPr>
          <w:rFonts w:ascii="Times New Roman" w:hAnsi="Times New Roman" w:cs="Times New Roman"/>
        </w:rPr>
      </w:pPr>
    </w:p>
    <w:p w14:paraId="4B8920BA" w14:textId="77777777" w:rsidR="00953DF6" w:rsidRDefault="00953DF6">
      <w:pPr>
        <w:rPr>
          <w:rFonts w:ascii="Times New Roman" w:hAnsi="Times New Roman" w:cs="Times New Roman"/>
        </w:rPr>
      </w:pPr>
    </w:p>
    <w:p w14:paraId="790C1F4C" w14:textId="77777777" w:rsidR="00953DF6" w:rsidRDefault="00953DF6">
      <w:pPr>
        <w:rPr>
          <w:rFonts w:ascii="Times New Roman" w:hAnsi="Times New Roman" w:cs="Times New Roman"/>
        </w:rPr>
      </w:pPr>
    </w:p>
    <w:p w14:paraId="730F35D7" w14:textId="77777777" w:rsidR="00953DF6" w:rsidRDefault="00953DF6">
      <w:pPr>
        <w:rPr>
          <w:rFonts w:ascii="Times New Roman" w:hAnsi="Times New Roman" w:cs="Times New Roman"/>
        </w:rPr>
      </w:pPr>
    </w:p>
    <w:p w14:paraId="70DF12ED" w14:textId="77777777" w:rsidR="00953DF6" w:rsidRDefault="00953DF6">
      <w:pPr>
        <w:rPr>
          <w:rFonts w:ascii="Times New Roman" w:hAnsi="Times New Roman" w:cs="Times New Roman"/>
        </w:rPr>
      </w:pPr>
    </w:p>
    <w:p w14:paraId="52FBECF8" w14:textId="77777777" w:rsidR="00953DF6" w:rsidRDefault="00953DF6">
      <w:pPr>
        <w:rPr>
          <w:rFonts w:ascii="Times New Roman" w:hAnsi="Times New Roman" w:cs="Times New Roman"/>
        </w:rPr>
      </w:pPr>
    </w:p>
    <w:p w14:paraId="1AEA5737" w14:textId="77777777" w:rsidR="00953DF6" w:rsidRDefault="00953DF6">
      <w:pPr>
        <w:rPr>
          <w:rFonts w:ascii="Times New Roman" w:hAnsi="Times New Roman" w:cs="Times New Roman"/>
        </w:rPr>
      </w:pPr>
    </w:p>
    <w:p w14:paraId="427A3EBA" w14:textId="77777777" w:rsidR="00953DF6" w:rsidRDefault="00953DF6">
      <w:pPr>
        <w:rPr>
          <w:rFonts w:ascii="Times New Roman" w:hAnsi="Times New Roman" w:cs="Times New Roman"/>
        </w:rPr>
      </w:pPr>
    </w:p>
    <w:p w14:paraId="1EDEA955" w14:textId="77777777" w:rsidR="00953DF6" w:rsidRDefault="00953DF6">
      <w:pPr>
        <w:rPr>
          <w:rFonts w:ascii="Times New Roman" w:hAnsi="Times New Roman" w:cs="Times New Roman"/>
        </w:rPr>
      </w:pPr>
    </w:p>
    <w:p w14:paraId="2672ADA2" w14:textId="77777777" w:rsidR="00953DF6" w:rsidRDefault="00953DF6">
      <w:pPr>
        <w:rPr>
          <w:rFonts w:ascii="Times New Roman" w:hAnsi="Times New Roman" w:cs="Times New Roman"/>
        </w:rPr>
      </w:pPr>
    </w:p>
    <w:p w14:paraId="0A884975" w14:textId="77777777" w:rsidR="00953DF6" w:rsidRDefault="00953DF6">
      <w:pPr>
        <w:rPr>
          <w:rFonts w:ascii="Times New Roman" w:hAnsi="Times New Roman" w:cs="Times New Roman"/>
        </w:rPr>
      </w:pPr>
    </w:p>
    <w:p w14:paraId="574BAC4E" w14:textId="77777777" w:rsidR="00953DF6" w:rsidRDefault="00953DF6">
      <w:pPr>
        <w:rPr>
          <w:rFonts w:ascii="Times New Roman" w:hAnsi="Times New Roman" w:cs="Times New Roman"/>
        </w:rPr>
      </w:pPr>
    </w:p>
    <w:p w14:paraId="4975B543" w14:textId="77777777" w:rsidR="00953DF6" w:rsidRDefault="00953DF6">
      <w:pPr>
        <w:rPr>
          <w:rFonts w:ascii="Times New Roman" w:hAnsi="Times New Roman" w:cs="Times New Roman"/>
        </w:rPr>
      </w:pPr>
    </w:p>
    <w:p w14:paraId="2EBFC022" w14:textId="77777777" w:rsidR="00953DF6" w:rsidRDefault="00953DF6">
      <w:pPr>
        <w:rPr>
          <w:rFonts w:ascii="Times New Roman" w:hAnsi="Times New Roman" w:cs="Times New Roman"/>
        </w:rPr>
      </w:pPr>
    </w:p>
    <w:p w14:paraId="664F109D" w14:textId="77777777" w:rsidR="00953DF6" w:rsidRDefault="00953DF6">
      <w:pPr>
        <w:rPr>
          <w:rFonts w:ascii="Times New Roman" w:hAnsi="Times New Roman" w:cs="Times New Roman"/>
        </w:rPr>
      </w:pPr>
    </w:p>
    <w:p w14:paraId="1D2690C8" w14:textId="77777777" w:rsidR="00953DF6" w:rsidRDefault="00953DF6">
      <w:pPr>
        <w:rPr>
          <w:rFonts w:ascii="Times New Roman" w:hAnsi="Times New Roman" w:cs="Times New Roman"/>
        </w:rPr>
      </w:pPr>
    </w:p>
    <w:p w14:paraId="5B2A5185" w14:textId="77777777" w:rsidR="00953DF6" w:rsidRDefault="00953DF6">
      <w:pPr>
        <w:rPr>
          <w:rFonts w:ascii="Times New Roman" w:hAnsi="Times New Roman" w:cs="Times New Roman"/>
        </w:rPr>
      </w:pPr>
    </w:p>
    <w:p w14:paraId="2A4D6F6C" w14:textId="77777777" w:rsidR="00953DF6" w:rsidRDefault="00953DF6">
      <w:pPr>
        <w:rPr>
          <w:rFonts w:ascii="Times New Roman" w:hAnsi="Times New Roman" w:cs="Times New Roman"/>
        </w:rPr>
      </w:pPr>
    </w:p>
    <w:p w14:paraId="6E2DBB62" w14:textId="77777777" w:rsidR="00953DF6" w:rsidRDefault="00953DF6">
      <w:pPr>
        <w:rPr>
          <w:rFonts w:ascii="Times New Roman" w:hAnsi="Times New Roman" w:cs="Times New Roman"/>
        </w:rPr>
      </w:pPr>
    </w:p>
    <w:p w14:paraId="2049224E" w14:textId="77777777" w:rsidR="00953DF6" w:rsidRDefault="00953DF6">
      <w:pPr>
        <w:rPr>
          <w:rFonts w:ascii="Times New Roman" w:hAnsi="Times New Roman" w:cs="Times New Roman"/>
        </w:rPr>
      </w:pPr>
    </w:p>
    <w:p w14:paraId="67F140F3" w14:textId="77777777" w:rsidR="00953DF6" w:rsidRDefault="00953DF6">
      <w:pPr>
        <w:rPr>
          <w:rFonts w:ascii="Times New Roman" w:hAnsi="Times New Roman" w:cs="Times New Roman"/>
        </w:rPr>
      </w:pPr>
    </w:p>
    <w:p w14:paraId="4B352B16" w14:textId="77777777" w:rsidR="00953DF6" w:rsidRDefault="00953DF6">
      <w:pPr>
        <w:rPr>
          <w:rFonts w:ascii="Times New Roman" w:hAnsi="Times New Roman" w:cs="Times New Roman"/>
        </w:rPr>
      </w:pPr>
    </w:p>
    <w:p w14:paraId="1235DD0D" w14:textId="77777777" w:rsidR="00953DF6" w:rsidRDefault="00953DF6">
      <w:pPr>
        <w:rPr>
          <w:rFonts w:ascii="Times New Roman" w:hAnsi="Times New Roman" w:cs="Times New Roman"/>
        </w:rPr>
      </w:pPr>
    </w:p>
    <w:p w14:paraId="4AB2F95A" w14:textId="77777777" w:rsidR="00953DF6" w:rsidRDefault="00953DF6">
      <w:pPr>
        <w:rPr>
          <w:rFonts w:ascii="Times New Roman" w:hAnsi="Times New Roman" w:cs="Times New Roman"/>
        </w:rPr>
      </w:pPr>
    </w:p>
    <w:p w14:paraId="7792CADD" w14:textId="77777777" w:rsidR="00953DF6" w:rsidRDefault="00953DF6">
      <w:pPr>
        <w:rPr>
          <w:rFonts w:ascii="Times New Roman" w:hAnsi="Times New Roman" w:cs="Times New Roman"/>
        </w:rPr>
      </w:pPr>
    </w:p>
    <w:p w14:paraId="3A1B6DBE" w14:textId="77777777" w:rsidR="00953DF6" w:rsidRDefault="00953DF6">
      <w:pPr>
        <w:rPr>
          <w:rFonts w:ascii="Times New Roman" w:hAnsi="Times New Roman" w:cs="Times New Roman"/>
        </w:rPr>
      </w:pPr>
    </w:p>
    <w:p w14:paraId="71904565" w14:textId="77777777" w:rsidR="00953DF6" w:rsidRDefault="00953DF6">
      <w:pPr>
        <w:rPr>
          <w:rFonts w:ascii="Times New Roman" w:hAnsi="Times New Roman" w:cs="Times New Roman"/>
        </w:rPr>
      </w:pPr>
    </w:p>
    <w:p w14:paraId="3A178741" w14:textId="77777777" w:rsidR="00953DF6" w:rsidRDefault="00953DF6">
      <w:pPr>
        <w:rPr>
          <w:rFonts w:ascii="Times New Roman" w:hAnsi="Times New Roman" w:cs="Times New Roman"/>
        </w:rPr>
      </w:pPr>
    </w:p>
    <w:p w14:paraId="332CB67F" w14:textId="77777777" w:rsidR="00953DF6" w:rsidRDefault="00953DF6">
      <w:pPr>
        <w:rPr>
          <w:rFonts w:ascii="Times New Roman" w:hAnsi="Times New Roman" w:cs="Times New Roman"/>
        </w:rPr>
      </w:pPr>
    </w:p>
    <w:p w14:paraId="6E008B2B" w14:textId="77777777" w:rsidR="00953DF6" w:rsidRDefault="00000000">
      <w:pPr>
        <w:ind w:leftChars="-67" w:hangingChars="67" w:hanging="141"/>
        <w:rPr>
          <w:rFonts w:ascii="Times New Roman" w:eastAsia="宋体" w:hAnsi="Times New Roman" w:cs="Times New Roman"/>
          <w:bCs/>
          <w:kern w:val="0"/>
          <w:szCs w:val="21"/>
        </w:rPr>
      </w:pPr>
      <w:r>
        <w:rPr>
          <w:rFonts w:ascii="Times New Roman" w:eastAsia="宋体" w:hAnsi="Times New Roman" w:cs="Times New Roman"/>
          <w:b/>
          <w:kern w:val="0"/>
          <w:szCs w:val="21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b/>
          <w:kern w:val="0"/>
          <w:szCs w:val="21"/>
        </w:rPr>
        <w:t>S2</w:t>
      </w:r>
      <w:r>
        <w:rPr>
          <w:rFonts w:ascii="Times New Roman" w:eastAsia="宋体" w:hAnsi="Times New Roman" w:cs="Times New Roman"/>
          <w:bCs/>
          <w:kern w:val="0"/>
          <w:szCs w:val="21"/>
        </w:rPr>
        <w:t xml:space="preserve"> Relationship between ABSI and the incident stroke in different models</w:t>
      </w:r>
    </w:p>
    <w:tbl>
      <w:tblPr>
        <w:tblStyle w:val="61"/>
        <w:tblW w:w="8646" w:type="dxa"/>
        <w:jc w:val="center"/>
        <w:tblLook w:val="04A0" w:firstRow="1" w:lastRow="0" w:firstColumn="1" w:lastColumn="0" w:noHBand="0" w:noVBand="1"/>
      </w:tblPr>
      <w:tblGrid>
        <w:gridCol w:w="1876"/>
        <w:gridCol w:w="2351"/>
        <w:gridCol w:w="2169"/>
        <w:gridCol w:w="2250"/>
      </w:tblGrid>
      <w:tr w:rsidR="00953DF6" w14:paraId="56588693" w14:textId="77777777" w:rsidTr="00953D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</w:tcPr>
          <w:p w14:paraId="0351DA15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Exposure</w:t>
            </w:r>
          </w:p>
        </w:tc>
        <w:tc>
          <w:tcPr>
            <w:tcW w:w="2351" w:type="dxa"/>
          </w:tcPr>
          <w:p w14:paraId="45C71A0A" w14:textId="6EFA3E09" w:rsidR="00953DF6" w:rsidRDefault="0000000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Model 1 (HR,95% CI, P) </w:t>
            </w:r>
          </w:p>
        </w:tc>
        <w:tc>
          <w:tcPr>
            <w:tcW w:w="2169" w:type="dxa"/>
          </w:tcPr>
          <w:p w14:paraId="151D7A76" w14:textId="31E37820" w:rsidR="00953DF6" w:rsidRDefault="0000000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Model 2 (HR,</w:t>
            </w:r>
            <w:r w:rsidR="005E5AAB">
              <w:rPr>
                <w:rFonts w:ascii="Times New Roman" w:hAnsi="Times New Roman" w:cs="Times New Roman" w:hint="eastAsia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95% CI, P)</w:t>
            </w:r>
          </w:p>
        </w:tc>
        <w:tc>
          <w:tcPr>
            <w:tcW w:w="2250" w:type="dxa"/>
          </w:tcPr>
          <w:p w14:paraId="4A092C26" w14:textId="112ACC12" w:rsidR="00953DF6" w:rsidRDefault="0000000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Model 3 (HR,</w:t>
            </w:r>
            <w:r w:rsidR="005E5AAB">
              <w:rPr>
                <w:rFonts w:ascii="Times New Roman" w:hAnsi="Times New Roman" w:cs="Times New Roman" w:hint="eastAsia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95% CI, P)</w:t>
            </w:r>
          </w:p>
        </w:tc>
      </w:tr>
      <w:tr w:rsidR="00953DF6" w14:paraId="1308B4D9" w14:textId="77777777" w:rsidTr="00953D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</w:tcPr>
          <w:p w14:paraId="3C1AF8E6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ABSI</w:t>
            </w:r>
          </w:p>
        </w:tc>
        <w:tc>
          <w:tcPr>
            <w:tcW w:w="2351" w:type="dxa"/>
            <w:vAlign w:val="center"/>
          </w:tcPr>
          <w:p w14:paraId="336672E1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11.52 (4.34, 30.55) &lt;0.0001</w:t>
            </w:r>
          </w:p>
        </w:tc>
        <w:tc>
          <w:tcPr>
            <w:tcW w:w="2169" w:type="dxa"/>
            <w:vAlign w:val="center"/>
          </w:tcPr>
          <w:p w14:paraId="56970C81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10.52 (3.92, 28.22) &lt;0.0001</w:t>
            </w:r>
          </w:p>
        </w:tc>
        <w:tc>
          <w:tcPr>
            <w:tcW w:w="2250" w:type="dxa"/>
            <w:vAlign w:val="center"/>
          </w:tcPr>
          <w:p w14:paraId="26C1578C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3.32 (1.22, 9.09) 0.0192 </w:t>
            </w:r>
          </w:p>
        </w:tc>
      </w:tr>
      <w:tr w:rsidR="00953DF6" w14:paraId="350EF527" w14:textId="77777777" w:rsidTr="00953D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</w:tcPr>
          <w:p w14:paraId="663D79D3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ABSI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(quartile)</w:t>
            </w:r>
          </w:p>
        </w:tc>
        <w:tc>
          <w:tcPr>
            <w:tcW w:w="2351" w:type="dxa"/>
            <w:vAlign w:val="center"/>
          </w:tcPr>
          <w:p w14:paraId="439B775B" w14:textId="77777777" w:rsidR="00953DF6" w:rsidRDefault="00953DF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vAlign w:val="center"/>
          </w:tcPr>
          <w:p w14:paraId="2E6C6232" w14:textId="77777777" w:rsidR="00953DF6" w:rsidRDefault="00953DF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5E85AD9F" w14:textId="77777777" w:rsidR="00953DF6" w:rsidRDefault="00953DF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 w:rsidR="00953DF6" w14:paraId="3FA5943F" w14:textId="77777777" w:rsidTr="00953D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  <w:vAlign w:val="center"/>
          </w:tcPr>
          <w:p w14:paraId="5F77B685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     Q1</w:t>
            </w:r>
          </w:p>
        </w:tc>
        <w:tc>
          <w:tcPr>
            <w:tcW w:w="2351" w:type="dxa"/>
            <w:vAlign w:val="center"/>
          </w:tcPr>
          <w:p w14:paraId="3FE18CAA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Ref</w:t>
            </w:r>
          </w:p>
        </w:tc>
        <w:tc>
          <w:tcPr>
            <w:tcW w:w="2169" w:type="dxa"/>
            <w:vAlign w:val="center"/>
          </w:tcPr>
          <w:p w14:paraId="2371C900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Ref</w:t>
            </w:r>
          </w:p>
        </w:tc>
        <w:tc>
          <w:tcPr>
            <w:tcW w:w="2250" w:type="dxa"/>
            <w:vAlign w:val="center"/>
          </w:tcPr>
          <w:p w14:paraId="2F4B60AE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Ref </w:t>
            </w:r>
          </w:p>
        </w:tc>
      </w:tr>
      <w:tr w:rsidR="00953DF6" w14:paraId="512FE0E2" w14:textId="77777777" w:rsidTr="00953D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  <w:vAlign w:val="center"/>
          </w:tcPr>
          <w:p w14:paraId="196E1BDD" w14:textId="77777777" w:rsidR="00953DF6" w:rsidRDefault="00000000">
            <w:pPr>
              <w:widowControl/>
              <w:ind w:firstLineChars="200" w:firstLine="360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Q2</w:t>
            </w:r>
          </w:p>
        </w:tc>
        <w:tc>
          <w:tcPr>
            <w:tcW w:w="2351" w:type="dxa"/>
            <w:vAlign w:val="center"/>
          </w:tcPr>
          <w:p w14:paraId="1A0542F7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1.17 (0.98, 1.40) 0.0852</w:t>
            </w:r>
          </w:p>
        </w:tc>
        <w:tc>
          <w:tcPr>
            <w:tcW w:w="2169" w:type="dxa"/>
            <w:vAlign w:val="center"/>
          </w:tcPr>
          <w:p w14:paraId="210AF30F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1.16 (0.97, 1.38) 0.1147</w:t>
            </w:r>
          </w:p>
        </w:tc>
        <w:tc>
          <w:tcPr>
            <w:tcW w:w="2250" w:type="dxa"/>
            <w:vAlign w:val="center"/>
          </w:tcPr>
          <w:p w14:paraId="32DF3AF9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1.09 (0.91, 1.31) 0.3276 </w:t>
            </w:r>
          </w:p>
        </w:tc>
      </w:tr>
      <w:tr w:rsidR="00953DF6" w14:paraId="271D016B" w14:textId="77777777" w:rsidTr="00953D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  <w:vAlign w:val="center"/>
          </w:tcPr>
          <w:p w14:paraId="0A9B8168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     Q3</w:t>
            </w:r>
          </w:p>
        </w:tc>
        <w:tc>
          <w:tcPr>
            <w:tcW w:w="2351" w:type="dxa"/>
            <w:vAlign w:val="center"/>
          </w:tcPr>
          <w:p w14:paraId="6082486A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1.20 (1.01, 1.44) 0.0433</w:t>
            </w:r>
          </w:p>
        </w:tc>
        <w:tc>
          <w:tcPr>
            <w:tcW w:w="2169" w:type="dxa"/>
            <w:vAlign w:val="center"/>
          </w:tcPr>
          <w:p w14:paraId="1DB0B640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1.18 (0.99, 1.42) 0.0655</w:t>
            </w:r>
          </w:p>
        </w:tc>
        <w:tc>
          <w:tcPr>
            <w:tcW w:w="2250" w:type="dxa"/>
            <w:vAlign w:val="center"/>
          </w:tcPr>
          <w:p w14:paraId="1B5C81E8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1.01 (0.84, 1.21) 0.9116 </w:t>
            </w:r>
          </w:p>
        </w:tc>
      </w:tr>
      <w:tr w:rsidR="00953DF6" w14:paraId="22E0184B" w14:textId="77777777" w:rsidTr="00953D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  <w:vAlign w:val="center"/>
          </w:tcPr>
          <w:p w14:paraId="6B213A00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     Q4</w:t>
            </w:r>
          </w:p>
        </w:tc>
        <w:tc>
          <w:tcPr>
            <w:tcW w:w="2351" w:type="dxa"/>
            <w:vAlign w:val="center"/>
          </w:tcPr>
          <w:p w14:paraId="05911018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1.58 (1.33, 1.87) &lt;0.0001</w:t>
            </w:r>
          </w:p>
        </w:tc>
        <w:tc>
          <w:tcPr>
            <w:tcW w:w="2169" w:type="dxa"/>
            <w:vAlign w:val="center"/>
          </w:tcPr>
          <w:p w14:paraId="5FBF76CB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1.55 (1.30, 1.84) &lt;0.0001</w:t>
            </w:r>
          </w:p>
        </w:tc>
        <w:tc>
          <w:tcPr>
            <w:tcW w:w="2250" w:type="dxa"/>
            <w:vAlign w:val="center"/>
          </w:tcPr>
          <w:p w14:paraId="26F77134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1.18 (0.98, 1.42) 0.0776 </w:t>
            </w:r>
          </w:p>
        </w:tc>
      </w:tr>
      <w:tr w:rsidR="00953DF6" w14:paraId="7B6DE46E" w14:textId="77777777" w:rsidTr="00953D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  <w:vAlign w:val="center"/>
          </w:tcPr>
          <w:p w14:paraId="6C11EE82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 for trend</w:t>
            </w:r>
          </w:p>
        </w:tc>
        <w:tc>
          <w:tcPr>
            <w:tcW w:w="2351" w:type="dxa"/>
            <w:vAlign w:val="center"/>
          </w:tcPr>
          <w:p w14:paraId="6609AB25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&lt;0.0001</w:t>
            </w:r>
          </w:p>
        </w:tc>
        <w:tc>
          <w:tcPr>
            <w:tcW w:w="2169" w:type="dxa"/>
            <w:vAlign w:val="center"/>
          </w:tcPr>
          <w:p w14:paraId="30C7DC58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&lt;0.0001</w:t>
            </w:r>
          </w:p>
        </w:tc>
        <w:tc>
          <w:tcPr>
            <w:tcW w:w="2250" w:type="dxa"/>
            <w:vAlign w:val="center"/>
          </w:tcPr>
          <w:p w14:paraId="7E1A49D0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0.1587</w:t>
            </w:r>
          </w:p>
        </w:tc>
      </w:tr>
    </w:tbl>
    <w:p w14:paraId="16BD535C" w14:textId="77777777" w:rsidR="00953DF6" w:rsidRDefault="00000000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Model 1: we did not adjust for other covariants.</w:t>
      </w:r>
    </w:p>
    <w:p w14:paraId="2C4B62A7" w14:textId="77777777" w:rsidR="00953DF6" w:rsidRDefault="00000000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Model 2: we adjusted for age, gender, smoking, drinking, and physical activity.</w:t>
      </w:r>
    </w:p>
    <w:p w14:paraId="5562BDC0" w14:textId="77777777" w:rsidR="00953DF6" w:rsidRDefault="00000000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Model 3: we adjusted for</w:t>
      </w:r>
      <w:bookmarkStart w:id="0" w:name="_Hlk49708450"/>
      <w:r>
        <w:rPr>
          <w:rFonts w:ascii="Times New Roman" w:hAnsi="Times New Roman" w:cs="Times New Roman"/>
          <w:sz w:val="16"/>
          <w:szCs w:val="18"/>
        </w:rPr>
        <w:t xml:space="preserve"> </w:t>
      </w:r>
      <w:bookmarkEnd w:id="0"/>
      <w:r>
        <w:rPr>
          <w:rFonts w:ascii="Times New Roman" w:hAnsi="Times New Roman" w:cs="Times New Roman"/>
          <w:sz w:val="16"/>
          <w:szCs w:val="18"/>
        </w:rPr>
        <w:t>age, gender, smoking, drinking, physical activity, BMI, heart disease, CLD, hypertension, DM, liver disease, WBC, PLT, HDL-C, LDL-C, CRP, Scr, UA, BUN, Cystatin C, and hemoglobin.</w:t>
      </w:r>
    </w:p>
    <w:p w14:paraId="0602BD73" w14:textId="77777777" w:rsidR="00953DF6" w:rsidRDefault="00000000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HR: hazard ratios; CI: confidence interval; Ref: reference; ABSI: a body shape index</w:t>
      </w:r>
    </w:p>
    <w:p w14:paraId="41F869B0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755DB6EF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265C590A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36FDB54A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78974134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4C50F8D0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573FABBA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52206916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2AE2EBE3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5A89F3EE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6CF3F9D8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1417D301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1D72AA58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3E249418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3CA610D6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58E1BBC1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20CFC03E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10257AD3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6B799E21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5CEF3111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1D3DAC39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01E597DD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0758B848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560CF637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565E2B81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73B427E8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6DD09384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0FD654A0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3DAF7D47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34468B9A" w14:textId="77777777" w:rsidR="00953DF6" w:rsidRDefault="00000000">
      <w:pPr>
        <w:ind w:leftChars="-67" w:hangingChars="67" w:hanging="141"/>
        <w:rPr>
          <w:rFonts w:ascii="Times New Roman" w:eastAsia="宋体" w:hAnsi="Times New Roman" w:cs="Times New Roman"/>
          <w:bCs/>
          <w:kern w:val="0"/>
          <w:szCs w:val="21"/>
        </w:rPr>
      </w:pPr>
      <w:r>
        <w:rPr>
          <w:rFonts w:ascii="Times New Roman" w:eastAsia="宋体" w:hAnsi="Times New Roman" w:cs="Times New Roman"/>
          <w:b/>
          <w:kern w:val="0"/>
          <w:szCs w:val="21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b/>
          <w:kern w:val="0"/>
          <w:szCs w:val="21"/>
        </w:rPr>
        <w:t>S2</w:t>
      </w:r>
      <w:r>
        <w:rPr>
          <w:rFonts w:ascii="Times New Roman" w:eastAsia="宋体" w:hAnsi="Times New Roman" w:cs="Times New Roman"/>
          <w:bCs/>
          <w:kern w:val="0"/>
          <w:szCs w:val="21"/>
        </w:rPr>
        <w:t xml:space="preserve"> Relationship between </w:t>
      </w:r>
      <w:r>
        <w:rPr>
          <w:rFonts w:ascii="Times New Roman" w:eastAsia="宋体" w:hAnsi="Times New Roman" w:cs="Times New Roman" w:hint="eastAsia"/>
          <w:bCs/>
          <w:kern w:val="0"/>
          <w:szCs w:val="21"/>
        </w:rPr>
        <w:t>kidney function</w:t>
      </w:r>
      <w:r>
        <w:rPr>
          <w:rFonts w:ascii="Times New Roman" w:eastAsia="宋体" w:hAnsi="Times New Roman" w:cs="Times New Roman"/>
          <w:bCs/>
          <w:kern w:val="0"/>
          <w:szCs w:val="21"/>
        </w:rPr>
        <w:t xml:space="preserve"> and the incident stroke in different models</w:t>
      </w:r>
    </w:p>
    <w:tbl>
      <w:tblPr>
        <w:tblStyle w:val="61"/>
        <w:tblW w:w="8567" w:type="dxa"/>
        <w:jc w:val="center"/>
        <w:tblLook w:val="04A0" w:firstRow="1" w:lastRow="0" w:firstColumn="1" w:lastColumn="0" w:noHBand="0" w:noVBand="1"/>
      </w:tblPr>
      <w:tblGrid>
        <w:gridCol w:w="2150"/>
        <w:gridCol w:w="2077"/>
        <w:gridCol w:w="2169"/>
        <w:gridCol w:w="2171"/>
      </w:tblGrid>
      <w:tr w:rsidR="00953DF6" w14:paraId="54576F80" w14:textId="77777777" w:rsidTr="00953D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</w:tcPr>
          <w:p w14:paraId="0684B83D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Exposure</w:t>
            </w:r>
          </w:p>
        </w:tc>
        <w:tc>
          <w:tcPr>
            <w:tcW w:w="2077" w:type="dxa"/>
          </w:tcPr>
          <w:p w14:paraId="145455F0" w14:textId="311FFC73" w:rsidR="00953DF6" w:rsidRDefault="0000000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Model 1 (HR,</w:t>
            </w:r>
            <w:r w:rsidR="005E5AAB">
              <w:rPr>
                <w:rFonts w:ascii="Times New Roman" w:hAnsi="Times New Roman" w:cs="Times New Roman" w:hint="eastAsia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95% CI, P) </w:t>
            </w:r>
          </w:p>
        </w:tc>
        <w:tc>
          <w:tcPr>
            <w:tcW w:w="2169" w:type="dxa"/>
          </w:tcPr>
          <w:p w14:paraId="3CF7AC58" w14:textId="33248AFD" w:rsidR="00953DF6" w:rsidRDefault="0000000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Model 2 (HR,</w:t>
            </w:r>
            <w:r w:rsidR="005E5AAB">
              <w:rPr>
                <w:rFonts w:ascii="Times New Roman" w:hAnsi="Times New Roman" w:cs="Times New Roman" w:hint="eastAsia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95% CI, P)</w:t>
            </w:r>
          </w:p>
        </w:tc>
        <w:tc>
          <w:tcPr>
            <w:tcW w:w="2171" w:type="dxa"/>
          </w:tcPr>
          <w:p w14:paraId="41DA0822" w14:textId="1BF4E321" w:rsidR="00953DF6" w:rsidRDefault="0000000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Model 3 (HR,</w:t>
            </w:r>
            <w:r w:rsidR="005E5AAB">
              <w:rPr>
                <w:rFonts w:ascii="Times New Roman" w:hAnsi="Times New Roman" w:cs="Times New Roman" w:hint="eastAsia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95% CI, P)</w:t>
            </w:r>
          </w:p>
        </w:tc>
      </w:tr>
      <w:tr w:rsidR="00953DF6" w14:paraId="0AE2177F" w14:textId="77777777" w:rsidTr="00953D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</w:tcPr>
          <w:p w14:paraId="2F9E8FB1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 w:val="0"/>
                <w:color w:val="auto"/>
                <w:sz w:val="18"/>
                <w:szCs w:val="18"/>
              </w:rPr>
              <w:t>eGFR</w:t>
            </w:r>
          </w:p>
        </w:tc>
        <w:tc>
          <w:tcPr>
            <w:tcW w:w="2077" w:type="dxa"/>
            <w:vAlign w:val="center"/>
          </w:tcPr>
          <w:p w14:paraId="03493848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0.984 (0.980, 0.988) &lt;0.00001</w:t>
            </w:r>
          </w:p>
        </w:tc>
        <w:tc>
          <w:tcPr>
            <w:tcW w:w="2169" w:type="dxa"/>
            <w:vAlign w:val="center"/>
          </w:tcPr>
          <w:p w14:paraId="212A30D2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0.985 (0.981, 0.989) &lt;0.00001</w:t>
            </w:r>
          </w:p>
        </w:tc>
        <w:tc>
          <w:tcPr>
            <w:tcW w:w="2171" w:type="dxa"/>
            <w:vAlign w:val="center"/>
          </w:tcPr>
          <w:p w14:paraId="28DA44A5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0.990 (0.985, 0.994) &lt;0.00001 </w:t>
            </w:r>
          </w:p>
        </w:tc>
      </w:tr>
      <w:tr w:rsidR="00953DF6" w14:paraId="0F7E5096" w14:textId="77777777" w:rsidTr="00953D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</w:tcPr>
          <w:p w14:paraId="5F50BC74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 w:val="0"/>
                <w:color w:val="auto"/>
                <w:sz w:val="18"/>
                <w:szCs w:val="18"/>
              </w:rPr>
              <w:t>eGFR</w:t>
            </w:r>
            <w:r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  <w:t xml:space="preserve"> (quartile)</w:t>
            </w:r>
          </w:p>
        </w:tc>
        <w:tc>
          <w:tcPr>
            <w:tcW w:w="2077" w:type="dxa"/>
            <w:vAlign w:val="center"/>
          </w:tcPr>
          <w:p w14:paraId="15B59B44" w14:textId="77777777" w:rsidR="00953DF6" w:rsidRDefault="00953DF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vAlign w:val="center"/>
          </w:tcPr>
          <w:p w14:paraId="1668C3A4" w14:textId="77777777" w:rsidR="00953DF6" w:rsidRDefault="00953DF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2171" w:type="dxa"/>
            <w:vAlign w:val="center"/>
          </w:tcPr>
          <w:p w14:paraId="4D331B6C" w14:textId="77777777" w:rsidR="00953DF6" w:rsidRDefault="00953DF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 w:rsidR="00953DF6" w14:paraId="166B50FC" w14:textId="77777777" w:rsidTr="00953D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2F426BD3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     Q1</w:t>
            </w:r>
          </w:p>
        </w:tc>
        <w:tc>
          <w:tcPr>
            <w:tcW w:w="2077" w:type="dxa"/>
            <w:vAlign w:val="center"/>
          </w:tcPr>
          <w:p w14:paraId="69930214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Ref</w:t>
            </w:r>
          </w:p>
        </w:tc>
        <w:tc>
          <w:tcPr>
            <w:tcW w:w="2169" w:type="dxa"/>
            <w:vAlign w:val="center"/>
          </w:tcPr>
          <w:p w14:paraId="6D8A4AB0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Ref</w:t>
            </w:r>
          </w:p>
        </w:tc>
        <w:tc>
          <w:tcPr>
            <w:tcW w:w="2171" w:type="dxa"/>
            <w:vAlign w:val="center"/>
          </w:tcPr>
          <w:p w14:paraId="3CE91040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Ref </w:t>
            </w:r>
          </w:p>
        </w:tc>
      </w:tr>
      <w:tr w:rsidR="00953DF6" w14:paraId="39E2B284" w14:textId="77777777" w:rsidTr="00953D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78C90E04" w14:textId="77777777" w:rsidR="00953DF6" w:rsidRDefault="00000000">
            <w:pPr>
              <w:widowControl/>
              <w:ind w:firstLineChars="200" w:firstLine="360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Q2</w:t>
            </w:r>
          </w:p>
        </w:tc>
        <w:tc>
          <w:tcPr>
            <w:tcW w:w="2077" w:type="dxa"/>
            <w:vAlign w:val="center"/>
          </w:tcPr>
          <w:p w14:paraId="7AC7D846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0.844 (0.704, 1.012) 0.06638</w:t>
            </w:r>
          </w:p>
        </w:tc>
        <w:tc>
          <w:tcPr>
            <w:tcW w:w="2169" w:type="dxa"/>
            <w:vAlign w:val="center"/>
          </w:tcPr>
          <w:p w14:paraId="75115924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0.864 (0.720, 1.036) 0.11521</w:t>
            </w:r>
          </w:p>
        </w:tc>
        <w:tc>
          <w:tcPr>
            <w:tcW w:w="2171" w:type="dxa"/>
            <w:vAlign w:val="center"/>
          </w:tcPr>
          <w:p w14:paraId="7E9CD2A5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0.926 (0.772, 1.112) 0.41117 </w:t>
            </w:r>
          </w:p>
        </w:tc>
      </w:tr>
      <w:tr w:rsidR="00953DF6" w14:paraId="14F439FE" w14:textId="77777777" w:rsidTr="00953D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13B71743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     Q3</w:t>
            </w:r>
          </w:p>
        </w:tc>
        <w:tc>
          <w:tcPr>
            <w:tcW w:w="2077" w:type="dxa"/>
            <w:vAlign w:val="center"/>
          </w:tcPr>
          <w:p w14:paraId="0C3470EA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0.722 (0.599, 0.870) 0.00062</w:t>
            </w:r>
          </w:p>
        </w:tc>
        <w:tc>
          <w:tcPr>
            <w:tcW w:w="2169" w:type="dxa"/>
            <w:vAlign w:val="center"/>
          </w:tcPr>
          <w:p w14:paraId="5B25F7A9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0.747 (0.619, 0.901) 0.00226</w:t>
            </w:r>
          </w:p>
        </w:tc>
        <w:tc>
          <w:tcPr>
            <w:tcW w:w="2171" w:type="dxa"/>
            <w:vAlign w:val="center"/>
          </w:tcPr>
          <w:p w14:paraId="543B11DF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0.839 (0.695, 1.013) 0.06846 </w:t>
            </w:r>
          </w:p>
        </w:tc>
      </w:tr>
      <w:tr w:rsidR="00953DF6" w14:paraId="4CB10714" w14:textId="77777777" w:rsidTr="00953D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5E5F57CB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     Q4</w:t>
            </w:r>
          </w:p>
        </w:tc>
        <w:tc>
          <w:tcPr>
            <w:tcW w:w="2077" w:type="dxa"/>
            <w:vAlign w:val="center"/>
          </w:tcPr>
          <w:p w14:paraId="3C266252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0.482 (0.387, 0.601) &lt;0.00001</w:t>
            </w:r>
          </w:p>
        </w:tc>
        <w:tc>
          <w:tcPr>
            <w:tcW w:w="2169" w:type="dxa"/>
            <w:vAlign w:val="center"/>
          </w:tcPr>
          <w:p w14:paraId="29862DB3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0.509 (0.407, 0.635) &lt;0.00001</w:t>
            </w:r>
          </w:p>
        </w:tc>
        <w:tc>
          <w:tcPr>
            <w:tcW w:w="2171" w:type="dxa"/>
            <w:vAlign w:val="center"/>
          </w:tcPr>
          <w:p w14:paraId="3A09E0FD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0.609 (0.486, 0.764) 0.00002 </w:t>
            </w:r>
          </w:p>
        </w:tc>
      </w:tr>
      <w:tr w:rsidR="00953DF6" w14:paraId="0B89B8D5" w14:textId="77777777" w:rsidTr="00953D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1039A00D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 for trend</w:t>
            </w:r>
          </w:p>
        </w:tc>
        <w:tc>
          <w:tcPr>
            <w:tcW w:w="2077" w:type="dxa"/>
            <w:vAlign w:val="center"/>
          </w:tcPr>
          <w:p w14:paraId="61C21A5B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&lt;0.00001</w:t>
            </w:r>
          </w:p>
        </w:tc>
        <w:tc>
          <w:tcPr>
            <w:tcW w:w="2169" w:type="dxa"/>
            <w:vAlign w:val="center"/>
          </w:tcPr>
          <w:p w14:paraId="373633D7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0.00108</w:t>
            </w:r>
          </w:p>
        </w:tc>
        <w:tc>
          <w:tcPr>
            <w:tcW w:w="2171" w:type="dxa"/>
            <w:vAlign w:val="center"/>
          </w:tcPr>
          <w:p w14:paraId="50324CD4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0.00002</w:t>
            </w:r>
          </w:p>
        </w:tc>
      </w:tr>
      <w:tr w:rsidR="00953DF6" w14:paraId="6D5C544E" w14:textId="77777777" w:rsidTr="00953D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39222333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CKD</w:t>
            </w:r>
          </w:p>
        </w:tc>
        <w:tc>
          <w:tcPr>
            <w:tcW w:w="2077" w:type="dxa"/>
            <w:vAlign w:val="center"/>
          </w:tcPr>
          <w:p w14:paraId="4FFED5AC" w14:textId="77777777" w:rsidR="00953DF6" w:rsidRDefault="00953DF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vAlign w:val="center"/>
          </w:tcPr>
          <w:p w14:paraId="09E7EF94" w14:textId="77777777" w:rsidR="00953DF6" w:rsidRDefault="00953DF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2171" w:type="dxa"/>
            <w:vAlign w:val="center"/>
          </w:tcPr>
          <w:p w14:paraId="4A415FC1" w14:textId="77777777" w:rsidR="00953DF6" w:rsidRDefault="00953DF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 w:rsidR="00953DF6" w14:paraId="01426118" w14:textId="77777777" w:rsidTr="00953D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754525D9" w14:textId="77777777" w:rsidR="00953DF6" w:rsidRDefault="00000000">
            <w:pPr>
              <w:widowControl/>
              <w:ind w:firstLineChars="100" w:firstLine="180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No</w:t>
            </w:r>
          </w:p>
        </w:tc>
        <w:tc>
          <w:tcPr>
            <w:tcW w:w="2077" w:type="dxa"/>
            <w:vAlign w:val="center"/>
          </w:tcPr>
          <w:p w14:paraId="32FED85C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Ref</w:t>
            </w:r>
          </w:p>
        </w:tc>
        <w:tc>
          <w:tcPr>
            <w:tcW w:w="2169" w:type="dxa"/>
            <w:vAlign w:val="center"/>
          </w:tcPr>
          <w:p w14:paraId="3E105B19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Ref</w:t>
            </w:r>
          </w:p>
        </w:tc>
        <w:tc>
          <w:tcPr>
            <w:tcW w:w="2171" w:type="dxa"/>
            <w:vAlign w:val="center"/>
          </w:tcPr>
          <w:p w14:paraId="39DC99CB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Ref </w:t>
            </w:r>
          </w:p>
        </w:tc>
      </w:tr>
      <w:tr w:rsidR="00953DF6" w14:paraId="1684973F" w14:textId="77777777" w:rsidTr="00953D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48FC49E2" w14:textId="77777777" w:rsidR="00953DF6" w:rsidRDefault="00000000">
            <w:pPr>
              <w:widowControl/>
              <w:ind w:firstLineChars="100" w:firstLine="180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Yes</w:t>
            </w:r>
          </w:p>
        </w:tc>
        <w:tc>
          <w:tcPr>
            <w:tcW w:w="2077" w:type="dxa"/>
            <w:vAlign w:val="center"/>
          </w:tcPr>
          <w:p w14:paraId="2F2EBB5D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1.499 (1.190, 1.888) 0.00059</w:t>
            </w:r>
          </w:p>
        </w:tc>
        <w:tc>
          <w:tcPr>
            <w:tcW w:w="2169" w:type="dxa"/>
            <w:vAlign w:val="center"/>
          </w:tcPr>
          <w:p w14:paraId="570B18A6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1.452 (1.152, 1.830) 0.00160</w:t>
            </w:r>
          </w:p>
        </w:tc>
        <w:tc>
          <w:tcPr>
            <w:tcW w:w="2171" w:type="dxa"/>
            <w:vAlign w:val="center"/>
          </w:tcPr>
          <w:p w14:paraId="275D27F7" w14:textId="77777777" w:rsidR="00953DF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1.326 (1.049, 1.676) 0.01832 </w:t>
            </w:r>
          </w:p>
        </w:tc>
      </w:tr>
    </w:tbl>
    <w:p w14:paraId="25702495" w14:textId="77777777" w:rsidR="00953DF6" w:rsidRDefault="00000000">
      <w:pPr>
        <w:ind w:left="480" w:hangingChars="300" w:hanging="480"/>
        <w:jc w:val="left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Model 1: we did not adjust for other covariants.</w:t>
      </w:r>
    </w:p>
    <w:p w14:paraId="2E795B65" w14:textId="77777777" w:rsidR="00953DF6" w:rsidRDefault="00000000">
      <w:pPr>
        <w:ind w:left="480" w:hangingChars="300" w:hanging="480"/>
        <w:jc w:val="left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Model 2: we adjusted for age, gender, smoking, drinking, and physical activity.</w:t>
      </w:r>
    </w:p>
    <w:p w14:paraId="5A0AB13F" w14:textId="77777777" w:rsidR="00953DF6" w:rsidRDefault="00000000">
      <w:pPr>
        <w:ind w:left="480" w:hangingChars="300" w:hanging="480"/>
        <w:jc w:val="left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Model 3: we adjusted for age, gender, smoking, drinking, physical activity, BMI, heart disease, CLD, hypertension, DM, liver disease, WBC, PLT, HDL-C, LDL-C, CRP, and hemoglobin.</w:t>
      </w:r>
    </w:p>
    <w:p w14:paraId="52290A65" w14:textId="77777777" w:rsidR="00953DF6" w:rsidRDefault="00000000">
      <w:pPr>
        <w:ind w:left="480" w:hangingChars="300" w:hanging="480"/>
        <w:jc w:val="left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HR: hazard ratios; CI: confidence interval; Ref: reference; </w:t>
      </w:r>
      <w:r>
        <w:rPr>
          <w:rFonts w:ascii="Times New Roman" w:hAnsi="Times New Roman" w:cs="Times New Roman" w:hint="eastAsia"/>
          <w:sz w:val="16"/>
          <w:szCs w:val="18"/>
        </w:rPr>
        <w:t>eGFR: estimated glomerular filtration rate; CKD: chronic kidney disease.</w:t>
      </w:r>
    </w:p>
    <w:p w14:paraId="38A504D1" w14:textId="2AAD3208" w:rsidR="00953DF6" w:rsidRDefault="00000000">
      <w:pPr>
        <w:ind w:left="480" w:hangingChars="300" w:hanging="480"/>
        <w:jc w:val="left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 w:hint="eastAsia"/>
          <w:sz w:val="16"/>
          <w:szCs w:val="18"/>
        </w:rPr>
        <w:t>Note 1: To calculate eGFR for "Asian origin" patients, we used the chronic kidney disease</w:t>
      </w:r>
      <w:r>
        <w:rPr>
          <w:rFonts w:ascii="Times New Roman" w:hAnsi="Times New Roman" w:cs="Times New Roman" w:hint="eastAsia"/>
          <w:sz w:val="16"/>
          <w:szCs w:val="18"/>
        </w:rPr>
        <w:t>–</w:t>
      </w:r>
      <w:r>
        <w:rPr>
          <w:rFonts w:ascii="Times New Roman" w:hAnsi="Times New Roman" w:cs="Times New Roman" w:hint="eastAsia"/>
          <w:sz w:val="16"/>
          <w:szCs w:val="18"/>
        </w:rPr>
        <w:t>epidemiology collaboration (CKD</w:t>
      </w:r>
      <w:r>
        <w:rPr>
          <w:rFonts w:ascii="Times New Roman" w:hAnsi="Times New Roman" w:cs="Times New Roman" w:hint="eastAsia"/>
          <w:sz w:val="16"/>
          <w:szCs w:val="18"/>
        </w:rPr>
        <w:t>–</w:t>
      </w:r>
      <w:r>
        <w:rPr>
          <w:rFonts w:ascii="Times New Roman" w:hAnsi="Times New Roman" w:cs="Times New Roman" w:hint="eastAsia"/>
          <w:sz w:val="16"/>
          <w:szCs w:val="18"/>
        </w:rPr>
        <w:t>EPI) equations, which take into account gender, age, and Scr</w:t>
      </w:r>
      <w:r w:rsidR="000856C6">
        <w:rPr>
          <w:rFonts w:ascii="Times New Roman" w:hAnsi="Times New Roman" w:cs="Times New Roman"/>
          <w:sz w:val="16"/>
          <w:szCs w:val="18"/>
        </w:rPr>
        <w:fldChar w:fldCharType="begin"/>
      </w:r>
      <w:r w:rsidR="000856C6">
        <w:rPr>
          <w:rFonts w:ascii="Times New Roman" w:hAnsi="Times New Roman" w:cs="Times New Roman"/>
          <w:sz w:val="16"/>
          <w:szCs w:val="18"/>
        </w:rPr>
        <w:instrText xml:space="preserve"> ADDIN NE.Ref.{D814AE13-271B-4BB9-9BC2-30679E7596F5}</w:instrText>
      </w:r>
      <w:r w:rsidR="000856C6">
        <w:rPr>
          <w:rFonts w:ascii="Times New Roman" w:hAnsi="Times New Roman" w:cs="Times New Roman"/>
          <w:sz w:val="16"/>
          <w:szCs w:val="18"/>
        </w:rPr>
        <w:fldChar w:fldCharType="separate"/>
      </w:r>
      <w:r w:rsidR="000856C6">
        <w:rPr>
          <w:rFonts w:ascii="Times New Roman" w:eastAsia="宋体" w:hAnsi="Times New Roman" w:cs="Times New Roman"/>
          <w:color w:val="080000"/>
          <w:kern w:val="0"/>
          <w:sz w:val="16"/>
          <w:szCs w:val="16"/>
        </w:rPr>
        <w:t>[1]</w:t>
      </w:r>
      <w:r w:rsidR="000856C6">
        <w:rPr>
          <w:rFonts w:ascii="Times New Roman" w:hAnsi="Times New Roman" w:cs="Times New Roman"/>
          <w:sz w:val="16"/>
          <w:szCs w:val="18"/>
        </w:rPr>
        <w:fldChar w:fldCharType="end"/>
      </w:r>
      <w:r>
        <w:rPr>
          <w:rFonts w:ascii="Times New Roman" w:hAnsi="Times New Roman" w:cs="Times New Roman" w:hint="eastAsia"/>
          <w:sz w:val="16"/>
          <w:szCs w:val="18"/>
        </w:rPr>
        <w:t>.</w:t>
      </w:r>
    </w:p>
    <w:p w14:paraId="0B897F75" w14:textId="1CBA2CF3" w:rsidR="00953DF6" w:rsidRDefault="00000000">
      <w:pPr>
        <w:ind w:left="480" w:hangingChars="300" w:hanging="480"/>
        <w:jc w:val="left"/>
        <w:rPr>
          <w:rFonts w:ascii="Times New Roman" w:eastAsia="Cambria" w:hAnsi="Times New Roman" w:cs="Times New Roman"/>
          <w:color w:val="1B1B1B"/>
          <w:sz w:val="16"/>
          <w:szCs w:val="16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16"/>
          <w:szCs w:val="16"/>
        </w:rPr>
        <w:t>Note 2: The presence of chronic kidney disease (CKD) was determined through self-reported information, participants' medication use</w:t>
      </w:r>
      <w:r w:rsidR="005E5AAB">
        <w:rPr>
          <w:rFonts w:ascii="Times New Roman" w:hAnsi="Times New Roman" w:cs="Times New Roman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and eGFR&lt;60 </w:t>
      </w:r>
      <w:r>
        <w:rPr>
          <w:rFonts w:ascii="Times New Roman" w:eastAsia="Cambria" w:hAnsi="Times New Roman" w:cs="Times New Roman"/>
          <w:color w:val="1B1B1B"/>
          <w:sz w:val="16"/>
          <w:szCs w:val="16"/>
          <w:shd w:val="clear" w:color="auto" w:fill="FFFFFF"/>
        </w:rPr>
        <w:t>ml/min/1.73 m</w:t>
      </w:r>
      <w:r>
        <w:rPr>
          <w:rFonts w:ascii="Times New Roman" w:eastAsia="Cambria" w:hAnsi="Times New Roman" w:cs="Times New Roman"/>
          <w:color w:val="1B1B1B"/>
          <w:sz w:val="16"/>
          <w:szCs w:val="16"/>
          <w:shd w:val="clear" w:color="auto" w:fill="FFFFFF"/>
          <w:vertAlign w:val="superscript"/>
        </w:rPr>
        <w:t>2</w:t>
      </w:r>
      <w:r w:rsidR="000856C6">
        <w:rPr>
          <w:rFonts w:ascii="Times New Roman" w:hAnsi="Times New Roman" w:cs="Times New Roman"/>
          <w:sz w:val="16"/>
          <w:szCs w:val="18"/>
        </w:rPr>
        <w:fldChar w:fldCharType="begin"/>
      </w:r>
      <w:r w:rsidR="000856C6">
        <w:rPr>
          <w:rFonts w:ascii="Times New Roman" w:hAnsi="Times New Roman" w:cs="Times New Roman"/>
          <w:sz w:val="16"/>
          <w:szCs w:val="18"/>
        </w:rPr>
        <w:instrText xml:space="preserve"> ADDIN NE.Ref.{EF10DFE3-EA41-41A7-B413-E76982F13A3C}</w:instrText>
      </w:r>
      <w:r w:rsidR="000856C6">
        <w:rPr>
          <w:rFonts w:ascii="Times New Roman" w:hAnsi="Times New Roman" w:cs="Times New Roman"/>
          <w:sz w:val="16"/>
          <w:szCs w:val="18"/>
        </w:rPr>
        <w:fldChar w:fldCharType="separate"/>
      </w:r>
      <w:r w:rsidR="000856C6">
        <w:rPr>
          <w:rFonts w:ascii="Times New Roman" w:eastAsia="宋体" w:hAnsi="Times New Roman" w:cs="Times New Roman"/>
          <w:color w:val="080000"/>
          <w:kern w:val="0"/>
          <w:sz w:val="16"/>
          <w:szCs w:val="16"/>
        </w:rPr>
        <w:t>[2]</w:t>
      </w:r>
      <w:r w:rsidR="000856C6">
        <w:rPr>
          <w:rFonts w:ascii="Times New Roman" w:hAnsi="Times New Roman" w:cs="Times New Roman"/>
          <w:sz w:val="16"/>
          <w:szCs w:val="18"/>
        </w:rPr>
        <w:fldChar w:fldCharType="end"/>
      </w:r>
      <w:r w:rsidR="000856C6">
        <w:rPr>
          <w:rFonts w:ascii="Times New Roman" w:hAnsi="Times New Roman" w:cs="Times New Roman" w:hint="eastAsia"/>
          <w:sz w:val="16"/>
          <w:szCs w:val="18"/>
        </w:rPr>
        <w:t>.</w:t>
      </w:r>
    </w:p>
    <w:p w14:paraId="469C49F5" w14:textId="77777777" w:rsidR="00953DF6" w:rsidRDefault="00000000">
      <w:pPr>
        <w:ind w:left="480" w:hangingChars="300" w:hanging="480"/>
        <w:jc w:val="left"/>
        <w:rPr>
          <w:rFonts w:ascii="Times New Roman" w:eastAsia="Cambria" w:hAnsi="Times New Roman" w:cs="Times New Roman"/>
          <w:color w:val="1B1B1B"/>
          <w:sz w:val="16"/>
          <w:szCs w:val="16"/>
          <w:shd w:val="clear" w:color="auto" w:fill="FFFFFF"/>
          <w:vertAlign w:val="superscript"/>
        </w:rPr>
      </w:pPr>
      <w:r>
        <w:rPr>
          <w:rFonts w:ascii="Times New Roman" w:hAnsi="Times New Roman" w:cs="Times New Roman" w:hint="eastAsia"/>
          <w:sz w:val="16"/>
          <w:szCs w:val="18"/>
        </w:rPr>
        <w:t>Note 3</w:t>
      </w:r>
      <w:r>
        <w:rPr>
          <w:rFonts w:ascii="Times New Roman" w:hAnsi="Times New Roman" w:cs="Times New Roman" w:hint="eastAsia"/>
          <w:sz w:val="16"/>
          <w:szCs w:val="18"/>
        </w:rPr>
        <w:t>：</w:t>
      </w:r>
      <w:r>
        <w:rPr>
          <w:rFonts w:ascii="Times New Roman" w:hAnsi="Times New Roman" w:cs="Times New Roman" w:hint="eastAsia"/>
          <w:sz w:val="16"/>
          <w:szCs w:val="18"/>
        </w:rPr>
        <w:t xml:space="preserve">stroke group, eGFR: 93.72 </w:t>
      </w:r>
      <w:r>
        <w:rPr>
          <w:rFonts w:ascii="Times New Roman" w:hAnsi="Times New Roman" w:cs="Times New Roman" w:hint="eastAsia"/>
          <w:sz w:val="16"/>
          <w:szCs w:val="18"/>
        </w:rPr>
        <w:t>±</w:t>
      </w:r>
      <w:r>
        <w:rPr>
          <w:rFonts w:ascii="Times New Roman" w:hAnsi="Times New Roman" w:cs="Times New Roman" w:hint="eastAsia"/>
          <w:sz w:val="16"/>
          <w:szCs w:val="18"/>
        </w:rPr>
        <w:t xml:space="preserve"> 15.41</w:t>
      </w:r>
      <w:r>
        <w:rPr>
          <w:rFonts w:ascii="Times New Roman" w:eastAsia="Cambria" w:hAnsi="Times New Roman" w:cs="Times New Roman"/>
          <w:color w:val="1B1B1B"/>
          <w:sz w:val="16"/>
          <w:szCs w:val="16"/>
          <w:shd w:val="clear" w:color="auto" w:fill="FFFFFF"/>
        </w:rPr>
        <w:t>ml/min/1.73 m</w:t>
      </w:r>
      <w:r>
        <w:rPr>
          <w:rFonts w:ascii="Times New Roman" w:eastAsia="Cambria" w:hAnsi="Times New Roman" w:cs="Times New Roman"/>
          <w:color w:val="1B1B1B"/>
          <w:sz w:val="16"/>
          <w:szCs w:val="16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 w:hint="eastAsia"/>
          <w:sz w:val="16"/>
          <w:szCs w:val="18"/>
        </w:rPr>
        <w:t xml:space="preserve">, CKD: 80 (9.94%);  non-stroke group, eGFR: 97.12 </w:t>
      </w:r>
      <w:r>
        <w:rPr>
          <w:rFonts w:ascii="Times New Roman" w:hAnsi="Times New Roman" w:cs="Times New Roman" w:hint="eastAsia"/>
          <w:sz w:val="16"/>
          <w:szCs w:val="18"/>
        </w:rPr>
        <w:t>±</w:t>
      </w:r>
      <w:r>
        <w:rPr>
          <w:rFonts w:ascii="Times New Roman" w:hAnsi="Times New Roman" w:cs="Times New Roman" w:hint="eastAsia"/>
          <w:sz w:val="16"/>
          <w:szCs w:val="18"/>
        </w:rPr>
        <w:t xml:space="preserve"> 15.40 </w:t>
      </w:r>
      <w:r>
        <w:rPr>
          <w:rFonts w:ascii="Times New Roman" w:eastAsia="Cambria" w:hAnsi="Times New Roman" w:cs="Times New Roman"/>
          <w:color w:val="1B1B1B"/>
          <w:sz w:val="16"/>
          <w:szCs w:val="16"/>
          <w:shd w:val="clear" w:color="auto" w:fill="FFFFFF"/>
        </w:rPr>
        <w:t>ml/min/1.73 m</w:t>
      </w:r>
      <w:r>
        <w:rPr>
          <w:rFonts w:ascii="Times New Roman" w:eastAsia="Cambria" w:hAnsi="Times New Roman" w:cs="Times New Roman"/>
          <w:color w:val="1B1B1B"/>
          <w:sz w:val="16"/>
          <w:szCs w:val="16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 w:hint="eastAsia"/>
          <w:sz w:val="16"/>
          <w:szCs w:val="18"/>
        </w:rPr>
        <w:t>, CKD: 580 (7.33%).</w:t>
      </w:r>
    </w:p>
    <w:p w14:paraId="21080B72" w14:textId="77777777" w:rsidR="00953DF6" w:rsidRDefault="00953DF6">
      <w:pPr>
        <w:ind w:left="480" w:hangingChars="300" w:hanging="480"/>
        <w:jc w:val="left"/>
        <w:rPr>
          <w:rFonts w:ascii="Times New Roman" w:hAnsi="Times New Roman" w:cs="Times New Roman"/>
          <w:sz w:val="16"/>
          <w:szCs w:val="18"/>
        </w:rPr>
      </w:pPr>
    </w:p>
    <w:p w14:paraId="145320A1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2F3675B0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386A7308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35BE6D5A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693257D6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44BA850C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4FA7A900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04FB97CC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7F9F2B48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67DCC7ED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1833C080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2D83F7E3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3B4B16D2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6F3C8842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6002FB65" w14:textId="77777777" w:rsidR="00953DF6" w:rsidRDefault="00000000">
      <w:pPr>
        <w:ind w:left="632" w:hangingChars="300" w:hanging="632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kern w:val="0"/>
          <w:szCs w:val="21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S3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>
        <w:rPr>
          <w:rFonts w:ascii="Times New Roman" w:eastAsia="宋体" w:hAnsi="Times New Roman" w:cs="Times New Roman"/>
          <w:kern w:val="0"/>
          <w:szCs w:val="21"/>
        </w:rPr>
        <w:t xml:space="preserve">Relationship between </w:t>
      </w:r>
      <w:r>
        <w:rPr>
          <w:rFonts w:ascii="Times New Roman" w:eastAsia="宋体" w:hAnsi="Times New Roman" w:cs="Times New Roman"/>
          <w:bCs/>
          <w:kern w:val="0"/>
          <w:szCs w:val="21"/>
        </w:rPr>
        <w:t>TyG-ABSI</w:t>
      </w:r>
      <w:r>
        <w:rPr>
          <w:rFonts w:ascii="Times New Roman" w:eastAsia="宋体" w:hAnsi="Times New Roman" w:cs="Times New Roman"/>
          <w:kern w:val="0"/>
          <w:szCs w:val="21"/>
        </w:rPr>
        <w:t xml:space="preserve"> and </w:t>
      </w:r>
      <w:r>
        <w:rPr>
          <w:rFonts w:ascii="Times New Roman" w:eastAsia="宋体" w:hAnsi="Times New Roman" w:cs="Times New Roman"/>
          <w:bCs/>
          <w:kern w:val="0"/>
          <w:szCs w:val="21"/>
        </w:rPr>
        <w:t>stroke</w:t>
      </w:r>
      <w:r>
        <w:rPr>
          <w:rFonts w:ascii="Times New Roman" w:eastAsia="宋体" w:hAnsi="Times New Roman" w:cs="Times New Roman"/>
          <w:kern w:val="0"/>
          <w:szCs w:val="21"/>
        </w:rPr>
        <w:t xml:space="preserve"> risk in different sensitivity analyses.</w:t>
      </w:r>
    </w:p>
    <w:tbl>
      <w:tblPr>
        <w:tblStyle w:val="62"/>
        <w:tblW w:w="8520" w:type="dxa"/>
        <w:tblLook w:val="04A0" w:firstRow="1" w:lastRow="0" w:firstColumn="1" w:lastColumn="0" w:noHBand="0" w:noVBand="1"/>
      </w:tblPr>
      <w:tblGrid>
        <w:gridCol w:w="1607"/>
        <w:gridCol w:w="2197"/>
        <w:gridCol w:w="2358"/>
        <w:gridCol w:w="2358"/>
      </w:tblGrid>
      <w:tr w:rsidR="00953DF6" w14:paraId="2470681A" w14:textId="77777777" w:rsidTr="00953D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7" w:type="dxa"/>
          </w:tcPr>
          <w:p w14:paraId="162A7257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Exposure</w:t>
            </w:r>
          </w:p>
        </w:tc>
        <w:tc>
          <w:tcPr>
            <w:tcW w:w="2197" w:type="dxa"/>
          </w:tcPr>
          <w:p w14:paraId="6AACCA74" w14:textId="77777777" w:rsidR="00953DF6" w:rsidRDefault="0000000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Model </w:t>
            </w:r>
            <w:r>
              <w:rPr>
                <w:rFonts w:ascii="Times New Roman" w:hAnsi="Times New Roman" w:cs="Times New Roman" w:hint="eastAsia"/>
                <w:b w:val="0"/>
                <w:color w:val="auto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(HR, 95%CI, P)</w:t>
            </w:r>
          </w:p>
        </w:tc>
        <w:tc>
          <w:tcPr>
            <w:tcW w:w="2358" w:type="dxa"/>
          </w:tcPr>
          <w:p w14:paraId="2CD9E7D3" w14:textId="77777777" w:rsidR="00953DF6" w:rsidRDefault="0000000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Model </w:t>
            </w:r>
            <w:r>
              <w:rPr>
                <w:rFonts w:ascii="Times New Roman" w:hAnsi="Times New Roman" w:cs="Times New Roman" w:hint="eastAsia"/>
                <w:b w:val="0"/>
                <w:color w:val="auto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(HR, 95%CI, P)</w:t>
            </w:r>
          </w:p>
        </w:tc>
        <w:tc>
          <w:tcPr>
            <w:tcW w:w="2358" w:type="dxa"/>
          </w:tcPr>
          <w:p w14:paraId="13905EB6" w14:textId="77777777" w:rsidR="00953DF6" w:rsidRDefault="0000000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Model </w:t>
            </w:r>
            <w:r>
              <w:rPr>
                <w:rFonts w:ascii="Times New Roman" w:hAnsi="Times New Roman" w:cs="Times New Roman" w:hint="eastAsia"/>
                <w:b w:val="0"/>
                <w:color w:val="auto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(HR, 95%CI, P)</w:t>
            </w:r>
          </w:p>
        </w:tc>
      </w:tr>
      <w:tr w:rsidR="00953DF6" w14:paraId="47BBBBA1" w14:textId="77777777" w:rsidTr="00953DF6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7" w:type="dxa"/>
          </w:tcPr>
          <w:p w14:paraId="47A78BA3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TyG-ABSI</w:t>
            </w:r>
          </w:p>
        </w:tc>
        <w:tc>
          <w:tcPr>
            <w:tcW w:w="2197" w:type="dxa"/>
            <w:vAlign w:val="center"/>
          </w:tcPr>
          <w:p w14:paraId="3BE0425E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1.46 (1.33, 1.59) &lt;0.0001</w:t>
            </w:r>
          </w:p>
        </w:tc>
        <w:tc>
          <w:tcPr>
            <w:tcW w:w="2358" w:type="dxa"/>
            <w:vAlign w:val="center"/>
          </w:tcPr>
          <w:p w14:paraId="10498CBB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1.37 (1.25, 1.51) &lt;0.0001</w:t>
            </w:r>
          </w:p>
        </w:tc>
        <w:tc>
          <w:tcPr>
            <w:tcW w:w="2358" w:type="dxa"/>
            <w:vAlign w:val="center"/>
          </w:tcPr>
          <w:p w14:paraId="44675AB0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1.22 (1.09, 1.36) 0.0005 </w:t>
            </w:r>
          </w:p>
        </w:tc>
      </w:tr>
      <w:tr w:rsidR="00953DF6" w14:paraId="14DE2DE8" w14:textId="77777777" w:rsidTr="00953DF6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7" w:type="dxa"/>
          </w:tcPr>
          <w:p w14:paraId="3F447A5C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TyG-ABSI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(quartile)</w:t>
            </w:r>
          </w:p>
        </w:tc>
        <w:tc>
          <w:tcPr>
            <w:tcW w:w="2197" w:type="dxa"/>
            <w:vAlign w:val="center"/>
          </w:tcPr>
          <w:p w14:paraId="5A3E5A87" w14:textId="77777777" w:rsidR="00953DF6" w:rsidRDefault="00953DF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11AA19BB" w14:textId="77777777" w:rsidR="00953DF6" w:rsidRDefault="00953DF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0276FCA7" w14:textId="77777777" w:rsidR="00953DF6" w:rsidRDefault="00953DF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53DF6" w14:paraId="54223840" w14:textId="77777777" w:rsidTr="00953DF6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7" w:type="dxa"/>
          </w:tcPr>
          <w:p w14:paraId="1ED41D92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   Q1</w:t>
            </w:r>
          </w:p>
        </w:tc>
        <w:tc>
          <w:tcPr>
            <w:tcW w:w="2197" w:type="dxa"/>
            <w:vAlign w:val="center"/>
          </w:tcPr>
          <w:p w14:paraId="5B7ED039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Ref</w:t>
            </w:r>
          </w:p>
        </w:tc>
        <w:tc>
          <w:tcPr>
            <w:tcW w:w="2358" w:type="dxa"/>
            <w:vAlign w:val="center"/>
          </w:tcPr>
          <w:p w14:paraId="61D5E6CD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Ref</w:t>
            </w:r>
          </w:p>
        </w:tc>
        <w:tc>
          <w:tcPr>
            <w:tcW w:w="2358" w:type="dxa"/>
            <w:vAlign w:val="center"/>
          </w:tcPr>
          <w:p w14:paraId="3F7202AF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Ref</w:t>
            </w:r>
          </w:p>
        </w:tc>
      </w:tr>
      <w:tr w:rsidR="00953DF6" w14:paraId="50E4FA76" w14:textId="77777777" w:rsidTr="00953D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7" w:type="dxa"/>
          </w:tcPr>
          <w:p w14:paraId="75F0ABC0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   Q2</w:t>
            </w:r>
          </w:p>
        </w:tc>
        <w:tc>
          <w:tcPr>
            <w:tcW w:w="2197" w:type="dxa"/>
            <w:vAlign w:val="center"/>
          </w:tcPr>
          <w:p w14:paraId="04E9DE46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1.37 (1.10, 1.71) 0.0051</w:t>
            </w:r>
          </w:p>
        </w:tc>
        <w:tc>
          <w:tcPr>
            <w:tcW w:w="2358" w:type="dxa"/>
            <w:vAlign w:val="center"/>
          </w:tcPr>
          <w:p w14:paraId="59777E59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1.29 (1.03, 1.61) 0.0245</w:t>
            </w:r>
          </w:p>
        </w:tc>
        <w:tc>
          <w:tcPr>
            <w:tcW w:w="2358" w:type="dxa"/>
            <w:vAlign w:val="center"/>
          </w:tcPr>
          <w:p w14:paraId="7AE67D43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1.17 (0.93, 1.47) 0.1694 </w:t>
            </w:r>
          </w:p>
        </w:tc>
      </w:tr>
      <w:tr w:rsidR="00953DF6" w14:paraId="0C348355" w14:textId="77777777" w:rsidTr="00953D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7" w:type="dxa"/>
          </w:tcPr>
          <w:p w14:paraId="3F1CB97F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   Q3</w:t>
            </w:r>
          </w:p>
        </w:tc>
        <w:tc>
          <w:tcPr>
            <w:tcW w:w="2197" w:type="dxa"/>
            <w:vAlign w:val="center"/>
          </w:tcPr>
          <w:p w14:paraId="02888F72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1.57 (1.27, 1.95) &lt;0.0001</w:t>
            </w:r>
          </w:p>
        </w:tc>
        <w:tc>
          <w:tcPr>
            <w:tcW w:w="2358" w:type="dxa"/>
            <w:vAlign w:val="center"/>
          </w:tcPr>
          <w:p w14:paraId="6DA1D3EA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1.44 (1.16, 1.80) 0.0009</w:t>
            </w:r>
          </w:p>
        </w:tc>
        <w:tc>
          <w:tcPr>
            <w:tcW w:w="2358" w:type="dxa"/>
            <w:vAlign w:val="center"/>
          </w:tcPr>
          <w:p w14:paraId="3A835EE9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1.18 (0.94, 1.48) 0.1472 </w:t>
            </w:r>
          </w:p>
        </w:tc>
      </w:tr>
      <w:tr w:rsidR="00953DF6" w14:paraId="6B045C5A" w14:textId="77777777" w:rsidTr="00953DF6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7" w:type="dxa"/>
          </w:tcPr>
          <w:p w14:paraId="6033B0A6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   Q4</w:t>
            </w:r>
          </w:p>
        </w:tc>
        <w:tc>
          <w:tcPr>
            <w:tcW w:w="2197" w:type="dxa"/>
            <w:vAlign w:val="center"/>
          </w:tcPr>
          <w:p w14:paraId="049948EF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2.15 (1.75, 2.64) &lt;0.0001</w:t>
            </w:r>
          </w:p>
        </w:tc>
        <w:tc>
          <w:tcPr>
            <w:tcW w:w="2358" w:type="dxa"/>
            <w:vAlign w:val="center"/>
          </w:tcPr>
          <w:p w14:paraId="267DFCD3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1.89 (1.53, 2.34) &lt;0.0001</w:t>
            </w:r>
          </w:p>
        </w:tc>
        <w:tc>
          <w:tcPr>
            <w:tcW w:w="2358" w:type="dxa"/>
            <w:vAlign w:val="center"/>
          </w:tcPr>
          <w:p w14:paraId="445885E8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1.41 (1.12, 1.79) 0.0042 </w:t>
            </w:r>
          </w:p>
        </w:tc>
      </w:tr>
      <w:tr w:rsidR="00953DF6" w14:paraId="7CB79AF0" w14:textId="77777777" w:rsidTr="00953DF6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7" w:type="dxa"/>
          </w:tcPr>
          <w:p w14:paraId="3A8321C8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P for trend</w:t>
            </w:r>
          </w:p>
        </w:tc>
        <w:tc>
          <w:tcPr>
            <w:tcW w:w="2197" w:type="dxa"/>
            <w:vAlign w:val="center"/>
          </w:tcPr>
          <w:p w14:paraId="05EB2DC1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&lt;0.0001</w:t>
            </w:r>
          </w:p>
        </w:tc>
        <w:tc>
          <w:tcPr>
            <w:tcW w:w="2358" w:type="dxa"/>
            <w:vAlign w:val="center"/>
          </w:tcPr>
          <w:p w14:paraId="151DFBDB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&lt;0.0001</w:t>
            </w:r>
          </w:p>
        </w:tc>
        <w:tc>
          <w:tcPr>
            <w:tcW w:w="2358" w:type="dxa"/>
            <w:vAlign w:val="center"/>
          </w:tcPr>
          <w:p w14:paraId="60F17E59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0.0059</w:t>
            </w:r>
          </w:p>
        </w:tc>
      </w:tr>
    </w:tbl>
    <w:p w14:paraId="18880F1F" w14:textId="77777777" w:rsidR="00953DF6" w:rsidRDefault="00000000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Model 1: we did not adjust for other covariants.</w:t>
      </w:r>
    </w:p>
    <w:p w14:paraId="6F3DC4CF" w14:textId="77777777" w:rsidR="00953DF6" w:rsidRDefault="00000000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Model 2: we adjusted for age, gender, smoking, drinking, and physical activity.</w:t>
      </w:r>
    </w:p>
    <w:p w14:paraId="1CA7E7DA" w14:textId="77777777" w:rsidR="00953DF6" w:rsidRDefault="00000000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Model 3: we adjusted for age, gender, smoking, drinking, physical activity, BMI, heart disease, CLD, hypertension, DM, liver disease, WBC, PLT, HDL-C, LDL-C, </w:t>
      </w:r>
      <w:r>
        <w:rPr>
          <w:rFonts w:ascii="Times New Roman" w:hAnsi="Times New Roman" w:cs="Times New Roman" w:hint="eastAsia"/>
          <w:sz w:val="16"/>
          <w:szCs w:val="18"/>
        </w:rPr>
        <w:t>CKD</w:t>
      </w:r>
      <w:r>
        <w:rPr>
          <w:rFonts w:ascii="Times New Roman" w:hAnsi="Times New Roman" w:cs="Times New Roman"/>
          <w:sz w:val="16"/>
          <w:szCs w:val="18"/>
        </w:rPr>
        <w:t>, and hemoglobin.</w:t>
      </w:r>
    </w:p>
    <w:p w14:paraId="23AFD610" w14:textId="77777777" w:rsidR="00953DF6" w:rsidRDefault="00000000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HR: hazard ratios; CI: confidence interval; Ref: reference; TyG-ABSI: triglyceride glucose-a body shape index</w:t>
      </w:r>
    </w:p>
    <w:p w14:paraId="0DBCB142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0F97A387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624DB259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1FB06C3E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19A6A150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5A5C88CB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7D5817DE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38BA13B4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0149ADAC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7F932AE6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03F3F3E4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0A61D6B0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77AC4E47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0F3ECC5D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718B19A9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4B5A04B1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242B4213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3F869D7A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3CBB9A98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686925DE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0BE1289D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130209B0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21E1B6AF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7DB84B8D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338EB417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5F48944A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598F43E9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28ED44AE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74E4AC01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2DEBA53B" w14:textId="77777777" w:rsidR="00953DF6" w:rsidRDefault="00000000">
      <w:pPr>
        <w:ind w:left="632" w:hangingChars="300" w:hanging="632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kern w:val="0"/>
          <w:szCs w:val="21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S4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>
        <w:rPr>
          <w:rFonts w:ascii="Times New Roman" w:eastAsia="宋体" w:hAnsi="Times New Roman" w:cs="Times New Roman"/>
          <w:kern w:val="0"/>
          <w:szCs w:val="21"/>
        </w:rPr>
        <w:t xml:space="preserve">Relationship between </w:t>
      </w:r>
      <w:r>
        <w:rPr>
          <w:rFonts w:ascii="Times New Roman" w:eastAsia="宋体" w:hAnsi="Times New Roman" w:cs="Times New Roman"/>
          <w:bCs/>
          <w:kern w:val="0"/>
          <w:szCs w:val="21"/>
        </w:rPr>
        <w:t>TyG-ABSI</w:t>
      </w:r>
      <w:r>
        <w:rPr>
          <w:rFonts w:ascii="Times New Roman" w:eastAsia="宋体" w:hAnsi="Times New Roman" w:cs="Times New Roman"/>
          <w:kern w:val="0"/>
          <w:szCs w:val="21"/>
        </w:rPr>
        <w:t xml:space="preserve"> and </w:t>
      </w:r>
      <w:r>
        <w:rPr>
          <w:rFonts w:ascii="Times New Roman" w:eastAsia="宋体" w:hAnsi="Times New Roman" w:cs="Times New Roman"/>
          <w:bCs/>
          <w:kern w:val="0"/>
          <w:szCs w:val="21"/>
        </w:rPr>
        <w:t>stroke</w:t>
      </w:r>
      <w:r>
        <w:rPr>
          <w:rFonts w:ascii="Times New Roman" w:eastAsia="宋体" w:hAnsi="Times New Roman" w:cs="Times New Roman"/>
          <w:kern w:val="0"/>
          <w:szCs w:val="21"/>
        </w:rPr>
        <w:t xml:space="preserve"> risk in different sensitivity analyses.</w:t>
      </w:r>
    </w:p>
    <w:tbl>
      <w:tblPr>
        <w:tblStyle w:val="62"/>
        <w:tblW w:w="8520" w:type="dxa"/>
        <w:tblLook w:val="04A0" w:firstRow="1" w:lastRow="0" w:firstColumn="1" w:lastColumn="0" w:noHBand="0" w:noVBand="1"/>
      </w:tblPr>
      <w:tblGrid>
        <w:gridCol w:w="1607"/>
        <w:gridCol w:w="2197"/>
        <w:gridCol w:w="2358"/>
        <w:gridCol w:w="2358"/>
      </w:tblGrid>
      <w:tr w:rsidR="00953DF6" w14:paraId="679FB062" w14:textId="77777777" w:rsidTr="00953D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7" w:type="dxa"/>
          </w:tcPr>
          <w:p w14:paraId="3A943DE9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Exposure</w:t>
            </w:r>
          </w:p>
        </w:tc>
        <w:tc>
          <w:tcPr>
            <w:tcW w:w="2197" w:type="dxa"/>
          </w:tcPr>
          <w:p w14:paraId="064BA6F2" w14:textId="77777777" w:rsidR="00953DF6" w:rsidRDefault="0000000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Model </w:t>
            </w:r>
            <w:r>
              <w:rPr>
                <w:rFonts w:ascii="Times New Roman" w:hAnsi="Times New Roman" w:cs="Times New Roman" w:hint="eastAsia"/>
                <w:b w:val="0"/>
                <w:color w:val="auto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(HR, 95%CI, P)</w:t>
            </w:r>
          </w:p>
        </w:tc>
        <w:tc>
          <w:tcPr>
            <w:tcW w:w="2358" w:type="dxa"/>
          </w:tcPr>
          <w:p w14:paraId="6AA00DC6" w14:textId="77777777" w:rsidR="00953DF6" w:rsidRDefault="0000000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Model </w:t>
            </w:r>
            <w:r>
              <w:rPr>
                <w:rFonts w:ascii="Times New Roman" w:hAnsi="Times New Roman" w:cs="Times New Roman" w:hint="eastAsia"/>
                <w:b w:val="0"/>
                <w:color w:val="auto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(HR, 95%CI, P)</w:t>
            </w:r>
          </w:p>
        </w:tc>
        <w:tc>
          <w:tcPr>
            <w:tcW w:w="2358" w:type="dxa"/>
          </w:tcPr>
          <w:p w14:paraId="3FBB04F4" w14:textId="77777777" w:rsidR="00953DF6" w:rsidRDefault="0000000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Model </w:t>
            </w:r>
            <w:r>
              <w:rPr>
                <w:rFonts w:ascii="Times New Roman" w:hAnsi="Times New Roman" w:cs="Times New Roman" w:hint="eastAsia"/>
                <w:b w:val="0"/>
                <w:color w:val="auto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(HR, 95%CI, P)</w:t>
            </w:r>
          </w:p>
        </w:tc>
      </w:tr>
      <w:tr w:rsidR="00953DF6" w14:paraId="677A6028" w14:textId="77777777" w:rsidTr="00953DF6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7" w:type="dxa"/>
          </w:tcPr>
          <w:p w14:paraId="44019FA5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TyG-ABSI</w:t>
            </w:r>
          </w:p>
        </w:tc>
        <w:tc>
          <w:tcPr>
            <w:tcW w:w="2197" w:type="dxa"/>
            <w:vAlign w:val="center"/>
          </w:tcPr>
          <w:p w14:paraId="6B30FF0E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1.46 (1.33, 1.59) &lt;0.0001</w:t>
            </w:r>
          </w:p>
        </w:tc>
        <w:tc>
          <w:tcPr>
            <w:tcW w:w="2358" w:type="dxa"/>
            <w:vAlign w:val="center"/>
          </w:tcPr>
          <w:p w14:paraId="4135ED25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1.37 (1.25, 1.51) &lt;0.0001</w:t>
            </w:r>
          </w:p>
        </w:tc>
        <w:tc>
          <w:tcPr>
            <w:tcW w:w="2358" w:type="dxa"/>
            <w:vAlign w:val="center"/>
          </w:tcPr>
          <w:p w14:paraId="5FE3FBFC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1.21 (1.08, 1.35) 0.0007</w:t>
            </w:r>
          </w:p>
        </w:tc>
      </w:tr>
      <w:tr w:rsidR="00953DF6" w14:paraId="18949E51" w14:textId="77777777" w:rsidTr="00953DF6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7" w:type="dxa"/>
          </w:tcPr>
          <w:p w14:paraId="487A06AB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TyG-ABSI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(quartile)</w:t>
            </w:r>
          </w:p>
        </w:tc>
        <w:tc>
          <w:tcPr>
            <w:tcW w:w="2197" w:type="dxa"/>
            <w:vAlign w:val="center"/>
          </w:tcPr>
          <w:p w14:paraId="1D496858" w14:textId="77777777" w:rsidR="00953DF6" w:rsidRDefault="00953DF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6227612C" w14:textId="77777777" w:rsidR="00953DF6" w:rsidRDefault="00953DF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38F39DA8" w14:textId="77777777" w:rsidR="00953DF6" w:rsidRDefault="00953DF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53DF6" w14:paraId="52040B10" w14:textId="77777777" w:rsidTr="00953DF6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7" w:type="dxa"/>
          </w:tcPr>
          <w:p w14:paraId="08AA5DF5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   Q1</w:t>
            </w:r>
          </w:p>
        </w:tc>
        <w:tc>
          <w:tcPr>
            <w:tcW w:w="2197" w:type="dxa"/>
            <w:vAlign w:val="center"/>
          </w:tcPr>
          <w:p w14:paraId="1070998E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Ref</w:t>
            </w:r>
          </w:p>
        </w:tc>
        <w:tc>
          <w:tcPr>
            <w:tcW w:w="2358" w:type="dxa"/>
            <w:vAlign w:val="center"/>
          </w:tcPr>
          <w:p w14:paraId="28D6A81D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Ref</w:t>
            </w:r>
          </w:p>
        </w:tc>
        <w:tc>
          <w:tcPr>
            <w:tcW w:w="2358" w:type="dxa"/>
            <w:vAlign w:val="center"/>
          </w:tcPr>
          <w:p w14:paraId="2864CB87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Ref</w:t>
            </w:r>
          </w:p>
        </w:tc>
      </w:tr>
      <w:tr w:rsidR="00953DF6" w14:paraId="29B438B7" w14:textId="77777777" w:rsidTr="00953D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7" w:type="dxa"/>
          </w:tcPr>
          <w:p w14:paraId="07462AF7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   Q2</w:t>
            </w:r>
          </w:p>
        </w:tc>
        <w:tc>
          <w:tcPr>
            <w:tcW w:w="2197" w:type="dxa"/>
            <w:vAlign w:val="center"/>
          </w:tcPr>
          <w:p w14:paraId="0318A86E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1.37 (1.10, 1.71) 0.0051</w:t>
            </w:r>
          </w:p>
        </w:tc>
        <w:tc>
          <w:tcPr>
            <w:tcW w:w="2358" w:type="dxa"/>
            <w:vAlign w:val="center"/>
          </w:tcPr>
          <w:p w14:paraId="4B5139ED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1.29 (1.03, 1.61) 0.0245</w:t>
            </w:r>
          </w:p>
        </w:tc>
        <w:tc>
          <w:tcPr>
            <w:tcW w:w="2358" w:type="dxa"/>
            <w:vAlign w:val="center"/>
          </w:tcPr>
          <w:p w14:paraId="13A72B66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1.17 (0.93, 1.47) 0.1737 </w:t>
            </w:r>
          </w:p>
        </w:tc>
      </w:tr>
      <w:tr w:rsidR="00953DF6" w14:paraId="20EDF91B" w14:textId="77777777" w:rsidTr="00953D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7" w:type="dxa"/>
          </w:tcPr>
          <w:p w14:paraId="46FAE6E1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   Q3</w:t>
            </w:r>
          </w:p>
        </w:tc>
        <w:tc>
          <w:tcPr>
            <w:tcW w:w="2197" w:type="dxa"/>
            <w:vAlign w:val="center"/>
          </w:tcPr>
          <w:p w14:paraId="4CF517BF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1.57 (1.27, 1.95) &lt;0.0001</w:t>
            </w:r>
          </w:p>
        </w:tc>
        <w:tc>
          <w:tcPr>
            <w:tcW w:w="2358" w:type="dxa"/>
            <w:vAlign w:val="center"/>
          </w:tcPr>
          <w:p w14:paraId="71222F50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1.44 (1.16, 1.80) 0.0009</w:t>
            </w:r>
          </w:p>
        </w:tc>
        <w:tc>
          <w:tcPr>
            <w:tcW w:w="2358" w:type="dxa"/>
            <w:vAlign w:val="center"/>
          </w:tcPr>
          <w:p w14:paraId="4A9E8E5B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1.18 (0.94, 1.47) 0.1638 </w:t>
            </w:r>
          </w:p>
        </w:tc>
      </w:tr>
      <w:tr w:rsidR="00953DF6" w14:paraId="5FB6D187" w14:textId="77777777" w:rsidTr="00953DF6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7" w:type="dxa"/>
          </w:tcPr>
          <w:p w14:paraId="4E127E17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   Q4</w:t>
            </w:r>
          </w:p>
        </w:tc>
        <w:tc>
          <w:tcPr>
            <w:tcW w:w="2197" w:type="dxa"/>
            <w:vAlign w:val="center"/>
          </w:tcPr>
          <w:p w14:paraId="458A286A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2.15 (1.75, 2.64) &lt;0.0001</w:t>
            </w:r>
          </w:p>
        </w:tc>
        <w:tc>
          <w:tcPr>
            <w:tcW w:w="2358" w:type="dxa"/>
            <w:vAlign w:val="center"/>
          </w:tcPr>
          <w:p w14:paraId="716FB7D2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1.89 (1.53, 2.34) &lt;0.0001</w:t>
            </w:r>
          </w:p>
        </w:tc>
        <w:tc>
          <w:tcPr>
            <w:tcW w:w="2358" w:type="dxa"/>
            <w:vAlign w:val="center"/>
          </w:tcPr>
          <w:p w14:paraId="58325B9A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1.40 (1.10, 1.77) 0.0057 </w:t>
            </w:r>
          </w:p>
        </w:tc>
      </w:tr>
      <w:tr w:rsidR="00953DF6" w14:paraId="5A70C06A" w14:textId="77777777" w:rsidTr="00953DF6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7" w:type="dxa"/>
          </w:tcPr>
          <w:p w14:paraId="127BF8E8" w14:textId="77777777" w:rsidR="00953DF6" w:rsidRDefault="00000000">
            <w:pPr>
              <w:widowControl/>
              <w:jc w:val="left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P for trend</w:t>
            </w:r>
          </w:p>
        </w:tc>
        <w:tc>
          <w:tcPr>
            <w:tcW w:w="2197" w:type="dxa"/>
            <w:vAlign w:val="center"/>
          </w:tcPr>
          <w:p w14:paraId="05688C89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&lt;0.0001</w:t>
            </w:r>
          </w:p>
        </w:tc>
        <w:tc>
          <w:tcPr>
            <w:tcW w:w="2358" w:type="dxa"/>
            <w:vAlign w:val="center"/>
          </w:tcPr>
          <w:p w14:paraId="4FF67FA5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&lt;0.0001</w:t>
            </w:r>
          </w:p>
        </w:tc>
        <w:tc>
          <w:tcPr>
            <w:tcW w:w="2358" w:type="dxa"/>
            <w:vAlign w:val="center"/>
          </w:tcPr>
          <w:p w14:paraId="1AA1204D" w14:textId="77777777" w:rsidR="00953DF6" w:rsidRDefault="000000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0.0082</w:t>
            </w:r>
          </w:p>
        </w:tc>
      </w:tr>
    </w:tbl>
    <w:p w14:paraId="664B43E4" w14:textId="77777777" w:rsidR="00953DF6" w:rsidRDefault="00000000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Model 1: we did not adjust for other covariants.</w:t>
      </w:r>
    </w:p>
    <w:p w14:paraId="35F8C06E" w14:textId="77777777" w:rsidR="00953DF6" w:rsidRDefault="00000000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Model 2: we adjusted for age, gender, smoking, drinking, and physical activity.</w:t>
      </w:r>
    </w:p>
    <w:p w14:paraId="0E62C626" w14:textId="77777777" w:rsidR="00953DF6" w:rsidRDefault="00000000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Model 3: we adjusted for age, gender, smoking, drinking, physical activity, BMI, heart disease, CLD, hypertension, DM, liver disease, WBC, PLT, HDL-C, LDL-C, </w:t>
      </w:r>
      <w:r>
        <w:rPr>
          <w:rFonts w:ascii="Times New Roman" w:hAnsi="Times New Roman" w:cs="Times New Roman" w:hint="eastAsia"/>
          <w:sz w:val="16"/>
          <w:szCs w:val="18"/>
        </w:rPr>
        <w:t>eGFR</w:t>
      </w:r>
      <w:r>
        <w:rPr>
          <w:rFonts w:ascii="Times New Roman" w:hAnsi="Times New Roman" w:cs="Times New Roman"/>
          <w:sz w:val="16"/>
          <w:szCs w:val="18"/>
        </w:rPr>
        <w:t>, and hemoglobin.</w:t>
      </w:r>
    </w:p>
    <w:p w14:paraId="12600F64" w14:textId="77777777" w:rsidR="00953DF6" w:rsidRDefault="00000000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HR: hazard ratios; CI: confidence interval; Ref: reference; TyG-ABSI: triglyceride glucose-a body shape index</w:t>
      </w:r>
    </w:p>
    <w:p w14:paraId="3FAC2CFB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7766B5EE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0D73D2B2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33235557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385C7AA3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6AB7D57C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61C5AB59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744B5546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59A41E1E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77268556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0DD8F752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4128A44E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6136B1C9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2E16EBD3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40C55891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0B1CDC0F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448664D4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47E1D861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13E47A8E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20D34846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4A557C90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1BBC5E28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642C3B15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3B743D6D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53FEB9EE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1EFCF03C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35A8AFBA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509D0B2E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3576262C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0D46D91F" w14:textId="77777777" w:rsidR="00953DF6" w:rsidRDefault="00000000">
      <w:pPr>
        <w:spacing w:line="480" w:lineRule="auto"/>
        <w:ind w:left="632" w:hangingChars="300" w:hanging="632"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lastRenderedPageBreak/>
        <w:t xml:space="preserve">Figure S1 </w:t>
      </w:r>
      <w:r>
        <w:rPr>
          <w:rFonts w:ascii="Times New Roman" w:eastAsia="宋体" w:hAnsi="Times New Roman" w:cs="Times New Roman" w:hint="eastAsia"/>
          <w:kern w:val="0"/>
          <w:szCs w:val="21"/>
        </w:rPr>
        <w:t>Receiver operating characteristic (ROC) curves for the TyG index, TyG-ABSI, ABSI,</w:t>
      </w:r>
    </w:p>
    <w:p w14:paraId="7DC81341" w14:textId="77777777" w:rsidR="00953DF6" w:rsidRDefault="00000000">
      <w:pPr>
        <w:spacing w:line="480" w:lineRule="auto"/>
        <w:ind w:left="630" w:hangingChars="300" w:hanging="630"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and BMI in predicting incident stroke among all participants.</w:t>
      </w:r>
    </w:p>
    <w:p w14:paraId="49FEC23E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6486370A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19121F84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664408E9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37485414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280B6199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2E23FE7A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777B9096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646CA76C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2A4923A0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4916250B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010295AF" w14:textId="77777777" w:rsidR="00953DF6" w:rsidRDefault="00953DF6">
      <w:pPr>
        <w:ind w:left="640" w:hangingChars="400" w:hanging="640"/>
        <w:jc w:val="left"/>
        <w:rPr>
          <w:rFonts w:ascii="Times New Roman" w:hAnsi="Times New Roman" w:cs="Times New Roman"/>
          <w:sz w:val="16"/>
          <w:szCs w:val="18"/>
        </w:rPr>
      </w:pPr>
    </w:p>
    <w:p w14:paraId="67FFFDFA" w14:textId="77777777" w:rsidR="00953DF6" w:rsidRDefault="00953DF6">
      <w:pPr>
        <w:rPr>
          <w:rFonts w:ascii="Times New Roman" w:hAnsi="Times New Roman" w:cs="Times New Roman"/>
        </w:rPr>
      </w:pPr>
    </w:p>
    <w:p w14:paraId="329DC35E" w14:textId="77777777" w:rsidR="00953DF6" w:rsidRDefault="00953DF6">
      <w:pPr>
        <w:rPr>
          <w:rFonts w:ascii="Times New Roman" w:hAnsi="Times New Roman" w:cs="Times New Roman"/>
        </w:rPr>
      </w:pPr>
    </w:p>
    <w:p w14:paraId="56BA6C90" w14:textId="77777777" w:rsidR="00953DF6" w:rsidRDefault="00953DF6">
      <w:pPr>
        <w:rPr>
          <w:rFonts w:ascii="Times New Roman" w:hAnsi="Times New Roman" w:cs="Times New Roman"/>
        </w:rPr>
      </w:pPr>
    </w:p>
    <w:p w14:paraId="2FDA0C0B" w14:textId="77777777" w:rsidR="00953DF6" w:rsidRDefault="00953DF6">
      <w:pPr>
        <w:rPr>
          <w:rFonts w:ascii="Times New Roman" w:hAnsi="Times New Roman" w:cs="Times New Roman"/>
        </w:rPr>
      </w:pPr>
    </w:p>
    <w:p w14:paraId="7DBCE4C6" w14:textId="77777777" w:rsidR="00953DF6" w:rsidRDefault="00953DF6">
      <w:pPr>
        <w:rPr>
          <w:rFonts w:ascii="Times New Roman" w:hAnsi="Times New Roman" w:cs="Times New Roman"/>
        </w:rPr>
      </w:pPr>
    </w:p>
    <w:p w14:paraId="7310D885" w14:textId="77777777" w:rsidR="00953DF6" w:rsidRDefault="00953DF6">
      <w:pPr>
        <w:rPr>
          <w:rFonts w:ascii="Times New Roman" w:hAnsi="Times New Roman" w:cs="Times New Roman"/>
        </w:rPr>
      </w:pPr>
    </w:p>
    <w:p w14:paraId="701DA3C8" w14:textId="77777777" w:rsidR="00953DF6" w:rsidRDefault="00953DF6">
      <w:pPr>
        <w:rPr>
          <w:rFonts w:ascii="Times New Roman" w:hAnsi="Times New Roman" w:cs="Times New Roman"/>
        </w:rPr>
      </w:pPr>
    </w:p>
    <w:p w14:paraId="7C6E2012" w14:textId="77777777" w:rsidR="00953DF6" w:rsidRDefault="00953DF6">
      <w:pPr>
        <w:rPr>
          <w:rFonts w:ascii="Times New Roman" w:hAnsi="Times New Roman" w:cs="Times New Roman"/>
        </w:rPr>
      </w:pPr>
    </w:p>
    <w:p w14:paraId="09D7F2F6" w14:textId="77777777" w:rsidR="00953DF6" w:rsidRDefault="00953DF6">
      <w:pPr>
        <w:rPr>
          <w:rFonts w:ascii="Times New Roman" w:hAnsi="Times New Roman" w:cs="Times New Roman"/>
        </w:rPr>
      </w:pPr>
    </w:p>
    <w:p w14:paraId="23560651" w14:textId="77777777" w:rsidR="00953DF6" w:rsidRDefault="00953DF6">
      <w:pPr>
        <w:rPr>
          <w:rFonts w:ascii="Times New Roman" w:hAnsi="Times New Roman" w:cs="Times New Roman"/>
        </w:rPr>
      </w:pPr>
    </w:p>
    <w:p w14:paraId="4D59439B" w14:textId="77777777" w:rsidR="00953DF6" w:rsidRDefault="00953DF6">
      <w:pPr>
        <w:rPr>
          <w:rFonts w:ascii="Times New Roman" w:hAnsi="Times New Roman" w:cs="Times New Roman"/>
        </w:rPr>
      </w:pPr>
    </w:p>
    <w:p w14:paraId="07CDA6E9" w14:textId="77777777" w:rsidR="00953DF6" w:rsidRDefault="00953DF6">
      <w:pPr>
        <w:rPr>
          <w:rFonts w:hint="eastAsia"/>
        </w:rPr>
      </w:pPr>
    </w:p>
    <w:p w14:paraId="789E28D4" w14:textId="77777777" w:rsidR="00953DF6" w:rsidRDefault="00953DF6">
      <w:pPr>
        <w:rPr>
          <w:rFonts w:hint="eastAsia"/>
        </w:rPr>
      </w:pPr>
    </w:p>
    <w:p w14:paraId="5FA90CAA" w14:textId="77777777" w:rsidR="00953DF6" w:rsidRDefault="00953DF6">
      <w:pPr>
        <w:rPr>
          <w:rFonts w:hint="eastAsia"/>
        </w:rPr>
      </w:pPr>
    </w:p>
    <w:p w14:paraId="27889606" w14:textId="77777777" w:rsidR="00953DF6" w:rsidRDefault="00953DF6">
      <w:pPr>
        <w:rPr>
          <w:rFonts w:hint="eastAsia"/>
        </w:rPr>
      </w:pPr>
    </w:p>
    <w:p w14:paraId="70AEF94F" w14:textId="77777777" w:rsidR="000856C6" w:rsidRDefault="000856C6">
      <w:pPr>
        <w:rPr>
          <w:rFonts w:hint="eastAsia"/>
        </w:rPr>
      </w:pPr>
    </w:p>
    <w:p w14:paraId="0ED9C991" w14:textId="77777777" w:rsidR="000856C6" w:rsidRDefault="000856C6">
      <w:pPr>
        <w:rPr>
          <w:rFonts w:hint="eastAsia"/>
        </w:rPr>
      </w:pPr>
    </w:p>
    <w:p w14:paraId="7F406ED3" w14:textId="77777777" w:rsidR="000856C6" w:rsidRDefault="000856C6">
      <w:pPr>
        <w:rPr>
          <w:rFonts w:hint="eastAsia"/>
        </w:rPr>
      </w:pPr>
    </w:p>
    <w:p w14:paraId="251F58B1" w14:textId="77777777" w:rsidR="000856C6" w:rsidRDefault="000856C6">
      <w:pPr>
        <w:rPr>
          <w:rFonts w:hint="eastAsia"/>
        </w:rPr>
      </w:pPr>
    </w:p>
    <w:p w14:paraId="3F45F081" w14:textId="77777777" w:rsidR="000856C6" w:rsidRDefault="000856C6">
      <w:pPr>
        <w:rPr>
          <w:rFonts w:hint="eastAsia"/>
        </w:rPr>
      </w:pPr>
    </w:p>
    <w:p w14:paraId="1CEB4F62" w14:textId="77777777" w:rsidR="000856C6" w:rsidRDefault="000856C6">
      <w:pPr>
        <w:rPr>
          <w:rFonts w:hint="eastAsia"/>
        </w:rPr>
      </w:pPr>
    </w:p>
    <w:p w14:paraId="6732A79F" w14:textId="77777777" w:rsidR="000856C6" w:rsidRDefault="000856C6">
      <w:pPr>
        <w:rPr>
          <w:rFonts w:hint="eastAsia"/>
        </w:rPr>
      </w:pPr>
    </w:p>
    <w:p w14:paraId="701D87A1" w14:textId="77777777" w:rsidR="000856C6" w:rsidRDefault="000856C6">
      <w:pPr>
        <w:rPr>
          <w:rFonts w:hint="eastAsia"/>
        </w:rPr>
      </w:pPr>
    </w:p>
    <w:p w14:paraId="05AB8928" w14:textId="77777777" w:rsidR="000856C6" w:rsidRDefault="000856C6">
      <w:pPr>
        <w:rPr>
          <w:rFonts w:hint="eastAsia"/>
        </w:rPr>
      </w:pPr>
    </w:p>
    <w:p w14:paraId="074AEB90" w14:textId="77777777" w:rsidR="000856C6" w:rsidRDefault="000856C6">
      <w:pPr>
        <w:rPr>
          <w:rFonts w:hint="eastAsia"/>
        </w:rPr>
      </w:pPr>
    </w:p>
    <w:p w14:paraId="6E51A455" w14:textId="77777777" w:rsidR="000856C6" w:rsidRDefault="000856C6">
      <w:pPr>
        <w:rPr>
          <w:rFonts w:hint="eastAsia"/>
        </w:rPr>
      </w:pPr>
    </w:p>
    <w:p w14:paraId="048E9100" w14:textId="77777777" w:rsidR="000856C6" w:rsidRDefault="000856C6">
      <w:pPr>
        <w:rPr>
          <w:rFonts w:hint="eastAsia"/>
        </w:rPr>
      </w:pPr>
    </w:p>
    <w:p w14:paraId="53FAA91F" w14:textId="77777777" w:rsidR="000856C6" w:rsidRDefault="000856C6">
      <w:pPr>
        <w:rPr>
          <w:rFonts w:hint="eastAsia"/>
        </w:rPr>
      </w:pPr>
    </w:p>
    <w:p w14:paraId="5473B656" w14:textId="59F943B9" w:rsidR="000856C6" w:rsidRDefault="000856C6" w:rsidP="000856C6">
      <w:pPr>
        <w:autoSpaceDE w:val="0"/>
        <w:autoSpaceDN w:val="0"/>
        <w:adjustRightInd w:val="0"/>
        <w:jc w:val="left"/>
        <w:rPr>
          <w:rFonts w:hint="eastAsia"/>
        </w:rPr>
      </w:pPr>
      <w:r>
        <w:lastRenderedPageBreak/>
        <w:t xml:space="preserve"> </w:t>
      </w:r>
    </w:p>
    <w:p w14:paraId="5B7B5AD4" w14:textId="77777777" w:rsidR="000856C6" w:rsidRDefault="000856C6" w:rsidP="000856C6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ADDIN NE.Bib</w:instrText>
      </w:r>
      <w:r>
        <w:rPr>
          <w:rFonts w:hint="eastAsia"/>
        </w:rPr>
        <w:fldChar w:fldCharType="separate"/>
      </w:r>
    </w:p>
    <w:p w14:paraId="2658555A" w14:textId="77777777" w:rsidR="000856C6" w:rsidRDefault="000856C6" w:rsidP="000856C6">
      <w:pPr>
        <w:autoSpaceDE w:val="0"/>
        <w:autoSpaceDN w:val="0"/>
        <w:adjustRightInd w:val="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40"/>
          <w:szCs w:val="40"/>
        </w:rPr>
        <w:t>References:</w:t>
      </w:r>
    </w:p>
    <w:p w14:paraId="25CF2B79" w14:textId="77777777" w:rsidR="000856C6" w:rsidRDefault="000856C6" w:rsidP="000856C6">
      <w:pPr>
        <w:autoSpaceDE w:val="0"/>
        <w:autoSpaceDN w:val="0"/>
        <w:adjustRightInd w:val="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1.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ab/>
      </w:r>
      <w:bookmarkStart w:id="1" w:name="_neb792161F1_847E_4E12_926B_B1CF266359F6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Stevens LA, Claybon MA, Schmid CH, Chen J, Horio M, Imai E, Nelson RG, Van Deventer M, Wang H, Zuo L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  <w:t xml:space="preserve"> et al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: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Evaluation of the Chronic Kidney Disease Epidemiology Collaboration equation for estimating the glomerular filtration rate in multiple ethnicities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.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  <w:t>KIDNEY INT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2011,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79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(5):555-562.</w:t>
      </w:r>
      <w:bookmarkEnd w:id="1"/>
    </w:p>
    <w:p w14:paraId="17C38944" w14:textId="77777777" w:rsidR="000856C6" w:rsidRDefault="000856C6" w:rsidP="000856C6">
      <w:pPr>
        <w:autoSpaceDE w:val="0"/>
        <w:autoSpaceDN w:val="0"/>
        <w:adjustRightInd w:val="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2.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ab/>
      </w:r>
      <w:bookmarkStart w:id="2" w:name="_neb7A71BCC0_7BC6_4B6E_BC98_9A3847EB49DD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Tonelli M, Tiv S, Anand S, Mohan D, Garcia Garcia G, Gutierrez Padilla JA, Klarenbach S, Navarro Blackaller G, Seck S, Wang J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  <w:t xml:space="preserve"> et al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: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Diagnostic Yield of Population-Based Screening for Chronic Kidney Disease in Low-Income, Middle-Income, and High-Income Countries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.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  <w:t>JAMA NETW OPEN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2021,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4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(10):e2127396.</w:t>
      </w:r>
      <w:bookmarkEnd w:id="2"/>
    </w:p>
    <w:p w14:paraId="233E1A45" w14:textId="1282EBD0" w:rsidR="00EE2BA7" w:rsidRDefault="000856C6" w:rsidP="00EE2BA7">
      <w:pPr>
        <w:autoSpaceDE w:val="0"/>
        <w:autoSpaceDN w:val="0"/>
        <w:adjustRightInd w:val="0"/>
        <w:jc w:val="left"/>
        <w:rPr>
          <w:rFonts w:hint="eastAsia"/>
        </w:rPr>
      </w:pPr>
      <w:r>
        <w:rPr>
          <w:rFonts w:hint="eastAsia"/>
        </w:rPr>
        <w:fldChar w:fldCharType="end"/>
      </w:r>
      <w:r w:rsidR="00EE2BA7">
        <w:t xml:space="preserve"> </w:t>
      </w:r>
    </w:p>
    <w:p w14:paraId="13DB92C5" w14:textId="08DC4EAE" w:rsidR="00953DF6" w:rsidRDefault="00953DF6" w:rsidP="000856C6">
      <w:pPr>
        <w:rPr>
          <w:rFonts w:hint="eastAsia"/>
        </w:rPr>
      </w:pPr>
    </w:p>
    <w:sectPr w:rsidR="00953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OwMLYwN7CwMLCwNDFX0lEKTi0uzszPAykwqQUAmgeliSwAAAA="/>
    <w:docVar w:name="commondata" w:val="eyJoZGlkIjoiZjFmZWIzNDg2MmIzZjExOTIzMmViNTBmYTMwYTk0ZWYifQ=="/>
    <w:docVar w:name="NE.Ref{D814AE13-271B-4BB9-9BC2-30679E7596F5}" w:val=" ADDIN NE.Ref.{D814AE13-271B-4BB9-9BC2-30679E7596F5}&lt;Citation&gt;&lt;Group&gt;&lt;References&gt;&lt;Item&gt;&lt;ID&gt;2277&lt;/ID&gt;&lt;UID&gt;{792161F1-847E-4E12-926B-B1CF266359F6}&lt;/UID&gt;&lt;Title&gt;Evaluation of the Chronic Kidney Disease Epidemiology Collaboration equation for estimating the glomerular filtration rate in multiple ethnicities&lt;/Title&gt;&lt;Template&gt;Journal Article&lt;/Template&gt;&lt;Star&gt;0&lt;/Star&gt;&lt;Tag&gt;0&lt;/Tag&gt;&lt;Author&gt;Stevens, Lesley A; Claybon, Marcie A; Schmid, Christopher H; Chen, Jing; Horio, Masaru; Imai, Enyu; Nelson, Robert G; Van Deventer, Manuel; Wang, Hai-Yan; Zuo, Li; Zhang, Yaping Lucy; Levey, Andrew S&lt;/Author&gt;&lt;Year&gt;2011&lt;/Year&gt;&lt;Details&gt;&lt;_accession_num&gt;21107446&lt;/_accession_num&gt;&lt;_author_adr&gt;Division of Nephrology, Tufts Medical Center, Boston, Massachusetts 02111, USA.  lstevens1@tuftsmedicalcenter.org&lt;/_author_adr&gt;&lt;_date_display&gt;2011 Mar&lt;/_date_display&gt;&lt;_date&gt;2011-03-01&lt;/_date&gt;&lt;_doi&gt;10.1038/ki.2010.462&lt;/_doi&gt;&lt;_isbn&gt;1523-1755 (Electronic); 0085-2538 (Print); 0085-2538 (Linking)&lt;/_isbn&gt;&lt;_issue&gt;5&lt;/_issue&gt;&lt;_journal&gt;Kidney Int&lt;/_journal&gt;&lt;_language&gt;eng&lt;/_language&gt;&lt;_pages&gt;555-62&lt;/_pages&gt;&lt;_subject_headings&gt;Adult; Aged; Chronic Disease; Creatinine/blood; Female; *Glomerular Filtration Rate; Humans; Kidney Diseases/*epidemiology/ethnology/physiopathology; Male; Middle Aged&lt;/_subject_headings&gt;&lt;_tertiary_title&gt;Kidney international&lt;/_tertiary_title&gt;&lt;_type_work&gt;Journal Article; Research Support, N.I.H., Extramural&lt;/_type_work&gt;&lt;_url&gt;http://www.ncbi.nlm.nih.gov/entrez/query.fcgi?cmd=Retrieve&amp;amp;db=pubmed&amp;amp;dopt=Abstract&amp;amp;list_uids=21107446&amp;amp;query_hl=1&lt;/_url&gt;&lt;_volume&gt;79&lt;/_volume&gt;&lt;_created&gt;66090264&lt;/_created&gt;&lt;_modified&gt;66090264&lt;/_modified&gt;&lt;_db_updated&gt;PubMed&lt;/_db_updated&gt;&lt;_impact_factor&gt;  14.800&lt;/_impact_factor&gt;&lt;_social_category&gt;泌尿学与肾脏学(1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EF10DFE3-EA41-41A7-B413-E76982F13A3C}" w:val=" ADDIN NE.Ref.{EF10DFE3-EA41-41A7-B413-E76982F13A3C}&lt;Citation&gt;&lt;Group&gt;&lt;References&gt;&lt;Item&gt;&lt;ID&gt;2278&lt;/ID&gt;&lt;UID&gt;{7A71BCC0-7BC6-4B6E-BC98-9A3847EB49DD}&lt;/UID&gt;&lt;Title&gt;Diagnostic Yield of Population-Based Screening for Chronic Kidney Disease in Low-Income, Middle-Income, and High-Income Countries&lt;/Title&gt;&lt;Template&gt;Journal Article&lt;/Template&gt;&lt;Star&gt;0&lt;/Star&gt;&lt;Tag&gt;0&lt;/Tag&gt;&lt;Author&gt;Tonelli, Marcello; Tiv, Sophanny; Anand, Shuchi; Mohan, Deepa; Garcia Garcia, Guillermo; Gutierrez Padilla, Jose Alfonso; Klarenbach, Scott; Navarro Blackaller, Guillermo; Seck, Sidy; Wang, Jinwei; Zhang, Luxia; Muntner, Paul&lt;/Author&gt;&lt;Year&gt;2021&lt;/Year&gt;&lt;Details&gt;&lt;_accession_num&gt;34605917&lt;/_accession_num&gt;&lt;_author_adr&gt;University of Calgary, Calgary, Alberta, Canada.; Division of Nephrology, Department of Medicine, University of Alberta, Edmonton,  Alberta, Canada.; Division of Nephrology, Department of Medicine, Stanford University, Stanford,  California.; Madras Diabetes Research Foundation, Chennai, India.; Hospital Civil de Guadalajara Fray Antonio Alcalde, University Center for Health  Science, University of Guadalajara, Guadalajara, Jalisco, Mexico.; Hospital Civil de Guadalajara Fray Antonio Alcalde, University Center for Health  Science, University of Guadalajara, Guadalajara, Jalisco, Mexico.; Division of Nephrology, Department of Medicine, University of Alberta, Edmonton,  Alberta, Canada.; Hospital Civil de Guadalajara Fray Antonio Alcalde, University Center for Health  Science, University of Guadalajara, Guadalajara, Jalisco, Mexico.; Department of Internal Medicine and Nephrology, Gaston Berger University,  Saint-Louis, Senegal.; Peking University Institute of Nephrology, Peking University First Hospital,  Beijing, China.; Peking University Institute of Nephrology, Peking University First Hospital,  Beijing, China.; Department of Epidemiology, School of Public Health, University of Alabama,  Tuscaloosa.&lt;/_author_adr&gt;&lt;_date_display&gt;2021 Oct 1&lt;/_date_display&gt;&lt;_date&gt;2021-10-01&lt;/_date&gt;&lt;_doi&gt;10.1001/jamanetworkopen.2021.27396&lt;/_doi&gt;&lt;_isbn&gt;2574-3805 (Electronic); 2574-3805 (Linking)&lt;/_isbn&gt;&lt;_issue&gt;10&lt;/_issue&gt;&lt;_journal&gt;JAMA Netw Open&lt;/_journal&gt;&lt;_language&gt;eng&lt;/_language&gt;&lt;_pages&gt;e2127396&lt;/_pages&gt;&lt;_subject_headings&gt;China/epidemiology; Cohort Studies; Developing Countries/statistics &amp;amp; numerical data; Diabetes Mellitus/epidemiology; Diagnostic Screening Programs/*standards/statistics &amp;amp; numerical data; Humans; Hypertension/epidemiology; India/epidemiology; Mexico/epidemiology; Prevalence; Renal Insufficiency, Chronic/*diagnosis/epidemiology/physiopathology; Risk Factors; Senegal/epidemiology; United States/epidemiology&lt;/_subject_headings&gt;&lt;_tertiary_title&gt;JAMA network open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34605917&amp;amp;query_hl=1&lt;/_url&gt;&lt;_volume&gt;4&lt;/_volume&gt;&lt;_created&gt;66090268&lt;/_created&gt;&lt;_modified&gt;66090268&lt;/_modified&gt;&lt;_db_updated&gt;PubMed&lt;/_db_updated&gt;&lt;_impact_factor&gt;  10.500&lt;/_impact_factor&gt;&lt;_social_category&gt;医学：内科(1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Cardiovascular Diab"/>
  </w:docVars>
  <w:rsids>
    <w:rsidRoot w:val="00620E31"/>
    <w:rsid w:val="00075313"/>
    <w:rsid w:val="000856C6"/>
    <w:rsid w:val="001734D3"/>
    <w:rsid w:val="001E35ED"/>
    <w:rsid w:val="003A56C0"/>
    <w:rsid w:val="003E5468"/>
    <w:rsid w:val="004A3E75"/>
    <w:rsid w:val="00533F4F"/>
    <w:rsid w:val="005E5AAB"/>
    <w:rsid w:val="00620E31"/>
    <w:rsid w:val="008A5811"/>
    <w:rsid w:val="00953DF6"/>
    <w:rsid w:val="00A80F0C"/>
    <w:rsid w:val="00EE2BA7"/>
    <w:rsid w:val="00F4269D"/>
    <w:rsid w:val="01EC20E2"/>
    <w:rsid w:val="02B56E11"/>
    <w:rsid w:val="0BFD5560"/>
    <w:rsid w:val="11652D49"/>
    <w:rsid w:val="196976A4"/>
    <w:rsid w:val="3EB80566"/>
    <w:rsid w:val="454655FE"/>
    <w:rsid w:val="496F29A9"/>
    <w:rsid w:val="51390D05"/>
    <w:rsid w:val="590C478F"/>
    <w:rsid w:val="6BCE5FE5"/>
    <w:rsid w:val="74F8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A4EA9A"/>
  <w15:docId w15:val="{0AFCABDC-5DAB-4AC3-AC50-4EE16A98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table" w:customStyle="1" w:styleId="611">
    <w:name w:val="清单表 6 彩色11"/>
    <w:basedOn w:val="a1"/>
    <w:uiPriority w:val="51"/>
    <w:qFormat/>
    <w:rPr>
      <w:color w:val="000000"/>
    </w:rPr>
    <w:tblPr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1">
    <w:name w:val="清单表 6 彩色1"/>
    <w:basedOn w:val="a1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2">
    <w:name w:val="清单表 6 彩色2"/>
    <w:basedOn w:val="a1"/>
    <w:autoRedefine/>
    <w:uiPriority w:val="51"/>
    <w:qFormat/>
    <w:rPr>
      <w:color w:val="000000"/>
    </w:rPr>
    <w:tblPr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a8">
    <w:name w:val="annotation reference"/>
    <w:basedOn w:val="a0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974</Words>
  <Characters>5419</Characters>
  <Application>Microsoft Office Word</Application>
  <DocSecurity>0</DocSecurity>
  <Lines>451</Lines>
  <Paragraphs>236</Paragraphs>
  <ScaleCrop>false</ScaleCrop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</dc:creator>
  <dc:description>NE.Rep</dc:description>
  <cp:lastModifiedBy>cc c</cp:lastModifiedBy>
  <cp:revision>7</cp:revision>
  <dcterms:created xsi:type="dcterms:W3CDTF">2023-04-25T08:11:00Z</dcterms:created>
  <dcterms:modified xsi:type="dcterms:W3CDTF">2025-08-29T00:59:00Z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065F33B06D5C4CF9BCEBAA6CB9B9DE31_12</vt:lpwstr>
  </property>
  <property fmtid="{D5CDD505-2E9C-101B-9397-08002B2CF9AE}" pid="4" name="KSOTemplateDocerSaveRecord">
    <vt:lpwstr>eyJoZGlkIjoiZjFmZWIzNDg2MmIzZjExOTIzMmViNTBmYTMwYTk0ZWYiLCJ1c2VySWQiOiIzMzI1MjY5NDIifQ==</vt:lpwstr>
  </property>
</Properties>
</file>