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A0398" w14:textId="77777777" w:rsidR="00A57E7E" w:rsidRDefault="00000000">
      <w:pPr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Figure-1  Multimorbidity Trajectories of CHARLS, ELSA, HRS</w:t>
      </w:r>
    </w:p>
    <w:p w14:paraId="0EAB9DB1" w14:textId="77777777" w:rsidR="00A57E7E" w:rsidRDefault="00A57E7E">
      <w:pPr>
        <w:rPr>
          <w:rFonts w:ascii="Times New Roman" w:hAnsi="Times New Roman" w:cs="Times New Roman"/>
          <w:sz w:val="22"/>
          <w:szCs w:val="28"/>
        </w:rPr>
      </w:pPr>
    </w:p>
    <w:p w14:paraId="2ED9DB86" w14:textId="2B1D86B0" w:rsidR="00A57E7E" w:rsidRDefault="00000000">
      <w:pPr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The multimorbidity trajectories of CHARLS Wave 1 - Wave 4, ELSA Wave 4 - Wave 8, and HRS Wave 10 - Wave 14 were determined using the GBTM method in each cohort. The choice of trajectory model was based on the following criteria: (1) Observed improvement in the trajectory fitting parameters (2) Each trajectory group includes at least 5% of the sample size in the cohort (3) The average posterior probability</w:t>
      </w:r>
      <w:r w:rsidR="004A059B">
        <w:rPr>
          <w:rFonts w:ascii="Times New Roman" w:hAnsi="Times New Roman" w:cs="Times New Roman" w:hint="eastAsia"/>
          <w:sz w:val="22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8"/>
        </w:rPr>
        <w:t>(</w:t>
      </w:r>
      <w:proofErr w:type="spellStart"/>
      <w:r>
        <w:rPr>
          <w:rFonts w:ascii="Times New Roman" w:hAnsi="Times New Roman" w:cs="Times New Roman"/>
          <w:sz w:val="22"/>
          <w:szCs w:val="28"/>
        </w:rPr>
        <w:t>AvePP</w:t>
      </w:r>
      <w:proofErr w:type="spellEnd"/>
      <w:r>
        <w:rPr>
          <w:rFonts w:ascii="Times New Roman" w:hAnsi="Times New Roman" w:cs="Times New Roman"/>
          <w:sz w:val="22"/>
          <w:szCs w:val="28"/>
        </w:rPr>
        <w:t>) is higher than 70% (4) Visual confirmation of different trajectories. The solid line represents the trajectory fitting line, and the dashed line represents the actual average of each group.</w:t>
      </w:r>
    </w:p>
    <w:p w14:paraId="55F8FEFB" w14:textId="77777777" w:rsidR="00A57E7E" w:rsidRDefault="00A57E7E">
      <w:pPr>
        <w:rPr>
          <w:rFonts w:ascii="Times New Roman" w:hAnsi="Times New Roman" w:cs="Times New Roman"/>
          <w:sz w:val="22"/>
          <w:szCs w:val="28"/>
        </w:rPr>
      </w:pPr>
    </w:p>
    <w:p w14:paraId="6F50F893" w14:textId="77777777" w:rsidR="00A57E7E" w:rsidRDefault="00A57E7E">
      <w:pPr>
        <w:rPr>
          <w:rFonts w:ascii="Times New Roman" w:hAnsi="Times New Roman" w:cs="Times New Roman"/>
          <w:sz w:val="22"/>
          <w:szCs w:val="28"/>
        </w:rPr>
      </w:pPr>
    </w:p>
    <w:p w14:paraId="14BAA40A" w14:textId="77777777" w:rsidR="00A57E7E" w:rsidRDefault="00000000">
      <w:pPr>
        <w:rPr>
          <w:rFonts w:ascii="Times New Roman" w:eastAsia="宋体" w:hAnsi="Times New Roman" w:cs="Times New Roman"/>
          <w:b/>
          <w:bCs/>
          <w:sz w:val="22"/>
          <w:szCs w:val="22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sz w:val="22"/>
          <w:szCs w:val="22"/>
          <w:shd w:val="clear" w:color="auto" w:fill="FFFFFF"/>
        </w:rPr>
        <w:t>Figure-2  Association of  Metabolic Obesity Transition Phenotype and Multimorbidity Trajectory in CHARLS, ELSA, HRS</w:t>
      </w:r>
    </w:p>
    <w:p w14:paraId="03579190" w14:textId="77777777" w:rsidR="00A57E7E" w:rsidRDefault="00A57E7E">
      <w:pP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</w:pPr>
    </w:p>
    <w:p w14:paraId="4063EB97" w14:textId="6396BD9E" w:rsidR="00A57E7E" w:rsidRDefault="00000000">
      <w:pP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>MHNW:</w:t>
      </w:r>
      <w:r w:rsidR="004A059B">
        <w:rPr>
          <w:rFonts w:ascii="Times New Roman" w:eastAsia="宋体" w:hAnsi="Times New Roman" w:cs="Times New Roman" w:hint="eastAsia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>Metabolically Healthy Normal Weight, MHOO:</w:t>
      </w:r>
      <w:r w:rsidR="004A059B">
        <w:rPr>
          <w:rFonts w:ascii="Times New Roman" w:eastAsia="宋体" w:hAnsi="Times New Roman" w:cs="Times New Roman" w:hint="eastAsia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>Metabolically Healthy Obesity</w:t>
      </w:r>
      <w:r>
        <w:rPr>
          <w:rFonts w:ascii="Times New Roman" w:eastAsia="宋体" w:hAnsi="Times New Roman" w:cs="Times New Roman"/>
          <w:b/>
          <w:bCs/>
          <w:sz w:val="22"/>
          <w:szCs w:val="22"/>
          <w:shd w:val="clear" w:color="auto" w:fill="FFFFFF"/>
        </w:rPr>
        <w:t>/</w:t>
      </w: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>Overweight, MUNW:</w:t>
      </w:r>
      <w:r w:rsidR="004A059B">
        <w:rPr>
          <w:rFonts w:ascii="Times New Roman" w:eastAsia="宋体" w:hAnsi="Times New Roman" w:cs="Times New Roman" w:hint="eastAsia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>Metabolically Unhealthy Normal Weight, MUOO: Metabolically Unhealthy Obesity</w:t>
      </w:r>
      <w:r>
        <w:rPr>
          <w:rFonts w:ascii="Times New Roman" w:eastAsia="宋体" w:hAnsi="Times New Roman" w:cs="Times New Roman"/>
          <w:b/>
          <w:bCs/>
          <w:sz w:val="22"/>
          <w:szCs w:val="22"/>
          <w:shd w:val="clear" w:color="auto" w:fill="FFFFFF"/>
        </w:rPr>
        <w:t>/</w:t>
      </w: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 xml:space="preserve">Overweight. The reference group is MHNW, and the model is adjusted according to baseline age, gender, education level, smoking, drinking, socioeconomic status (SES), and </w:t>
      </w:r>
      <w:proofErr w:type="spellStart"/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>hsCRP</w:t>
      </w:r>
      <w:proofErr w:type="spellEnd"/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 xml:space="preserve"> levels. The numbers represent the odds ratios of metabolic obesity progression phenotype with multimorbidity trajectories, and the bold asterisks represent associations that remain significant after correction for multiple testing.</w:t>
      </w:r>
    </w:p>
    <w:p w14:paraId="0BE58D1E" w14:textId="77777777" w:rsidR="00A57E7E" w:rsidRDefault="00A57E7E">
      <w:pP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</w:pPr>
    </w:p>
    <w:p w14:paraId="3A386718" w14:textId="77777777" w:rsidR="00A57E7E" w:rsidRDefault="00A57E7E">
      <w:pP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</w:pPr>
    </w:p>
    <w:p w14:paraId="04C347A9" w14:textId="77777777" w:rsidR="00A57E7E" w:rsidRDefault="00000000">
      <w:pPr>
        <w:rPr>
          <w:rFonts w:ascii="Times New Roman" w:eastAsia="宋体" w:hAnsi="Times New Roman" w:cs="Times New Roman"/>
          <w:b/>
          <w:bCs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sz w:val="22"/>
          <w:szCs w:val="22"/>
          <w:shd w:val="clear" w:color="auto" w:fill="FFFFFF"/>
        </w:rPr>
        <w:t>Figure-3</w:t>
      </w: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 xml:space="preserve">  </w:t>
      </w:r>
      <w:r>
        <w:rPr>
          <w:rFonts w:ascii="Times New Roman" w:eastAsia="宋体" w:hAnsi="Times New Roman" w:cs="Times New Roman"/>
          <w:b/>
          <w:bCs/>
          <w:szCs w:val="21"/>
          <w:shd w:val="clear" w:color="auto" w:fill="FFFFFF"/>
        </w:rPr>
        <w:t>Nonlinear Relationship between Obesity Metabolic Phenotype Components and Multimorbidity Trajectories in the CHARLS, ELSA, and HRS Cohorts</w:t>
      </w:r>
    </w:p>
    <w:p w14:paraId="77ACA77E" w14:textId="77777777" w:rsidR="00A57E7E" w:rsidRDefault="00A57E7E">
      <w:pPr>
        <w:rPr>
          <w:rFonts w:ascii="Times New Roman" w:eastAsia="宋体" w:hAnsi="Times New Roman" w:cs="Times New Roman"/>
          <w:b/>
          <w:bCs/>
          <w:szCs w:val="21"/>
          <w:shd w:val="clear" w:color="auto" w:fill="FFFFFF"/>
        </w:rPr>
      </w:pPr>
    </w:p>
    <w:p w14:paraId="3F4E3557" w14:textId="77777777" w:rsidR="00A57E7E" w:rsidRDefault="00000000">
      <w:pPr>
        <w:rPr>
          <w:rFonts w:ascii="Times New Roman" w:eastAsia="宋体" w:hAnsi="Times New Roman" w:cs="Times New Roman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Exposures are the components involved in the determination of obesity metabolic phenotypes at baseline; outcomes are the multimorbidity trajectory groups, in CHARLS as "High-growth" trajectory, in ELSA as "High-growth" trajectory, in HRS as "High-growth" trajectory. Models are adjusted according to baseline age, gender, education level, smoking, drinking, socioeconomic status (SES), and </w:t>
      </w:r>
      <w:proofErr w:type="spellStart"/>
      <w:r>
        <w:rPr>
          <w:rFonts w:ascii="Times New Roman" w:eastAsia="宋体" w:hAnsi="Times New Roman" w:cs="Times New Roman"/>
          <w:szCs w:val="21"/>
          <w:shd w:val="clear" w:color="auto" w:fill="FFFFFF"/>
        </w:rPr>
        <w:t>hsCRP</w:t>
      </w:r>
      <w:proofErr w:type="spellEnd"/>
      <w:r>
        <w:rPr>
          <w:rFonts w:ascii="Times New Roman" w:eastAsia="宋体" w:hAnsi="Times New Roman" w:cs="Times New Roman"/>
          <w:szCs w:val="21"/>
          <w:shd w:val="clear" w:color="auto" w:fill="FFFFFF"/>
        </w:rPr>
        <w:t xml:space="preserve"> levels. The number of nodes is selected according to the Bayesian Information Criterion (BIC), the red solid line represents the estimated nonlinear relationship curve, and light red represents the 95% confidence interval. The P-values for the Overall relationship and nonlinear relationship were calculated.</w:t>
      </w:r>
    </w:p>
    <w:p w14:paraId="57441103" w14:textId="77777777" w:rsidR="00A57E7E" w:rsidRDefault="00A57E7E">
      <w:pP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</w:pPr>
    </w:p>
    <w:p w14:paraId="51CBE97C" w14:textId="77777777" w:rsidR="00A57E7E" w:rsidRDefault="00A57E7E">
      <w:pPr>
        <w:rPr>
          <w:rFonts w:ascii="Times New Roman" w:hAnsi="Times New Roman" w:cs="Times New Roman"/>
        </w:rPr>
      </w:pPr>
    </w:p>
    <w:sectPr w:rsidR="00A57E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89730" w14:textId="77777777" w:rsidR="006C7871" w:rsidRDefault="006C7871" w:rsidP="004A059B">
      <w:r>
        <w:separator/>
      </w:r>
    </w:p>
  </w:endnote>
  <w:endnote w:type="continuationSeparator" w:id="0">
    <w:p w14:paraId="77B7418A" w14:textId="77777777" w:rsidR="006C7871" w:rsidRDefault="006C7871" w:rsidP="004A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303A5" w14:textId="77777777" w:rsidR="006C7871" w:rsidRDefault="006C7871" w:rsidP="004A059B">
      <w:r>
        <w:separator/>
      </w:r>
    </w:p>
  </w:footnote>
  <w:footnote w:type="continuationSeparator" w:id="0">
    <w:p w14:paraId="26B808B5" w14:textId="77777777" w:rsidR="006C7871" w:rsidRDefault="006C7871" w:rsidP="004A0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EzOTM4NjI2ZTkxYTY0MjhjZTU2MzcwNzk4OGEyNWMifQ=="/>
  </w:docVars>
  <w:rsids>
    <w:rsidRoot w:val="00A57E7E"/>
    <w:rsid w:val="004A059B"/>
    <w:rsid w:val="006C7871"/>
    <w:rsid w:val="00A57E7E"/>
    <w:rsid w:val="00E4688A"/>
    <w:rsid w:val="6281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6FDFA"/>
  <w15:docId w15:val="{3F55F9D3-55DB-47E8-A26E-540A370D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05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A059B"/>
    <w:rPr>
      <w:kern w:val="2"/>
      <w:sz w:val="18"/>
      <w:szCs w:val="18"/>
    </w:rPr>
  </w:style>
  <w:style w:type="paragraph" w:styleId="a5">
    <w:name w:val="footer"/>
    <w:basedOn w:val="a"/>
    <w:link w:val="a6"/>
    <w:rsid w:val="004A05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A059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王恒</dc:creator>
  <cp:lastModifiedBy>lei liu</cp:lastModifiedBy>
  <cp:revision>2</cp:revision>
  <dcterms:created xsi:type="dcterms:W3CDTF">2024-11-17T08:29:00Z</dcterms:created>
  <dcterms:modified xsi:type="dcterms:W3CDTF">2024-11-20T01:48:00Z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C77D15BE559F41C0802CCEA8774E401F_12</vt:lpwstr>
  </property>
</Properties>
</file>