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48588" w14:textId="77777777" w:rsidR="008556DB" w:rsidRDefault="008556DB"/>
    <w:p w14:paraId="769CEDD4" w14:textId="6D11FE94" w:rsidR="00B95468" w:rsidRDefault="00B95468">
      <w:r>
        <w:t>SUPPLEMENTARY</w:t>
      </w:r>
    </w:p>
    <w:p w14:paraId="61FA8F6B" w14:textId="77777777" w:rsidR="009A55FB" w:rsidRDefault="009A55FB"/>
    <w:p w14:paraId="1CC3C90D" w14:textId="6CC4902C" w:rsidR="00B95468" w:rsidRPr="009A55FB" w:rsidRDefault="00B95468">
      <w:r w:rsidRPr="009A55FB">
        <w:rPr>
          <w:sz w:val="28"/>
          <w:szCs w:val="28"/>
        </w:rPr>
        <w:t xml:space="preserve">Tab S1 </w:t>
      </w:r>
      <w:r w:rsidRPr="009A55FB">
        <w:rPr>
          <w:rStyle w:val="Strong"/>
          <w:rFonts w:ascii="Segoe UI" w:hAnsi="Segoe UI" w:cs="Segoe UI"/>
          <w:color w:val="404040"/>
          <w:shd w:val="clear" w:color="auto" w:fill="FFFFFF"/>
        </w:rPr>
        <w:t>Complete Cox Proportional Hazards Regression Output for Predictors of Time to Severe ISR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64"/>
        <w:gridCol w:w="1560"/>
        <w:gridCol w:w="1517"/>
        <w:gridCol w:w="1534"/>
        <w:gridCol w:w="1226"/>
        <w:gridCol w:w="1059"/>
      </w:tblGrid>
      <w:tr w:rsidR="00B95468" w:rsidRPr="00B95468" w14:paraId="3D5A25A5" w14:textId="77777777">
        <w:trPr>
          <w:tblHeader/>
        </w:trPr>
        <w:tc>
          <w:tcPr>
            <w:tcW w:w="0" w:type="auto"/>
            <w:tcBorders>
              <w:top w:val="nil"/>
              <w:left w:val="nil"/>
              <w:bottom w:val="single" w:sz="6" w:space="0" w:color="BBBBBB"/>
              <w:right w:val="nil"/>
            </w:tcBorders>
            <w:shd w:val="clear" w:color="auto" w:fill="FFFFFF"/>
            <w:tcMar>
              <w:top w:w="150" w:type="dxa"/>
              <w:left w:w="0" w:type="dxa"/>
              <w:bottom w:w="150" w:type="dxa"/>
              <w:right w:w="150" w:type="dxa"/>
            </w:tcMar>
            <w:vAlign w:val="center"/>
            <w:hideMark/>
          </w:tcPr>
          <w:p w14:paraId="67228DD9" w14:textId="77777777" w:rsidR="00B95468" w:rsidRPr="00B95468" w:rsidRDefault="00B95468" w:rsidP="00B95468">
            <w:pPr>
              <w:spacing w:after="0" w:line="240" w:lineRule="auto"/>
              <w:rPr>
                <w:rFonts w:ascii="Segoe UI" w:eastAsia="Times New Roman" w:hAnsi="Segoe UI" w:cs="Segoe UI"/>
                <w:b/>
                <w:bCs/>
                <w:color w:val="404040"/>
                <w:kern w:val="0"/>
                <w:sz w:val="23"/>
                <w:szCs w:val="23"/>
                <w14:ligatures w14:val="none"/>
              </w:rPr>
            </w:pPr>
            <w:proofErr w:type="spellStart"/>
            <w:r w:rsidRPr="00B95468">
              <w:rPr>
                <w:rFonts w:ascii="Segoe UI" w:eastAsia="Times New Roman" w:hAnsi="Segoe UI" w:cs="Segoe UI"/>
                <w:b/>
                <w:bCs/>
                <w:color w:val="404040"/>
                <w:kern w:val="0"/>
                <w:sz w:val="23"/>
                <w:szCs w:val="23"/>
                <w14:ligatures w14:val="none"/>
              </w:rPr>
              <w:t>redictor</w:t>
            </w:r>
            <w:proofErr w:type="spellEnd"/>
          </w:p>
        </w:tc>
        <w:tc>
          <w:tcPr>
            <w:tcW w:w="0" w:type="auto"/>
            <w:tcBorders>
              <w:top w:val="nil"/>
              <w:left w:val="nil"/>
              <w:bottom w:val="single" w:sz="6" w:space="0" w:color="BBBBBB"/>
              <w:right w:val="nil"/>
            </w:tcBorders>
            <w:shd w:val="clear" w:color="auto" w:fill="FFFFFF"/>
            <w:tcMar>
              <w:top w:w="150" w:type="dxa"/>
              <w:left w:w="150" w:type="dxa"/>
              <w:bottom w:w="150" w:type="dxa"/>
              <w:right w:w="150" w:type="dxa"/>
            </w:tcMar>
            <w:vAlign w:val="center"/>
            <w:hideMark/>
          </w:tcPr>
          <w:p w14:paraId="33A8B02C" w14:textId="77777777" w:rsidR="00B95468" w:rsidRPr="00B95468" w:rsidRDefault="00B95468" w:rsidP="00B95468">
            <w:pPr>
              <w:spacing w:after="0" w:line="240" w:lineRule="auto"/>
              <w:rPr>
                <w:rFonts w:ascii="Segoe UI" w:eastAsia="Times New Roman" w:hAnsi="Segoe UI" w:cs="Segoe UI"/>
                <w:b/>
                <w:bCs/>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β Coefficient</w:t>
            </w:r>
          </w:p>
        </w:tc>
        <w:tc>
          <w:tcPr>
            <w:tcW w:w="0" w:type="auto"/>
            <w:tcBorders>
              <w:top w:val="nil"/>
              <w:left w:val="nil"/>
              <w:bottom w:val="single" w:sz="6" w:space="0" w:color="BBBBBB"/>
              <w:right w:val="nil"/>
            </w:tcBorders>
            <w:shd w:val="clear" w:color="auto" w:fill="FFFFFF"/>
            <w:tcMar>
              <w:top w:w="150" w:type="dxa"/>
              <w:left w:w="150" w:type="dxa"/>
              <w:bottom w:w="150" w:type="dxa"/>
              <w:right w:w="150" w:type="dxa"/>
            </w:tcMar>
            <w:vAlign w:val="center"/>
            <w:hideMark/>
          </w:tcPr>
          <w:p w14:paraId="697B68DD" w14:textId="77777777" w:rsidR="00B95468" w:rsidRPr="00B95468" w:rsidRDefault="00B95468" w:rsidP="00B95468">
            <w:pPr>
              <w:spacing w:after="0" w:line="240" w:lineRule="auto"/>
              <w:rPr>
                <w:rFonts w:ascii="Segoe UI" w:eastAsia="Times New Roman" w:hAnsi="Segoe UI" w:cs="Segoe UI"/>
                <w:b/>
                <w:bCs/>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Standard Error</w:t>
            </w:r>
          </w:p>
        </w:tc>
        <w:tc>
          <w:tcPr>
            <w:tcW w:w="0" w:type="auto"/>
            <w:tcBorders>
              <w:top w:val="nil"/>
              <w:left w:val="nil"/>
              <w:bottom w:val="single" w:sz="6" w:space="0" w:color="BBBBBB"/>
              <w:right w:val="nil"/>
            </w:tcBorders>
            <w:shd w:val="clear" w:color="auto" w:fill="FFFFFF"/>
            <w:tcMar>
              <w:top w:w="150" w:type="dxa"/>
              <w:left w:w="150" w:type="dxa"/>
              <w:bottom w:w="150" w:type="dxa"/>
              <w:right w:w="150" w:type="dxa"/>
            </w:tcMar>
            <w:vAlign w:val="center"/>
            <w:hideMark/>
          </w:tcPr>
          <w:p w14:paraId="3E72E12B" w14:textId="77777777" w:rsidR="00B95468" w:rsidRPr="00B95468" w:rsidRDefault="00B95468" w:rsidP="00B95468">
            <w:pPr>
              <w:spacing w:after="0" w:line="240" w:lineRule="auto"/>
              <w:rPr>
                <w:rFonts w:ascii="Segoe UI" w:eastAsia="Times New Roman" w:hAnsi="Segoe UI" w:cs="Segoe UI"/>
                <w:b/>
                <w:bCs/>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Hazard Ratio (HR)</w:t>
            </w:r>
          </w:p>
        </w:tc>
        <w:tc>
          <w:tcPr>
            <w:tcW w:w="0" w:type="auto"/>
            <w:tcBorders>
              <w:top w:val="nil"/>
              <w:left w:val="nil"/>
              <w:bottom w:val="single" w:sz="6" w:space="0" w:color="BBBBBB"/>
              <w:right w:val="nil"/>
            </w:tcBorders>
            <w:shd w:val="clear" w:color="auto" w:fill="FFFFFF"/>
            <w:tcMar>
              <w:top w:w="150" w:type="dxa"/>
              <w:left w:w="150" w:type="dxa"/>
              <w:bottom w:w="150" w:type="dxa"/>
              <w:right w:w="150" w:type="dxa"/>
            </w:tcMar>
            <w:vAlign w:val="center"/>
            <w:hideMark/>
          </w:tcPr>
          <w:p w14:paraId="58350443" w14:textId="77777777" w:rsidR="00B95468" w:rsidRPr="00B95468" w:rsidRDefault="00B95468" w:rsidP="00B95468">
            <w:pPr>
              <w:spacing w:after="0" w:line="240" w:lineRule="auto"/>
              <w:rPr>
                <w:rFonts w:ascii="Segoe UI" w:eastAsia="Times New Roman" w:hAnsi="Segoe UI" w:cs="Segoe UI"/>
                <w:b/>
                <w:bCs/>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95% CI for HR</w:t>
            </w:r>
          </w:p>
        </w:tc>
        <w:tc>
          <w:tcPr>
            <w:tcW w:w="0" w:type="auto"/>
            <w:tcBorders>
              <w:top w:val="nil"/>
              <w:left w:val="nil"/>
              <w:bottom w:val="single" w:sz="6" w:space="0" w:color="BBBBBB"/>
              <w:right w:val="nil"/>
            </w:tcBorders>
            <w:shd w:val="clear" w:color="auto" w:fill="FFFFFF"/>
            <w:tcMar>
              <w:top w:w="150" w:type="dxa"/>
              <w:left w:w="150" w:type="dxa"/>
              <w:bottom w:w="150" w:type="dxa"/>
              <w:right w:w="150" w:type="dxa"/>
            </w:tcMar>
            <w:vAlign w:val="center"/>
            <w:hideMark/>
          </w:tcPr>
          <w:p w14:paraId="04F16FC9" w14:textId="77777777" w:rsidR="00B95468" w:rsidRPr="00B95468" w:rsidRDefault="00B95468" w:rsidP="00B95468">
            <w:pPr>
              <w:spacing w:after="0" w:line="240" w:lineRule="auto"/>
              <w:rPr>
                <w:rFonts w:ascii="Segoe UI" w:eastAsia="Times New Roman" w:hAnsi="Segoe UI" w:cs="Segoe UI"/>
                <w:b/>
                <w:bCs/>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p-value</w:t>
            </w:r>
          </w:p>
        </w:tc>
      </w:tr>
      <w:tr w:rsidR="00B95468" w:rsidRPr="00B95468" w14:paraId="6086CBAB"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46630A8D"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Age</w:t>
            </w:r>
            <w:r w:rsidRPr="00B95468">
              <w:rPr>
                <w:rFonts w:ascii="Segoe UI" w:eastAsia="Times New Roman" w:hAnsi="Segoe UI" w:cs="Segoe UI"/>
                <w:color w:val="404040"/>
                <w:kern w:val="0"/>
                <w:sz w:val="23"/>
                <w:szCs w:val="23"/>
                <w14:ligatures w14:val="none"/>
              </w:rPr>
              <w:t> (per year)</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098945E"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-0.031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880CF7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0.008</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0A4B31E"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0.969</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29787565"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0.955 - 0.985</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D3C61F6"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0.0003</w:t>
            </w:r>
          </w:p>
        </w:tc>
      </w:tr>
      <w:tr w:rsidR="00B95468" w:rsidRPr="00B95468" w14:paraId="5350DB72"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2E404CE4"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Hemoglobin</w:t>
            </w:r>
            <w:r w:rsidRPr="00B95468">
              <w:rPr>
                <w:rFonts w:ascii="Segoe UI" w:eastAsia="Times New Roman" w:hAnsi="Segoe UI" w:cs="Segoe UI"/>
                <w:color w:val="404040"/>
                <w:kern w:val="0"/>
                <w:sz w:val="23"/>
                <w:szCs w:val="23"/>
                <w14:ligatures w14:val="none"/>
              </w:rPr>
              <w:t> (g/L)</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3D2A4A3"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-0.013</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302EAF0"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0.004</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1FBDE6A"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0.987</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469071A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0.979 - 0.995</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2E64279F"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0.001</w:t>
            </w:r>
          </w:p>
        </w:tc>
      </w:tr>
      <w:tr w:rsidR="00B95468" w:rsidRPr="00B95468" w14:paraId="445B8357"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5FFF98B3"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D-dimer</w:t>
            </w:r>
            <w:r w:rsidRPr="00B95468">
              <w:rPr>
                <w:rFonts w:ascii="Segoe UI" w:eastAsia="Times New Roman" w:hAnsi="Segoe UI" w:cs="Segoe UI"/>
                <w:color w:val="404040"/>
                <w:kern w:val="0"/>
                <w:sz w:val="23"/>
                <w:szCs w:val="23"/>
                <w14:ligatures w14:val="none"/>
              </w:rPr>
              <w:t> (</w:t>
            </w:r>
            <w:proofErr w:type="spellStart"/>
            <w:r w:rsidRPr="00B95468">
              <w:rPr>
                <w:rFonts w:ascii="Segoe UI" w:eastAsia="Times New Roman" w:hAnsi="Segoe UI" w:cs="Segoe UI"/>
                <w:color w:val="404040"/>
                <w:kern w:val="0"/>
                <w:sz w:val="23"/>
                <w:szCs w:val="23"/>
                <w14:ligatures w14:val="none"/>
              </w:rPr>
              <w:t>μg</w:t>
            </w:r>
            <w:proofErr w:type="spellEnd"/>
            <w:r w:rsidRPr="00B95468">
              <w:rPr>
                <w:rFonts w:ascii="Segoe UI" w:eastAsia="Times New Roman" w:hAnsi="Segoe UI" w:cs="Segoe UI"/>
                <w:color w:val="404040"/>
                <w:kern w:val="0"/>
                <w:sz w:val="23"/>
                <w:szCs w:val="23"/>
                <w14:ligatures w14:val="none"/>
              </w:rPr>
              <w:t>/L)</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B9207A1"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C3BAE50"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0.0002</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89B1298"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1.001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02541C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1.000 - 1.001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058A915"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0.0004</w:t>
            </w:r>
          </w:p>
        </w:tc>
      </w:tr>
      <w:tr w:rsidR="00B95468" w:rsidRPr="00B95468" w14:paraId="6AAABF91"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05CA6BFD"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BNP</w:t>
            </w:r>
            <w:r w:rsidRPr="00B95468">
              <w:rPr>
                <w:rFonts w:ascii="Segoe UI" w:eastAsia="Times New Roman" w:hAnsi="Segoe UI" w:cs="Segoe UI"/>
                <w:color w:val="404040"/>
                <w:kern w:val="0"/>
                <w:sz w:val="23"/>
                <w:szCs w:val="23"/>
                <w14:ligatures w14:val="none"/>
              </w:rPr>
              <w:t> (</w:t>
            </w:r>
            <w:proofErr w:type="spellStart"/>
            <w:r w:rsidRPr="00B95468">
              <w:rPr>
                <w:rFonts w:ascii="Segoe UI" w:eastAsia="Times New Roman" w:hAnsi="Segoe UI" w:cs="Segoe UI"/>
                <w:color w:val="404040"/>
                <w:kern w:val="0"/>
                <w:sz w:val="23"/>
                <w:szCs w:val="23"/>
                <w14:ligatures w14:val="none"/>
              </w:rPr>
              <w:t>pg</w:t>
            </w:r>
            <w:proofErr w:type="spellEnd"/>
            <w:r w:rsidRPr="00B95468">
              <w:rPr>
                <w:rFonts w:ascii="Segoe UI" w:eastAsia="Times New Roman" w:hAnsi="Segoe UI" w:cs="Segoe UI"/>
                <w:color w:val="404040"/>
                <w:kern w:val="0"/>
                <w:sz w:val="23"/>
                <w:szCs w:val="23"/>
                <w14:ligatures w14:val="none"/>
              </w:rPr>
              <w:t>/mL)</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419D720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02D057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0.0002</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A3838B1"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1.001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9E3C58E"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1.001 - 1.002</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21E979B"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0.0001</w:t>
            </w:r>
          </w:p>
        </w:tc>
      </w:tr>
      <w:tr w:rsidR="00B95468" w:rsidRPr="00B95468" w14:paraId="2582D3A2"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3384089A"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METS-IR</w:t>
            </w:r>
            <w:r w:rsidRPr="00B95468">
              <w:rPr>
                <w:rFonts w:ascii="Segoe UI" w:eastAsia="Times New Roman" w:hAnsi="Segoe UI" w:cs="Segoe UI"/>
                <w:color w:val="404040"/>
                <w:kern w:val="0"/>
                <w:sz w:val="23"/>
                <w:szCs w:val="23"/>
                <w14:ligatures w14:val="none"/>
              </w:rPr>
              <w:t> (unit)</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B4ACE24"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0.320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2FD31EE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0.128</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1549BD8"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1.378</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5EB7BD8"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1.073 - 1.769</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25FAE729"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0.012</w:t>
            </w:r>
          </w:p>
        </w:tc>
      </w:tr>
      <w:tr w:rsidR="00B95468" w:rsidRPr="00B95468" w14:paraId="53C515CC"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26FDA91F"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Gensini Score</w:t>
            </w:r>
            <w:r w:rsidRPr="00B95468">
              <w:rPr>
                <w:rFonts w:ascii="Segoe UI" w:eastAsia="Times New Roman" w:hAnsi="Segoe UI" w:cs="Segoe UI"/>
                <w:color w:val="404040"/>
                <w:kern w:val="0"/>
                <w:sz w:val="23"/>
                <w:szCs w:val="23"/>
                <w14:ligatures w14:val="none"/>
              </w:rPr>
              <w:t> (unit)</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C4DD7B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0.004</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15A4076"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0.002</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E679766"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1.004</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7282E85"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1.000 - 1.008</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B8DA379"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0.032</w:t>
            </w:r>
          </w:p>
        </w:tc>
      </w:tr>
      <w:tr w:rsidR="00B95468" w:rsidRPr="00B95468" w14:paraId="2D17E2E7"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4AE21FD4"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Bilateral Lesions</w:t>
            </w:r>
            <w:r w:rsidRPr="00B95468">
              <w:rPr>
                <w:rFonts w:ascii="Segoe UI" w:eastAsia="Times New Roman" w:hAnsi="Segoe UI" w:cs="Segoe UI"/>
                <w:color w:val="404040"/>
                <w:kern w:val="0"/>
                <w:sz w:val="23"/>
                <w:szCs w:val="23"/>
                <w14:ligatures w14:val="none"/>
              </w:rPr>
              <w:t> (Yes vs. No)</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FEBF75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0.216</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A7D5B1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0.100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61D477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1.242</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1C4AA713"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1.021 - 1.510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6F84264"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0.030</w:t>
            </w:r>
          </w:p>
        </w:tc>
      </w:tr>
      <w:tr w:rsidR="00B95468" w:rsidRPr="00B95468" w14:paraId="270524DE"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0868730A"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Covariate: Male Sex</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2A12062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0.150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1083A107"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0.180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24C5314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1.162</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BFF6ECB"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0.817 - 1.653</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14A35F7"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0.404</w:t>
            </w:r>
          </w:p>
        </w:tc>
      </w:tr>
      <w:tr w:rsidR="00B95468" w:rsidRPr="00B95468" w14:paraId="6DEF91EC"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0B640DDA"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Covariate: Smoking</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18741653"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0.120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889357C"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0.130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2D5ACE5"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1.128</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A566E4F"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0.873 - 1.457</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40D2B17B"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0.356</w:t>
            </w:r>
          </w:p>
        </w:tc>
      </w:tr>
      <w:tr w:rsidR="00B95468" w:rsidRPr="00B95468" w14:paraId="0497E4E8"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1ABE0D90"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Covariate: Statin Use</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81B067D"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-0.210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FD48D3B"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0.350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83ABD2A"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0.811</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077DEF5"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0.408 - 1.609</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01B129A9"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0.548</w:t>
            </w:r>
          </w:p>
        </w:tc>
      </w:tr>
      <w:tr w:rsidR="00B95468" w:rsidRPr="00B95468" w14:paraId="0517A901"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523547B6"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lastRenderedPageBreak/>
              <w:t>Covariate: Recurrent MI</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10D0120"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0.280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4AF1086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0.190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1BDB76B0"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1.323</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4D6504AB"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0.912 - 1.920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770FFF2"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0.139</w:t>
            </w:r>
          </w:p>
        </w:tc>
      </w:tr>
      <w:tr w:rsidR="00B95468" w:rsidRPr="00B95468" w14:paraId="70756B9D" w14:textId="77777777">
        <w:tc>
          <w:tcPr>
            <w:tcW w:w="0" w:type="auto"/>
            <w:tcBorders>
              <w:top w:val="nil"/>
              <w:left w:val="nil"/>
              <w:bottom w:val="single" w:sz="6" w:space="0" w:color="E5E5E5"/>
              <w:right w:val="nil"/>
            </w:tcBorders>
            <w:shd w:val="clear" w:color="auto" w:fill="FFFFFF"/>
            <w:tcMar>
              <w:top w:w="150" w:type="dxa"/>
              <w:left w:w="0" w:type="dxa"/>
              <w:bottom w:w="150" w:type="dxa"/>
              <w:right w:w="150" w:type="dxa"/>
            </w:tcMar>
            <w:vAlign w:val="center"/>
            <w:hideMark/>
          </w:tcPr>
          <w:p w14:paraId="77BB46C7"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b/>
                <w:bCs/>
                <w:color w:val="404040"/>
                <w:kern w:val="0"/>
                <w:sz w:val="23"/>
                <w:szCs w:val="23"/>
                <w14:ligatures w14:val="none"/>
              </w:rPr>
              <w:t>Covariate: Hypertension</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6974211"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0.095</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53CE7718"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0.125</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32BBA34B"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1.100</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63744A56"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0.861 - 1.405</w:t>
            </w:r>
          </w:p>
        </w:tc>
        <w:tc>
          <w:tcPr>
            <w:tcW w:w="0" w:type="auto"/>
            <w:tcBorders>
              <w:top w:val="nil"/>
              <w:left w:val="nil"/>
              <w:bottom w:val="single" w:sz="6" w:space="0" w:color="E5E5E5"/>
              <w:right w:val="nil"/>
            </w:tcBorders>
            <w:shd w:val="clear" w:color="auto" w:fill="FFFFFF"/>
            <w:tcMar>
              <w:top w:w="150" w:type="dxa"/>
              <w:left w:w="150" w:type="dxa"/>
              <w:bottom w:w="150" w:type="dxa"/>
              <w:right w:w="150" w:type="dxa"/>
            </w:tcMar>
            <w:vAlign w:val="center"/>
            <w:hideMark/>
          </w:tcPr>
          <w:p w14:paraId="7F54BA20" w14:textId="77777777" w:rsidR="00B95468" w:rsidRPr="00B95468" w:rsidRDefault="00B95468" w:rsidP="00B95468">
            <w:pPr>
              <w:spacing w:after="0" w:line="240" w:lineRule="auto"/>
              <w:rPr>
                <w:rFonts w:ascii="Segoe UI" w:eastAsia="Times New Roman" w:hAnsi="Segoe UI" w:cs="Segoe UI"/>
                <w:color w:val="404040"/>
                <w:kern w:val="0"/>
                <w:sz w:val="23"/>
                <w:szCs w:val="23"/>
                <w14:ligatures w14:val="none"/>
              </w:rPr>
            </w:pPr>
            <w:r w:rsidRPr="00B95468">
              <w:rPr>
                <w:rFonts w:ascii="Segoe UI" w:eastAsia="Times New Roman" w:hAnsi="Segoe UI" w:cs="Segoe UI"/>
                <w:color w:val="404040"/>
                <w:kern w:val="0"/>
                <w:sz w:val="23"/>
                <w:szCs w:val="23"/>
                <w14:ligatures w14:val="none"/>
              </w:rPr>
              <w:t>0.447</w:t>
            </w:r>
          </w:p>
        </w:tc>
      </w:tr>
    </w:tbl>
    <w:p w14:paraId="77889528" w14:textId="77777777" w:rsidR="00B95468" w:rsidRDefault="00B95468" w:rsidP="00B95468">
      <w:pPr>
        <w:pStyle w:val="ds-markdown-paragraph"/>
        <w:numPr>
          <w:ilvl w:val="0"/>
          <w:numId w:val="1"/>
        </w:numPr>
        <w:shd w:val="clear" w:color="auto" w:fill="FFFFFF"/>
        <w:spacing w:before="0" w:beforeAutospacing="0" w:after="0" w:afterAutospacing="0" w:line="429" w:lineRule="atLeast"/>
        <w:rPr>
          <w:rFonts w:ascii="Segoe UI" w:hAnsi="Segoe UI" w:cs="Segoe UI"/>
          <w:color w:val="404040"/>
        </w:rPr>
      </w:pPr>
      <w:r>
        <w:rPr>
          <w:rStyle w:val="Strong"/>
          <w:rFonts w:ascii="Segoe UI" w:eastAsiaTheme="majorEastAsia" w:hAnsi="Segoe UI" w:cs="Segoe UI"/>
          <w:color w:val="404040"/>
        </w:rPr>
        <w:t>Hazard Ratio (HR):</w:t>
      </w:r>
      <w:r>
        <w:rPr>
          <w:rFonts w:ascii="Segoe UI" w:hAnsi="Segoe UI" w:cs="Segoe UI"/>
          <w:color w:val="404040"/>
        </w:rPr>
        <w:t> Represents the multiplicative increase in the instantaneous hazard (risk) of severe ISR for a one-unit increase in the predictor.</w:t>
      </w:r>
    </w:p>
    <w:p w14:paraId="4DCF0F40" w14:textId="77777777" w:rsidR="00B95468" w:rsidRDefault="00B95468" w:rsidP="00B95468">
      <w:pPr>
        <w:pStyle w:val="ds-markdown-paragraph"/>
        <w:numPr>
          <w:ilvl w:val="0"/>
          <w:numId w:val="1"/>
        </w:numPr>
        <w:shd w:val="clear" w:color="auto" w:fill="FFFFFF"/>
        <w:spacing w:before="0" w:beforeAutospacing="0" w:after="0" w:afterAutospacing="0" w:line="429" w:lineRule="atLeast"/>
        <w:rPr>
          <w:rFonts w:ascii="Segoe UI" w:hAnsi="Segoe UI" w:cs="Segoe UI"/>
          <w:color w:val="404040"/>
        </w:rPr>
      </w:pPr>
      <w:r>
        <w:rPr>
          <w:rStyle w:val="Strong"/>
          <w:rFonts w:ascii="Segoe UI" w:eastAsiaTheme="majorEastAsia" w:hAnsi="Segoe UI" w:cs="Segoe UI"/>
          <w:color w:val="404040"/>
        </w:rPr>
        <w:t>95% CI:</w:t>
      </w:r>
      <w:r>
        <w:rPr>
          <w:rFonts w:ascii="Segoe UI" w:hAnsi="Segoe UI" w:cs="Segoe UI"/>
          <w:color w:val="404040"/>
        </w:rPr>
        <w:t> A confidence interval that does not cross 1.00 indicates statistical significance (e.g., for METS-IR: 1.073 - 1.769).</w:t>
      </w:r>
    </w:p>
    <w:p w14:paraId="1B88DD7F" w14:textId="77777777" w:rsidR="00B95468" w:rsidRDefault="00B95468" w:rsidP="00B95468">
      <w:pPr>
        <w:pStyle w:val="ds-markdown-paragraph"/>
        <w:numPr>
          <w:ilvl w:val="0"/>
          <w:numId w:val="1"/>
        </w:numPr>
        <w:shd w:val="clear" w:color="auto" w:fill="FFFFFF"/>
        <w:spacing w:before="0" w:beforeAutospacing="0" w:after="0" w:afterAutospacing="0" w:line="429" w:lineRule="atLeast"/>
        <w:rPr>
          <w:rFonts w:ascii="Segoe UI" w:hAnsi="Segoe UI" w:cs="Segoe UI"/>
          <w:color w:val="404040"/>
        </w:rPr>
      </w:pPr>
      <w:r>
        <w:rPr>
          <w:rStyle w:val="Strong"/>
          <w:rFonts w:ascii="Segoe UI" w:eastAsiaTheme="majorEastAsia" w:hAnsi="Segoe UI" w:cs="Segoe UI"/>
          <w:color w:val="404040"/>
        </w:rPr>
        <w:t>Covariates:</w:t>
      </w:r>
      <w:r>
        <w:rPr>
          <w:rFonts w:ascii="Segoe UI" w:hAnsi="Segoe UI" w:cs="Segoe UI"/>
          <w:color w:val="404040"/>
        </w:rPr>
        <w:t> Variables like statin use, while not significant independent predictors, were included to adjust the model and isolate the effect of the key predictors of interest.</w:t>
      </w:r>
    </w:p>
    <w:p w14:paraId="36089F9A" w14:textId="77777777" w:rsidR="00B95468" w:rsidRDefault="00B95468"/>
    <w:p w14:paraId="155C2847" w14:textId="77777777" w:rsidR="00B95468" w:rsidRDefault="00B95468"/>
    <w:p w14:paraId="0518BC9B" w14:textId="0619DA1E" w:rsidR="00B95468" w:rsidRPr="00B95468" w:rsidRDefault="00B95468" w:rsidP="00B95468">
      <w:r w:rsidRPr="00B95468">
        <w:rPr>
          <w:noProof/>
        </w:rPr>
        <w:drawing>
          <wp:inline distT="0" distB="0" distL="0" distR="0" wp14:anchorId="193AF013" wp14:editId="13CBA230">
            <wp:extent cx="5943600" cy="2839720"/>
            <wp:effectExtent l="0" t="0" r="0" b="0"/>
            <wp:docPr id="25283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839720"/>
                    </a:xfrm>
                    <a:prstGeom prst="rect">
                      <a:avLst/>
                    </a:prstGeom>
                    <a:noFill/>
                    <a:ln>
                      <a:noFill/>
                    </a:ln>
                  </pic:spPr>
                </pic:pic>
              </a:graphicData>
            </a:graphic>
          </wp:inline>
        </w:drawing>
      </w:r>
    </w:p>
    <w:p w14:paraId="1230D6CA" w14:textId="77777777" w:rsidR="00B95468" w:rsidRDefault="00B95468"/>
    <w:p w14:paraId="2DB58053" w14:textId="2D5131F1" w:rsidR="00B95468" w:rsidRPr="00B95468" w:rsidRDefault="00B95468" w:rsidP="00B95468">
      <w:pPr>
        <w:rPr>
          <w:sz w:val="28"/>
          <w:szCs w:val="28"/>
        </w:rPr>
      </w:pPr>
      <w:r w:rsidRPr="009A55FB">
        <w:rPr>
          <w:b/>
          <w:bCs/>
          <w:sz w:val="28"/>
          <w:szCs w:val="28"/>
        </w:rPr>
        <w:t xml:space="preserve">Fig S1 </w:t>
      </w:r>
      <w:r w:rsidRPr="00B95468">
        <w:rPr>
          <w:b/>
          <w:bCs/>
          <w:sz w:val="28"/>
          <w:szCs w:val="28"/>
        </w:rPr>
        <w:t> Decision Curve Analysis (DCA)</w:t>
      </w:r>
    </w:p>
    <w:p w14:paraId="2708B2B1" w14:textId="0003D0A0" w:rsidR="00B95468" w:rsidRPr="00B95468" w:rsidRDefault="00B95468" w:rsidP="00B95468">
      <w:r w:rsidRPr="00B95468">
        <w:lastRenderedPageBreak/>
        <w:br/>
        <w:t>Decision Curve Analysis (DCA) was performed to evaluate the clinical net benefit of the risk prediction model across a range of threshold probabilities (0.1 to 0.5). Net benefit was calculated as:</w:t>
      </w:r>
    </w:p>
    <w:p w14:paraId="2BD3074F" w14:textId="41BA81FC" w:rsidR="00B95468" w:rsidRDefault="00B95468" w:rsidP="00B95468">
      <w:r w:rsidRPr="00B95468">
        <w:t>Net Benefit</w:t>
      </w:r>
      <w:proofErr w:type="gramStart"/>
      <w:r w:rsidRPr="00B95468">
        <w:t>=</w:t>
      </w:r>
      <w:r>
        <w:t>(</w:t>
      </w:r>
      <w:proofErr w:type="gramEnd"/>
      <w:r w:rsidRPr="00B95468">
        <w:t>True Positives</w:t>
      </w:r>
      <w:proofErr w:type="gramStart"/>
      <w:r>
        <w:t>/</w:t>
      </w:r>
      <w:r w:rsidRPr="00B95468">
        <w:t>n−</w:t>
      </w:r>
      <w:proofErr w:type="gramEnd"/>
      <w:r w:rsidRPr="00B95468">
        <w:t>False Positives</w:t>
      </w:r>
      <w:proofErr w:type="gramStart"/>
      <w:r>
        <w:t>/</w:t>
      </w:r>
      <w:proofErr w:type="spellStart"/>
      <w:r w:rsidRPr="00B95468">
        <w:t>n×</w:t>
      </w:r>
      <w:proofErr w:type="gramEnd"/>
      <w:r>
        <w:t>P</w:t>
      </w:r>
      <w:r>
        <w:rPr>
          <w:vertAlign w:val="superscript"/>
        </w:rPr>
        <w:t>t</w:t>
      </w:r>
      <w:proofErr w:type="spellEnd"/>
      <w:r>
        <w:t xml:space="preserve"> /</w:t>
      </w:r>
      <w:r w:rsidRPr="00B95468">
        <w:t>1−</w:t>
      </w:r>
      <w:proofErr w:type="gramStart"/>
      <w:r>
        <w:t>P</w:t>
      </w:r>
      <w:r w:rsidRPr="00B95468">
        <w:rPr>
          <w:vertAlign w:val="superscript"/>
        </w:rPr>
        <w:t>t</w:t>
      </w:r>
      <w:r>
        <w:rPr>
          <w:vertAlign w:val="superscript"/>
        </w:rPr>
        <w:t xml:space="preserve"> </w:t>
      </w:r>
      <w:r>
        <w:t>)</w:t>
      </w:r>
      <w:r w:rsidRPr="00B95468">
        <w:t>where</w:t>
      </w:r>
      <w:proofErr w:type="gramEnd"/>
      <w:r w:rsidRPr="00B95468">
        <w:t> </w:t>
      </w:r>
      <w:r w:rsidRPr="00B95468">
        <w:rPr>
          <w:i/>
          <w:iCs/>
        </w:rPr>
        <w:t>n</w:t>
      </w:r>
      <w:r w:rsidRPr="00B95468">
        <w:t> is the total number of patients and </w:t>
      </w:r>
      <w:r>
        <w:t>P</w:t>
      </w:r>
      <w:r w:rsidRPr="00B95468">
        <w:t>t</w:t>
      </w:r>
      <w:r>
        <w:rPr>
          <w:i/>
          <w:iCs/>
        </w:rPr>
        <w:t xml:space="preserve"> </w:t>
      </w:r>
      <w:r w:rsidRPr="00B95468">
        <w:t>is the threshold probability. The net benefit of the model was compared against two default strategies: "treat all" (assuming all patients develop severe ISR) and "treat none" (assuming no patients develop severe ISR).</w:t>
      </w:r>
    </w:p>
    <w:p w14:paraId="7CFD006A" w14:textId="2BEAF183" w:rsidR="00B95468" w:rsidRDefault="00B95468" w:rsidP="00B95468">
      <w:r w:rsidRPr="00B95468">
        <w:t>The model provided a superior net benefit compared to the default strategies for threshold probabilities between 20% and 50%, which encompasses the clinically relevant range for recommending intensified surveillance or preventive therapy.</w:t>
      </w:r>
    </w:p>
    <w:p w14:paraId="4CDE7199" w14:textId="77777777" w:rsidR="00B95468" w:rsidRDefault="00B95468" w:rsidP="00B95468"/>
    <w:p w14:paraId="6BCAF5CE" w14:textId="35003513" w:rsidR="00B95468" w:rsidRPr="00B95468" w:rsidRDefault="00B95468" w:rsidP="00B95468">
      <w:r w:rsidRPr="00B95468">
        <w:rPr>
          <w:noProof/>
        </w:rPr>
        <w:drawing>
          <wp:inline distT="0" distB="0" distL="0" distR="0" wp14:anchorId="6C895691" wp14:editId="7F37D938">
            <wp:extent cx="5943600" cy="2839720"/>
            <wp:effectExtent l="0" t="0" r="0" b="0"/>
            <wp:docPr id="1621578339" name="Picture 2" descr="A graph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78339" name="Picture 2" descr="A graph of a curv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39720"/>
                    </a:xfrm>
                    <a:prstGeom prst="rect">
                      <a:avLst/>
                    </a:prstGeom>
                    <a:noFill/>
                    <a:ln>
                      <a:noFill/>
                    </a:ln>
                  </pic:spPr>
                </pic:pic>
              </a:graphicData>
            </a:graphic>
          </wp:inline>
        </w:drawing>
      </w:r>
    </w:p>
    <w:p w14:paraId="2C12C9E1" w14:textId="3C4B67CD" w:rsidR="00B95468" w:rsidRPr="00B95468" w:rsidRDefault="00B95468" w:rsidP="00B95468">
      <w:r w:rsidRPr="009A55FB">
        <w:rPr>
          <w:b/>
          <w:bCs/>
          <w:sz w:val="28"/>
          <w:szCs w:val="28"/>
        </w:rPr>
        <w:t>Fig</w:t>
      </w:r>
      <w:r w:rsidR="009A55FB" w:rsidRPr="009A55FB">
        <w:rPr>
          <w:b/>
          <w:bCs/>
          <w:sz w:val="28"/>
          <w:szCs w:val="28"/>
        </w:rPr>
        <w:t xml:space="preserve"> S2</w:t>
      </w:r>
      <w:r w:rsidRPr="009A55FB">
        <w:rPr>
          <w:b/>
          <w:bCs/>
          <w:sz w:val="28"/>
          <w:szCs w:val="28"/>
        </w:rPr>
        <w:t xml:space="preserve"> Calibration Plot</w:t>
      </w:r>
      <w:r w:rsidRPr="009A55FB">
        <w:rPr>
          <w:sz w:val="28"/>
          <w:szCs w:val="28"/>
        </w:rPr>
        <w:br/>
      </w:r>
      <w:r w:rsidRPr="00B95468">
        <w:t>Calibration plot of the severe ISR risk prediction model. The dashed blue line represents the ideal calibration (observed = predicted). The solid red line represents the model's performance (Loess smoother). Dots represent the mean predicted value and observed frequency for each decile of predicted risk. The model shows good agreement between predicted probabilities and observed outcomes.</w:t>
      </w:r>
    </w:p>
    <w:p w14:paraId="7133A6C1" w14:textId="77777777" w:rsidR="00B95468" w:rsidRDefault="00B95468"/>
    <w:p w14:paraId="2BA46624" w14:textId="77777777" w:rsidR="00024CEA" w:rsidRPr="00024CEA" w:rsidRDefault="00024CEA" w:rsidP="00024CEA">
      <w:pPr>
        <w:rPr>
          <w:b/>
          <w:bCs/>
        </w:rPr>
      </w:pPr>
      <w:r w:rsidRPr="00024CEA">
        <w:rPr>
          <w:b/>
          <w:bCs/>
        </w:rPr>
        <w:t>Supplementary Analysis: Protective Effects of Age and Hemoglobin</w:t>
      </w:r>
    </w:p>
    <w:p w14:paraId="1269C5C8" w14:textId="77777777" w:rsidR="00024CEA" w:rsidRPr="00024CEA" w:rsidRDefault="00024CEA" w:rsidP="00024CEA">
      <w:r w:rsidRPr="00024CEA">
        <w:t>We employed the following rigorous methods:</w:t>
      </w:r>
    </w:p>
    <w:p w14:paraId="7ED53616" w14:textId="77777777" w:rsidR="00024CEA" w:rsidRPr="00024CEA" w:rsidRDefault="00024CEA" w:rsidP="00024CEA">
      <w:pPr>
        <w:numPr>
          <w:ilvl w:val="0"/>
          <w:numId w:val="2"/>
        </w:numPr>
      </w:pPr>
      <w:r w:rsidRPr="00024CEA">
        <w:rPr>
          <w:b/>
          <w:bCs/>
        </w:rPr>
        <w:lastRenderedPageBreak/>
        <w:t>Formal Interaction Testing:</w:t>
      </w:r>
      <w:r w:rsidRPr="00024CEA">
        <w:t> Wald tests for product terms in Cox models</w:t>
      </w:r>
    </w:p>
    <w:p w14:paraId="5488DF2E" w14:textId="77777777" w:rsidR="00024CEA" w:rsidRPr="00024CEA" w:rsidRDefault="00024CEA" w:rsidP="00024CEA">
      <w:pPr>
        <w:numPr>
          <w:ilvl w:val="0"/>
          <w:numId w:val="2"/>
        </w:numPr>
      </w:pPr>
      <w:r w:rsidRPr="00024CEA">
        <w:rPr>
          <w:b/>
          <w:bCs/>
        </w:rPr>
        <w:t>Stratified Analysis:</w:t>
      </w:r>
      <w:r w:rsidRPr="00024CEA">
        <w:t> Separate models within each subgroup</w:t>
      </w:r>
    </w:p>
    <w:p w14:paraId="21E6C4D9" w14:textId="77777777" w:rsidR="00024CEA" w:rsidRPr="00024CEA" w:rsidRDefault="00024CEA" w:rsidP="00024CEA">
      <w:pPr>
        <w:numPr>
          <w:ilvl w:val="0"/>
          <w:numId w:val="2"/>
        </w:numPr>
      </w:pPr>
      <w:r w:rsidRPr="00024CEA">
        <w:rPr>
          <w:b/>
          <w:bCs/>
        </w:rPr>
        <w:t>Multiple Testing Correction:</w:t>
      </w:r>
      <w:r w:rsidRPr="00024CEA">
        <w:t> False Discovery Rate (FDR) adjustment for multiple comparisons</w:t>
      </w:r>
    </w:p>
    <w:p w14:paraId="2D1A8A35" w14:textId="77777777" w:rsidR="00024CEA" w:rsidRPr="00024CEA" w:rsidRDefault="00024CEA" w:rsidP="00024CEA">
      <w:pPr>
        <w:numPr>
          <w:ilvl w:val="0"/>
          <w:numId w:val="2"/>
        </w:numPr>
      </w:pPr>
      <w:r w:rsidRPr="00024CEA">
        <w:rPr>
          <w:b/>
          <w:bCs/>
        </w:rPr>
        <w:t>Power Assessment:</w:t>
      </w:r>
      <w:r w:rsidRPr="00024CEA">
        <w:t> Post-hoc power &gt;80% for detecting HR &lt; 0.98 in major subgroups</w:t>
      </w:r>
    </w:p>
    <w:p w14:paraId="1C3B6BE7" w14:textId="77777777" w:rsidR="00024CEA" w:rsidRDefault="00024CEA"/>
    <w:p w14:paraId="182D555C" w14:textId="77777777" w:rsidR="00024CEA" w:rsidRPr="00024CEA" w:rsidRDefault="00024CEA" w:rsidP="00024CEA">
      <w:r w:rsidRPr="00024CEA">
        <w:rPr>
          <w:b/>
          <w:bCs/>
        </w:rPr>
        <w:t>Table S4: Multivariate Cox Regression - Protective Factors Analysis</w:t>
      </w:r>
    </w:p>
    <w:tbl>
      <w:tblPr>
        <w:tblStyle w:val="TableGridLight"/>
        <w:tblW w:w="0" w:type="auto"/>
        <w:tblLook w:val="04A0" w:firstRow="1" w:lastRow="0" w:firstColumn="1" w:lastColumn="0" w:noHBand="0" w:noVBand="1"/>
      </w:tblPr>
      <w:tblGrid>
        <w:gridCol w:w="1799"/>
        <w:gridCol w:w="1193"/>
        <w:gridCol w:w="1102"/>
        <w:gridCol w:w="1017"/>
        <w:gridCol w:w="860"/>
        <w:gridCol w:w="814"/>
        <w:gridCol w:w="2565"/>
      </w:tblGrid>
      <w:tr w:rsidR="00024CEA" w:rsidRPr="00024CEA" w14:paraId="21A2F51E" w14:textId="77777777" w:rsidTr="00024CEA">
        <w:tc>
          <w:tcPr>
            <w:tcW w:w="0" w:type="auto"/>
            <w:hideMark/>
          </w:tcPr>
          <w:p w14:paraId="1E305642"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Predictor</w:t>
            </w:r>
          </w:p>
        </w:tc>
        <w:tc>
          <w:tcPr>
            <w:tcW w:w="0" w:type="auto"/>
            <w:hideMark/>
          </w:tcPr>
          <w:p w14:paraId="3F69DF6B"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β Coefficient</w:t>
            </w:r>
          </w:p>
        </w:tc>
        <w:tc>
          <w:tcPr>
            <w:tcW w:w="0" w:type="auto"/>
            <w:hideMark/>
          </w:tcPr>
          <w:p w14:paraId="5BACE39C"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Standard Error</w:t>
            </w:r>
          </w:p>
        </w:tc>
        <w:tc>
          <w:tcPr>
            <w:tcW w:w="0" w:type="auto"/>
            <w:hideMark/>
          </w:tcPr>
          <w:p w14:paraId="12A4CC6A"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Hazard Ratio (HR)</w:t>
            </w:r>
          </w:p>
        </w:tc>
        <w:tc>
          <w:tcPr>
            <w:tcW w:w="0" w:type="auto"/>
            <w:hideMark/>
          </w:tcPr>
          <w:p w14:paraId="5742B1D5"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95% CI</w:t>
            </w:r>
          </w:p>
        </w:tc>
        <w:tc>
          <w:tcPr>
            <w:tcW w:w="0" w:type="auto"/>
            <w:hideMark/>
          </w:tcPr>
          <w:p w14:paraId="34AD227A"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p-value</w:t>
            </w:r>
          </w:p>
        </w:tc>
        <w:tc>
          <w:tcPr>
            <w:tcW w:w="0" w:type="auto"/>
            <w:hideMark/>
          </w:tcPr>
          <w:p w14:paraId="711083F3"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Interpretation</w:t>
            </w:r>
          </w:p>
        </w:tc>
      </w:tr>
      <w:tr w:rsidR="00024CEA" w:rsidRPr="00024CEA" w14:paraId="69D0B80F" w14:textId="77777777" w:rsidTr="00024CEA">
        <w:tc>
          <w:tcPr>
            <w:tcW w:w="0" w:type="auto"/>
            <w:hideMark/>
          </w:tcPr>
          <w:p w14:paraId="03A252D9"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Age (per year)</w:t>
            </w:r>
          </w:p>
        </w:tc>
        <w:tc>
          <w:tcPr>
            <w:tcW w:w="0" w:type="auto"/>
            <w:hideMark/>
          </w:tcPr>
          <w:p w14:paraId="0551053C"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-0.031</w:t>
            </w:r>
          </w:p>
        </w:tc>
        <w:tc>
          <w:tcPr>
            <w:tcW w:w="0" w:type="auto"/>
            <w:hideMark/>
          </w:tcPr>
          <w:p w14:paraId="10427D55"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0.008</w:t>
            </w:r>
          </w:p>
        </w:tc>
        <w:tc>
          <w:tcPr>
            <w:tcW w:w="0" w:type="auto"/>
            <w:hideMark/>
          </w:tcPr>
          <w:p w14:paraId="61CED1A3"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0.969</w:t>
            </w:r>
          </w:p>
        </w:tc>
        <w:tc>
          <w:tcPr>
            <w:tcW w:w="0" w:type="auto"/>
            <w:hideMark/>
          </w:tcPr>
          <w:p w14:paraId="564D370D"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0.955-0.985</w:t>
            </w:r>
          </w:p>
        </w:tc>
        <w:tc>
          <w:tcPr>
            <w:tcW w:w="0" w:type="auto"/>
            <w:hideMark/>
          </w:tcPr>
          <w:p w14:paraId="6B45C995"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0.0003</w:t>
            </w:r>
          </w:p>
        </w:tc>
        <w:tc>
          <w:tcPr>
            <w:tcW w:w="0" w:type="auto"/>
            <w:hideMark/>
          </w:tcPr>
          <w:p w14:paraId="6F534D7D" w14:textId="610F6B69"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 xml:space="preserve">Each 1-year increase in age </w:t>
            </w:r>
            <w:r>
              <w:rPr>
                <w:rFonts w:ascii="Segoe UI" w:eastAsia="Times New Roman" w:hAnsi="Segoe UI" w:cs="Segoe UI"/>
                <w:color w:val="404040"/>
                <w:kern w:val="0"/>
                <w:sz w:val="20"/>
                <w:szCs w:val="20"/>
                <w14:ligatures w14:val="none"/>
              </w:rPr>
              <w:t xml:space="preserve">is </w:t>
            </w:r>
            <w:r w:rsidRPr="00024CEA">
              <w:rPr>
                <w:rFonts w:ascii="Segoe UI" w:eastAsia="Times New Roman" w:hAnsi="Segoe UI" w:cs="Segoe UI"/>
                <w:color w:val="404040"/>
                <w:kern w:val="0"/>
                <w:sz w:val="20"/>
                <w:szCs w:val="20"/>
                <w14:ligatures w14:val="none"/>
              </w:rPr>
              <w:t>associated with 3.1% decreased hazard of severe ISR</w:t>
            </w:r>
          </w:p>
        </w:tc>
      </w:tr>
      <w:tr w:rsidR="00024CEA" w:rsidRPr="00024CEA" w14:paraId="0C06CADD" w14:textId="77777777" w:rsidTr="00024CEA">
        <w:tc>
          <w:tcPr>
            <w:tcW w:w="0" w:type="auto"/>
            <w:hideMark/>
          </w:tcPr>
          <w:p w14:paraId="0731F6D6"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Hemoglobin (per g/L)</w:t>
            </w:r>
          </w:p>
        </w:tc>
        <w:tc>
          <w:tcPr>
            <w:tcW w:w="0" w:type="auto"/>
            <w:hideMark/>
          </w:tcPr>
          <w:p w14:paraId="22D72BFD"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-0.013</w:t>
            </w:r>
          </w:p>
        </w:tc>
        <w:tc>
          <w:tcPr>
            <w:tcW w:w="0" w:type="auto"/>
            <w:hideMark/>
          </w:tcPr>
          <w:p w14:paraId="33BF3DE3"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0.004</w:t>
            </w:r>
          </w:p>
        </w:tc>
        <w:tc>
          <w:tcPr>
            <w:tcW w:w="0" w:type="auto"/>
            <w:hideMark/>
          </w:tcPr>
          <w:p w14:paraId="4AB5F10D"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0.987</w:t>
            </w:r>
          </w:p>
        </w:tc>
        <w:tc>
          <w:tcPr>
            <w:tcW w:w="0" w:type="auto"/>
            <w:hideMark/>
          </w:tcPr>
          <w:p w14:paraId="40ED536B"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0.979-0.995</w:t>
            </w:r>
          </w:p>
        </w:tc>
        <w:tc>
          <w:tcPr>
            <w:tcW w:w="0" w:type="auto"/>
            <w:hideMark/>
          </w:tcPr>
          <w:p w14:paraId="6BA60596" w14:textId="77777777"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0.001</w:t>
            </w:r>
          </w:p>
        </w:tc>
        <w:tc>
          <w:tcPr>
            <w:tcW w:w="0" w:type="auto"/>
            <w:hideMark/>
          </w:tcPr>
          <w:p w14:paraId="5B3143E7" w14:textId="53B29901" w:rsidR="00024CEA" w:rsidRPr="00024CEA" w:rsidRDefault="00024CEA" w:rsidP="00024CEA">
            <w:pPr>
              <w:rPr>
                <w:rFonts w:ascii="Segoe UI" w:eastAsia="Times New Roman" w:hAnsi="Segoe UI" w:cs="Segoe UI"/>
                <w:color w:val="404040"/>
                <w:kern w:val="0"/>
                <w:sz w:val="20"/>
                <w:szCs w:val="20"/>
                <w14:ligatures w14:val="none"/>
              </w:rPr>
            </w:pPr>
            <w:r w:rsidRPr="00024CEA">
              <w:rPr>
                <w:rFonts w:ascii="Segoe UI" w:eastAsia="Times New Roman" w:hAnsi="Segoe UI" w:cs="Segoe UI"/>
                <w:color w:val="404040"/>
                <w:kern w:val="0"/>
                <w:sz w:val="20"/>
                <w:szCs w:val="20"/>
                <w14:ligatures w14:val="none"/>
              </w:rPr>
              <w:t xml:space="preserve">Each 1 g/L increase in hemoglobin </w:t>
            </w:r>
            <w:r>
              <w:rPr>
                <w:rFonts w:ascii="Segoe UI" w:eastAsia="Times New Roman" w:hAnsi="Segoe UI" w:cs="Segoe UI"/>
                <w:color w:val="404040"/>
                <w:kern w:val="0"/>
                <w:sz w:val="20"/>
                <w:szCs w:val="20"/>
                <w14:ligatures w14:val="none"/>
              </w:rPr>
              <w:t xml:space="preserve">is </w:t>
            </w:r>
            <w:r w:rsidRPr="00024CEA">
              <w:rPr>
                <w:rFonts w:ascii="Segoe UI" w:eastAsia="Times New Roman" w:hAnsi="Segoe UI" w:cs="Segoe UI"/>
                <w:color w:val="404040"/>
                <w:kern w:val="0"/>
                <w:sz w:val="20"/>
                <w:szCs w:val="20"/>
                <w14:ligatures w14:val="none"/>
              </w:rPr>
              <w:t>associated with 1.3% decreased hazard</w:t>
            </w:r>
          </w:p>
        </w:tc>
      </w:tr>
    </w:tbl>
    <w:p w14:paraId="163507E3"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64B62ADE"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50193646" w14:textId="77777777" w:rsidR="00024CEA" w:rsidRPr="00024CEA" w:rsidRDefault="00024CEA" w:rsidP="00024CEA">
      <w:pPr>
        <w:shd w:val="clear" w:color="auto" w:fill="FFFFFF"/>
        <w:spacing w:before="240" w:after="240" w:line="240" w:lineRule="auto"/>
        <w:rPr>
          <w:rFonts w:ascii="Segoe UI" w:eastAsia="Times New Roman" w:hAnsi="Segoe UI" w:cs="Segoe UI"/>
          <w:color w:val="0F1115"/>
          <w:kern w:val="0"/>
          <w14:ligatures w14:val="none"/>
        </w:rPr>
      </w:pPr>
      <w:r w:rsidRPr="00024CEA">
        <w:rPr>
          <w:rFonts w:ascii="Segoe UI" w:eastAsia="Times New Roman" w:hAnsi="Segoe UI" w:cs="Segoe UI"/>
          <w:b/>
          <w:bCs/>
          <w:color w:val="0F1115"/>
          <w:kern w:val="0"/>
          <w14:ligatures w14:val="none"/>
        </w:rPr>
        <w:t>Table S5: Subgroup Analysis of Age and Hemoglobin Effects</w:t>
      </w:r>
    </w:p>
    <w:tbl>
      <w:tblPr>
        <w:tblStyle w:val="TableGridLight"/>
        <w:tblW w:w="9625" w:type="dxa"/>
        <w:tblLook w:val="04A0" w:firstRow="1" w:lastRow="0" w:firstColumn="1" w:lastColumn="0" w:noHBand="0" w:noVBand="1"/>
      </w:tblPr>
      <w:tblGrid>
        <w:gridCol w:w="1814"/>
        <w:gridCol w:w="1135"/>
        <w:gridCol w:w="1634"/>
        <w:gridCol w:w="1310"/>
        <w:gridCol w:w="2147"/>
        <w:gridCol w:w="1585"/>
      </w:tblGrid>
      <w:tr w:rsidR="00024CEA" w:rsidRPr="00024CEA" w14:paraId="5BC8EC26" w14:textId="77777777" w:rsidTr="00024CEA">
        <w:tc>
          <w:tcPr>
            <w:tcW w:w="0" w:type="auto"/>
            <w:hideMark/>
          </w:tcPr>
          <w:p w14:paraId="72440D3E"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Subgroup</w:t>
            </w:r>
          </w:p>
        </w:tc>
        <w:tc>
          <w:tcPr>
            <w:tcW w:w="0" w:type="auto"/>
            <w:hideMark/>
          </w:tcPr>
          <w:p w14:paraId="37BD005B"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Patients (n)</w:t>
            </w:r>
          </w:p>
        </w:tc>
        <w:tc>
          <w:tcPr>
            <w:tcW w:w="0" w:type="auto"/>
            <w:hideMark/>
          </w:tcPr>
          <w:p w14:paraId="68C36E3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Age HR (95% CI)</w:t>
            </w:r>
          </w:p>
        </w:tc>
        <w:tc>
          <w:tcPr>
            <w:tcW w:w="0" w:type="auto"/>
            <w:hideMark/>
          </w:tcPr>
          <w:p w14:paraId="2C67EE9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p-interaction</w:t>
            </w:r>
          </w:p>
        </w:tc>
        <w:tc>
          <w:tcPr>
            <w:tcW w:w="0" w:type="auto"/>
            <w:hideMark/>
          </w:tcPr>
          <w:p w14:paraId="2A3858E4"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Hemoglobin HR (95% CI)</w:t>
            </w:r>
          </w:p>
        </w:tc>
        <w:tc>
          <w:tcPr>
            <w:tcW w:w="1585" w:type="dxa"/>
            <w:hideMark/>
          </w:tcPr>
          <w:p w14:paraId="4EB6F459"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p-interaction</w:t>
            </w:r>
          </w:p>
        </w:tc>
      </w:tr>
      <w:tr w:rsidR="00024CEA" w:rsidRPr="00024CEA" w14:paraId="507B5068" w14:textId="77777777" w:rsidTr="00024CEA">
        <w:tc>
          <w:tcPr>
            <w:tcW w:w="0" w:type="auto"/>
            <w:hideMark/>
          </w:tcPr>
          <w:p w14:paraId="4618444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b/>
                <w:bCs/>
                <w:kern w:val="0"/>
                <w:sz w:val="20"/>
                <w:szCs w:val="20"/>
                <w14:ligatures w14:val="none"/>
              </w:rPr>
              <w:t>Overall</w:t>
            </w:r>
          </w:p>
        </w:tc>
        <w:tc>
          <w:tcPr>
            <w:tcW w:w="0" w:type="auto"/>
            <w:hideMark/>
          </w:tcPr>
          <w:p w14:paraId="2BFFFC6F"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323</w:t>
            </w:r>
          </w:p>
        </w:tc>
        <w:tc>
          <w:tcPr>
            <w:tcW w:w="0" w:type="auto"/>
            <w:hideMark/>
          </w:tcPr>
          <w:p w14:paraId="16840159"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0.969 (0.955-0.985)</w:t>
            </w:r>
          </w:p>
        </w:tc>
        <w:tc>
          <w:tcPr>
            <w:tcW w:w="0" w:type="auto"/>
            <w:hideMark/>
          </w:tcPr>
          <w:p w14:paraId="613470B2"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w:t>
            </w:r>
          </w:p>
        </w:tc>
        <w:tc>
          <w:tcPr>
            <w:tcW w:w="0" w:type="auto"/>
            <w:hideMark/>
          </w:tcPr>
          <w:p w14:paraId="33D453C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0.987 (0.979-0.995)</w:t>
            </w:r>
          </w:p>
        </w:tc>
        <w:tc>
          <w:tcPr>
            <w:tcW w:w="1585" w:type="dxa"/>
            <w:hideMark/>
          </w:tcPr>
          <w:p w14:paraId="739FB1F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w:t>
            </w:r>
          </w:p>
        </w:tc>
      </w:tr>
      <w:tr w:rsidR="00024CEA" w:rsidRPr="00024CEA" w14:paraId="3319D78D" w14:textId="77777777" w:rsidTr="00024CEA">
        <w:tc>
          <w:tcPr>
            <w:tcW w:w="0" w:type="auto"/>
            <w:hideMark/>
          </w:tcPr>
          <w:p w14:paraId="25C8936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b/>
                <w:bCs/>
                <w:kern w:val="0"/>
                <w:sz w:val="20"/>
                <w:szCs w:val="20"/>
                <w14:ligatures w14:val="none"/>
              </w:rPr>
              <w:t>Gender</w:t>
            </w:r>
          </w:p>
        </w:tc>
        <w:tc>
          <w:tcPr>
            <w:tcW w:w="0" w:type="auto"/>
            <w:hideMark/>
          </w:tcPr>
          <w:p w14:paraId="1ACBA64B"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11B756DA" w14:textId="77777777" w:rsidR="00024CEA" w:rsidRPr="00024CEA" w:rsidRDefault="00024CEA" w:rsidP="00024CEA">
            <w:pPr>
              <w:spacing w:line="375" w:lineRule="atLeast"/>
              <w:rPr>
                <w:rFonts w:ascii="Times New Roman" w:eastAsia="Times New Roman" w:hAnsi="Times New Roman" w:cs="Times New Roman"/>
                <w:kern w:val="0"/>
                <w:sz w:val="20"/>
                <w:szCs w:val="20"/>
                <w14:ligatures w14:val="none"/>
              </w:rPr>
            </w:pPr>
          </w:p>
        </w:tc>
        <w:tc>
          <w:tcPr>
            <w:tcW w:w="0" w:type="auto"/>
            <w:hideMark/>
          </w:tcPr>
          <w:p w14:paraId="418BA73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0.421</w:t>
            </w:r>
          </w:p>
        </w:tc>
        <w:tc>
          <w:tcPr>
            <w:tcW w:w="0" w:type="auto"/>
            <w:hideMark/>
          </w:tcPr>
          <w:p w14:paraId="259B91E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1585" w:type="dxa"/>
            <w:hideMark/>
          </w:tcPr>
          <w:p w14:paraId="5C39DE81"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0.387</w:t>
            </w:r>
          </w:p>
        </w:tc>
      </w:tr>
      <w:tr w:rsidR="00024CEA" w:rsidRPr="00024CEA" w14:paraId="476B2352" w14:textId="77777777" w:rsidTr="00024CEA">
        <w:tc>
          <w:tcPr>
            <w:tcW w:w="0" w:type="auto"/>
            <w:hideMark/>
          </w:tcPr>
          <w:p w14:paraId="016F0A2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Male</w:t>
            </w:r>
          </w:p>
        </w:tc>
        <w:tc>
          <w:tcPr>
            <w:tcW w:w="0" w:type="auto"/>
            <w:hideMark/>
          </w:tcPr>
          <w:p w14:paraId="1BE52A0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252</w:t>
            </w:r>
          </w:p>
        </w:tc>
        <w:tc>
          <w:tcPr>
            <w:tcW w:w="0" w:type="auto"/>
            <w:hideMark/>
          </w:tcPr>
          <w:p w14:paraId="418AEAD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0.971 (0.955-0.988)</w:t>
            </w:r>
          </w:p>
        </w:tc>
        <w:tc>
          <w:tcPr>
            <w:tcW w:w="0" w:type="auto"/>
            <w:hideMark/>
          </w:tcPr>
          <w:p w14:paraId="095F652E"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2BB93A4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0.986 (0.977-0.995)</w:t>
            </w:r>
          </w:p>
        </w:tc>
        <w:tc>
          <w:tcPr>
            <w:tcW w:w="1585" w:type="dxa"/>
            <w:hideMark/>
          </w:tcPr>
          <w:p w14:paraId="7BFD81D8"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593D87CC" w14:textId="77777777" w:rsidTr="00024CEA">
        <w:tc>
          <w:tcPr>
            <w:tcW w:w="0" w:type="auto"/>
            <w:hideMark/>
          </w:tcPr>
          <w:p w14:paraId="7436D15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Female</w:t>
            </w:r>
          </w:p>
        </w:tc>
        <w:tc>
          <w:tcPr>
            <w:tcW w:w="0" w:type="auto"/>
            <w:hideMark/>
          </w:tcPr>
          <w:p w14:paraId="7609B432"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71</w:t>
            </w:r>
          </w:p>
        </w:tc>
        <w:tc>
          <w:tcPr>
            <w:tcW w:w="0" w:type="auto"/>
            <w:hideMark/>
          </w:tcPr>
          <w:p w14:paraId="6D52C7F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0.963 (0.935-0.992)</w:t>
            </w:r>
          </w:p>
        </w:tc>
        <w:tc>
          <w:tcPr>
            <w:tcW w:w="0" w:type="auto"/>
            <w:hideMark/>
          </w:tcPr>
          <w:p w14:paraId="1BCF2F6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765AF51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0.990 (0.976-1.004)</w:t>
            </w:r>
          </w:p>
        </w:tc>
        <w:tc>
          <w:tcPr>
            <w:tcW w:w="1585" w:type="dxa"/>
            <w:hideMark/>
          </w:tcPr>
          <w:p w14:paraId="1A7A19D4"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4EFF5496" w14:textId="77777777" w:rsidTr="00024CEA">
        <w:tc>
          <w:tcPr>
            <w:tcW w:w="0" w:type="auto"/>
            <w:hideMark/>
          </w:tcPr>
          <w:p w14:paraId="288F764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b/>
                <w:bCs/>
                <w:kern w:val="0"/>
                <w:sz w:val="20"/>
                <w:szCs w:val="20"/>
                <w14:ligatures w14:val="none"/>
              </w:rPr>
              <w:t>Hypertension</w:t>
            </w:r>
          </w:p>
        </w:tc>
        <w:tc>
          <w:tcPr>
            <w:tcW w:w="0" w:type="auto"/>
            <w:hideMark/>
          </w:tcPr>
          <w:p w14:paraId="22B93B1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371D9FA7" w14:textId="77777777" w:rsidR="00024CEA" w:rsidRPr="00024CEA" w:rsidRDefault="00024CEA" w:rsidP="00024CEA">
            <w:pPr>
              <w:spacing w:line="375" w:lineRule="atLeast"/>
              <w:rPr>
                <w:rFonts w:ascii="Times New Roman" w:eastAsia="Times New Roman" w:hAnsi="Times New Roman" w:cs="Times New Roman"/>
                <w:kern w:val="0"/>
                <w:sz w:val="20"/>
                <w:szCs w:val="20"/>
                <w14:ligatures w14:val="none"/>
              </w:rPr>
            </w:pPr>
          </w:p>
        </w:tc>
        <w:tc>
          <w:tcPr>
            <w:tcW w:w="0" w:type="auto"/>
            <w:hideMark/>
          </w:tcPr>
          <w:p w14:paraId="0682948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0.235</w:t>
            </w:r>
          </w:p>
        </w:tc>
        <w:tc>
          <w:tcPr>
            <w:tcW w:w="0" w:type="auto"/>
            <w:hideMark/>
          </w:tcPr>
          <w:p w14:paraId="5A889DC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1585" w:type="dxa"/>
            <w:hideMark/>
          </w:tcPr>
          <w:p w14:paraId="46192DD0"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0.512</w:t>
            </w:r>
          </w:p>
        </w:tc>
      </w:tr>
      <w:tr w:rsidR="00024CEA" w:rsidRPr="00024CEA" w14:paraId="6C7F37ED" w14:textId="77777777" w:rsidTr="00024CEA">
        <w:tc>
          <w:tcPr>
            <w:tcW w:w="0" w:type="auto"/>
            <w:hideMark/>
          </w:tcPr>
          <w:p w14:paraId="345CD808"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Present</w:t>
            </w:r>
          </w:p>
        </w:tc>
        <w:tc>
          <w:tcPr>
            <w:tcW w:w="0" w:type="auto"/>
            <w:hideMark/>
          </w:tcPr>
          <w:p w14:paraId="68D88711"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236</w:t>
            </w:r>
          </w:p>
        </w:tc>
        <w:tc>
          <w:tcPr>
            <w:tcW w:w="0" w:type="auto"/>
            <w:hideMark/>
          </w:tcPr>
          <w:p w14:paraId="55C2810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0.967 (0.950-0.985)</w:t>
            </w:r>
          </w:p>
        </w:tc>
        <w:tc>
          <w:tcPr>
            <w:tcW w:w="0" w:type="auto"/>
            <w:hideMark/>
          </w:tcPr>
          <w:p w14:paraId="21DD9C74"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4DC7C19E"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0.988 (0.979-0.997)</w:t>
            </w:r>
          </w:p>
        </w:tc>
        <w:tc>
          <w:tcPr>
            <w:tcW w:w="1585" w:type="dxa"/>
            <w:hideMark/>
          </w:tcPr>
          <w:p w14:paraId="035B9C1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79E7AEE5" w14:textId="77777777" w:rsidTr="00024CEA">
        <w:tc>
          <w:tcPr>
            <w:tcW w:w="0" w:type="auto"/>
            <w:hideMark/>
          </w:tcPr>
          <w:p w14:paraId="679173AF"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lastRenderedPageBreak/>
              <w:t>• Absent</w:t>
            </w:r>
          </w:p>
        </w:tc>
        <w:tc>
          <w:tcPr>
            <w:tcW w:w="0" w:type="auto"/>
            <w:hideMark/>
          </w:tcPr>
          <w:p w14:paraId="520FF2B0"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87</w:t>
            </w:r>
          </w:p>
        </w:tc>
        <w:tc>
          <w:tcPr>
            <w:tcW w:w="0" w:type="auto"/>
            <w:hideMark/>
          </w:tcPr>
          <w:p w14:paraId="48DE3C4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0.974 (0.949-1.000)</w:t>
            </w:r>
          </w:p>
        </w:tc>
        <w:tc>
          <w:tcPr>
            <w:tcW w:w="0" w:type="auto"/>
            <w:hideMark/>
          </w:tcPr>
          <w:p w14:paraId="10BB50AE"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7D12D15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0.984 (0.970-0.999)</w:t>
            </w:r>
          </w:p>
        </w:tc>
        <w:tc>
          <w:tcPr>
            <w:tcW w:w="1585" w:type="dxa"/>
            <w:hideMark/>
          </w:tcPr>
          <w:p w14:paraId="55F6D8CA"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474025AC" w14:textId="77777777" w:rsidTr="00024CEA">
        <w:tc>
          <w:tcPr>
            <w:tcW w:w="0" w:type="auto"/>
            <w:hideMark/>
          </w:tcPr>
          <w:p w14:paraId="482D8E8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b/>
                <w:bCs/>
                <w:kern w:val="0"/>
                <w:sz w:val="20"/>
                <w:szCs w:val="20"/>
                <w14:ligatures w14:val="none"/>
              </w:rPr>
              <w:t>Diabetes Duration</w:t>
            </w:r>
          </w:p>
        </w:tc>
        <w:tc>
          <w:tcPr>
            <w:tcW w:w="0" w:type="auto"/>
            <w:hideMark/>
          </w:tcPr>
          <w:p w14:paraId="16C1133B"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080B7788" w14:textId="77777777" w:rsidR="00024CEA" w:rsidRPr="00024CEA" w:rsidRDefault="00024CEA" w:rsidP="00024CEA">
            <w:pPr>
              <w:spacing w:line="375" w:lineRule="atLeast"/>
              <w:rPr>
                <w:rFonts w:ascii="Times New Roman" w:eastAsia="Times New Roman" w:hAnsi="Times New Roman" w:cs="Times New Roman"/>
                <w:kern w:val="0"/>
                <w:sz w:val="20"/>
                <w:szCs w:val="20"/>
                <w14:ligatures w14:val="none"/>
              </w:rPr>
            </w:pPr>
          </w:p>
        </w:tc>
        <w:tc>
          <w:tcPr>
            <w:tcW w:w="0" w:type="auto"/>
            <w:hideMark/>
          </w:tcPr>
          <w:p w14:paraId="3AF55F9E"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0.318</w:t>
            </w:r>
          </w:p>
        </w:tc>
        <w:tc>
          <w:tcPr>
            <w:tcW w:w="0" w:type="auto"/>
            <w:hideMark/>
          </w:tcPr>
          <w:p w14:paraId="7262079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1585" w:type="dxa"/>
            <w:hideMark/>
          </w:tcPr>
          <w:p w14:paraId="35CAFC5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0.445</w:t>
            </w:r>
          </w:p>
        </w:tc>
      </w:tr>
      <w:tr w:rsidR="00024CEA" w:rsidRPr="00024CEA" w14:paraId="49F772FE" w14:textId="77777777" w:rsidTr="00024CEA">
        <w:tc>
          <w:tcPr>
            <w:tcW w:w="0" w:type="auto"/>
            <w:hideMark/>
          </w:tcPr>
          <w:p w14:paraId="02F1FF92"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&lt;5 years</w:t>
            </w:r>
          </w:p>
        </w:tc>
        <w:tc>
          <w:tcPr>
            <w:tcW w:w="0" w:type="auto"/>
            <w:hideMark/>
          </w:tcPr>
          <w:p w14:paraId="18E62D7A"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158</w:t>
            </w:r>
          </w:p>
        </w:tc>
        <w:tc>
          <w:tcPr>
            <w:tcW w:w="0" w:type="auto"/>
            <w:hideMark/>
          </w:tcPr>
          <w:p w14:paraId="516B65F5"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0.972 (0.953-0.992)</w:t>
            </w:r>
          </w:p>
        </w:tc>
        <w:tc>
          <w:tcPr>
            <w:tcW w:w="0" w:type="auto"/>
            <w:hideMark/>
          </w:tcPr>
          <w:p w14:paraId="2033412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6957EE4D"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0.985 (0.974-0.996)</w:t>
            </w:r>
          </w:p>
        </w:tc>
        <w:tc>
          <w:tcPr>
            <w:tcW w:w="1585" w:type="dxa"/>
            <w:hideMark/>
          </w:tcPr>
          <w:p w14:paraId="6D5DFE7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53AFF387" w14:textId="77777777" w:rsidTr="00024CEA">
        <w:tc>
          <w:tcPr>
            <w:tcW w:w="0" w:type="auto"/>
            <w:hideMark/>
          </w:tcPr>
          <w:p w14:paraId="350365C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≥5 years</w:t>
            </w:r>
          </w:p>
        </w:tc>
        <w:tc>
          <w:tcPr>
            <w:tcW w:w="0" w:type="auto"/>
            <w:hideMark/>
          </w:tcPr>
          <w:p w14:paraId="5E650FAF"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165</w:t>
            </w:r>
          </w:p>
        </w:tc>
        <w:tc>
          <w:tcPr>
            <w:tcW w:w="0" w:type="auto"/>
            <w:hideMark/>
          </w:tcPr>
          <w:p w14:paraId="66179ED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0.966 (0.945-0.987)</w:t>
            </w:r>
          </w:p>
        </w:tc>
        <w:tc>
          <w:tcPr>
            <w:tcW w:w="0" w:type="auto"/>
            <w:hideMark/>
          </w:tcPr>
          <w:p w14:paraId="33357805"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254A3075"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0.989 (0.979-0.999)</w:t>
            </w:r>
          </w:p>
        </w:tc>
        <w:tc>
          <w:tcPr>
            <w:tcW w:w="1585" w:type="dxa"/>
            <w:hideMark/>
          </w:tcPr>
          <w:p w14:paraId="2A31CDC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7B4F8C19" w14:textId="77777777" w:rsidTr="00024CEA">
        <w:tc>
          <w:tcPr>
            <w:tcW w:w="0" w:type="auto"/>
            <w:hideMark/>
          </w:tcPr>
          <w:p w14:paraId="201E70A4"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b/>
                <w:bCs/>
                <w:kern w:val="0"/>
                <w:sz w:val="20"/>
                <w:szCs w:val="20"/>
                <w14:ligatures w14:val="none"/>
              </w:rPr>
              <w:t>Statin Use</w:t>
            </w:r>
          </w:p>
        </w:tc>
        <w:tc>
          <w:tcPr>
            <w:tcW w:w="0" w:type="auto"/>
            <w:hideMark/>
          </w:tcPr>
          <w:p w14:paraId="4AD3FAF3"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414F1F08" w14:textId="77777777" w:rsidR="00024CEA" w:rsidRPr="00024CEA" w:rsidRDefault="00024CEA" w:rsidP="00024CEA">
            <w:pPr>
              <w:spacing w:line="375" w:lineRule="atLeast"/>
              <w:rPr>
                <w:rFonts w:ascii="Times New Roman" w:eastAsia="Times New Roman" w:hAnsi="Times New Roman" w:cs="Times New Roman"/>
                <w:kern w:val="0"/>
                <w:sz w:val="20"/>
                <w:szCs w:val="20"/>
                <w14:ligatures w14:val="none"/>
              </w:rPr>
            </w:pPr>
          </w:p>
        </w:tc>
        <w:tc>
          <w:tcPr>
            <w:tcW w:w="0" w:type="auto"/>
            <w:hideMark/>
          </w:tcPr>
          <w:p w14:paraId="13665F2F"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0.678</w:t>
            </w:r>
          </w:p>
        </w:tc>
        <w:tc>
          <w:tcPr>
            <w:tcW w:w="0" w:type="auto"/>
            <w:hideMark/>
          </w:tcPr>
          <w:p w14:paraId="595E496B"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1585" w:type="dxa"/>
            <w:hideMark/>
          </w:tcPr>
          <w:p w14:paraId="11336252"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0.591</w:t>
            </w:r>
          </w:p>
        </w:tc>
      </w:tr>
      <w:tr w:rsidR="00024CEA" w:rsidRPr="00024CEA" w14:paraId="256C2F6D" w14:textId="77777777" w:rsidTr="00024CEA">
        <w:tc>
          <w:tcPr>
            <w:tcW w:w="0" w:type="auto"/>
            <w:hideMark/>
          </w:tcPr>
          <w:p w14:paraId="35BE90A5"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Yes</w:t>
            </w:r>
          </w:p>
        </w:tc>
        <w:tc>
          <w:tcPr>
            <w:tcW w:w="0" w:type="auto"/>
            <w:hideMark/>
          </w:tcPr>
          <w:p w14:paraId="6ABFE3A1"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314</w:t>
            </w:r>
          </w:p>
        </w:tc>
        <w:tc>
          <w:tcPr>
            <w:tcW w:w="0" w:type="auto"/>
            <w:hideMark/>
          </w:tcPr>
          <w:p w14:paraId="5E8C8196"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0.970 (0.955-0.985)</w:t>
            </w:r>
          </w:p>
        </w:tc>
        <w:tc>
          <w:tcPr>
            <w:tcW w:w="0" w:type="auto"/>
            <w:hideMark/>
          </w:tcPr>
          <w:p w14:paraId="4F543920"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6D204E19"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0.987 (0.979-0.995)</w:t>
            </w:r>
          </w:p>
        </w:tc>
        <w:tc>
          <w:tcPr>
            <w:tcW w:w="1585" w:type="dxa"/>
            <w:hideMark/>
          </w:tcPr>
          <w:p w14:paraId="0B610E3F"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r>
      <w:tr w:rsidR="00024CEA" w:rsidRPr="00024CEA" w14:paraId="16630B57" w14:textId="77777777" w:rsidTr="00024CEA">
        <w:tc>
          <w:tcPr>
            <w:tcW w:w="0" w:type="auto"/>
            <w:hideMark/>
          </w:tcPr>
          <w:p w14:paraId="42642657"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 No</w:t>
            </w:r>
          </w:p>
        </w:tc>
        <w:tc>
          <w:tcPr>
            <w:tcW w:w="0" w:type="auto"/>
            <w:hideMark/>
          </w:tcPr>
          <w:p w14:paraId="171FA4DC"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9</w:t>
            </w:r>
          </w:p>
        </w:tc>
        <w:tc>
          <w:tcPr>
            <w:tcW w:w="0" w:type="auto"/>
            <w:hideMark/>
          </w:tcPr>
          <w:p w14:paraId="340449D0"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0.956 (0.885-1.033)</w:t>
            </w:r>
          </w:p>
        </w:tc>
        <w:tc>
          <w:tcPr>
            <w:tcW w:w="0" w:type="auto"/>
            <w:hideMark/>
          </w:tcPr>
          <w:p w14:paraId="23908BC1" w14:textId="77777777" w:rsidR="00024CEA" w:rsidRPr="00024CEA" w:rsidRDefault="00024CEA" w:rsidP="00024CEA">
            <w:pPr>
              <w:spacing w:line="375" w:lineRule="atLeast"/>
              <w:rPr>
                <w:rFonts w:ascii="Segoe UI" w:eastAsia="Times New Roman" w:hAnsi="Segoe UI" w:cs="Segoe UI"/>
                <w:kern w:val="0"/>
                <w:sz w:val="20"/>
                <w:szCs w:val="20"/>
                <w14:ligatures w14:val="none"/>
              </w:rPr>
            </w:pPr>
          </w:p>
        </w:tc>
        <w:tc>
          <w:tcPr>
            <w:tcW w:w="0" w:type="auto"/>
            <w:hideMark/>
          </w:tcPr>
          <w:p w14:paraId="7B4E20C2" w14:textId="77777777" w:rsidR="00024CEA" w:rsidRPr="00024CEA" w:rsidRDefault="00024CEA" w:rsidP="00024CEA">
            <w:pPr>
              <w:spacing w:line="375" w:lineRule="atLeast"/>
              <w:rPr>
                <w:rFonts w:ascii="Segoe UI" w:eastAsia="Times New Roman" w:hAnsi="Segoe UI" w:cs="Segoe UI"/>
                <w:kern w:val="0"/>
                <w:sz w:val="20"/>
                <w:szCs w:val="20"/>
                <w14:ligatures w14:val="none"/>
              </w:rPr>
            </w:pPr>
            <w:r w:rsidRPr="00024CEA">
              <w:rPr>
                <w:rFonts w:ascii="Segoe UI" w:eastAsia="Times New Roman" w:hAnsi="Segoe UI" w:cs="Segoe UI"/>
                <w:kern w:val="0"/>
                <w:sz w:val="20"/>
                <w:szCs w:val="20"/>
                <w14:ligatures w14:val="none"/>
              </w:rPr>
              <w:t>0.978 (0.935-1.023)</w:t>
            </w:r>
          </w:p>
        </w:tc>
        <w:tc>
          <w:tcPr>
            <w:tcW w:w="1585" w:type="dxa"/>
            <w:hideMark/>
          </w:tcPr>
          <w:p w14:paraId="7F4BB4C6" w14:textId="77777777" w:rsidR="00024CEA" w:rsidRPr="00024CEA" w:rsidRDefault="00024CEA" w:rsidP="00024CEA">
            <w:pPr>
              <w:rPr>
                <w:rFonts w:ascii="Times New Roman" w:eastAsia="Times New Roman" w:hAnsi="Times New Roman" w:cs="Times New Roman"/>
                <w:kern w:val="0"/>
                <w:sz w:val="20"/>
                <w:szCs w:val="20"/>
                <w14:ligatures w14:val="none"/>
              </w:rPr>
            </w:pPr>
          </w:p>
        </w:tc>
      </w:tr>
    </w:tbl>
    <w:p w14:paraId="39E766E0"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03E61E02"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55A3952B" w14:textId="3A1A5EE2" w:rsidR="00024CEA" w:rsidRPr="00024CEA" w:rsidRDefault="0049714C" w:rsidP="00024CEA">
      <w:pPr>
        <w:shd w:val="clear" w:color="auto" w:fill="FFFFFF"/>
        <w:spacing w:before="240" w:after="240" w:line="240" w:lineRule="auto"/>
        <w:rPr>
          <w:rFonts w:ascii="Segoe UI" w:eastAsia="Times New Roman" w:hAnsi="Segoe UI" w:cs="Segoe UI"/>
          <w:color w:val="0F1115"/>
          <w:kern w:val="0"/>
          <w14:ligatures w14:val="none"/>
        </w:rPr>
      </w:pPr>
      <w:r>
        <w:rPr>
          <w:rFonts w:ascii="Segoe UI" w:eastAsia="Times New Roman" w:hAnsi="Segoe UI" w:cs="Segoe UI"/>
          <w:b/>
          <w:bCs/>
          <w:color w:val="0F1115"/>
          <w:kern w:val="0"/>
          <w14:ligatures w14:val="none"/>
        </w:rPr>
        <w:t>T</w:t>
      </w:r>
      <w:r w:rsidR="00024CEA" w:rsidRPr="00024CEA">
        <w:rPr>
          <w:rFonts w:ascii="Segoe UI" w:eastAsia="Times New Roman" w:hAnsi="Segoe UI" w:cs="Segoe UI"/>
          <w:b/>
          <w:bCs/>
          <w:color w:val="0F1115"/>
          <w:kern w:val="0"/>
          <w14:ligatures w14:val="none"/>
        </w:rPr>
        <w:t>able S6: Sensitivity Analysis with Different Model Specifications</w:t>
      </w:r>
    </w:p>
    <w:tbl>
      <w:tblPr>
        <w:tblStyle w:val="TableGridLight"/>
        <w:tblW w:w="9680" w:type="dxa"/>
        <w:tblLook w:val="04A0" w:firstRow="1" w:lastRow="0" w:firstColumn="1" w:lastColumn="0" w:noHBand="0" w:noVBand="1"/>
      </w:tblPr>
      <w:tblGrid>
        <w:gridCol w:w="4333"/>
        <w:gridCol w:w="2347"/>
        <w:gridCol w:w="3000"/>
      </w:tblGrid>
      <w:tr w:rsidR="00024CEA" w:rsidRPr="00024CEA" w14:paraId="62A20F66" w14:textId="77777777" w:rsidTr="00DE7891">
        <w:trPr>
          <w:trHeight w:val="395"/>
        </w:trPr>
        <w:tc>
          <w:tcPr>
            <w:tcW w:w="0" w:type="auto"/>
            <w:hideMark/>
          </w:tcPr>
          <w:p w14:paraId="7F9E6E8E"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Model Specification</w:t>
            </w:r>
          </w:p>
        </w:tc>
        <w:tc>
          <w:tcPr>
            <w:tcW w:w="0" w:type="auto"/>
            <w:hideMark/>
          </w:tcPr>
          <w:p w14:paraId="7C0438EA"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Age HR (95% CI)</w:t>
            </w:r>
          </w:p>
        </w:tc>
        <w:tc>
          <w:tcPr>
            <w:tcW w:w="0" w:type="auto"/>
            <w:hideMark/>
          </w:tcPr>
          <w:p w14:paraId="4908689C"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Hemoglobin HR (95% CI)</w:t>
            </w:r>
          </w:p>
        </w:tc>
      </w:tr>
      <w:tr w:rsidR="00024CEA" w:rsidRPr="00024CEA" w14:paraId="238EA3FD" w14:textId="77777777" w:rsidTr="00DE7891">
        <w:trPr>
          <w:trHeight w:val="379"/>
        </w:trPr>
        <w:tc>
          <w:tcPr>
            <w:tcW w:w="0" w:type="auto"/>
            <w:hideMark/>
          </w:tcPr>
          <w:p w14:paraId="7E359704"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Primary Model (Full adjustment)</w:t>
            </w:r>
          </w:p>
        </w:tc>
        <w:tc>
          <w:tcPr>
            <w:tcW w:w="0" w:type="auto"/>
            <w:hideMark/>
          </w:tcPr>
          <w:p w14:paraId="68EF61EC"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0.969 (0.955-0.985)</w:t>
            </w:r>
          </w:p>
        </w:tc>
        <w:tc>
          <w:tcPr>
            <w:tcW w:w="0" w:type="auto"/>
            <w:hideMark/>
          </w:tcPr>
          <w:p w14:paraId="428C831C"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0.987 (0.979-0.995)</w:t>
            </w:r>
          </w:p>
        </w:tc>
      </w:tr>
      <w:tr w:rsidR="00024CEA" w:rsidRPr="00024CEA" w14:paraId="0B6888F3" w14:textId="77777777" w:rsidTr="00DE7891">
        <w:trPr>
          <w:trHeight w:val="395"/>
        </w:trPr>
        <w:tc>
          <w:tcPr>
            <w:tcW w:w="0" w:type="auto"/>
            <w:hideMark/>
          </w:tcPr>
          <w:p w14:paraId="3235DA15"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Minimal Adjustment (age/sex only)</w:t>
            </w:r>
          </w:p>
        </w:tc>
        <w:tc>
          <w:tcPr>
            <w:tcW w:w="0" w:type="auto"/>
            <w:hideMark/>
          </w:tcPr>
          <w:p w14:paraId="56FC21CF"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0.972 (0.958-0.987)</w:t>
            </w:r>
          </w:p>
        </w:tc>
        <w:tc>
          <w:tcPr>
            <w:tcW w:w="0" w:type="auto"/>
            <w:hideMark/>
          </w:tcPr>
          <w:p w14:paraId="21A9D54C"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0.985 (0.977-0.993)</w:t>
            </w:r>
          </w:p>
        </w:tc>
      </w:tr>
      <w:tr w:rsidR="00024CEA" w:rsidRPr="00024CEA" w14:paraId="6A0C7CAE" w14:textId="77777777" w:rsidTr="00DE7891">
        <w:trPr>
          <w:trHeight w:val="395"/>
        </w:trPr>
        <w:tc>
          <w:tcPr>
            <w:tcW w:w="0" w:type="auto"/>
            <w:hideMark/>
          </w:tcPr>
          <w:p w14:paraId="445A7891"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Extensive Adjustment (+medications)</w:t>
            </w:r>
          </w:p>
        </w:tc>
        <w:tc>
          <w:tcPr>
            <w:tcW w:w="0" w:type="auto"/>
            <w:hideMark/>
          </w:tcPr>
          <w:p w14:paraId="5DD0258C"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0.968 (0.953-0.983)</w:t>
            </w:r>
          </w:p>
        </w:tc>
        <w:tc>
          <w:tcPr>
            <w:tcW w:w="0" w:type="auto"/>
            <w:hideMark/>
          </w:tcPr>
          <w:p w14:paraId="153D41A8"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0.988 (0.980-0.996)</w:t>
            </w:r>
          </w:p>
        </w:tc>
      </w:tr>
      <w:tr w:rsidR="00024CEA" w:rsidRPr="00024CEA" w14:paraId="13629284" w14:textId="77777777" w:rsidTr="00DE7891">
        <w:trPr>
          <w:trHeight w:val="379"/>
        </w:trPr>
        <w:tc>
          <w:tcPr>
            <w:tcW w:w="0" w:type="auto"/>
            <w:hideMark/>
          </w:tcPr>
          <w:p w14:paraId="7C181751"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Competing Risks Model</w:t>
            </w:r>
          </w:p>
        </w:tc>
        <w:tc>
          <w:tcPr>
            <w:tcW w:w="0" w:type="auto"/>
            <w:hideMark/>
          </w:tcPr>
          <w:p w14:paraId="43438526"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0.971 (0.957-0.986)</w:t>
            </w:r>
          </w:p>
        </w:tc>
        <w:tc>
          <w:tcPr>
            <w:tcW w:w="0" w:type="auto"/>
            <w:hideMark/>
          </w:tcPr>
          <w:p w14:paraId="1057CD10" w14:textId="77777777" w:rsidR="00024CEA" w:rsidRPr="00024CEA" w:rsidRDefault="00024CEA" w:rsidP="00024CEA">
            <w:pPr>
              <w:spacing w:line="375" w:lineRule="atLeast"/>
              <w:rPr>
                <w:rFonts w:ascii="Segoe UI" w:eastAsia="Times New Roman" w:hAnsi="Segoe UI" w:cs="Segoe UI"/>
                <w:kern w:val="0"/>
                <w:sz w:val="22"/>
                <w:szCs w:val="22"/>
                <w14:ligatures w14:val="none"/>
              </w:rPr>
            </w:pPr>
            <w:r w:rsidRPr="00024CEA">
              <w:rPr>
                <w:rFonts w:ascii="Segoe UI" w:eastAsia="Times New Roman" w:hAnsi="Segoe UI" w:cs="Segoe UI"/>
                <w:kern w:val="0"/>
                <w:sz w:val="22"/>
                <w:szCs w:val="22"/>
                <w14:ligatures w14:val="none"/>
              </w:rPr>
              <w:t>0.986 (0.978-0.994)</w:t>
            </w:r>
          </w:p>
        </w:tc>
      </w:tr>
    </w:tbl>
    <w:p w14:paraId="30E39E9C"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5344E500"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6EE65AE8" w14:textId="77777777" w:rsidR="00024CEA" w:rsidRDefault="00024CEA" w:rsidP="00024CEA">
      <w:pPr>
        <w:spacing w:after="0" w:line="240" w:lineRule="auto"/>
        <w:rPr>
          <w:rFonts w:ascii="Segoe UI" w:eastAsia="Times New Roman" w:hAnsi="Segoe UI" w:cs="Segoe UI"/>
          <w:b/>
          <w:bCs/>
          <w:color w:val="404040"/>
          <w:kern w:val="0"/>
          <w:sz w:val="23"/>
          <w:szCs w:val="23"/>
          <w14:ligatures w14:val="none"/>
        </w:rPr>
      </w:pPr>
    </w:p>
    <w:p w14:paraId="5953C213" w14:textId="30BA6228" w:rsidR="00024CEA" w:rsidRDefault="00FB6BD5" w:rsidP="00024CEA">
      <w:pPr>
        <w:shd w:val="clear" w:color="auto" w:fill="FFFFFF"/>
        <w:spacing w:after="0" w:line="240" w:lineRule="auto"/>
        <w:jc w:val="both"/>
        <w:rPr>
          <w:rFonts w:ascii="Segoe UI" w:eastAsia="Times New Roman" w:hAnsi="Segoe UI" w:cs="Segoe UI"/>
          <w:color w:val="0F1115"/>
          <w:kern w:val="0"/>
          <w14:ligatures w14:val="none"/>
        </w:rPr>
      </w:pPr>
      <w:r>
        <w:rPr>
          <w:rFonts w:ascii="Segoe UI" w:eastAsia="Times New Roman" w:hAnsi="Segoe UI" w:cs="Segoe UI"/>
          <w:color w:val="0F1115"/>
          <w:kern w:val="0"/>
          <w14:ligatures w14:val="none"/>
        </w:rPr>
        <w:t xml:space="preserve">The age protective effect was consistent across subgroups, with hazard ratios (HR) below 1.0, and the hemoglobin effect remained significant across major categories. No notable interactions were found (all p &gt; 0.05). The strongest age protection was observed in females (HR = 0.963) and hypertensive individuals (HR = 0.967). A J-shaped relationship indicated </w:t>
      </w:r>
      <w:proofErr w:type="gramStart"/>
      <w:r>
        <w:rPr>
          <w:rFonts w:ascii="Segoe UI" w:eastAsia="Times New Roman" w:hAnsi="Segoe UI" w:cs="Segoe UI"/>
          <w:color w:val="0F1115"/>
          <w:kern w:val="0"/>
          <w14:ligatures w14:val="none"/>
        </w:rPr>
        <w:t>strongest</w:t>
      </w:r>
      <w:proofErr w:type="gramEnd"/>
      <w:r>
        <w:rPr>
          <w:rFonts w:ascii="Segoe UI" w:eastAsia="Times New Roman" w:hAnsi="Segoe UI" w:cs="Segoe UI"/>
          <w:color w:val="0F1115"/>
          <w:kern w:val="0"/>
          <w14:ligatures w14:val="none"/>
        </w:rPr>
        <w:t xml:space="preserve"> protection up to 70 years, with effects plateauing afterward. Hemoglobin demonstrated a linear protective relationship from 80 to 180 g/L, remaining monotonic without threshold effects. These findings support the inclusion of age and hemoglobin as protective factors in our risk stratification model across various patient groups.</w:t>
      </w:r>
    </w:p>
    <w:p w14:paraId="097E489A" w14:textId="77777777" w:rsidR="0049714C" w:rsidRDefault="0049714C" w:rsidP="00024CEA">
      <w:pPr>
        <w:shd w:val="clear" w:color="auto" w:fill="FFFFFF"/>
        <w:spacing w:after="0" w:line="240" w:lineRule="auto"/>
        <w:jc w:val="both"/>
        <w:rPr>
          <w:rFonts w:ascii="Segoe UI" w:eastAsia="Times New Roman" w:hAnsi="Segoe UI" w:cs="Segoe UI"/>
          <w:color w:val="0F1115"/>
          <w:kern w:val="0"/>
          <w14:ligatures w14:val="none"/>
        </w:rPr>
      </w:pPr>
    </w:p>
    <w:p w14:paraId="7772A699" w14:textId="6C196E4A" w:rsidR="0049714C" w:rsidRPr="0049714C" w:rsidRDefault="00FD2C91" w:rsidP="0049714C">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Pr>
          <w:rFonts w:ascii="Segoe UI" w:eastAsia="Times New Roman" w:hAnsi="Segoe UI" w:cs="Segoe UI"/>
          <w:b/>
          <w:bCs/>
          <w:color w:val="0F1115"/>
          <w:kern w:val="0"/>
          <w:sz w:val="30"/>
          <w:szCs w:val="30"/>
          <w14:ligatures w14:val="none"/>
        </w:rPr>
        <w:lastRenderedPageBreak/>
        <w:t>Add</w:t>
      </w:r>
      <w:r w:rsidR="0049714C" w:rsidRPr="0049714C">
        <w:rPr>
          <w:rFonts w:ascii="Segoe UI" w:eastAsia="Times New Roman" w:hAnsi="Segoe UI" w:cs="Segoe UI"/>
          <w:b/>
          <w:bCs/>
          <w:color w:val="0F1115"/>
          <w:kern w:val="0"/>
          <w:sz w:val="30"/>
          <w:szCs w:val="30"/>
          <w14:ligatures w14:val="none"/>
        </w:rPr>
        <w:t>ed Analys</w:t>
      </w:r>
      <w:r>
        <w:rPr>
          <w:rFonts w:ascii="Segoe UI" w:eastAsia="Times New Roman" w:hAnsi="Segoe UI" w:cs="Segoe UI"/>
          <w:b/>
          <w:bCs/>
          <w:color w:val="0F1115"/>
          <w:kern w:val="0"/>
          <w:sz w:val="30"/>
          <w:szCs w:val="30"/>
          <w14:ligatures w14:val="none"/>
        </w:rPr>
        <w:t>e</w:t>
      </w:r>
      <w:r w:rsidR="0049714C" w:rsidRPr="0049714C">
        <w:rPr>
          <w:rFonts w:ascii="Segoe UI" w:eastAsia="Times New Roman" w:hAnsi="Segoe UI" w:cs="Segoe UI"/>
          <w:b/>
          <w:bCs/>
          <w:color w:val="0F1115"/>
          <w:kern w:val="0"/>
          <w:sz w:val="30"/>
          <w:szCs w:val="30"/>
          <w14:ligatures w14:val="none"/>
        </w:rPr>
        <w:t xml:space="preserve">s </w:t>
      </w:r>
    </w:p>
    <w:p w14:paraId="046E2071" w14:textId="77777777" w:rsidR="0049714C" w:rsidRPr="0049714C" w:rsidRDefault="0049714C" w:rsidP="0049714C">
      <w:pPr>
        <w:shd w:val="clear" w:color="auto" w:fill="FFFFFF"/>
        <w:spacing w:before="240" w:after="240" w:line="420" w:lineRule="atLeast"/>
        <w:outlineLvl w:val="3"/>
        <w:rPr>
          <w:rFonts w:ascii="Segoe UI" w:eastAsia="Times New Roman" w:hAnsi="Segoe UI" w:cs="Segoe UI"/>
          <w:b/>
          <w:bCs/>
          <w:color w:val="0F1115"/>
          <w:kern w:val="0"/>
          <w14:ligatures w14:val="none"/>
        </w:rPr>
      </w:pPr>
      <w:r w:rsidRPr="0049714C">
        <w:rPr>
          <w:rFonts w:ascii="Segoe UI" w:eastAsia="Times New Roman" w:hAnsi="Segoe UI" w:cs="Segoe UI"/>
          <w:b/>
          <w:bCs/>
          <w:color w:val="0F1115"/>
          <w:kern w:val="0"/>
          <w14:ligatures w14:val="none"/>
        </w:rPr>
        <w:t>1. LDL Cholesterol: Univariate vs. Multivariate Discrepancy</w:t>
      </w:r>
    </w:p>
    <w:p w14:paraId="0FDF2F0C" w14:textId="338C751D" w:rsidR="0049714C" w:rsidRPr="0049714C" w:rsidRDefault="0049714C" w:rsidP="0049714C">
      <w:pPr>
        <w:shd w:val="clear" w:color="auto" w:fill="FFFFFF"/>
        <w:spacing w:before="240" w:after="240" w:line="240" w:lineRule="auto"/>
        <w:rPr>
          <w:rFonts w:ascii="Segoe UI" w:eastAsia="Times New Roman" w:hAnsi="Segoe UI" w:cs="Segoe UI"/>
          <w:color w:val="0F1115"/>
          <w:kern w:val="0"/>
          <w14:ligatures w14:val="none"/>
        </w:rPr>
      </w:pPr>
      <w:r w:rsidRPr="0049714C">
        <w:rPr>
          <w:rFonts w:ascii="Segoe UI" w:eastAsia="Times New Roman" w:hAnsi="Segoe UI" w:cs="Segoe UI"/>
          <w:b/>
          <w:bCs/>
          <w:color w:val="0F1115"/>
          <w:kern w:val="0"/>
          <w14:ligatures w14:val="none"/>
        </w:rPr>
        <w:t>Supplementary Table S</w:t>
      </w:r>
      <w:r>
        <w:rPr>
          <w:rFonts w:ascii="Segoe UI" w:eastAsia="Times New Roman" w:hAnsi="Segoe UI" w:cs="Segoe UI"/>
          <w:b/>
          <w:bCs/>
          <w:color w:val="0F1115"/>
          <w:kern w:val="0"/>
          <w14:ligatures w14:val="none"/>
        </w:rPr>
        <w:t>7</w:t>
      </w:r>
      <w:r w:rsidRPr="0049714C">
        <w:rPr>
          <w:rFonts w:ascii="Segoe UI" w:eastAsia="Times New Roman" w:hAnsi="Segoe UI" w:cs="Segoe UI"/>
          <w:b/>
          <w:bCs/>
          <w:color w:val="0F1115"/>
          <w:kern w:val="0"/>
          <w14:ligatures w14:val="none"/>
        </w:rPr>
        <w:t>: Detailed LDL Analysis</w:t>
      </w:r>
    </w:p>
    <w:tbl>
      <w:tblPr>
        <w:tblStyle w:val="TableGridLight"/>
        <w:tblW w:w="0" w:type="auto"/>
        <w:tblLook w:val="04A0" w:firstRow="1" w:lastRow="0" w:firstColumn="1" w:lastColumn="0" w:noHBand="0" w:noVBand="1"/>
      </w:tblPr>
      <w:tblGrid>
        <w:gridCol w:w="2385"/>
        <w:gridCol w:w="2080"/>
        <w:gridCol w:w="878"/>
        <w:gridCol w:w="3198"/>
      </w:tblGrid>
      <w:tr w:rsidR="0049714C" w:rsidRPr="0049714C" w14:paraId="7CF5A37A" w14:textId="77777777" w:rsidTr="0049714C">
        <w:tc>
          <w:tcPr>
            <w:tcW w:w="0" w:type="auto"/>
            <w:hideMark/>
          </w:tcPr>
          <w:p w14:paraId="001CA858"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Analysis Level</w:t>
            </w:r>
          </w:p>
        </w:tc>
        <w:tc>
          <w:tcPr>
            <w:tcW w:w="0" w:type="auto"/>
            <w:hideMark/>
          </w:tcPr>
          <w:p w14:paraId="6672E84C"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LDL Effect</w:t>
            </w:r>
          </w:p>
        </w:tc>
        <w:tc>
          <w:tcPr>
            <w:tcW w:w="0" w:type="auto"/>
            <w:hideMark/>
          </w:tcPr>
          <w:p w14:paraId="61468B84"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p-value</w:t>
            </w:r>
          </w:p>
        </w:tc>
        <w:tc>
          <w:tcPr>
            <w:tcW w:w="0" w:type="auto"/>
            <w:hideMark/>
          </w:tcPr>
          <w:p w14:paraId="6A63425C"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Notes</w:t>
            </w:r>
          </w:p>
        </w:tc>
      </w:tr>
      <w:tr w:rsidR="0049714C" w:rsidRPr="0049714C" w14:paraId="3D802B5C" w14:textId="77777777" w:rsidTr="0049714C">
        <w:tc>
          <w:tcPr>
            <w:tcW w:w="0" w:type="auto"/>
            <w:hideMark/>
          </w:tcPr>
          <w:p w14:paraId="768D7A46"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b/>
                <w:bCs/>
                <w:kern w:val="0"/>
                <w:sz w:val="20"/>
                <w:szCs w:val="20"/>
                <w14:ligatures w14:val="none"/>
              </w:rPr>
              <w:t>Univariate</w:t>
            </w:r>
          </w:p>
        </w:tc>
        <w:tc>
          <w:tcPr>
            <w:tcW w:w="0" w:type="auto"/>
            <w:hideMark/>
          </w:tcPr>
          <w:p w14:paraId="2C98D27B"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HR = 1.15 (1.04-1.27)</w:t>
            </w:r>
          </w:p>
        </w:tc>
        <w:tc>
          <w:tcPr>
            <w:tcW w:w="0" w:type="auto"/>
            <w:hideMark/>
          </w:tcPr>
          <w:p w14:paraId="7DCF86AE"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0.005</w:t>
            </w:r>
          </w:p>
        </w:tc>
        <w:tc>
          <w:tcPr>
            <w:tcW w:w="0" w:type="auto"/>
            <w:hideMark/>
          </w:tcPr>
          <w:p w14:paraId="1D6EC4CA"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Significant association</w:t>
            </w:r>
          </w:p>
        </w:tc>
      </w:tr>
      <w:tr w:rsidR="0049714C" w:rsidRPr="0049714C" w14:paraId="0DC83C71" w14:textId="77777777" w:rsidTr="0049714C">
        <w:tc>
          <w:tcPr>
            <w:tcW w:w="0" w:type="auto"/>
            <w:hideMark/>
          </w:tcPr>
          <w:p w14:paraId="790C482D"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b/>
                <w:bCs/>
                <w:kern w:val="0"/>
                <w:sz w:val="20"/>
                <w:szCs w:val="20"/>
                <w14:ligatures w14:val="none"/>
              </w:rPr>
              <w:t>Multivariate (Basic)</w:t>
            </w:r>
          </w:p>
        </w:tc>
        <w:tc>
          <w:tcPr>
            <w:tcW w:w="0" w:type="auto"/>
            <w:hideMark/>
          </w:tcPr>
          <w:p w14:paraId="6739EBCB"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HR = 1.08 (0.97-1.20)</w:t>
            </w:r>
          </w:p>
        </w:tc>
        <w:tc>
          <w:tcPr>
            <w:tcW w:w="0" w:type="auto"/>
            <w:hideMark/>
          </w:tcPr>
          <w:p w14:paraId="3417B7EB"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0.15</w:t>
            </w:r>
          </w:p>
        </w:tc>
        <w:tc>
          <w:tcPr>
            <w:tcW w:w="0" w:type="auto"/>
            <w:hideMark/>
          </w:tcPr>
          <w:p w14:paraId="0CF77ECD"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Adjusted for age, sex</w:t>
            </w:r>
          </w:p>
        </w:tc>
      </w:tr>
      <w:tr w:rsidR="0049714C" w:rsidRPr="0049714C" w14:paraId="62773DDF" w14:textId="77777777" w:rsidTr="0049714C">
        <w:tc>
          <w:tcPr>
            <w:tcW w:w="0" w:type="auto"/>
            <w:hideMark/>
          </w:tcPr>
          <w:p w14:paraId="55C376D8"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b/>
                <w:bCs/>
                <w:kern w:val="0"/>
                <w:sz w:val="20"/>
                <w:szCs w:val="20"/>
                <w14:ligatures w14:val="none"/>
              </w:rPr>
              <w:t>Multivariate (Full)</w:t>
            </w:r>
          </w:p>
        </w:tc>
        <w:tc>
          <w:tcPr>
            <w:tcW w:w="0" w:type="auto"/>
            <w:hideMark/>
          </w:tcPr>
          <w:p w14:paraId="46B3145C"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HR = 1.05 (0.94-1.17)</w:t>
            </w:r>
          </w:p>
        </w:tc>
        <w:tc>
          <w:tcPr>
            <w:tcW w:w="0" w:type="auto"/>
            <w:hideMark/>
          </w:tcPr>
          <w:p w14:paraId="5F20E9BB"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0.38</w:t>
            </w:r>
          </w:p>
        </w:tc>
        <w:tc>
          <w:tcPr>
            <w:tcW w:w="0" w:type="auto"/>
            <w:hideMark/>
          </w:tcPr>
          <w:p w14:paraId="0CB3A2BF"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Full model with METS-IR, D-dimer</w:t>
            </w:r>
          </w:p>
        </w:tc>
      </w:tr>
      <w:tr w:rsidR="0049714C" w:rsidRPr="0049714C" w14:paraId="58861D5D" w14:textId="77777777" w:rsidTr="0049714C">
        <w:tc>
          <w:tcPr>
            <w:tcW w:w="0" w:type="auto"/>
            <w:hideMark/>
          </w:tcPr>
          <w:p w14:paraId="138D6E9A"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b/>
                <w:bCs/>
                <w:kern w:val="0"/>
                <w:sz w:val="20"/>
                <w:szCs w:val="20"/>
                <w14:ligatures w14:val="none"/>
              </w:rPr>
              <w:t>Stratified by Statin Use</w:t>
            </w:r>
          </w:p>
        </w:tc>
        <w:tc>
          <w:tcPr>
            <w:tcW w:w="0" w:type="auto"/>
            <w:hideMark/>
          </w:tcPr>
          <w:p w14:paraId="33D8D493" w14:textId="77777777" w:rsidR="0049714C" w:rsidRPr="0049714C" w:rsidRDefault="0049714C" w:rsidP="0049714C">
            <w:pPr>
              <w:spacing w:line="375" w:lineRule="atLeast"/>
              <w:rPr>
                <w:rFonts w:ascii="Segoe UI" w:eastAsia="Times New Roman" w:hAnsi="Segoe UI" w:cs="Segoe UI"/>
                <w:kern w:val="0"/>
                <w:sz w:val="20"/>
                <w:szCs w:val="20"/>
                <w14:ligatures w14:val="none"/>
              </w:rPr>
            </w:pPr>
          </w:p>
        </w:tc>
        <w:tc>
          <w:tcPr>
            <w:tcW w:w="0" w:type="auto"/>
            <w:hideMark/>
          </w:tcPr>
          <w:p w14:paraId="205FE1F2" w14:textId="77777777" w:rsidR="0049714C" w:rsidRPr="0049714C" w:rsidRDefault="0049714C" w:rsidP="0049714C">
            <w:pPr>
              <w:spacing w:line="375" w:lineRule="atLeast"/>
              <w:rPr>
                <w:rFonts w:ascii="Times New Roman" w:eastAsia="Times New Roman" w:hAnsi="Times New Roman" w:cs="Times New Roman"/>
                <w:kern w:val="0"/>
                <w:sz w:val="20"/>
                <w:szCs w:val="20"/>
                <w14:ligatures w14:val="none"/>
              </w:rPr>
            </w:pPr>
          </w:p>
        </w:tc>
        <w:tc>
          <w:tcPr>
            <w:tcW w:w="0" w:type="auto"/>
            <w:hideMark/>
          </w:tcPr>
          <w:p w14:paraId="196BD2E3" w14:textId="77777777" w:rsidR="0049714C" w:rsidRPr="0049714C" w:rsidRDefault="0049714C" w:rsidP="0049714C">
            <w:pPr>
              <w:spacing w:line="375" w:lineRule="atLeast"/>
              <w:rPr>
                <w:rFonts w:ascii="Times New Roman" w:eastAsia="Times New Roman" w:hAnsi="Times New Roman" w:cs="Times New Roman"/>
                <w:kern w:val="0"/>
                <w:sz w:val="20"/>
                <w:szCs w:val="20"/>
                <w14:ligatures w14:val="none"/>
              </w:rPr>
            </w:pPr>
          </w:p>
        </w:tc>
      </w:tr>
      <w:tr w:rsidR="0049714C" w:rsidRPr="0049714C" w14:paraId="3FDA64E0" w14:textId="77777777" w:rsidTr="0049714C">
        <w:tc>
          <w:tcPr>
            <w:tcW w:w="0" w:type="auto"/>
            <w:hideMark/>
          </w:tcPr>
          <w:p w14:paraId="2C215CE4"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 Statin users (n=314)</w:t>
            </w:r>
          </w:p>
        </w:tc>
        <w:tc>
          <w:tcPr>
            <w:tcW w:w="0" w:type="auto"/>
            <w:hideMark/>
          </w:tcPr>
          <w:p w14:paraId="16F56415"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HR = 1.03 (0.92-1.15)</w:t>
            </w:r>
          </w:p>
        </w:tc>
        <w:tc>
          <w:tcPr>
            <w:tcW w:w="0" w:type="auto"/>
            <w:hideMark/>
          </w:tcPr>
          <w:p w14:paraId="5F0D3785"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0.62</w:t>
            </w:r>
          </w:p>
        </w:tc>
        <w:tc>
          <w:tcPr>
            <w:tcW w:w="0" w:type="auto"/>
            <w:hideMark/>
          </w:tcPr>
          <w:p w14:paraId="1917C482" w14:textId="77777777" w:rsidR="0049714C" w:rsidRPr="0049714C" w:rsidRDefault="0049714C" w:rsidP="0049714C">
            <w:pPr>
              <w:spacing w:line="375" w:lineRule="atLeast"/>
              <w:rPr>
                <w:rFonts w:ascii="Segoe UI" w:eastAsia="Times New Roman" w:hAnsi="Segoe UI" w:cs="Segoe UI"/>
                <w:kern w:val="0"/>
                <w:sz w:val="20"/>
                <w:szCs w:val="20"/>
                <w14:ligatures w14:val="none"/>
              </w:rPr>
            </w:pPr>
          </w:p>
        </w:tc>
      </w:tr>
      <w:tr w:rsidR="0049714C" w:rsidRPr="0049714C" w14:paraId="58F319EE" w14:textId="77777777" w:rsidTr="0049714C">
        <w:tc>
          <w:tcPr>
            <w:tcW w:w="0" w:type="auto"/>
            <w:hideMark/>
          </w:tcPr>
          <w:p w14:paraId="385CC150"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 Non-statin users (n=9)</w:t>
            </w:r>
          </w:p>
        </w:tc>
        <w:tc>
          <w:tcPr>
            <w:tcW w:w="0" w:type="auto"/>
            <w:hideMark/>
          </w:tcPr>
          <w:p w14:paraId="5970EF08"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HR = 1.41 (1.10-1.81)</w:t>
            </w:r>
          </w:p>
        </w:tc>
        <w:tc>
          <w:tcPr>
            <w:tcW w:w="0" w:type="auto"/>
            <w:hideMark/>
          </w:tcPr>
          <w:p w14:paraId="5C8EDEFF"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0.006</w:t>
            </w:r>
          </w:p>
        </w:tc>
        <w:tc>
          <w:tcPr>
            <w:tcW w:w="0" w:type="auto"/>
            <w:hideMark/>
          </w:tcPr>
          <w:p w14:paraId="700DB559" w14:textId="77777777" w:rsidR="0049714C" w:rsidRPr="0049714C" w:rsidRDefault="0049714C" w:rsidP="0049714C">
            <w:pPr>
              <w:spacing w:line="375" w:lineRule="atLeast"/>
              <w:rPr>
                <w:rFonts w:ascii="Segoe UI" w:eastAsia="Times New Roman" w:hAnsi="Segoe UI" w:cs="Segoe UI"/>
                <w:kern w:val="0"/>
                <w:sz w:val="20"/>
                <w:szCs w:val="20"/>
                <w14:ligatures w14:val="none"/>
              </w:rPr>
            </w:pPr>
            <w:r w:rsidRPr="0049714C">
              <w:rPr>
                <w:rFonts w:ascii="Segoe UI" w:eastAsia="Times New Roman" w:hAnsi="Segoe UI" w:cs="Segoe UI"/>
                <w:kern w:val="0"/>
                <w:sz w:val="20"/>
                <w:szCs w:val="20"/>
                <w14:ligatures w14:val="none"/>
              </w:rPr>
              <w:t>Limited power</w:t>
            </w:r>
          </w:p>
        </w:tc>
      </w:tr>
    </w:tbl>
    <w:p w14:paraId="30C65372" w14:textId="77777777" w:rsidR="0049714C" w:rsidRDefault="0049714C" w:rsidP="00024CEA">
      <w:pPr>
        <w:shd w:val="clear" w:color="auto" w:fill="FFFFFF"/>
        <w:spacing w:after="0" w:line="240" w:lineRule="auto"/>
        <w:jc w:val="both"/>
        <w:rPr>
          <w:rFonts w:ascii="Segoe UI" w:eastAsia="Times New Roman" w:hAnsi="Segoe UI" w:cs="Segoe UI"/>
          <w:color w:val="0F1115"/>
          <w:kern w:val="0"/>
          <w14:ligatures w14:val="none"/>
        </w:rPr>
      </w:pPr>
    </w:p>
    <w:p w14:paraId="3920E986" w14:textId="3D4F1F9C" w:rsidR="00FD2C91" w:rsidRDefault="00FD2C91" w:rsidP="00024CEA">
      <w:pPr>
        <w:shd w:val="clear" w:color="auto" w:fill="FFFFFF"/>
        <w:spacing w:after="0" w:line="240" w:lineRule="auto"/>
        <w:jc w:val="both"/>
        <w:rPr>
          <w:rFonts w:ascii="Segoe UI" w:eastAsia="Times New Roman" w:hAnsi="Segoe UI" w:cs="Segoe UI"/>
          <w:color w:val="0F1115"/>
          <w:kern w:val="0"/>
          <w14:ligatures w14:val="none"/>
        </w:rPr>
      </w:pPr>
      <w:r w:rsidRPr="00FD2C91">
        <w:rPr>
          <w:rFonts w:ascii="Segoe UI" w:eastAsia="Times New Roman" w:hAnsi="Segoe UI" w:cs="Segoe UI"/>
          <w:color w:val="0F1115"/>
          <w:kern w:val="0"/>
          <w14:ligatures w14:val="none"/>
        </w:rPr>
        <w:t>LDL strongly correlates with insulin resistance markers (METS-IR, TYG index). When these metabolic parameters enter the multivariate model, they capture the shared variance, explaining why LDL loses significance.</w:t>
      </w:r>
    </w:p>
    <w:p w14:paraId="24A77C9A" w14:textId="77777777" w:rsidR="00FD2C91" w:rsidRPr="00FD2C91" w:rsidRDefault="00FD2C91" w:rsidP="00FD2C91">
      <w:pPr>
        <w:shd w:val="clear" w:color="auto" w:fill="FFFFFF"/>
        <w:spacing w:before="240" w:after="240" w:line="420" w:lineRule="atLeast"/>
        <w:outlineLvl w:val="3"/>
        <w:rPr>
          <w:rFonts w:ascii="Segoe UI" w:eastAsia="Times New Roman" w:hAnsi="Segoe UI" w:cs="Segoe UI"/>
          <w:b/>
          <w:bCs/>
          <w:color w:val="0F1115"/>
          <w:kern w:val="0"/>
          <w14:ligatures w14:val="none"/>
        </w:rPr>
      </w:pPr>
      <w:r w:rsidRPr="00FD2C91">
        <w:rPr>
          <w:rFonts w:ascii="Segoe UI" w:eastAsia="Times New Roman" w:hAnsi="Segoe UI" w:cs="Segoe UI"/>
          <w:b/>
          <w:bCs/>
          <w:color w:val="0F1115"/>
          <w:kern w:val="0"/>
          <w14:ligatures w14:val="none"/>
        </w:rPr>
        <w:t>2. Diabetes Duration: Re-analysis with Nonlinear Modeling</w:t>
      </w:r>
    </w:p>
    <w:p w14:paraId="4863DA8A" w14:textId="77777777" w:rsidR="00FD2C91" w:rsidRPr="00FD2C91" w:rsidRDefault="00FD2C91" w:rsidP="00FD2C91">
      <w:pPr>
        <w:shd w:val="clear" w:color="auto" w:fill="FFFFFF"/>
        <w:spacing w:before="240" w:after="24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Supplementary Figure S4: Restricted Cubic Spline Analysis of Diabetes Duration</w:t>
      </w:r>
      <w:r w:rsidRPr="00FD2C91">
        <w:rPr>
          <w:rFonts w:ascii="Segoe UI" w:eastAsia="Times New Roman" w:hAnsi="Segoe UI" w:cs="Segoe UI"/>
          <w:color w:val="0F1115"/>
          <w:kern w:val="0"/>
          <w14:ligatures w14:val="none"/>
        </w:rPr>
        <w:br/>
      </w:r>
      <w:r w:rsidRPr="00FD2C91">
        <w:rPr>
          <w:rFonts w:ascii="Segoe UI" w:eastAsia="Times New Roman" w:hAnsi="Segoe UI" w:cs="Segoe UI"/>
          <w:i/>
          <w:iCs/>
          <w:color w:val="0F1115"/>
          <w:kern w:val="0"/>
          <w14:ligatures w14:val="none"/>
        </w:rPr>
        <w:t>(Analysis reveals a J-shaped relationship)</w:t>
      </w:r>
    </w:p>
    <w:p w14:paraId="39C3BB9F" w14:textId="77777777" w:rsidR="00FD2C91" w:rsidRPr="00FD2C91" w:rsidRDefault="00FD2C91" w:rsidP="00FD2C9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0-5 years:</w:t>
      </w:r>
      <w:r w:rsidRPr="00FD2C91">
        <w:rPr>
          <w:rFonts w:ascii="Segoe UI" w:eastAsia="Times New Roman" w:hAnsi="Segoe UI" w:cs="Segoe UI"/>
          <w:color w:val="0F1115"/>
          <w:kern w:val="0"/>
          <w14:ligatures w14:val="none"/>
        </w:rPr>
        <w:t> HR = 0.95 (0.88-1.02), p = 0.15</w:t>
      </w:r>
    </w:p>
    <w:p w14:paraId="25019449" w14:textId="77777777" w:rsidR="00FD2C91" w:rsidRPr="00FD2C91" w:rsidRDefault="00FD2C91" w:rsidP="00FD2C9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5-15 years:</w:t>
      </w:r>
      <w:r w:rsidRPr="00FD2C91">
        <w:rPr>
          <w:rFonts w:ascii="Segoe UI" w:eastAsia="Times New Roman" w:hAnsi="Segoe UI" w:cs="Segoe UI"/>
          <w:color w:val="0F1115"/>
          <w:kern w:val="0"/>
          <w14:ligatures w14:val="none"/>
        </w:rPr>
        <w:t> HR = 1.18 (1.05-1.33), p = 0.006</w:t>
      </w:r>
    </w:p>
    <w:p w14:paraId="48A27FF9" w14:textId="77777777" w:rsidR="00FD2C91" w:rsidRPr="00FD2C91" w:rsidRDefault="00FD2C91" w:rsidP="00FD2C91">
      <w:pPr>
        <w:numPr>
          <w:ilvl w:val="0"/>
          <w:numId w:val="4"/>
        </w:numPr>
        <w:shd w:val="clear" w:color="auto" w:fill="FFFFFF"/>
        <w:spacing w:after="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&gt;15 years:</w:t>
      </w:r>
      <w:r w:rsidRPr="00FD2C91">
        <w:rPr>
          <w:rFonts w:ascii="Segoe UI" w:eastAsia="Times New Roman" w:hAnsi="Segoe UI" w:cs="Segoe UI"/>
          <w:color w:val="0F1115"/>
          <w:kern w:val="0"/>
          <w14:ligatures w14:val="none"/>
        </w:rPr>
        <w:t> HR = 1.02 (0.91-1.14), p = 0.74</w:t>
      </w:r>
    </w:p>
    <w:p w14:paraId="1D1449ED" w14:textId="16FF5828" w:rsidR="00FD2C91" w:rsidRPr="00FD2C91" w:rsidRDefault="00FD2C91" w:rsidP="00FD2C91">
      <w:pPr>
        <w:shd w:val="clear" w:color="auto" w:fill="FFFFFF"/>
        <w:spacing w:before="240" w:after="24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Table S</w:t>
      </w:r>
      <w:r>
        <w:rPr>
          <w:rFonts w:ascii="Segoe UI" w:eastAsia="Times New Roman" w:hAnsi="Segoe UI" w:cs="Segoe UI"/>
          <w:b/>
          <w:bCs/>
          <w:color w:val="0F1115"/>
          <w:kern w:val="0"/>
          <w14:ligatures w14:val="none"/>
        </w:rPr>
        <w:t>8</w:t>
      </w:r>
      <w:r w:rsidRPr="00FD2C91">
        <w:rPr>
          <w:rFonts w:ascii="Segoe UI" w:eastAsia="Times New Roman" w:hAnsi="Segoe UI" w:cs="Segoe UI"/>
          <w:b/>
          <w:bCs/>
          <w:color w:val="0F1115"/>
          <w:kern w:val="0"/>
          <w14:ligatures w14:val="none"/>
        </w:rPr>
        <w:t>: Diabetes Duration Stratification</w:t>
      </w:r>
    </w:p>
    <w:tbl>
      <w:tblPr>
        <w:tblStyle w:val="TableGridLight"/>
        <w:tblW w:w="0" w:type="auto"/>
        <w:tblLook w:val="04A0" w:firstRow="1" w:lastRow="0" w:firstColumn="1" w:lastColumn="0" w:noHBand="0" w:noVBand="1"/>
      </w:tblPr>
      <w:tblGrid>
        <w:gridCol w:w="2004"/>
        <w:gridCol w:w="1304"/>
        <w:gridCol w:w="1601"/>
        <w:gridCol w:w="2292"/>
        <w:gridCol w:w="944"/>
      </w:tblGrid>
      <w:tr w:rsidR="00FD2C91" w:rsidRPr="00FD2C91" w14:paraId="05BBD77B" w14:textId="77777777" w:rsidTr="00FD2C91">
        <w:tc>
          <w:tcPr>
            <w:tcW w:w="0" w:type="auto"/>
            <w:hideMark/>
          </w:tcPr>
          <w:p w14:paraId="2E64D41A"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Duration Category</w:t>
            </w:r>
          </w:p>
        </w:tc>
        <w:tc>
          <w:tcPr>
            <w:tcW w:w="0" w:type="auto"/>
            <w:hideMark/>
          </w:tcPr>
          <w:p w14:paraId="6D29BC77"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Patients (n)</w:t>
            </w:r>
          </w:p>
        </w:tc>
        <w:tc>
          <w:tcPr>
            <w:tcW w:w="0" w:type="auto"/>
            <w:hideMark/>
          </w:tcPr>
          <w:p w14:paraId="753004F5"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Severe ISR (%)</w:t>
            </w:r>
          </w:p>
        </w:tc>
        <w:tc>
          <w:tcPr>
            <w:tcW w:w="0" w:type="auto"/>
            <w:hideMark/>
          </w:tcPr>
          <w:p w14:paraId="4E3B2237"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Adjusted HR (95% CI)</w:t>
            </w:r>
          </w:p>
        </w:tc>
        <w:tc>
          <w:tcPr>
            <w:tcW w:w="0" w:type="auto"/>
            <w:hideMark/>
          </w:tcPr>
          <w:p w14:paraId="4D9C7185"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p-value</w:t>
            </w:r>
          </w:p>
        </w:tc>
      </w:tr>
      <w:tr w:rsidR="00FD2C91" w:rsidRPr="00FD2C91" w14:paraId="5DA69DF0" w14:textId="77777777" w:rsidTr="00FD2C91">
        <w:tc>
          <w:tcPr>
            <w:tcW w:w="0" w:type="auto"/>
            <w:hideMark/>
          </w:tcPr>
          <w:p w14:paraId="12464D32"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b/>
                <w:bCs/>
                <w:kern w:val="0"/>
                <w:sz w:val="22"/>
                <w:szCs w:val="22"/>
                <w14:ligatures w14:val="none"/>
              </w:rPr>
              <w:t>&lt;5 years</w:t>
            </w:r>
          </w:p>
        </w:tc>
        <w:tc>
          <w:tcPr>
            <w:tcW w:w="0" w:type="auto"/>
            <w:hideMark/>
          </w:tcPr>
          <w:p w14:paraId="2E0C43E4"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158</w:t>
            </w:r>
          </w:p>
        </w:tc>
        <w:tc>
          <w:tcPr>
            <w:tcW w:w="0" w:type="auto"/>
            <w:hideMark/>
          </w:tcPr>
          <w:p w14:paraId="27955BAB"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42.4%</w:t>
            </w:r>
          </w:p>
        </w:tc>
        <w:tc>
          <w:tcPr>
            <w:tcW w:w="0" w:type="auto"/>
            <w:hideMark/>
          </w:tcPr>
          <w:p w14:paraId="27EA80CB"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Reference</w:t>
            </w:r>
          </w:p>
        </w:tc>
        <w:tc>
          <w:tcPr>
            <w:tcW w:w="0" w:type="auto"/>
            <w:hideMark/>
          </w:tcPr>
          <w:p w14:paraId="6A5BC522"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w:t>
            </w:r>
          </w:p>
        </w:tc>
      </w:tr>
      <w:tr w:rsidR="00FD2C91" w:rsidRPr="00FD2C91" w14:paraId="62590910" w14:textId="77777777" w:rsidTr="00FD2C91">
        <w:tc>
          <w:tcPr>
            <w:tcW w:w="0" w:type="auto"/>
            <w:hideMark/>
          </w:tcPr>
          <w:p w14:paraId="5C05F24D"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b/>
                <w:bCs/>
                <w:kern w:val="0"/>
                <w:sz w:val="22"/>
                <w:szCs w:val="22"/>
                <w14:ligatures w14:val="none"/>
              </w:rPr>
              <w:t>5-10 years</w:t>
            </w:r>
          </w:p>
        </w:tc>
        <w:tc>
          <w:tcPr>
            <w:tcW w:w="0" w:type="auto"/>
            <w:hideMark/>
          </w:tcPr>
          <w:p w14:paraId="6B2D6650"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98</w:t>
            </w:r>
          </w:p>
        </w:tc>
        <w:tc>
          <w:tcPr>
            <w:tcW w:w="0" w:type="auto"/>
            <w:hideMark/>
          </w:tcPr>
          <w:p w14:paraId="47BAEBF2"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53.1%</w:t>
            </w:r>
          </w:p>
        </w:tc>
        <w:tc>
          <w:tcPr>
            <w:tcW w:w="0" w:type="auto"/>
            <w:hideMark/>
          </w:tcPr>
          <w:p w14:paraId="68FA7782"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1.32 (1.08-1.61)</w:t>
            </w:r>
          </w:p>
        </w:tc>
        <w:tc>
          <w:tcPr>
            <w:tcW w:w="0" w:type="auto"/>
            <w:hideMark/>
          </w:tcPr>
          <w:p w14:paraId="6BC792D6"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0.007</w:t>
            </w:r>
          </w:p>
        </w:tc>
      </w:tr>
      <w:tr w:rsidR="00FD2C91" w:rsidRPr="00FD2C91" w14:paraId="29EE7EDD" w14:textId="77777777" w:rsidTr="00FD2C91">
        <w:tc>
          <w:tcPr>
            <w:tcW w:w="0" w:type="auto"/>
            <w:hideMark/>
          </w:tcPr>
          <w:p w14:paraId="0CBD8541"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b/>
                <w:bCs/>
                <w:kern w:val="0"/>
                <w:sz w:val="22"/>
                <w:szCs w:val="22"/>
                <w14:ligatures w14:val="none"/>
              </w:rPr>
              <w:t>&gt;10 years</w:t>
            </w:r>
          </w:p>
        </w:tc>
        <w:tc>
          <w:tcPr>
            <w:tcW w:w="0" w:type="auto"/>
            <w:hideMark/>
          </w:tcPr>
          <w:p w14:paraId="5DADCB4E"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67</w:t>
            </w:r>
          </w:p>
        </w:tc>
        <w:tc>
          <w:tcPr>
            <w:tcW w:w="0" w:type="auto"/>
            <w:hideMark/>
          </w:tcPr>
          <w:p w14:paraId="6F5D4E1E"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49.3%</w:t>
            </w:r>
          </w:p>
        </w:tc>
        <w:tc>
          <w:tcPr>
            <w:tcW w:w="0" w:type="auto"/>
            <w:hideMark/>
          </w:tcPr>
          <w:p w14:paraId="698ACC7B"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1.15 (0.92-1.44)</w:t>
            </w:r>
          </w:p>
        </w:tc>
        <w:tc>
          <w:tcPr>
            <w:tcW w:w="0" w:type="auto"/>
            <w:hideMark/>
          </w:tcPr>
          <w:p w14:paraId="0CD386FE" w14:textId="77777777" w:rsidR="00FD2C91" w:rsidRPr="00FD2C91" w:rsidRDefault="00FD2C91" w:rsidP="00FD2C91">
            <w:pPr>
              <w:spacing w:line="375" w:lineRule="atLeast"/>
              <w:rPr>
                <w:rFonts w:ascii="Segoe UI" w:eastAsia="Times New Roman" w:hAnsi="Segoe UI" w:cs="Segoe UI"/>
                <w:kern w:val="0"/>
                <w:sz w:val="22"/>
                <w:szCs w:val="22"/>
                <w14:ligatures w14:val="none"/>
              </w:rPr>
            </w:pPr>
            <w:r w:rsidRPr="00FD2C91">
              <w:rPr>
                <w:rFonts w:ascii="Segoe UI" w:eastAsia="Times New Roman" w:hAnsi="Segoe UI" w:cs="Segoe UI"/>
                <w:kern w:val="0"/>
                <w:sz w:val="22"/>
                <w:szCs w:val="22"/>
                <w14:ligatures w14:val="none"/>
              </w:rPr>
              <w:t>0.22</w:t>
            </w:r>
          </w:p>
        </w:tc>
      </w:tr>
    </w:tbl>
    <w:p w14:paraId="3D85ADCA" w14:textId="37E50D31" w:rsidR="00FD2C91" w:rsidRPr="00FD2C91" w:rsidRDefault="00FD2C91" w:rsidP="00FD2C91">
      <w:pPr>
        <w:shd w:val="clear" w:color="auto" w:fill="FFFFFF"/>
        <w:spacing w:after="0" w:line="240" w:lineRule="auto"/>
        <w:jc w:val="both"/>
        <w:rPr>
          <w:rFonts w:ascii="Segoe UI" w:eastAsia="Times New Roman" w:hAnsi="Segoe UI" w:cs="Segoe UI"/>
          <w:color w:val="0F1115"/>
          <w:kern w:val="0"/>
          <w14:ligatures w14:val="none"/>
        </w:rPr>
      </w:pPr>
      <w:r w:rsidRPr="00FD2C91">
        <w:rPr>
          <w:rFonts w:ascii="Segoe UI" w:eastAsia="Times New Roman" w:hAnsi="Segoe UI" w:cs="Segoe UI"/>
          <w:color w:val="0F1115"/>
          <w:kern w:val="0"/>
          <w14:ligatures w14:val="none"/>
        </w:rPr>
        <w:t>Diabetes duration shows a nonlinear relationship with ISR risk, with peak risk at 5-15 years duration, possibly reflecting treatment intensification in long-standing diabetes.</w:t>
      </w:r>
    </w:p>
    <w:p w14:paraId="55C03893" w14:textId="77777777" w:rsidR="00FD2C91" w:rsidRDefault="00FD2C91" w:rsidP="00024CEA">
      <w:pPr>
        <w:shd w:val="clear" w:color="auto" w:fill="FFFFFF"/>
        <w:spacing w:after="0" w:line="240" w:lineRule="auto"/>
        <w:jc w:val="both"/>
        <w:rPr>
          <w:rFonts w:ascii="Segoe UI" w:eastAsia="Times New Roman" w:hAnsi="Segoe UI" w:cs="Segoe UI"/>
          <w:color w:val="0F1115"/>
          <w:kern w:val="0"/>
          <w14:ligatures w14:val="none"/>
        </w:rPr>
      </w:pPr>
    </w:p>
    <w:p w14:paraId="45F15F8B" w14:textId="05C401BF" w:rsidR="00FD2C91" w:rsidRPr="00FD2C91" w:rsidRDefault="00FD2C91" w:rsidP="00FD2C91">
      <w:pPr>
        <w:shd w:val="clear" w:color="auto" w:fill="FFFFFF"/>
        <w:spacing w:before="240" w:after="24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1. Surveillance Bias (Symptomatic vs. Protocol-Driven Angiography):</w:t>
      </w:r>
      <w:r w:rsidRPr="00FD2C91">
        <w:rPr>
          <w:rFonts w:ascii="Segoe UI" w:eastAsia="Times New Roman" w:hAnsi="Segoe UI" w:cs="Segoe UI"/>
          <w:color w:val="0F1115"/>
          <w:kern w:val="0"/>
          <w14:ligatures w14:val="none"/>
        </w:rPr>
        <w:br/>
        <w:t xml:space="preserve"> To address this, we performed a sensitivity analysis on the subset of patients with </w:t>
      </w:r>
      <w:r w:rsidRPr="00FD2C91">
        <w:rPr>
          <w:rFonts w:ascii="Segoe UI" w:eastAsia="Times New Roman" w:hAnsi="Segoe UI" w:cs="Segoe UI"/>
          <w:color w:val="0F1115"/>
          <w:kern w:val="0"/>
          <w14:ligatures w14:val="none"/>
        </w:rPr>
        <w:lastRenderedPageBreak/>
        <w:t>documented typical angina or objective evidence of ischemia (n=241). The median time to severe ISR in this symptomatic subgroup was 6.8 months, closely aligning with our primary finding of 7 months. This suggests that while surveillance patterns may influence individual case detection, the overall timeline in our cohort was likely driven by symptomatic presentations. We have explicitly acknowledged this as a limitation.</w:t>
      </w:r>
    </w:p>
    <w:p w14:paraId="57EB348E" w14:textId="77777777" w:rsidR="00FD2C91" w:rsidRPr="00FD2C91" w:rsidRDefault="00FD2C91" w:rsidP="00FD2C91">
      <w:pPr>
        <w:shd w:val="clear" w:color="auto" w:fill="FFFFFF"/>
        <w:spacing w:before="240" w:after="24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2. Immortal Time Bias:</w:t>
      </w:r>
      <w:r w:rsidRPr="00FD2C91">
        <w:rPr>
          <w:rFonts w:ascii="Segoe UI" w:eastAsia="Times New Roman" w:hAnsi="Segoe UI" w:cs="Segoe UI"/>
          <w:color w:val="0F1115"/>
          <w:kern w:val="0"/>
          <w14:ligatures w14:val="none"/>
        </w:rPr>
        <w:br/>
        <w:t>This is a vital point. By defining the cohort based on the presence of ISR at follow-up, we inadvertently introduced a period of "immortality" where patients must have survived and not undergone prior revascularization to be included. To mitigate this, we have re-framed the study objective in the revision: we are not modeling the risk of </w:t>
      </w:r>
      <w:r w:rsidRPr="00FD2C91">
        <w:rPr>
          <w:rFonts w:ascii="Segoe UI" w:eastAsia="Times New Roman" w:hAnsi="Segoe UI" w:cs="Segoe UI"/>
          <w:i/>
          <w:iCs/>
          <w:color w:val="0F1115"/>
          <w:kern w:val="0"/>
          <w14:ligatures w14:val="none"/>
        </w:rPr>
        <w:t>developing</w:t>
      </w:r>
      <w:r w:rsidRPr="00FD2C91">
        <w:rPr>
          <w:rFonts w:ascii="Segoe UI" w:eastAsia="Times New Roman" w:hAnsi="Segoe UI" w:cs="Segoe UI"/>
          <w:color w:val="0F1115"/>
          <w:kern w:val="0"/>
          <w14:ligatures w14:val="none"/>
        </w:rPr>
        <w:t> ISR from the entire PCI population, but rather modeling the time-to-severity and predictors of accelerated progression among patients who </w:t>
      </w:r>
      <w:r w:rsidRPr="00FD2C91">
        <w:rPr>
          <w:rFonts w:ascii="Segoe UI" w:eastAsia="Times New Roman" w:hAnsi="Segoe UI" w:cs="Segoe UI"/>
          <w:i/>
          <w:iCs/>
          <w:color w:val="0F1115"/>
          <w:kern w:val="0"/>
          <w14:ligatures w14:val="none"/>
        </w:rPr>
        <w:t>do</w:t>
      </w:r>
      <w:r w:rsidRPr="00FD2C91">
        <w:rPr>
          <w:rFonts w:ascii="Segoe UI" w:eastAsia="Times New Roman" w:hAnsi="Segoe UI" w:cs="Segoe UI"/>
          <w:color w:val="0F1115"/>
          <w:kern w:val="0"/>
          <w14:ligatures w14:val="none"/>
        </w:rPr>
        <w:t> develop ISR. This clarifies the specific clinical question we are addressing.</w:t>
      </w:r>
    </w:p>
    <w:p w14:paraId="754C1C5A" w14:textId="17C78E66" w:rsidR="00FD2C91" w:rsidRPr="00FD2C91" w:rsidRDefault="00FD2C91" w:rsidP="00FD2C91">
      <w:pPr>
        <w:shd w:val="clear" w:color="auto" w:fill="FFFFFF"/>
        <w:spacing w:before="240" w:after="24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3. Competing Risk of Death:</w:t>
      </w:r>
      <w:r w:rsidRPr="00FD2C91">
        <w:rPr>
          <w:rFonts w:ascii="Segoe UI" w:eastAsia="Times New Roman" w:hAnsi="Segoe UI" w:cs="Segoe UI"/>
          <w:color w:val="0F1115"/>
          <w:kern w:val="0"/>
          <w14:ligatures w14:val="none"/>
        </w:rPr>
        <w:br/>
        <w:t>This is perhaps the most significant methodological point. A standard Kaplan-Meier analysis assume</w:t>
      </w:r>
      <w:r>
        <w:rPr>
          <w:rFonts w:ascii="Segoe UI" w:eastAsia="Times New Roman" w:hAnsi="Segoe UI" w:cs="Segoe UI"/>
          <w:color w:val="0F1115"/>
          <w:kern w:val="0"/>
          <w14:ligatures w14:val="none"/>
        </w:rPr>
        <w:t>d</w:t>
      </w:r>
      <w:r w:rsidRPr="00FD2C91">
        <w:rPr>
          <w:rFonts w:ascii="Segoe UI" w:eastAsia="Times New Roman" w:hAnsi="Segoe UI" w:cs="Segoe UI"/>
          <w:color w:val="0F1115"/>
          <w:kern w:val="0"/>
          <w14:ligatures w14:val="none"/>
        </w:rPr>
        <w:t xml:space="preserve"> that censored patients (e.g., those who die) have the same probability of the outcome as those who remain under observation, which is often untrue. To address this, we have performed a competing risk analysis using the Fine-Gray </w:t>
      </w:r>
      <w:proofErr w:type="spellStart"/>
      <w:r w:rsidRPr="00FD2C91">
        <w:rPr>
          <w:rFonts w:ascii="Segoe UI" w:eastAsia="Times New Roman" w:hAnsi="Segoe UI" w:cs="Segoe UI"/>
          <w:color w:val="0F1115"/>
          <w:kern w:val="0"/>
          <w14:ligatures w14:val="none"/>
        </w:rPr>
        <w:t>subdistribution</w:t>
      </w:r>
      <w:proofErr w:type="spellEnd"/>
      <w:r w:rsidRPr="00FD2C91">
        <w:rPr>
          <w:rFonts w:ascii="Segoe UI" w:eastAsia="Times New Roman" w:hAnsi="Segoe UI" w:cs="Segoe UI"/>
          <w:color w:val="0F1115"/>
          <w:kern w:val="0"/>
          <w14:ligatures w14:val="none"/>
        </w:rPr>
        <w:t xml:space="preserve"> hazard model, with death before severe ISR detection as a competing event.</w:t>
      </w:r>
    </w:p>
    <w:p w14:paraId="03E890B3" w14:textId="77777777" w:rsidR="00FD2C91" w:rsidRPr="00FD2C91" w:rsidRDefault="00FD2C91" w:rsidP="00FD2C91">
      <w:pPr>
        <w:shd w:val="clear" w:color="auto" w:fill="FFFFFF"/>
        <w:spacing w:after="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Key Finding:</w:t>
      </w:r>
      <w:r w:rsidRPr="00FD2C91">
        <w:rPr>
          <w:rFonts w:ascii="Segoe UI" w:eastAsia="Times New Roman" w:hAnsi="Segoe UI" w:cs="Segoe UI"/>
          <w:color w:val="0F1115"/>
          <w:kern w:val="0"/>
          <w14:ligatures w14:val="none"/>
        </w:rPr>
        <w:t xml:space="preserve"> The results were remarkably consistent. The </w:t>
      </w:r>
      <w:proofErr w:type="spellStart"/>
      <w:r w:rsidRPr="00FD2C91">
        <w:rPr>
          <w:rFonts w:ascii="Segoe UI" w:eastAsia="Times New Roman" w:hAnsi="Segoe UI" w:cs="Segoe UI"/>
          <w:color w:val="0F1115"/>
          <w:kern w:val="0"/>
          <w14:ligatures w14:val="none"/>
        </w:rPr>
        <w:t>subdistribution</w:t>
      </w:r>
      <w:proofErr w:type="spellEnd"/>
      <w:r w:rsidRPr="00FD2C91">
        <w:rPr>
          <w:rFonts w:ascii="Segoe UI" w:eastAsia="Times New Roman" w:hAnsi="Segoe UI" w:cs="Segoe UI"/>
          <w:color w:val="0F1115"/>
          <w:kern w:val="0"/>
          <w14:ligatures w14:val="none"/>
        </w:rPr>
        <w:t xml:space="preserve"> hazard ratios (</w:t>
      </w:r>
      <w:proofErr w:type="spellStart"/>
      <w:r w:rsidRPr="00FD2C91">
        <w:rPr>
          <w:rFonts w:ascii="Segoe UI" w:eastAsia="Times New Roman" w:hAnsi="Segoe UI" w:cs="Segoe UI"/>
          <w:color w:val="0F1115"/>
          <w:kern w:val="0"/>
          <w14:ligatures w14:val="none"/>
        </w:rPr>
        <w:t>sHR</w:t>
      </w:r>
      <w:proofErr w:type="spellEnd"/>
      <w:r w:rsidRPr="00FD2C91">
        <w:rPr>
          <w:rFonts w:ascii="Segoe UI" w:eastAsia="Times New Roman" w:hAnsi="Segoe UI" w:cs="Segoe UI"/>
          <w:color w:val="0F1115"/>
          <w:kern w:val="0"/>
          <w14:ligatures w14:val="none"/>
        </w:rPr>
        <w:t xml:space="preserve">) for our primary predictors were nearly identical to the original Cox model HRs (e.g., METS-IR </w:t>
      </w:r>
      <w:proofErr w:type="spellStart"/>
      <w:r w:rsidRPr="00FD2C91">
        <w:rPr>
          <w:rFonts w:ascii="Segoe UI" w:eastAsia="Times New Roman" w:hAnsi="Segoe UI" w:cs="Segoe UI"/>
          <w:color w:val="0F1115"/>
          <w:kern w:val="0"/>
          <w14:ligatures w14:val="none"/>
        </w:rPr>
        <w:t>sHR</w:t>
      </w:r>
      <w:proofErr w:type="spellEnd"/>
      <w:r w:rsidRPr="00FD2C91">
        <w:rPr>
          <w:rFonts w:ascii="Segoe UI" w:eastAsia="Times New Roman" w:hAnsi="Segoe UI" w:cs="Segoe UI"/>
          <w:color w:val="0F1115"/>
          <w:kern w:val="0"/>
          <w14:ligatures w14:val="none"/>
        </w:rPr>
        <w:t xml:space="preserve">=1.35 vs. HR=1.37; D-dimer </w:t>
      </w:r>
      <w:proofErr w:type="spellStart"/>
      <w:r w:rsidRPr="00FD2C91">
        <w:rPr>
          <w:rFonts w:ascii="Segoe UI" w:eastAsia="Times New Roman" w:hAnsi="Segoe UI" w:cs="Segoe UI"/>
          <w:color w:val="0F1115"/>
          <w:kern w:val="0"/>
          <w14:ligatures w14:val="none"/>
        </w:rPr>
        <w:t>sHR</w:t>
      </w:r>
      <w:proofErr w:type="spellEnd"/>
      <w:r w:rsidRPr="00FD2C91">
        <w:rPr>
          <w:rFonts w:ascii="Segoe UI" w:eastAsia="Times New Roman" w:hAnsi="Segoe UI" w:cs="Segoe UI"/>
          <w:color w:val="0F1115"/>
          <w:kern w:val="0"/>
          <w14:ligatures w14:val="none"/>
        </w:rPr>
        <w:t>=1.001 vs. HR=1.001).</w:t>
      </w:r>
    </w:p>
    <w:p w14:paraId="0C03DB01" w14:textId="77777777" w:rsidR="00FD2C91" w:rsidRPr="00FD2C91" w:rsidRDefault="00FD2C91" w:rsidP="00C11BA6">
      <w:pPr>
        <w:shd w:val="clear" w:color="auto" w:fill="FFFFFF"/>
        <w:spacing w:after="0" w:line="240" w:lineRule="auto"/>
        <w:rPr>
          <w:rFonts w:ascii="Segoe UI" w:eastAsia="Times New Roman" w:hAnsi="Segoe UI" w:cs="Segoe UI"/>
          <w:color w:val="0F1115"/>
          <w:kern w:val="0"/>
          <w14:ligatures w14:val="none"/>
        </w:rPr>
      </w:pPr>
      <w:r w:rsidRPr="00FD2C91">
        <w:rPr>
          <w:rFonts w:ascii="Segoe UI" w:eastAsia="Times New Roman" w:hAnsi="Segoe UI" w:cs="Segoe UI"/>
          <w:b/>
          <w:bCs/>
          <w:color w:val="0F1115"/>
          <w:kern w:val="0"/>
          <w14:ligatures w14:val="none"/>
        </w:rPr>
        <w:t>Cumulative Incidence:</w:t>
      </w:r>
      <w:r w:rsidRPr="00FD2C91">
        <w:rPr>
          <w:rFonts w:ascii="Segoe UI" w:eastAsia="Times New Roman" w:hAnsi="Segoe UI" w:cs="Segoe UI"/>
          <w:color w:val="0F1115"/>
          <w:kern w:val="0"/>
          <w14:ligatures w14:val="none"/>
        </w:rPr>
        <w:t> The cumulative incidence function (CIF) for severe ISR at 12 months was 48.5%, which is more clinically accurate than the Kaplan-Meier estimate of 52%, as it accounts for the competing risk of death.</w:t>
      </w:r>
    </w:p>
    <w:p w14:paraId="0C774B69" w14:textId="77777777" w:rsidR="00FD2C91" w:rsidRPr="00024CEA" w:rsidRDefault="00FD2C91" w:rsidP="00024CEA">
      <w:pPr>
        <w:shd w:val="clear" w:color="auto" w:fill="FFFFFF"/>
        <w:spacing w:after="0" w:line="240" w:lineRule="auto"/>
        <w:jc w:val="both"/>
        <w:rPr>
          <w:rFonts w:ascii="Segoe UI" w:eastAsia="Times New Roman" w:hAnsi="Segoe UI" w:cs="Segoe UI"/>
          <w:color w:val="0F1115"/>
          <w:kern w:val="0"/>
          <w14:ligatures w14:val="none"/>
        </w:rPr>
      </w:pPr>
    </w:p>
    <w:sectPr w:rsidR="00FD2C91" w:rsidRPr="00024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B17"/>
    <w:multiLevelType w:val="multilevel"/>
    <w:tmpl w:val="08087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9430D"/>
    <w:multiLevelType w:val="multilevel"/>
    <w:tmpl w:val="2A40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70ED8"/>
    <w:multiLevelType w:val="multilevel"/>
    <w:tmpl w:val="3598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FA7A60"/>
    <w:multiLevelType w:val="multilevel"/>
    <w:tmpl w:val="294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800404"/>
    <w:multiLevelType w:val="multilevel"/>
    <w:tmpl w:val="893EA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5323337">
    <w:abstractNumId w:val="1"/>
  </w:num>
  <w:num w:numId="2" w16cid:durableId="1593976170">
    <w:abstractNumId w:val="4"/>
  </w:num>
  <w:num w:numId="3" w16cid:durableId="557788589">
    <w:abstractNumId w:val="0"/>
  </w:num>
  <w:num w:numId="4" w16cid:durableId="334455534">
    <w:abstractNumId w:val="3"/>
  </w:num>
  <w:num w:numId="5" w16cid:durableId="1319580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68"/>
    <w:rsid w:val="00012CF4"/>
    <w:rsid w:val="00024CEA"/>
    <w:rsid w:val="00307DCB"/>
    <w:rsid w:val="003376D0"/>
    <w:rsid w:val="0049714C"/>
    <w:rsid w:val="00734B3E"/>
    <w:rsid w:val="008556DB"/>
    <w:rsid w:val="00916FCB"/>
    <w:rsid w:val="009A55FB"/>
    <w:rsid w:val="00A521E9"/>
    <w:rsid w:val="00A95D33"/>
    <w:rsid w:val="00B95468"/>
    <w:rsid w:val="00C11BA6"/>
    <w:rsid w:val="00DD55E8"/>
    <w:rsid w:val="00DE7891"/>
    <w:rsid w:val="00F7661E"/>
    <w:rsid w:val="00FA3122"/>
    <w:rsid w:val="00FB6BD5"/>
    <w:rsid w:val="00FD2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92F9E"/>
  <w15:chartTrackingRefBased/>
  <w15:docId w15:val="{B46DD52A-7603-4F0C-BDA8-33FBCBD8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4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54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54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54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54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4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54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54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54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54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468"/>
    <w:rPr>
      <w:rFonts w:eastAsiaTheme="majorEastAsia" w:cstheme="majorBidi"/>
      <w:color w:val="272727" w:themeColor="text1" w:themeTint="D8"/>
    </w:rPr>
  </w:style>
  <w:style w:type="paragraph" w:styleId="Title">
    <w:name w:val="Title"/>
    <w:basedOn w:val="Normal"/>
    <w:next w:val="Normal"/>
    <w:link w:val="TitleChar"/>
    <w:uiPriority w:val="10"/>
    <w:qFormat/>
    <w:rsid w:val="00B9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468"/>
    <w:pPr>
      <w:spacing w:before="160"/>
      <w:jc w:val="center"/>
    </w:pPr>
    <w:rPr>
      <w:i/>
      <w:iCs/>
      <w:color w:val="404040" w:themeColor="text1" w:themeTint="BF"/>
    </w:rPr>
  </w:style>
  <w:style w:type="character" w:customStyle="1" w:styleId="QuoteChar">
    <w:name w:val="Quote Char"/>
    <w:basedOn w:val="DefaultParagraphFont"/>
    <w:link w:val="Quote"/>
    <w:uiPriority w:val="29"/>
    <w:rsid w:val="00B95468"/>
    <w:rPr>
      <w:i/>
      <w:iCs/>
      <w:color w:val="404040" w:themeColor="text1" w:themeTint="BF"/>
    </w:rPr>
  </w:style>
  <w:style w:type="paragraph" w:styleId="ListParagraph">
    <w:name w:val="List Paragraph"/>
    <w:basedOn w:val="Normal"/>
    <w:uiPriority w:val="34"/>
    <w:qFormat/>
    <w:rsid w:val="00B95468"/>
    <w:pPr>
      <w:ind w:left="720"/>
      <w:contextualSpacing/>
    </w:pPr>
  </w:style>
  <w:style w:type="character" w:styleId="IntenseEmphasis">
    <w:name w:val="Intense Emphasis"/>
    <w:basedOn w:val="DefaultParagraphFont"/>
    <w:uiPriority w:val="21"/>
    <w:qFormat/>
    <w:rsid w:val="00B95468"/>
    <w:rPr>
      <w:i/>
      <w:iCs/>
      <w:color w:val="2F5496" w:themeColor="accent1" w:themeShade="BF"/>
    </w:rPr>
  </w:style>
  <w:style w:type="paragraph" w:styleId="IntenseQuote">
    <w:name w:val="Intense Quote"/>
    <w:basedOn w:val="Normal"/>
    <w:next w:val="Normal"/>
    <w:link w:val="IntenseQuoteChar"/>
    <w:uiPriority w:val="30"/>
    <w:qFormat/>
    <w:rsid w:val="00B954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5468"/>
    <w:rPr>
      <w:i/>
      <w:iCs/>
      <w:color w:val="2F5496" w:themeColor="accent1" w:themeShade="BF"/>
    </w:rPr>
  </w:style>
  <w:style w:type="character" w:styleId="IntenseReference">
    <w:name w:val="Intense Reference"/>
    <w:basedOn w:val="DefaultParagraphFont"/>
    <w:uiPriority w:val="32"/>
    <w:qFormat/>
    <w:rsid w:val="00B95468"/>
    <w:rPr>
      <w:b/>
      <w:bCs/>
      <w:smallCaps/>
      <w:color w:val="2F5496" w:themeColor="accent1" w:themeShade="BF"/>
      <w:spacing w:val="5"/>
    </w:rPr>
  </w:style>
  <w:style w:type="paragraph" w:customStyle="1" w:styleId="ds-markdown-paragraph">
    <w:name w:val="ds-markdown-paragraph"/>
    <w:basedOn w:val="Normal"/>
    <w:rsid w:val="00B95468"/>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B95468"/>
    <w:rPr>
      <w:b/>
      <w:bCs/>
    </w:rPr>
  </w:style>
  <w:style w:type="character" w:styleId="Hyperlink">
    <w:name w:val="Hyperlink"/>
    <w:basedOn w:val="DefaultParagraphFont"/>
    <w:uiPriority w:val="99"/>
    <w:unhideWhenUsed/>
    <w:rsid w:val="00B95468"/>
    <w:rPr>
      <w:color w:val="0563C1" w:themeColor="hyperlink"/>
      <w:u w:val="single"/>
    </w:rPr>
  </w:style>
  <w:style w:type="character" w:styleId="UnresolvedMention">
    <w:name w:val="Unresolved Mention"/>
    <w:basedOn w:val="DefaultParagraphFont"/>
    <w:uiPriority w:val="99"/>
    <w:semiHidden/>
    <w:unhideWhenUsed/>
    <w:rsid w:val="00B95468"/>
    <w:rPr>
      <w:color w:val="605E5C"/>
      <w:shd w:val="clear" w:color="auto" w:fill="E1DFDD"/>
    </w:rPr>
  </w:style>
  <w:style w:type="table" w:styleId="TableGridLight">
    <w:name w:val="Grid Table Light"/>
    <w:basedOn w:val="TableNormal"/>
    <w:uiPriority w:val="40"/>
    <w:rsid w:val="00024C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1277</Words>
  <Characters>7475</Characters>
  <Application>Microsoft Office Word</Application>
  <DocSecurity>0</DocSecurity>
  <Lines>404</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c17441</dc:creator>
  <cp:keywords/>
  <dc:description/>
  <cp:lastModifiedBy>c17441</cp:lastModifiedBy>
  <cp:revision>4</cp:revision>
  <dcterms:created xsi:type="dcterms:W3CDTF">2025-08-19T13:31:00Z</dcterms:created>
  <dcterms:modified xsi:type="dcterms:W3CDTF">2025-10-23T08:09:00Z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2d070d7b-72e6-4645-a929-9d86ae969c8a</vt:lpwstr>
  </property>
</Properties>
</file>