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E5DF" w14:textId="0F82194E" w:rsidR="00E87DC9" w:rsidRPr="00A84CE0" w:rsidRDefault="00E87DC9" w:rsidP="00E87DC9">
      <w:pPr>
        <w:rPr>
          <w:rFonts w:ascii="Times New Roman" w:hAnsi="Times New Roman" w:cs="Times New Roman"/>
          <w:sz w:val="24"/>
          <w:szCs w:val="24"/>
        </w:rPr>
      </w:pPr>
      <w:bookmarkStart w:id="0" w:name="_Hlk179800980"/>
      <w:bookmarkStart w:id="1" w:name="OLE_LINK1"/>
      <w:r w:rsidRPr="00A84CE0">
        <w:rPr>
          <w:rFonts w:ascii="Times New Roman" w:hAnsi="Times New Roman" w:cs="Times New Roman"/>
          <w:sz w:val="24"/>
          <w:szCs w:val="24"/>
        </w:rPr>
        <w:t>Table S1 Methods for evaluating each CKM stage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2369"/>
        <w:gridCol w:w="1201"/>
        <w:gridCol w:w="2773"/>
      </w:tblGrid>
      <w:tr w:rsidR="00E87DC9" w:rsidRPr="00A84CE0" w14:paraId="3E584BE7" w14:textId="77777777" w:rsidTr="00E92B94">
        <w:tc>
          <w:tcPr>
            <w:tcW w:w="1953" w:type="dxa"/>
            <w:tcBorders>
              <w:bottom w:val="single" w:sz="4" w:space="0" w:color="auto"/>
            </w:tcBorders>
          </w:tcPr>
          <w:p w14:paraId="6DD54FA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CKM stages</w:t>
            </w: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14:paraId="2B5D16D3" w14:textId="77777777" w:rsidR="00E87DC9" w:rsidRPr="00DF129D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29D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</w:tcPr>
          <w:p w14:paraId="2D4154A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Criterion</w:t>
            </w:r>
          </w:p>
        </w:tc>
      </w:tr>
      <w:tr w:rsidR="00E87DC9" w:rsidRPr="00A84CE0" w14:paraId="6E50B4BC" w14:textId="77777777" w:rsidTr="00E92B94">
        <w:tc>
          <w:tcPr>
            <w:tcW w:w="1953" w:type="dxa"/>
            <w:vMerge w:val="restart"/>
            <w:tcBorders>
              <w:bottom w:val="nil"/>
            </w:tcBorders>
          </w:tcPr>
          <w:p w14:paraId="5C64A53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Stage 0: No CKM risk factors</w:t>
            </w:r>
          </w:p>
        </w:tc>
        <w:tc>
          <w:tcPr>
            <w:tcW w:w="2369" w:type="dxa"/>
            <w:vMerge w:val="restart"/>
            <w:tcBorders>
              <w:bottom w:val="nil"/>
            </w:tcBorders>
          </w:tcPr>
          <w:p w14:paraId="1C23606A" w14:textId="77777777" w:rsidR="00E87DC9" w:rsidRPr="00DF129D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29D">
              <w:rPr>
                <w:rFonts w:ascii="Times New Roman" w:hAnsi="Times New Roman" w:cs="Times New Roman"/>
                <w:sz w:val="24"/>
                <w:szCs w:val="24"/>
              </w:rPr>
              <w:t>Individuals without overweight/obesity, metabolic risk factors (hypertension, hypertriglyceridemia, MetS, diabetes), CKD, or subclinical/clinical CVD</w:t>
            </w:r>
          </w:p>
        </w:tc>
        <w:tc>
          <w:tcPr>
            <w:tcW w:w="1201" w:type="dxa"/>
            <w:vMerge w:val="restart"/>
            <w:tcBorders>
              <w:bottom w:val="nil"/>
            </w:tcBorders>
          </w:tcPr>
          <w:p w14:paraId="14367AC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All criteria are met</w:t>
            </w:r>
          </w:p>
        </w:tc>
        <w:tc>
          <w:tcPr>
            <w:tcW w:w="2773" w:type="dxa"/>
            <w:tcBorders>
              <w:bottom w:val="nil"/>
            </w:tcBorders>
          </w:tcPr>
          <w:p w14:paraId="09110DF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Overweight/obesity</w:t>
            </w:r>
          </w:p>
        </w:tc>
      </w:tr>
      <w:tr w:rsidR="00E87DC9" w:rsidRPr="00A84CE0" w14:paraId="6EBBDA27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2932768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0FF8DD0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5944F95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61D57B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Abdominal obesity</w:t>
            </w:r>
          </w:p>
        </w:tc>
      </w:tr>
      <w:tr w:rsidR="00E87DC9" w:rsidRPr="00A84CE0" w14:paraId="4F790A69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37AD0AF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048AAF3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5771037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259E92F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prediabetes, no diabetes</w:t>
            </w:r>
          </w:p>
        </w:tc>
      </w:tr>
      <w:tr w:rsidR="00E87DC9" w:rsidRPr="00A84CE0" w14:paraId="0FE4CA52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7191419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6C8D7FA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0B677FE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1CA20D4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Hypertension</w:t>
            </w:r>
          </w:p>
        </w:tc>
      </w:tr>
      <w:tr w:rsidR="00E87DC9" w:rsidRPr="00A84CE0" w14:paraId="5B32A1B9" w14:textId="77777777" w:rsidTr="00E92B94">
        <w:trPr>
          <w:trHeight w:val="316"/>
        </w:trPr>
        <w:tc>
          <w:tcPr>
            <w:tcW w:w="1953" w:type="dxa"/>
            <w:vMerge/>
            <w:tcBorders>
              <w:top w:val="nil"/>
              <w:bottom w:val="nil"/>
            </w:tcBorders>
          </w:tcPr>
          <w:p w14:paraId="5732579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158529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74645C6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93A433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 xml:space="preserve">No Hypertriglyceridemia </w:t>
            </w:r>
          </w:p>
        </w:tc>
      </w:tr>
      <w:tr w:rsidR="00E87DC9" w:rsidRPr="00A84CE0" w14:paraId="206C4634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40732E3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1DC1D9E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30D1B43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77FC2D8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CKD</w:t>
            </w:r>
          </w:p>
        </w:tc>
      </w:tr>
      <w:tr w:rsidR="00E87DC9" w:rsidRPr="00A84CE0" w14:paraId="3A29B0A5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74CDF38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1C05976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1D8E3E5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74FA1CA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Subclinical CVD</w:t>
            </w:r>
          </w:p>
        </w:tc>
      </w:tr>
      <w:tr w:rsidR="00E87DC9" w:rsidRPr="00A84CE0" w14:paraId="66B96D6D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6C6A878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DDE1AD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5CB95B7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DF5B8A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clinical CVD</w:t>
            </w:r>
          </w:p>
        </w:tc>
      </w:tr>
      <w:tr w:rsidR="00E87DC9" w:rsidRPr="00A84CE0" w14:paraId="532BC6FE" w14:textId="77777777" w:rsidTr="00E92B94">
        <w:tc>
          <w:tcPr>
            <w:tcW w:w="1953" w:type="dxa"/>
            <w:vMerge w:val="restart"/>
            <w:tcBorders>
              <w:top w:val="nil"/>
              <w:bottom w:val="nil"/>
            </w:tcBorders>
          </w:tcPr>
          <w:p w14:paraId="72A7E67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Stage 1: Excess or dysfunctional adiposity</w:t>
            </w:r>
          </w:p>
        </w:tc>
        <w:tc>
          <w:tcPr>
            <w:tcW w:w="2369" w:type="dxa"/>
            <w:vMerge w:val="restart"/>
            <w:tcBorders>
              <w:top w:val="nil"/>
              <w:bottom w:val="nil"/>
            </w:tcBorders>
          </w:tcPr>
          <w:p w14:paraId="2E41EE8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Individuals with overweight/obesity, abdominal obesity, or dysfunctional adipose tissue, without the presence of other metabolic risk factors or CKD</w:t>
            </w:r>
          </w:p>
        </w:tc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14:paraId="32677B0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Any of the three criteria is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6E826F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Overweight/obesity</w:t>
            </w:r>
          </w:p>
        </w:tc>
      </w:tr>
      <w:tr w:rsidR="00E87DC9" w:rsidRPr="00A84CE0" w14:paraId="2038AAEE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517DE26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6562707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0C824FA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7E3707F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Abdominal obesity</w:t>
            </w:r>
          </w:p>
        </w:tc>
      </w:tr>
      <w:tr w:rsidR="00E87DC9" w:rsidRPr="00A84CE0" w14:paraId="35817FF8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3902220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21E0883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3DD7654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0B5420F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Prediabetes</w:t>
            </w:r>
          </w:p>
        </w:tc>
      </w:tr>
      <w:tr w:rsidR="00E87DC9" w:rsidRPr="00A84CE0" w14:paraId="7678CA2C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4417179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4F02B0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14:paraId="4CAEC5F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All criteria are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67EC7CB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Hypertension</w:t>
            </w:r>
          </w:p>
        </w:tc>
      </w:tr>
      <w:tr w:rsidR="00E87DC9" w:rsidRPr="00A84CE0" w14:paraId="0F58D21F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12F0F07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04525F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37CF86A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2F6D4E1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Hypertriglyceridemia</w:t>
            </w:r>
          </w:p>
        </w:tc>
      </w:tr>
      <w:tr w:rsidR="00E87DC9" w:rsidRPr="00A84CE0" w14:paraId="79240E1B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5D81B0F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536F25C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6A08737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614397D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MetS</w:t>
            </w:r>
          </w:p>
        </w:tc>
      </w:tr>
      <w:tr w:rsidR="00E87DC9" w:rsidRPr="00A84CE0" w14:paraId="7B522F2D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773E123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234D1A0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5FED315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298C02B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diabetes</w:t>
            </w:r>
          </w:p>
        </w:tc>
      </w:tr>
      <w:tr w:rsidR="00E87DC9" w:rsidRPr="00A84CE0" w14:paraId="2BF39C7F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1AE8D0B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709C415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3582A0C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6F5F094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CKD</w:t>
            </w:r>
          </w:p>
        </w:tc>
      </w:tr>
      <w:tr w:rsidR="00E87DC9" w:rsidRPr="00A84CE0" w14:paraId="1703A44A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3BC7748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6DCD2D7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7355F55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3B1CC9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Predicted 10-year CVD risk &lt; 20%</w:t>
            </w:r>
          </w:p>
        </w:tc>
      </w:tr>
      <w:tr w:rsidR="00E87DC9" w:rsidRPr="00A84CE0" w14:paraId="411B0177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01C26B0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1A908B3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363A76A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7BE5FCA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clinical CVD</w:t>
            </w:r>
          </w:p>
        </w:tc>
      </w:tr>
      <w:tr w:rsidR="00E87DC9" w:rsidRPr="00A84CE0" w14:paraId="0D9E4ABC" w14:textId="77777777" w:rsidTr="00E92B94">
        <w:tc>
          <w:tcPr>
            <w:tcW w:w="1953" w:type="dxa"/>
            <w:vMerge w:val="restart"/>
            <w:tcBorders>
              <w:top w:val="nil"/>
              <w:bottom w:val="nil"/>
            </w:tcBorders>
          </w:tcPr>
          <w:p w14:paraId="441407E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Stage 2: Metabolic risk factors and CKD</w:t>
            </w:r>
          </w:p>
        </w:tc>
        <w:tc>
          <w:tcPr>
            <w:tcW w:w="2369" w:type="dxa"/>
            <w:vMerge w:val="restart"/>
            <w:tcBorders>
              <w:top w:val="nil"/>
              <w:bottom w:val="nil"/>
            </w:tcBorders>
          </w:tcPr>
          <w:p w14:paraId="4F7EE77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Individuals with metabolic risk factors (hypertriglyceridemia, hypertension, MetS, diabetes), or CKD</w:t>
            </w:r>
          </w:p>
        </w:tc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14:paraId="5282272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Any of the five criteria is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6623FC9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Hypertriglyceridemia</w:t>
            </w:r>
          </w:p>
        </w:tc>
      </w:tr>
      <w:tr w:rsidR="00E87DC9" w:rsidRPr="00A84CE0" w14:paraId="0F442ED8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0CA5B6E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C66CD5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1EE0E53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34C5471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</w:tr>
      <w:tr w:rsidR="00E87DC9" w:rsidRPr="00A84CE0" w14:paraId="349EB16C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45C5DBE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5290FE2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1F743AC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900894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</w:tr>
      <w:tr w:rsidR="00E87DC9" w:rsidRPr="00A84CE0" w14:paraId="5FB11C4C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47094D2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AE1D7F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5526EFC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51CA79D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MetS</w:t>
            </w:r>
          </w:p>
        </w:tc>
      </w:tr>
      <w:tr w:rsidR="00E87DC9" w:rsidRPr="00A84CE0" w14:paraId="39AD9761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28977EB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56E58DB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3F7AB81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61F61C6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Moderate-to-high-risk CKD in KDIGO classification according to eGFR: stage G3a, G3b, G4 or G5 CKD, eGFR ≤ 59 ml/min/1.73m</w:t>
            </w:r>
            <w:r w:rsidRPr="00A84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87DC9" w:rsidRPr="00A84CE0" w14:paraId="67B0F0D8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539541E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200DF05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14:paraId="51CA270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All criteria are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53470C5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very high-risk CKD in KDIGO classification according to eGFR: stage G4 or G5 CKD, eGFR ≤ 29 ml/min/1.73m</w:t>
            </w:r>
            <w:r w:rsidRPr="00A84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87DC9" w:rsidRPr="00A84CE0" w14:paraId="6D7F40D6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0A1471C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D5CA01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7575E41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6BD76B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Predicted 10-year CVD risk &lt; 20%</w:t>
            </w:r>
          </w:p>
        </w:tc>
      </w:tr>
      <w:tr w:rsidR="00E87DC9" w:rsidRPr="00A84CE0" w14:paraId="433CF55F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45E7381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525FCF5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40A2995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38E1A32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clinical CVD</w:t>
            </w:r>
          </w:p>
        </w:tc>
      </w:tr>
      <w:tr w:rsidR="00E87DC9" w:rsidRPr="00A84CE0" w14:paraId="6322436B" w14:textId="77777777" w:rsidTr="00E92B94">
        <w:trPr>
          <w:trHeight w:val="37"/>
        </w:trPr>
        <w:tc>
          <w:tcPr>
            <w:tcW w:w="1953" w:type="dxa"/>
            <w:vMerge w:val="restart"/>
            <w:tcBorders>
              <w:top w:val="nil"/>
              <w:bottom w:val="nil"/>
            </w:tcBorders>
          </w:tcPr>
          <w:p w14:paraId="149E0E1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Stage 3: Subclinical CVD in CKM</w:t>
            </w:r>
          </w:p>
        </w:tc>
        <w:tc>
          <w:tcPr>
            <w:tcW w:w="2369" w:type="dxa"/>
            <w:vMerge w:val="restart"/>
            <w:tcBorders>
              <w:top w:val="nil"/>
              <w:bottom w:val="nil"/>
            </w:tcBorders>
          </w:tcPr>
          <w:p w14:paraId="0E8E396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 xml:space="preserve">Subclinical CVD among individuals with </w:t>
            </w:r>
            <w:r w:rsidRPr="00A84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excess/dysfunctional adiposity, other metabolic risk factors, or CKD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013D0A1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criterion is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1DB9273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Subclinical CVD</w:t>
            </w:r>
          </w:p>
        </w:tc>
      </w:tr>
      <w:tr w:rsidR="00E87DC9" w:rsidRPr="00A84CE0" w14:paraId="04DF1BB7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34814E6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5FAA98F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14:paraId="2EBC299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Any of the eight criteria is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0394F74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Overweight/obesity</w:t>
            </w:r>
          </w:p>
        </w:tc>
      </w:tr>
      <w:tr w:rsidR="00E87DC9" w:rsidRPr="00A84CE0" w14:paraId="31CBE2FD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7E36E27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1A99F44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1F3CF89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0118DC6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Abdominal obesity</w:t>
            </w:r>
          </w:p>
        </w:tc>
      </w:tr>
      <w:tr w:rsidR="00E87DC9" w:rsidRPr="00A84CE0" w14:paraId="3C7279CC" w14:textId="77777777" w:rsidTr="00E92B94">
        <w:trPr>
          <w:trHeight w:val="340"/>
        </w:trPr>
        <w:tc>
          <w:tcPr>
            <w:tcW w:w="1953" w:type="dxa"/>
            <w:vMerge/>
            <w:tcBorders>
              <w:top w:val="nil"/>
              <w:bottom w:val="nil"/>
            </w:tcBorders>
          </w:tcPr>
          <w:p w14:paraId="75CFC4A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3EB7F73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3295138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1C1A6A7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Prediabetes</w:t>
            </w:r>
          </w:p>
        </w:tc>
      </w:tr>
      <w:tr w:rsidR="00E87DC9" w:rsidRPr="00A84CE0" w14:paraId="17325584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0EB74D8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29269D7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4972F0F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5993D3D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Hypertriglyceridemia</w:t>
            </w:r>
          </w:p>
        </w:tc>
      </w:tr>
      <w:tr w:rsidR="00E87DC9" w:rsidRPr="00A84CE0" w14:paraId="75435058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0107793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16C187F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198A2B4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64AA531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</w:tr>
      <w:tr w:rsidR="00E87DC9" w:rsidRPr="00A84CE0" w14:paraId="70C62056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326E292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72E315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52286EF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7436AE3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</w:tr>
      <w:tr w:rsidR="00E87DC9" w:rsidRPr="00A84CE0" w14:paraId="63F12E2C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7BD3717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79B49D3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20FF859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05B3F60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MetS</w:t>
            </w:r>
          </w:p>
        </w:tc>
      </w:tr>
      <w:tr w:rsidR="00E87DC9" w:rsidRPr="00A84CE0" w14:paraId="1848D41F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3685357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2F60C3C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2E43E0A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7D0DDF9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Moderate-to-high-risk CKD in KDIGO classification according to eGFR: stage G3a, G3b, G4 or G5 CKD, eGFR ≤ 59 ml/min/1.73m</w:t>
            </w:r>
            <w:r w:rsidRPr="00A84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87DC9" w:rsidRPr="00A84CE0" w14:paraId="70FD4498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3CFE586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0491D7D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A11E89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The criterion is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C15878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 clinical CVD</w:t>
            </w:r>
          </w:p>
        </w:tc>
      </w:tr>
      <w:tr w:rsidR="00E87DC9" w:rsidRPr="00A84CE0" w14:paraId="7C748175" w14:textId="77777777" w:rsidTr="00E92B94">
        <w:tc>
          <w:tcPr>
            <w:tcW w:w="1953" w:type="dxa"/>
            <w:vMerge w:val="restart"/>
            <w:tcBorders>
              <w:top w:val="nil"/>
              <w:bottom w:val="nil"/>
            </w:tcBorders>
          </w:tcPr>
          <w:p w14:paraId="3F3D736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Stage 4: Clinical CVD in CKM</w:t>
            </w:r>
          </w:p>
        </w:tc>
        <w:tc>
          <w:tcPr>
            <w:tcW w:w="2369" w:type="dxa"/>
            <w:vMerge w:val="restart"/>
            <w:tcBorders>
              <w:top w:val="nil"/>
              <w:bottom w:val="nil"/>
            </w:tcBorders>
          </w:tcPr>
          <w:p w14:paraId="33811DB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Clinical CVD among individuals with excess/dysfunctional adiposity, other metabolic risk factors, or CKD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7B5EEE5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The criterion is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03EB7F0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Clinical CVD</w:t>
            </w:r>
          </w:p>
        </w:tc>
      </w:tr>
      <w:tr w:rsidR="00E87DC9" w:rsidRPr="00A84CE0" w14:paraId="469D4430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1C9770D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78D1EF2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14:paraId="28D0AAB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Any of the nine criteria is met</w:t>
            </w: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68314E7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Overweight/obesity</w:t>
            </w:r>
          </w:p>
        </w:tc>
      </w:tr>
      <w:tr w:rsidR="00E87DC9" w:rsidRPr="00A84CE0" w14:paraId="510CF959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1A4DCE6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35F47E5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7F9FB48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2CDDB8F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Abdominal obesity</w:t>
            </w:r>
          </w:p>
        </w:tc>
      </w:tr>
      <w:tr w:rsidR="00E87DC9" w:rsidRPr="00A84CE0" w14:paraId="76762A14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79C6B89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57A3D92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43CEDA2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7194D9D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Prediabetes</w:t>
            </w:r>
          </w:p>
        </w:tc>
      </w:tr>
      <w:tr w:rsidR="00E87DC9" w:rsidRPr="00A84CE0" w14:paraId="786FCEDC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2E392FC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62EB08D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6DBFCDC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7245BCF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Hypertriglyceridemia</w:t>
            </w:r>
          </w:p>
        </w:tc>
      </w:tr>
      <w:tr w:rsidR="00E87DC9" w:rsidRPr="00A84CE0" w14:paraId="2B70C63E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745FBA7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1782554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7E0D849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67A476D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</w:tr>
      <w:tr w:rsidR="00E87DC9" w:rsidRPr="00A84CE0" w14:paraId="27224877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2071F6B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F129B2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17D7FF3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5467A49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</w:tr>
      <w:tr w:rsidR="00E87DC9" w:rsidRPr="00A84CE0" w14:paraId="55A5C8A9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6942D0A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434A6A5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18DE216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1CB48D8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MetS</w:t>
            </w:r>
          </w:p>
        </w:tc>
      </w:tr>
      <w:tr w:rsidR="00E87DC9" w:rsidRPr="00A84CE0" w14:paraId="44E91752" w14:textId="77777777" w:rsidTr="00E92B94">
        <w:tc>
          <w:tcPr>
            <w:tcW w:w="1953" w:type="dxa"/>
            <w:vMerge/>
            <w:tcBorders>
              <w:top w:val="nil"/>
              <w:bottom w:val="nil"/>
            </w:tcBorders>
          </w:tcPr>
          <w:p w14:paraId="540FCEB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  <w:bottom w:val="nil"/>
            </w:tcBorders>
          </w:tcPr>
          <w:p w14:paraId="7D7A1BB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  <w:bottom w:val="nil"/>
            </w:tcBorders>
          </w:tcPr>
          <w:p w14:paraId="5086487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</w:tcPr>
          <w:p w14:paraId="4A98044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Moderate-to-high-risk CKD in KDIGO classification according to eGFR: stage G3a, G3b, G4 or G5 CKD, eGFR ≤ 59 ml/min/1.73m</w:t>
            </w:r>
            <w:r w:rsidRPr="00A84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87DC9" w:rsidRPr="00A84CE0" w14:paraId="598015EB" w14:textId="77777777" w:rsidTr="00E92B94">
        <w:tc>
          <w:tcPr>
            <w:tcW w:w="1953" w:type="dxa"/>
            <w:vMerge/>
            <w:tcBorders>
              <w:top w:val="nil"/>
            </w:tcBorders>
          </w:tcPr>
          <w:p w14:paraId="3D30847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</w:tcPr>
          <w:p w14:paraId="0956EE1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14:paraId="66F819C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nil"/>
            </w:tcBorders>
          </w:tcPr>
          <w:p w14:paraId="5700EC8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Very high-risk CKD in KDIGO classification according to eGFR: stage G4 or G5 CKD, eGFR ≤ 29 ml/min/1.73m</w:t>
            </w:r>
            <w:r w:rsidRPr="00A84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2181170B" w14:textId="6E8C9B5E" w:rsidR="00F523A0" w:rsidRPr="00F523A0" w:rsidRDefault="00E87DC9" w:rsidP="00F523A0">
      <w:pPr>
        <w:rPr>
          <w:rFonts w:ascii="Times New Roman" w:hAnsi="Times New Roman" w:cs="Times New Roman"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>Abbreviations: CKM: cardiovascular-kidney-metabolic; CVD: cardiovascular disease; CKD: chronic kidney disease; BMI: body mass index; SBP: systolic blood pressure; DBP: diastolic blood pressure; HDL: high-density lipoprotein; KDIGO: The Kidney Disease: Improving Global Outcomes; eGFR: estimated glomerular filtration rate; MetS: metabolic syndrome.</w:t>
      </w:r>
    </w:p>
    <w:bookmarkEnd w:id="0"/>
    <w:p w14:paraId="43C92EDC" w14:textId="77777777" w:rsidR="00F523A0" w:rsidRPr="00E87DC9" w:rsidRDefault="00F523A0" w:rsidP="00F523A0">
      <w:pPr>
        <w:pStyle w:val="a4"/>
        <w:ind w:left="0" w:firstLine="0"/>
        <w:rPr>
          <w:rFonts w:ascii="Times New Roman" w:eastAsia="等线" w:hAnsi="Times New Roman" w:cs="Times New Roman"/>
          <w:sz w:val="24"/>
          <w:szCs w:val="24"/>
        </w:rPr>
      </w:pPr>
      <w:r w:rsidRPr="00E87DC9">
        <w:rPr>
          <w:rFonts w:ascii="Times New Roman" w:hAnsi="Times New Roman" w:cs="Times New Roman"/>
          <w:sz w:val="24"/>
          <w:szCs w:val="24"/>
        </w:rPr>
        <w:fldChar w:fldCharType="begin"/>
      </w:r>
      <w:r w:rsidRPr="00E87DC9">
        <w:rPr>
          <w:rFonts w:ascii="Times New Roman" w:hAnsi="Times New Roman" w:cs="Times New Roman"/>
          <w:sz w:val="24"/>
          <w:szCs w:val="24"/>
        </w:rPr>
        <w:instrText xml:space="preserve"> ADDIN ZOTERO_BIBL {"uncited":[],"omitted":[],"custom":[]} CSL_BIBLIOGRAPHY </w:instrText>
      </w:r>
      <w:r w:rsidRPr="00E87DC9">
        <w:rPr>
          <w:rFonts w:ascii="Times New Roman" w:hAnsi="Times New Roman" w:cs="Times New Roman"/>
          <w:sz w:val="24"/>
          <w:szCs w:val="24"/>
        </w:rPr>
        <w:fldChar w:fldCharType="separate"/>
      </w:r>
      <w:r w:rsidRPr="00E87DC9">
        <w:rPr>
          <w:rFonts w:ascii="Times New Roman" w:eastAsia="等线" w:hAnsi="Times New Roman" w:cs="Times New Roman"/>
          <w:sz w:val="24"/>
          <w:szCs w:val="24"/>
        </w:rPr>
        <w:t>1.</w:t>
      </w:r>
      <w:r w:rsidRPr="00E87DC9">
        <w:rPr>
          <w:rFonts w:ascii="Times New Roman" w:eastAsia="等线" w:hAnsi="Times New Roman" w:cs="Times New Roman"/>
          <w:sz w:val="24"/>
          <w:szCs w:val="24"/>
        </w:rPr>
        <w:tab/>
        <w:t xml:space="preserve">Ndumele CE, Rangaswami J, Chow SL, et al. Cardiovascular-Kidney-Metabolic Health: A Presidential Advisory From the American Heart Association. </w:t>
      </w:r>
      <w:r w:rsidRPr="00E87DC9">
        <w:rPr>
          <w:rFonts w:ascii="Times New Roman" w:eastAsia="等线" w:hAnsi="Times New Roman" w:cs="Times New Roman"/>
          <w:i/>
          <w:iCs/>
          <w:sz w:val="24"/>
          <w:szCs w:val="24"/>
        </w:rPr>
        <w:t>Circulation</w:t>
      </w:r>
      <w:r w:rsidRPr="00E87DC9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E87DC9">
        <w:rPr>
          <w:rFonts w:ascii="Times New Roman" w:eastAsia="等线" w:hAnsi="Times New Roman" w:cs="Times New Roman"/>
          <w:sz w:val="24"/>
          <w:szCs w:val="24"/>
        </w:rPr>
        <w:lastRenderedPageBreak/>
        <w:t>2023;148(20):1606-1635. doi:10.1161/CIR.0000000000001184</w:t>
      </w:r>
    </w:p>
    <w:p w14:paraId="45A943E9" w14:textId="2CA7EF75" w:rsidR="00E87DC9" w:rsidRPr="00A84CE0" w:rsidRDefault="00F523A0" w:rsidP="004766BD">
      <w:pPr>
        <w:pStyle w:val="a4"/>
        <w:rPr>
          <w:rFonts w:ascii="Times New Roman" w:hAnsi="Times New Roman" w:cs="Times New Roman"/>
          <w:sz w:val="24"/>
          <w:szCs w:val="24"/>
        </w:rPr>
      </w:pPr>
      <w:r w:rsidRPr="00E87DC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99F0E60" w14:textId="5E602C43" w:rsidR="00E87DC9" w:rsidRPr="00A84CE0" w:rsidRDefault="00E87DC9" w:rsidP="00E87DC9">
      <w:pPr>
        <w:rPr>
          <w:rFonts w:ascii="Times New Roman" w:hAnsi="Times New Roman" w:cs="Times New Roman"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>Table S2 Definitions of CKM conditions</w:t>
      </w:r>
    </w:p>
    <w:tbl>
      <w:tblPr>
        <w:tblStyle w:val="a3"/>
        <w:tblW w:w="87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2282"/>
        <w:gridCol w:w="5206"/>
      </w:tblGrid>
      <w:tr w:rsidR="00E87DC9" w:rsidRPr="00A84CE0" w14:paraId="09CAD18B" w14:textId="77777777" w:rsidTr="00E92B94">
        <w:tc>
          <w:tcPr>
            <w:tcW w:w="3578" w:type="dxa"/>
            <w:gridSpan w:val="2"/>
            <w:tcBorders>
              <w:bottom w:val="single" w:sz="4" w:space="0" w:color="auto"/>
            </w:tcBorders>
          </w:tcPr>
          <w:p w14:paraId="35F72C5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CKM conditions</w:t>
            </w:r>
          </w:p>
        </w:tc>
        <w:tc>
          <w:tcPr>
            <w:tcW w:w="5206" w:type="dxa"/>
            <w:tcBorders>
              <w:bottom w:val="single" w:sz="4" w:space="0" w:color="auto"/>
            </w:tcBorders>
          </w:tcPr>
          <w:p w14:paraId="666D4A5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E87DC9" w:rsidRPr="00A84CE0" w14:paraId="56EE1C53" w14:textId="77777777" w:rsidTr="00E92B94">
        <w:tc>
          <w:tcPr>
            <w:tcW w:w="3578" w:type="dxa"/>
            <w:gridSpan w:val="2"/>
            <w:tcBorders>
              <w:bottom w:val="nil"/>
            </w:tcBorders>
          </w:tcPr>
          <w:p w14:paraId="44D5695C" w14:textId="77777777" w:rsidR="00E87DC9" w:rsidRPr="00A84CE0" w:rsidRDefault="00E87DC9" w:rsidP="00383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Clinical CVD</w:t>
            </w:r>
          </w:p>
        </w:tc>
        <w:tc>
          <w:tcPr>
            <w:tcW w:w="5206" w:type="dxa"/>
            <w:tcBorders>
              <w:bottom w:val="nil"/>
            </w:tcBorders>
          </w:tcPr>
          <w:p w14:paraId="4A37BA2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History of chronic heart failure, coronary heart disease, heart attack, or stroke</w:t>
            </w:r>
          </w:p>
        </w:tc>
      </w:tr>
      <w:tr w:rsidR="00E87DC9" w:rsidRPr="00A84CE0" w14:paraId="498DE9C0" w14:textId="77777777" w:rsidTr="00E92B94">
        <w:tc>
          <w:tcPr>
            <w:tcW w:w="3578" w:type="dxa"/>
            <w:gridSpan w:val="2"/>
            <w:tcBorders>
              <w:top w:val="nil"/>
              <w:bottom w:val="nil"/>
            </w:tcBorders>
          </w:tcPr>
          <w:p w14:paraId="07C17D0A" w14:textId="77777777" w:rsidR="00E87DC9" w:rsidRPr="00A84CE0" w:rsidRDefault="00E87DC9" w:rsidP="00383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Subclinical CVD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14:paraId="24E696C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 xml:space="preserve">Any of the following criterion is met: </w:t>
            </w:r>
          </w:p>
          <w:p w14:paraId="3D33990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1) Very high-risk CKD in KDIGO classification: stage G4 or G5 CKD, eGFR ≤ 29 ml/min/1.73m</w:t>
            </w:r>
            <w:r w:rsidRPr="00A84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7F826C9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2) Predicted 10-year CVD risk ≥ 20%</w:t>
            </w:r>
          </w:p>
        </w:tc>
      </w:tr>
      <w:tr w:rsidR="00E87DC9" w:rsidRPr="00A84CE0" w14:paraId="5B4025E7" w14:textId="77777777" w:rsidTr="00E92B94">
        <w:tc>
          <w:tcPr>
            <w:tcW w:w="3578" w:type="dxa"/>
            <w:gridSpan w:val="2"/>
            <w:tcBorders>
              <w:top w:val="nil"/>
              <w:bottom w:val="nil"/>
            </w:tcBorders>
          </w:tcPr>
          <w:p w14:paraId="644D4A6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14:paraId="042D5C7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Moderate-to-high-risk CKD in KDIGO classification: stage G3a, G3b, G4 or G5 CKD, eGFR ≤ 59 ml/min/1.73m</w:t>
            </w:r>
            <w:r w:rsidRPr="00A84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87DC9" w:rsidRPr="00A84CE0" w14:paraId="35DEF70A" w14:textId="77777777" w:rsidTr="00E92B94">
        <w:tc>
          <w:tcPr>
            <w:tcW w:w="1296" w:type="dxa"/>
            <w:vMerge w:val="restart"/>
            <w:tcBorders>
              <w:top w:val="nil"/>
              <w:bottom w:val="nil"/>
            </w:tcBorders>
          </w:tcPr>
          <w:p w14:paraId="46FAFA5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Metabolic disorders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2563ADC2" w14:textId="57D1B968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14:paraId="7C0DBB7F" w14:textId="6E90B12F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BMI ≥2</w:t>
            </w:r>
            <w:r w:rsidR="00FE0BE5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 xml:space="preserve"> kg/m</w:t>
            </w:r>
            <w:r w:rsidRPr="00A84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87DC9" w:rsidRPr="00A84CE0" w14:paraId="78093073" w14:textId="77777777" w:rsidTr="00E92B94">
        <w:tc>
          <w:tcPr>
            <w:tcW w:w="1296" w:type="dxa"/>
            <w:vMerge/>
            <w:tcBorders>
              <w:top w:val="nil"/>
              <w:bottom w:val="nil"/>
            </w:tcBorders>
          </w:tcPr>
          <w:p w14:paraId="45B816D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4252337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Abdominal obesity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14:paraId="668E3160" w14:textId="40C4A168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67"/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Waist circumference ≥80/</w:t>
            </w:r>
            <w:r w:rsidR="00F67F52">
              <w:rPr>
                <w:rFonts w:ascii="Times New Roman" w:hAnsi="Times New Roman" w:cs="Times New Roman" w:hint="eastAsia"/>
                <w:sz w:val="24"/>
                <w:szCs w:val="24"/>
              </w:rPr>
              <w:t>85</w:t>
            </w: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 xml:space="preserve"> cm in female/male</w:t>
            </w:r>
            <w:bookmarkEnd w:id="2"/>
          </w:p>
        </w:tc>
      </w:tr>
      <w:tr w:rsidR="00E87DC9" w:rsidRPr="00A84CE0" w14:paraId="4E1739C3" w14:textId="77777777" w:rsidTr="00E92B94">
        <w:tc>
          <w:tcPr>
            <w:tcW w:w="1296" w:type="dxa"/>
            <w:vMerge/>
            <w:tcBorders>
              <w:top w:val="nil"/>
              <w:bottom w:val="nil"/>
            </w:tcBorders>
          </w:tcPr>
          <w:p w14:paraId="1394A04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47D6221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Prediabetes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14:paraId="7CE73CD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Fasting blood glucose ≥ 100-124 mg/dL or HbA1c ≥ 5.7%-6.4% and without self-reported diagnosis of diabetes, use of insulin, or oral hypoglycemic agents</w:t>
            </w:r>
          </w:p>
        </w:tc>
      </w:tr>
      <w:tr w:rsidR="00E87DC9" w:rsidRPr="00A84CE0" w14:paraId="47886E59" w14:textId="77777777" w:rsidTr="00E92B94">
        <w:tc>
          <w:tcPr>
            <w:tcW w:w="1296" w:type="dxa"/>
            <w:vMerge/>
            <w:tcBorders>
              <w:top w:val="nil"/>
              <w:bottom w:val="nil"/>
            </w:tcBorders>
          </w:tcPr>
          <w:p w14:paraId="6C0FC65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3438723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14:paraId="7482587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Fasting blood glucose ≥ 125 mg/dL or HbA1c ≥ 6.5% or self-reported diagnosis of diabetes, use of insulin, or oral hypoglycemic agents</w:t>
            </w:r>
          </w:p>
        </w:tc>
      </w:tr>
      <w:tr w:rsidR="00E87DC9" w:rsidRPr="00A84CE0" w14:paraId="0A58B879" w14:textId="77777777" w:rsidTr="00E92B94">
        <w:tc>
          <w:tcPr>
            <w:tcW w:w="1296" w:type="dxa"/>
            <w:vMerge/>
            <w:tcBorders>
              <w:top w:val="nil"/>
              <w:bottom w:val="nil"/>
            </w:tcBorders>
          </w:tcPr>
          <w:p w14:paraId="57FE314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4DB4A48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14:paraId="2618393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SBP ≥130 mm Hg or DBP ≥80 mm Hg or self-reported diagnosis of hypertension or use of antihypertensive medications</w:t>
            </w:r>
          </w:p>
        </w:tc>
      </w:tr>
      <w:tr w:rsidR="00E87DC9" w:rsidRPr="00A84CE0" w14:paraId="06A0DBB7" w14:textId="77777777" w:rsidTr="00E92B94">
        <w:tc>
          <w:tcPr>
            <w:tcW w:w="1296" w:type="dxa"/>
            <w:vMerge/>
            <w:tcBorders>
              <w:top w:val="nil"/>
              <w:bottom w:val="nil"/>
            </w:tcBorders>
          </w:tcPr>
          <w:p w14:paraId="08A9AF3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  <w:bottom w:val="nil"/>
            </w:tcBorders>
          </w:tcPr>
          <w:p w14:paraId="70B449E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Hypertriglyceridemia</w:t>
            </w:r>
          </w:p>
        </w:tc>
        <w:tc>
          <w:tcPr>
            <w:tcW w:w="5206" w:type="dxa"/>
            <w:tcBorders>
              <w:top w:val="nil"/>
              <w:bottom w:val="nil"/>
            </w:tcBorders>
          </w:tcPr>
          <w:p w14:paraId="4F83996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Triglycerides ≥ 135 mg/dL</w:t>
            </w:r>
          </w:p>
        </w:tc>
      </w:tr>
      <w:tr w:rsidR="00E87DC9" w:rsidRPr="00A84CE0" w14:paraId="25B40A50" w14:textId="77777777" w:rsidTr="00E92B94">
        <w:tc>
          <w:tcPr>
            <w:tcW w:w="1296" w:type="dxa"/>
            <w:vMerge/>
            <w:tcBorders>
              <w:top w:val="nil"/>
            </w:tcBorders>
          </w:tcPr>
          <w:p w14:paraId="6419A00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 w14:paraId="461DB86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MetS</w:t>
            </w:r>
          </w:p>
        </w:tc>
        <w:tc>
          <w:tcPr>
            <w:tcW w:w="5206" w:type="dxa"/>
            <w:tcBorders>
              <w:top w:val="nil"/>
            </w:tcBorders>
          </w:tcPr>
          <w:p w14:paraId="7D387BF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MetS is defined by the presence of 3 or more of the following:</w:t>
            </w:r>
          </w:p>
          <w:p w14:paraId="7AF9B60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 xml:space="preserve">1) Waist circumference ≥88/102 cm in female/male (or if Asian ancestry ≥80/90 cm in female/male). </w:t>
            </w:r>
          </w:p>
          <w:p w14:paraId="58C94D5C" w14:textId="77777777" w:rsidR="00E87DC9" w:rsidRPr="00A84CE0" w:rsidRDefault="00E87DC9" w:rsidP="00383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2) HDL cholesterol</w:t>
            </w:r>
            <w:r w:rsidRPr="00A84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&lt;50/40 mg/dL in female/male. </w:t>
            </w:r>
          </w:p>
          <w:p w14:paraId="3DA9B763" w14:textId="77777777" w:rsidR="00E87DC9" w:rsidRPr="00A84CE0" w:rsidRDefault="00E87DC9" w:rsidP="00383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Triglycerides ≥150 mg/dL. </w:t>
            </w:r>
          </w:p>
          <w:p w14:paraId="32ED193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 xml:space="preserve">4) Elevated blood pressure (SBP ≥130 mm Hg or DBP ≥80 mm Hg and/or use of antihypertensive medications) </w:t>
            </w:r>
          </w:p>
          <w:p w14:paraId="4CEC70E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5) Fasting blood glucose ≥100 mg/dL</w:t>
            </w:r>
          </w:p>
        </w:tc>
      </w:tr>
    </w:tbl>
    <w:p w14:paraId="06FC61FA" w14:textId="77777777" w:rsidR="00E87DC9" w:rsidRPr="00A84CE0" w:rsidRDefault="00E87DC9" w:rsidP="00E87DC9">
      <w:pPr>
        <w:rPr>
          <w:rFonts w:ascii="Times New Roman" w:hAnsi="Times New Roman" w:cs="Times New Roman"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>Abbreviations: CKM: cardiovascular-kidney-metabolic; CVD: cardiovascular disease; CKD: chronic kidney disease; KDIGO: The Kidney Disease: Improving Global Outcomes; eGFR: estimated glomerular filtration rate; BMI: body mass index; SBP: systolic blood pressure; DBP: diastolic blood pressure; MetS: metabolic syndrome; HDL: high-density lipoprotein.</w:t>
      </w:r>
    </w:p>
    <w:p w14:paraId="2A8EE14E" w14:textId="77777777" w:rsidR="00F523A0" w:rsidRPr="00E87DC9" w:rsidRDefault="00F523A0" w:rsidP="00F523A0">
      <w:pPr>
        <w:pStyle w:val="a4"/>
        <w:rPr>
          <w:rFonts w:ascii="Times New Roman" w:eastAsia="等线" w:hAnsi="Times New Roman" w:cs="Times New Roman"/>
          <w:sz w:val="24"/>
          <w:szCs w:val="24"/>
        </w:rPr>
      </w:pPr>
      <w:r w:rsidRPr="00E87DC9">
        <w:rPr>
          <w:rFonts w:ascii="Times New Roman" w:hAnsi="Times New Roman" w:cs="Times New Roman"/>
          <w:sz w:val="24"/>
          <w:szCs w:val="24"/>
        </w:rPr>
        <w:fldChar w:fldCharType="begin"/>
      </w:r>
      <w:r w:rsidRPr="00E87DC9">
        <w:rPr>
          <w:rFonts w:ascii="Times New Roman" w:hAnsi="Times New Roman" w:cs="Times New Roman"/>
          <w:sz w:val="24"/>
          <w:szCs w:val="24"/>
        </w:rPr>
        <w:instrText xml:space="preserve"> ADDIN ZOTERO_BIBL {"uncited":[],"omitted":[],"custom":[]} CSL_BIBLIOGRAPHY </w:instrText>
      </w:r>
      <w:r w:rsidRPr="00E87DC9">
        <w:rPr>
          <w:rFonts w:ascii="Times New Roman" w:hAnsi="Times New Roman" w:cs="Times New Roman"/>
          <w:sz w:val="24"/>
          <w:szCs w:val="24"/>
        </w:rPr>
        <w:fldChar w:fldCharType="separate"/>
      </w:r>
      <w:r w:rsidRPr="00E87DC9">
        <w:rPr>
          <w:rFonts w:ascii="Times New Roman" w:eastAsia="等线" w:hAnsi="Times New Roman" w:cs="Times New Roman"/>
          <w:sz w:val="24"/>
          <w:szCs w:val="24"/>
        </w:rPr>
        <w:t>1.</w:t>
      </w:r>
      <w:r w:rsidRPr="00E87DC9">
        <w:rPr>
          <w:rFonts w:ascii="Times New Roman" w:eastAsia="等线" w:hAnsi="Times New Roman" w:cs="Times New Roman"/>
          <w:sz w:val="24"/>
          <w:szCs w:val="24"/>
        </w:rPr>
        <w:tab/>
        <w:t xml:space="preserve">Ndumele CE, Rangaswami J, Chow SL, et al. Cardiovascular-Kidney-Metabolic Health: A Presidential Advisory From the American Heart Association. </w:t>
      </w:r>
      <w:r w:rsidRPr="00E87DC9">
        <w:rPr>
          <w:rFonts w:ascii="Times New Roman" w:eastAsia="等线" w:hAnsi="Times New Roman" w:cs="Times New Roman"/>
          <w:i/>
          <w:iCs/>
          <w:sz w:val="24"/>
          <w:szCs w:val="24"/>
        </w:rPr>
        <w:t>Circulation</w:t>
      </w:r>
      <w:r w:rsidRPr="00E87DC9">
        <w:rPr>
          <w:rFonts w:ascii="Times New Roman" w:eastAsia="等线" w:hAnsi="Times New Roman" w:cs="Times New Roman"/>
          <w:sz w:val="24"/>
          <w:szCs w:val="24"/>
        </w:rPr>
        <w:t>. 2023;148(20):1606-1635. doi:10.1161/CIR.0000000000001184</w:t>
      </w:r>
    </w:p>
    <w:p w14:paraId="692F1E7F" w14:textId="18631A3A" w:rsidR="00F523A0" w:rsidRPr="00FE0BE5" w:rsidRDefault="00F523A0" w:rsidP="00FE0BE5">
      <w:pPr>
        <w:pStyle w:val="a4"/>
        <w:ind w:left="0" w:firstLine="0"/>
        <w:rPr>
          <w:rFonts w:ascii="Times New Roman" w:hAnsi="Times New Roman" w:cs="Times New Roman"/>
          <w:sz w:val="24"/>
          <w:szCs w:val="24"/>
        </w:rPr>
      </w:pPr>
      <w:r w:rsidRPr="00E87DC9"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</w:p>
    <w:p w14:paraId="30CEE4E2" w14:textId="2C1B52C8" w:rsidR="00E87DC9" w:rsidRPr="00A84CE0" w:rsidRDefault="00E87DC9" w:rsidP="00E87D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>Table S</w:t>
      </w:r>
      <w:r w:rsidR="00854BFE">
        <w:rPr>
          <w:rFonts w:ascii="Times New Roman" w:hAnsi="Times New Roman" w:cs="Times New Roman" w:hint="eastAsia"/>
          <w:sz w:val="24"/>
          <w:szCs w:val="24"/>
        </w:rPr>
        <w:t>3</w:t>
      </w:r>
      <w:r w:rsidRPr="00A84CE0">
        <w:rPr>
          <w:rFonts w:ascii="Times New Roman" w:hAnsi="Times New Roman" w:cs="Times New Roman"/>
          <w:sz w:val="24"/>
          <w:szCs w:val="24"/>
        </w:rPr>
        <w:t xml:space="preserve"> 10-year CVD risk by the Framingham risk score for</w:t>
      </w:r>
      <w:r w:rsidRPr="00A84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4CE0">
        <w:rPr>
          <w:rFonts w:ascii="Times New Roman" w:eastAsia="宋体" w:hAnsi="Times New Roman" w:cs="Times New Roman"/>
          <w:sz w:val="24"/>
          <w:szCs w:val="28"/>
        </w:rPr>
        <w:t>CHARLS</w:t>
      </w:r>
    </w:p>
    <w:tbl>
      <w:tblPr>
        <w:tblStyle w:val="a3"/>
        <w:tblW w:w="85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276"/>
        <w:gridCol w:w="1143"/>
        <w:gridCol w:w="1125"/>
        <w:gridCol w:w="992"/>
        <w:gridCol w:w="1134"/>
      </w:tblGrid>
      <w:tr w:rsidR="00E87DC9" w:rsidRPr="00A84CE0" w14:paraId="15E1FC31" w14:textId="77777777" w:rsidTr="00E92B94">
        <w:tc>
          <w:tcPr>
            <w:tcW w:w="8500" w:type="dxa"/>
            <w:gridSpan w:val="8"/>
          </w:tcPr>
          <w:p w14:paraId="0C2F83DA" w14:textId="77777777" w:rsidR="00E87DC9" w:rsidRPr="00A84CE0" w:rsidRDefault="00E87DC9" w:rsidP="00383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CVD Points for Women</w:t>
            </w:r>
          </w:p>
        </w:tc>
      </w:tr>
      <w:tr w:rsidR="00E87DC9" w:rsidRPr="00A84CE0" w14:paraId="216F014C" w14:textId="77777777" w:rsidTr="00E92B94">
        <w:tc>
          <w:tcPr>
            <w:tcW w:w="846" w:type="dxa"/>
            <w:tcBorders>
              <w:bottom w:val="single" w:sz="4" w:space="0" w:color="auto"/>
            </w:tcBorders>
          </w:tcPr>
          <w:p w14:paraId="1994ADE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E0696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Age, 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38A99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CF454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Total Cholesterol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51A2520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SBP Not Treated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5B325D3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SBP Treated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2FE6E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Smoker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BAA59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Diabetic</w:t>
            </w:r>
          </w:p>
        </w:tc>
      </w:tr>
      <w:tr w:rsidR="00E87DC9" w:rsidRPr="00A84CE0" w14:paraId="3F4A71F4" w14:textId="77777777" w:rsidTr="00E92B94">
        <w:tc>
          <w:tcPr>
            <w:tcW w:w="846" w:type="dxa"/>
            <w:tcBorders>
              <w:bottom w:val="nil"/>
            </w:tcBorders>
          </w:tcPr>
          <w:p w14:paraId="3A9194F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92" w:type="dxa"/>
            <w:tcBorders>
              <w:bottom w:val="nil"/>
            </w:tcBorders>
          </w:tcPr>
          <w:p w14:paraId="7E0D28E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59E6862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BB5390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14:paraId="725A41A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120</w:t>
            </w:r>
          </w:p>
        </w:tc>
        <w:tc>
          <w:tcPr>
            <w:tcW w:w="1125" w:type="dxa"/>
            <w:tcBorders>
              <w:bottom w:val="nil"/>
            </w:tcBorders>
          </w:tcPr>
          <w:p w14:paraId="0B95517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A62820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022BA1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7DE69C99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260276C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949C8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45726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43D72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FA2C4C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2648BB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50E1D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F5DB3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19C01D50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1312837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49EC4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FB4D2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CB51F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015570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DB8E55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120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4308C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B3BF5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6F944FA9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7A313C1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DAF06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345AC8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F7D23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160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84768E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120-129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6690749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D5630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45CB4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E87DC9" w:rsidRPr="00A84CE0" w14:paraId="521033A8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27C103C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B9B23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F7D80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2766C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160-199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D9E98C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130-139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085855B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DD79F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9CD7D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73909525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529A9FD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F356A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4FD9B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35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60699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09C0C35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140-149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311CA0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120-129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7F381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97BF3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53E8F668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0CB6B4A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3D99E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46ED7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10DC4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200-239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BE0494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56689B7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130-139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21CAB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6A090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4CB74F9D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2B41DBB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96861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1A4252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325DD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240-279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4464FE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150-159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087337B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2C49A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1383E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E87DC9" w:rsidRPr="00A84CE0" w14:paraId="7F570893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2F76240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522E1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BFE02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064AC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280+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56F604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160+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CCD4F2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140-149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631A7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FBD63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16926E8C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48F0D98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D4E52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46716D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E395C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2F71B6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CE2821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150-159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A5F0D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1465C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6AE564FB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0AA7BB1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C2219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8FD12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57DEE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B0FD31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5921B42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160+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0A23B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0A4AD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0B2840E9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7D5FD35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3B88A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F60C4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415CE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E94E4D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11C531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AD6A2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CE6C9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3548840B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224EE7B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1C0C6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13C83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F4E42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9E1CE3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6B1CFB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7AFD0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4A6D1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372A3DF6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39FE6EA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E8535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D1F37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7510C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0611EDF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8E2519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606D7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551C4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3F5691C3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6A97D75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2DF22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B0E86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D00CB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C84676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0E809B1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CB6B3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DC37D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38369F5F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7722C64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1D3C8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75+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A6E90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463B9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F68AA0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0D4ED14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BEDC9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208FB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686CA6E4" w14:textId="77777777" w:rsidTr="00E92B94">
        <w:tc>
          <w:tcPr>
            <w:tcW w:w="846" w:type="dxa"/>
            <w:tcBorders>
              <w:top w:val="nil"/>
            </w:tcBorders>
          </w:tcPr>
          <w:p w14:paraId="228CE06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Points allotted</w:t>
            </w:r>
          </w:p>
        </w:tc>
        <w:tc>
          <w:tcPr>
            <w:tcW w:w="992" w:type="dxa"/>
            <w:tcBorders>
              <w:top w:val="nil"/>
            </w:tcBorders>
          </w:tcPr>
          <w:p w14:paraId="1189573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CE3884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FEF3D6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14:paraId="38140BD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14:paraId="7417D68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18DF08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D5246A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E87DC9" w:rsidRPr="00A84CE0" w14:paraId="064FDD89" w14:textId="77777777" w:rsidTr="00E92B94">
        <w:tc>
          <w:tcPr>
            <w:tcW w:w="8500" w:type="dxa"/>
            <w:gridSpan w:val="8"/>
          </w:tcPr>
          <w:p w14:paraId="2B4B6434" w14:textId="77777777" w:rsidR="00E87DC9" w:rsidRPr="00A84CE0" w:rsidRDefault="00E87DC9" w:rsidP="00383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CVD Points for Men</w:t>
            </w:r>
          </w:p>
        </w:tc>
      </w:tr>
      <w:tr w:rsidR="00E87DC9" w:rsidRPr="00A84CE0" w14:paraId="457ABF5B" w14:textId="77777777" w:rsidTr="00E92B94">
        <w:tc>
          <w:tcPr>
            <w:tcW w:w="846" w:type="dxa"/>
            <w:tcBorders>
              <w:bottom w:val="single" w:sz="4" w:space="0" w:color="auto"/>
            </w:tcBorders>
          </w:tcPr>
          <w:p w14:paraId="40F27E8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EDC06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Age, 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FA75A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80396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Total Cholesterol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5127AF1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SBP Not Treated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7A74CA7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SBP Treated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8716A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Smoker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7D217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Diabetic</w:t>
            </w:r>
          </w:p>
        </w:tc>
      </w:tr>
      <w:tr w:rsidR="00E87DC9" w:rsidRPr="00A84CE0" w14:paraId="05C979ED" w14:textId="77777777" w:rsidTr="00E92B94">
        <w:tc>
          <w:tcPr>
            <w:tcW w:w="846" w:type="dxa"/>
            <w:tcBorders>
              <w:bottom w:val="nil"/>
            </w:tcBorders>
          </w:tcPr>
          <w:p w14:paraId="110BE52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92" w:type="dxa"/>
            <w:tcBorders>
              <w:bottom w:val="nil"/>
            </w:tcBorders>
          </w:tcPr>
          <w:p w14:paraId="1062832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2E4F1AC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1276" w:type="dxa"/>
            <w:tcBorders>
              <w:bottom w:val="nil"/>
            </w:tcBorders>
          </w:tcPr>
          <w:p w14:paraId="2BC4394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14:paraId="21D6874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120</w:t>
            </w:r>
          </w:p>
        </w:tc>
        <w:tc>
          <w:tcPr>
            <w:tcW w:w="1125" w:type="dxa"/>
            <w:tcBorders>
              <w:bottom w:val="nil"/>
            </w:tcBorders>
          </w:tcPr>
          <w:p w14:paraId="3E11706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3E11508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94ACDE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5CCF0924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1D57214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A3C89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539DC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D9A3D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26FCEF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664B63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AF7B4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19333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232AF7D3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0D9E987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4B3C9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60F56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B43EC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160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8D811A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120-129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342A45E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120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C9848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ED999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E87DC9" w:rsidRPr="00A84CE0" w14:paraId="5908277C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427220A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5CBAE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7B2E4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AA0A2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160-199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5154E0F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130-139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0468F2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EE08C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D3BD0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0196F49D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28DFADB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1928D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41942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35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DC9AC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200-239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82A36C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140-159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685625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120-129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1B685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7EDAA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3053142D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1732EA8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5B049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CB32B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6648C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240-279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601C5E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160+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2D12107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130-139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0D6EE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640CF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E87DC9" w:rsidRPr="00A84CE0" w14:paraId="3FD3E1FD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7E39BE6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4A528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4C732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E9CFB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280+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DD3978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6969A26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140-159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896EB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6A308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03768815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3E917D0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755DE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9FB51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F3154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C847AD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316A7F5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160+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A3638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2EEE3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2F4C0CAC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754F530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307B9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01760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19598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08CADB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FF056B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3BFCB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59EFA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43452EB4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138EFA0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19B1D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C81E6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444B1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E015EC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259D3B8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0177F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643B5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5281F309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501D8EE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00E44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424AE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3FD12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F4804E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8F1318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056AB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DCFA7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442CE990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5E557C8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9651B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C9555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DC84A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DD92F5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FFAEDE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86B9E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97733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1EF04DAE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0A09239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A6148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6DF78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BEAFC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469E05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2CD0909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48F8E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80B6C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7759E503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03E0C2D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9F662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1FD5C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589EF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0D8212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E7BEB4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FE833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FC050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4D810D99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4EB3A49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BE227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3D723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52B3C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CC74A9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04860570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8B472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36204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4FD17DEE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6AF37D3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16E67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94547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7884D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E8DD80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2A5FBF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BFB74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E7E1E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50562512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32D903C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72CDD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14FCE8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B302E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784684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6DA0993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22F31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D50CB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29DE6083" w14:textId="77777777" w:rsidTr="00E92B94">
        <w:tc>
          <w:tcPr>
            <w:tcW w:w="846" w:type="dxa"/>
            <w:tcBorders>
              <w:top w:val="nil"/>
              <w:bottom w:val="nil"/>
            </w:tcBorders>
          </w:tcPr>
          <w:p w14:paraId="13D8F3C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0D547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75+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6E290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28DC8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6A182A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3D1E4FDB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EA62D1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DDD91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9" w:rsidRPr="00A84CE0" w14:paraId="0B1ED49D" w14:textId="77777777" w:rsidTr="00E92B94">
        <w:tc>
          <w:tcPr>
            <w:tcW w:w="846" w:type="dxa"/>
            <w:tcBorders>
              <w:top w:val="nil"/>
            </w:tcBorders>
          </w:tcPr>
          <w:p w14:paraId="53293F8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Points allotted</w:t>
            </w:r>
          </w:p>
        </w:tc>
        <w:tc>
          <w:tcPr>
            <w:tcW w:w="992" w:type="dxa"/>
            <w:tcBorders>
              <w:top w:val="nil"/>
            </w:tcBorders>
          </w:tcPr>
          <w:p w14:paraId="70780CB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88DACE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E2F696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14:paraId="7BEB201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14:paraId="063B928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6716CCF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8680F46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</w:tbl>
    <w:p w14:paraId="38CF38E4" w14:textId="77777777" w:rsidR="00E87DC9" w:rsidRPr="00A84CE0" w:rsidRDefault="00E87DC9" w:rsidP="00E87DC9">
      <w:pPr>
        <w:rPr>
          <w:rFonts w:ascii="Times New Roman" w:hAnsi="Times New Roman" w:cs="Times New Roman"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 xml:space="preserve">CVD Points for Women: 18 points = 21.5% Risk, </w:t>
      </w:r>
      <w:r w:rsidRPr="00A84CE0">
        <w:rPr>
          <w:rFonts w:ascii="Times New Roman" w:hAnsi="Times New Roman" w:cs="Times New Roman"/>
          <w:sz w:val="24"/>
          <w:szCs w:val="28"/>
        </w:rPr>
        <w:t>≥ 18 points employed as High predicted 10-year CVD risk</w:t>
      </w:r>
    </w:p>
    <w:p w14:paraId="00C662F7" w14:textId="77777777" w:rsidR="00E87DC9" w:rsidRPr="00A84CE0" w:rsidRDefault="00E87DC9" w:rsidP="00E87DC9">
      <w:pPr>
        <w:rPr>
          <w:rFonts w:ascii="Times New Roman" w:hAnsi="Times New Roman" w:cs="Times New Roman"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 xml:space="preserve">CVD Points for Men: 15 points = 21.6% Risk, </w:t>
      </w:r>
      <w:r w:rsidRPr="00A84CE0">
        <w:rPr>
          <w:rFonts w:ascii="Times New Roman" w:hAnsi="Times New Roman" w:cs="Times New Roman"/>
          <w:sz w:val="24"/>
          <w:szCs w:val="28"/>
        </w:rPr>
        <w:t>≥ 15 points employed as High predicted 10-year CVD risk</w:t>
      </w:r>
    </w:p>
    <w:p w14:paraId="55CF52EE" w14:textId="77777777" w:rsidR="00E87DC9" w:rsidRDefault="00E87DC9" w:rsidP="00E87DC9">
      <w:pPr>
        <w:rPr>
          <w:rFonts w:ascii="Times New Roman" w:hAnsi="Times New Roman" w:cs="Times New Roman"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>HDL: high-density lipoprotein cholesterol; SBP: systolic blood pressure</w:t>
      </w:r>
    </w:p>
    <w:p w14:paraId="0DAD4CF5" w14:textId="1448E659" w:rsidR="00E87DC9" w:rsidRDefault="00F523A0" w:rsidP="00F523A0">
      <w:pPr>
        <w:pStyle w:val="a4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</w:rPr>
        <w:t xml:space="preserve">1. </w:t>
      </w:r>
      <w:r w:rsidRPr="00E87DC9">
        <w:rPr>
          <w:rFonts w:ascii="Times New Roman" w:eastAsia="等线" w:hAnsi="Times New Roman" w:cs="Times New Roman"/>
          <w:sz w:val="24"/>
          <w:szCs w:val="24"/>
        </w:rPr>
        <w:t xml:space="preserve">D’Agostino RB, Vasan RS, Pencina MJ, et al. General cardiovascular risk profile for use in primary care: the Framingham Heart Study. </w:t>
      </w:r>
      <w:r w:rsidRPr="00E87DC9">
        <w:rPr>
          <w:rFonts w:ascii="Times New Roman" w:eastAsia="等线" w:hAnsi="Times New Roman" w:cs="Times New Roman"/>
          <w:i/>
          <w:iCs/>
          <w:sz w:val="24"/>
          <w:szCs w:val="24"/>
        </w:rPr>
        <w:t>Circulation</w:t>
      </w:r>
      <w:r w:rsidRPr="00E87DC9">
        <w:rPr>
          <w:rFonts w:ascii="Times New Roman" w:eastAsia="等线" w:hAnsi="Times New Roman" w:cs="Times New Roman"/>
          <w:sz w:val="24"/>
          <w:szCs w:val="24"/>
        </w:rPr>
        <w:t>. 2008;117(6):743-753. doi:10.1161/CIRCULATIONAHA.107.699579</w:t>
      </w:r>
    </w:p>
    <w:p w14:paraId="2B4F22DF" w14:textId="77777777" w:rsidR="00F523A0" w:rsidRPr="00F523A0" w:rsidRDefault="00F523A0" w:rsidP="00F523A0">
      <w:pPr>
        <w:rPr>
          <w:rFonts w:hint="eastAsia"/>
        </w:rPr>
      </w:pPr>
    </w:p>
    <w:p w14:paraId="4C6DFF70" w14:textId="4ED7B151" w:rsidR="00E87DC9" w:rsidRPr="00A84CE0" w:rsidRDefault="00E87DC9" w:rsidP="00E87DC9">
      <w:pPr>
        <w:rPr>
          <w:rFonts w:ascii="Times New Roman" w:hAnsi="Times New Roman" w:cs="Times New Roman"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>Table S</w:t>
      </w:r>
      <w:r w:rsidR="00854BFE">
        <w:rPr>
          <w:rFonts w:ascii="Times New Roman" w:hAnsi="Times New Roman" w:cs="Times New Roman" w:hint="eastAsia"/>
          <w:sz w:val="24"/>
          <w:szCs w:val="24"/>
        </w:rPr>
        <w:t>4</w:t>
      </w:r>
      <w:r w:rsidRPr="00A84CE0">
        <w:rPr>
          <w:rFonts w:ascii="Times New Roman" w:hAnsi="Times New Roman" w:cs="Times New Roman"/>
          <w:sz w:val="24"/>
          <w:szCs w:val="24"/>
        </w:rPr>
        <w:t xml:space="preserve"> CKD stages in KDIGO classification according to eGFR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543"/>
        <w:gridCol w:w="2552"/>
      </w:tblGrid>
      <w:tr w:rsidR="00E87DC9" w:rsidRPr="00A84CE0" w14:paraId="7094016D" w14:textId="77777777" w:rsidTr="00E92B94">
        <w:tc>
          <w:tcPr>
            <w:tcW w:w="988" w:type="dxa"/>
            <w:tcBorders>
              <w:bottom w:val="single" w:sz="4" w:space="0" w:color="auto"/>
            </w:tcBorders>
          </w:tcPr>
          <w:p w14:paraId="32ED3A8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1EA90B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EBF00F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8"/>
              </w:rPr>
              <w:t>eGFR (mL/min/1.73m</w:t>
            </w:r>
            <w:r w:rsidRPr="00A84CE0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r w:rsidRPr="00A84CE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E87DC9" w:rsidRPr="00A84CE0" w14:paraId="085E1EA9" w14:textId="77777777" w:rsidTr="00E92B94">
        <w:tc>
          <w:tcPr>
            <w:tcW w:w="988" w:type="dxa"/>
            <w:tcBorders>
              <w:bottom w:val="nil"/>
            </w:tcBorders>
          </w:tcPr>
          <w:p w14:paraId="7907B7AB" w14:textId="77777777" w:rsidR="00E87DC9" w:rsidRPr="00A84CE0" w:rsidRDefault="00E87DC9" w:rsidP="00383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G1</w:t>
            </w:r>
          </w:p>
        </w:tc>
        <w:tc>
          <w:tcPr>
            <w:tcW w:w="3543" w:type="dxa"/>
            <w:tcBorders>
              <w:bottom w:val="nil"/>
            </w:tcBorders>
          </w:tcPr>
          <w:p w14:paraId="381E0BBD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normal or high</w:t>
            </w:r>
          </w:p>
        </w:tc>
        <w:tc>
          <w:tcPr>
            <w:tcW w:w="2552" w:type="dxa"/>
            <w:tcBorders>
              <w:bottom w:val="nil"/>
            </w:tcBorders>
          </w:tcPr>
          <w:p w14:paraId="73B52BC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8"/>
              </w:rPr>
              <w:t>≥ 90</w:t>
            </w:r>
          </w:p>
        </w:tc>
      </w:tr>
      <w:tr w:rsidR="00E87DC9" w:rsidRPr="00A84CE0" w14:paraId="4138E689" w14:textId="77777777" w:rsidTr="00E92B94">
        <w:tc>
          <w:tcPr>
            <w:tcW w:w="988" w:type="dxa"/>
            <w:tcBorders>
              <w:top w:val="nil"/>
              <w:bottom w:val="nil"/>
            </w:tcBorders>
          </w:tcPr>
          <w:p w14:paraId="1DCADC17" w14:textId="77777777" w:rsidR="00E87DC9" w:rsidRPr="00A84CE0" w:rsidRDefault="00E87DC9" w:rsidP="00383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G2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0A6A15A8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mildly decreased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2CD8375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60-89</w:t>
            </w:r>
          </w:p>
        </w:tc>
      </w:tr>
      <w:tr w:rsidR="00E87DC9" w:rsidRPr="00A84CE0" w14:paraId="63771DEC" w14:textId="77777777" w:rsidTr="00E92B94">
        <w:tc>
          <w:tcPr>
            <w:tcW w:w="988" w:type="dxa"/>
            <w:tcBorders>
              <w:top w:val="nil"/>
              <w:bottom w:val="nil"/>
            </w:tcBorders>
          </w:tcPr>
          <w:p w14:paraId="3EF0F71A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G3a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3D447869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mildly to moderately decreased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6CC376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45-59</w:t>
            </w:r>
          </w:p>
        </w:tc>
      </w:tr>
      <w:tr w:rsidR="00E87DC9" w:rsidRPr="00A84CE0" w14:paraId="79CA4540" w14:textId="77777777" w:rsidTr="00E92B94">
        <w:tc>
          <w:tcPr>
            <w:tcW w:w="988" w:type="dxa"/>
            <w:tcBorders>
              <w:top w:val="nil"/>
              <w:bottom w:val="nil"/>
            </w:tcBorders>
          </w:tcPr>
          <w:p w14:paraId="6BC3D1F4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G3b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25A7B12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moderately to severely decreased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4303E1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30-44</w:t>
            </w:r>
          </w:p>
        </w:tc>
      </w:tr>
      <w:tr w:rsidR="00E87DC9" w:rsidRPr="00A84CE0" w14:paraId="79CC9CBB" w14:textId="77777777" w:rsidTr="00E92B94">
        <w:tc>
          <w:tcPr>
            <w:tcW w:w="988" w:type="dxa"/>
            <w:tcBorders>
              <w:top w:val="nil"/>
              <w:bottom w:val="nil"/>
            </w:tcBorders>
          </w:tcPr>
          <w:p w14:paraId="5FCFAD3F" w14:textId="77777777" w:rsidR="00E87DC9" w:rsidRPr="00A84CE0" w:rsidRDefault="00E87DC9" w:rsidP="00383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G4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3D36339C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severely decraesed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366CCD3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15-29</w:t>
            </w:r>
          </w:p>
        </w:tc>
      </w:tr>
      <w:tr w:rsidR="00E87DC9" w:rsidRPr="00A84CE0" w14:paraId="57F4C627" w14:textId="77777777" w:rsidTr="00E92B94">
        <w:tc>
          <w:tcPr>
            <w:tcW w:w="988" w:type="dxa"/>
            <w:tcBorders>
              <w:top w:val="nil"/>
            </w:tcBorders>
          </w:tcPr>
          <w:p w14:paraId="39A5A938" w14:textId="77777777" w:rsidR="00E87DC9" w:rsidRPr="00A84CE0" w:rsidRDefault="00E87DC9" w:rsidP="00383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G5</w:t>
            </w:r>
          </w:p>
        </w:tc>
        <w:tc>
          <w:tcPr>
            <w:tcW w:w="3543" w:type="dxa"/>
            <w:tcBorders>
              <w:top w:val="nil"/>
            </w:tcBorders>
          </w:tcPr>
          <w:p w14:paraId="2359A9C7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kidney failure</w:t>
            </w:r>
          </w:p>
        </w:tc>
        <w:tc>
          <w:tcPr>
            <w:tcW w:w="2552" w:type="dxa"/>
            <w:tcBorders>
              <w:top w:val="nil"/>
            </w:tcBorders>
          </w:tcPr>
          <w:p w14:paraId="41D3085E" w14:textId="77777777" w:rsidR="00E87DC9" w:rsidRPr="00A84CE0" w:rsidRDefault="00E87DC9" w:rsidP="00383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E0">
              <w:rPr>
                <w:rFonts w:ascii="Times New Roman" w:hAnsi="Times New Roman" w:cs="Times New Roman"/>
                <w:sz w:val="24"/>
                <w:szCs w:val="24"/>
              </w:rPr>
              <w:t>&lt; 15</w:t>
            </w:r>
          </w:p>
        </w:tc>
      </w:tr>
    </w:tbl>
    <w:p w14:paraId="6462B55C" w14:textId="77777777" w:rsidR="00E87DC9" w:rsidRDefault="00E87DC9" w:rsidP="00E87DC9">
      <w:pPr>
        <w:rPr>
          <w:rFonts w:ascii="Times New Roman" w:hAnsi="Times New Roman" w:cs="Times New Roman"/>
          <w:sz w:val="24"/>
          <w:szCs w:val="24"/>
        </w:rPr>
      </w:pPr>
      <w:r w:rsidRPr="00A84CE0">
        <w:rPr>
          <w:rFonts w:ascii="Times New Roman" w:hAnsi="Times New Roman" w:cs="Times New Roman"/>
          <w:sz w:val="24"/>
          <w:szCs w:val="24"/>
        </w:rPr>
        <w:t>KDIGO: The Kidney Disease: Improving Global Outcomes; eGFR: estimated glomerular filtration rate</w:t>
      </w:r>
    </w:p>
    <w:p w14:paraId="04D2D962" w14:textId="77777777" w:rsidR="00F523A0" w:rsidRPr="00E87DC9" w:rsidRDefault="00F523A0" w:rsidP="00F523A0">
      <w:pPr>
        <w:pStyle w:val="a4"/>
        <w:rPr>
          <w:rFonts w:ascii="Times New Roman" w:eastAsia="等线" w:hAnsi="Times New Roman" w:cs="Times New Roman"/>
          <w:sz w:val="24"/>
          <w:szCs w:val="24"/>
        </w:rPr>
      </w:pPr>
      <w:r w:rsidRPr="00E87DC9">
        <w:rPr>
          <w:rFonts w:ascii="Times New Roman" w:eastAsia="等线" w:hAnsi="Times New Roman" w:cs="Times New Roman"/>
          <w:sz w:val="24"/>
          <w:szCs w:val="24"/>
        </w:rPr>
        <w:t>1.</w:t>
      </w:r>
      <w:r w:rsidRPr="00E87DC9">
        <w:rPr>
          <w:rFonts w:ascii="Times New Roman" w:eastAsia="等线" w:hAnsi="Times New Roman" w:cs="Times New Roman"/>
          <w:sz w:val="24"/>
          <w:szCs w:val="24"/>
        </w:rPr>
        <w:tab/>
        <w:t xml:space="preserve">Ndumele CE, Rangaswami J, Chow SL, et al. Cardiovascular-Kidney-Metabolic Health: A Presidential Advisory From the American Heart Association. </w:t>
      </w:r>
      <w:r w:rsidRPr="00E87DC9">
        <w:rPr>
          <w:rFonts w:ascii="Times New Roman" w:eastAsia="等线" w:hAnsi="Times New Roman" w:cs="Times New Roman"/>
          <w:i/>
          <w:iCs/>
          <w:sz w:val="24"/>
          <w:szCs w:val="24"/>
        </w:rPr>
        <w:t>Circulation</w:t>
      </w:r>
      <w:r w:rsidRPr="00E87DC9">
        <w:rPr>
          <w:rFonts w:ascii="Times New Roman" w:eastAsia="等线" w:hAnsi="Times New Roman" w:cs="Times New Roman"/>
          <w:sz w:val="24"/>
          <w:szCs w:val="24"/>
        </w:rPr>
        <w:t>. 2023;148(20):1606-1635. doi:10.1161/CIR.0000000000001184</w:t>
      </w:r>
      <w:bookmarkEnd w:id="1"/>
    </w:p>
    <w:sectPr w:rsidR="00F523A0" w:rsidRPr="00E87DC9" w:rsidSect="00626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9273" w14:textId="77777777" w:rsidR="00A62CBF" w:rsidRDefault="00A62CBF" w:rsidP="007F3324">
      <w:pPr>
        <w:rPr>
          <w:rFonts w:hint="eastAsia"/>
        </w:rPr>
      </w:pPr>
      <w:r>
        <w:separator/>
      </w:r>
    </w:p>
  </w:endnote>
  <w:endnote w:type="continuationSeparator" w:id="0">
    <w:p w14:paraId="72349BAD" w14:textId="77777777" w:rsidR="00A62CBF" w:rsidRDefault="00A62CBF" w:rsidP="007F33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panose1 w:val="00000000000000000000"/>
    <w:charset w:val="00"/>
    <w:family w:val="roman"/>
    <w:notTrueType/>
    <w:pitch w:val="default"/>
  </w:font>
  <w:font w:name="Times New Roman Regular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2230" w14:textId="77777777" w:rsidR="00A62CBF" w:rsidRDefault="00A62CBF" w:rsidP="007F3324">
      <w:pPr>
        <w:rPr>
          <w:rFonts w:hint="eastAsia"/>
        </w:rPr>
      </w:pPr>
      <w:r>
        <w:separator/>
      </w:r>
    </w:p>
  </w:footnote>
  <w:footnote w:type="continuationSeparator" w:id="0">
    <w:p w14:paraId="6058639E" w14:textId="77777777" w:rsidR="00A62CBF" w:rsidRDefault="00A62CBF" w:rsidP="007F332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101F"/>
    <w:multiLevelType w:val="hybridMultilevel"/>
    <w:tmpl w:val="88DA7C74"/>
    <w:lvl w:ilvl="0" w:tplc="E72E6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F4C217D"/>
    <w:multiLevelType w:val="hybridMultilevel"/>
    <w:tmpl w:val="054EF0D0"/>
    <w:lvl w:ilvl="0" w:tplc="7FCC4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6073A68"/>
    <w:multiLevelType w:val="hybridMultilevel"/>
    <w:tmpl w:val="6222511E"/>
    <w:lvl w:ilvl="0" w:tplc="92B0D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05606806">
    <w:abstractNumId w:val="0"/>
  </w:num>
  <w:num w:numId="2" w16cid:durableId="2124297380">
    <w:abstractNumId w:val="1"/>
  </w:num>
  <w:num w:numId="3" w16cid:durableId="1471704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C9"/>
    <w:rsid w:val="00135C8E"/>
    <w:rsid w:val="001766FE"/>
    <w:rsid w:val="001A77D1"/>
    <w:rsid w:val="001D0E52"/>
    <w:rsid w:val="002550FA"/>
    <w:rsid w:val="00273A69"/>
    <w:rsid w:val="00291D62"/>
    <w:rsid w:val="00305555"/>
    <w:rsid w:val="003A5306"/>
    <w:rsid w:val="004367C8"/>
    <w:rsid w:val="004766BD"/>
    <w:rsid w:val="005450D8"/>
    <w:rsid w:val="00561BA9"/>
    <w:rsid w:val="005E6222"/>
    <w:rsid w:val="005F6F65"/>
    <w:rsid w:val="006262F5"/>
    <w:rsid w:val="00685E57"/>
    <w:rsid w:val="006A6D99"/>
    <w:rsid w:val="007242F7"/>
    <w:rsid w:val="007B39A3"/>
    <w:rsid w:val="007F3324"/>
    <w:rsid w:val="008256B4"/>
    <w:rsid w:val="00835172"/>
    <w:rsid w:val="00854BFE"/>
    <w:rsid w:val="009179E0"/>
    <w:rsid w:val="00A62CBF"/>
    <w:rsid w:val="00A6358D"/>
    <w:rsid w:val="00AB4E2E"/>
    <w:rsid w:val="00AD49BB"/>
    <w:rsid w:val="00AF3B7B"/>
    <w:rsid w:val="00BB1A7C"/>
    <w:rsid w:val="00CE24D1"/>
    <w:rsid w:val="00CF3F86"/>
    <w:rsid w:val="00D24676"/>
    <w:rsid w:val="00DE6091"/>
    <w:rsid w:val="00E05889"/>
    <w:rsid w:val="00E439E7"/>
    <w:rsid w:val="00E51F3C"/>
    <w:rsid w:val="00E87DC9"/>
    <w:rsid w:val="00E92B94"/>
    <w:rsid w:val="00EE6A2E"/>
    <w:rsid w:val="00F05F59"/>
    <w:rsid w:val="00F523A0"/>
    <w:rsid w:val="00F67F52"/>
    <w:rsid w:val="00FD0DD3"/>
    <w:rsid w:val="00FE0BE5"/>
    <w:rsid w:val="00F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763AB"/>
  <w15:chartTrackingRefBased/>
  <w15:docId w15:val="{DD7060D7-AFF3-4364-964C-658B0CEF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D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ibliography"/>
    <w:basedOn w:val="a"/>
    <w:next w:val="a"/>
    <w:uiPriority w:val="37"/>
    <w:unhideWhenUsed/>
    <w:rsid w:val="00E87DC9"/>
    <w:pPr>
      <w:tabs>
        <w:tab w:val="left" w:pos="264"/>
      </w:tabs>
      <w:spacing w:after="240"/>
      <w:ind w:left="264" w:hanging="264"/>
    </w:pPr>
  </w:style>
  <w:style w:type="paragraph" w:styleId="a5">
    <w:name w:val="header"/>
    <w:basedOn w:val="a"/>
    <w:link w:val="a6"/>
    <w:uiPriority w:val="99"/>
    <w:unhideWhenUsed/>
    <w:rsid w:val="007F33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F332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F3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F3324"/>
    <w:rPr>
      <w:sz w:val="18"/>
      <w:szCs w:val="18"/>
    </w:rPr>
  </w:style>
  <w:style w:type="paragraph" w:styleId="a9">
    <w:name w:val="List Paragraph"/>
    <w:basedOn w:val="a"/>
    <w:uiPriority w:val="34"/>
    <w:qFormat/>
    <w:rsid w:val="00F523A0"/>
    <w:pPr>
      <w:ind w:firstLineChars="200" w:firstLine="420"/>
    </w:pPr>
  </w:style>
  <w:style w:type="character" w:customStyle="1" w:styleId="font21">
    <w:name w:val="font21"/>
    <w:basedOn w:val="a0"/>
    <w:rsid w:val="00E05889"/>
    <w:rPr>
      <w:rFonts w:ascii="Times New Roman Bold" w:hAnsi="Times New Roman Bold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1">
    <w:name w:val="font11"/>
    <w:basedOn w:val="a0"/>
    <w:rsid w:val="00E05889"/>
    <w:rPr>
      <w:rFonts w:ascii="Times New Roman Regular" w:hAnsi="Times New Roman Regular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1081</Words>
  <Characters>6287</Characters>
  <Application>Microsoft Office Word</Application>
  <DocSecurity>0</DocSecurity>
  <Lines>785</Lines>
  <Paragraphs>320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宜静 辛</dc:creator>
  <cp:keywords/>
  <dc:description/>
  <cp:lastModifiedBy>宜静 辛</cp:lastModifiedBy>
  <cp:revision>6</cp:revision>
  <dcterms:created xsi:type="dcterms:W3CDTF">2025-07-11T02:59:00Z</dcterms:created>
  <dcterms:modified xsi:type="dcterms:W3CDTF">2025-07-11T03:19:00Z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id="k5IbFJnG"/&gt;&lt;style id="http://www.zotero.org/styles/american-medical-association" hasBibliography="1" bibliographyStyleHasBeenSet="1"/&gt;&lt;prefs&gt;&lt;pref name="fieldType" value="Field"/&gt;&lt;/prefs&gt;&lt;/data&gt;</vt:lpwstr>
  </property>
</Properties>
</file>