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D08048">
      <w:pPr>
        <w:spacing w:line="480" w:lineRule="auto"/>
        <w:jc w:val="center"/>
        <w:rPr>
          <w:rFonts w:hint="default" w:ascii="Times New Roman" w:hAnsi="Times New Roman" w:eastAsia="Times New Roman Uni" w:cs="Times New Roman"/>
          <w:b/>
          <w:bCs/>
          <w:color w:val="auto"/>
          <w:sz w:val="28"/>
          <w:szCs w:val="32"/>
        </w:rPr>
      </w:pPr>
      <w:r>
        <w:rPr>
          <w:rFonts w:hint="default" w:ascii="Times New Roman" w:hAnsi="Times New Roman" w:eastAsia="Times New Roman Uni" w:cs="Times New Roman"/>
          <w:b/>
          <w:bCs/>
          <w:color w:val="auto"/>
          <w:sz w:val="28"/>
          <w:szCs w:val="32"/>
        </w:rPr>
        <w:t>Supplemental Materials</w:t>
      </w:r>
    </w:p>
    <w:sdt>
      <w:sdtPr>
        <w:rPr>
          <w:rFonts w:hint="default" w:ascii="Times New Roman" w:hAnsi="Times New Roman" w:eastAsia="宋体" w:cs="Times New Roman"/>
          <w:color w:val="auto"/>
          <w:kern w:val="2"/>
          <w:sz w:val="21"/>
          <w:szCs w:val="22"/>
          <w:lang w:val="en-US" w:eastAsia="zh-CN" w:bidi="ar-SA"/>
          <w14:ligatures w14:val="standardContextual"/>
        </w:rPr>
        <w:id w:val="147466135"/>
        <w15:color w:val="DBDBDB"/>
        <w:docPartObj>
          <w:docPartGallery w:val="Table of Contents"/>
          <w:docPartUnique/>
        </w:docPartObj>
      </w:sdtPr>
      <w:sdtEndPr>
        <w:rPr>
          <w:rFonts w:hint="default" w:ascii="Times New Roman" w:hAnsi="Times New Roman" w:eastAsia="Times New Roman Uni" w:cs="Times New Roman"/>
          <w:bCs w:val="0"/>
          <w:color w:val="auto"/>
          <w:kern w:val="2"/>
          <w:sz w:val="21"/>
          <w:szCs w:val="32"/>
          <w:lang w:val="en-US" w:eastAsia="zh-CN" w:bidi="ar-SA"/>
          <w14:ligatures w14:val="standardContextual"/>
        </w:rPr>
      </w:sdtEndPr>
      <w:sdtContent>
        <w:p w14:paraId="3D5F4C35">
          <w:pPr>
            <w:spacing w:before="0" w:beforeLines="0" w:after="0" w:afterLines="0" w:line="480" w:lineRule="auto"/>
            <w:ind w:left="0" w:leftChars="0" w:right="0" w:rightChars="0" w:firstLine="0" w:firstLineChars="0"/>
            <w:jc w:val="left"/>
            <w:rPr>
              <w:rFonts w:hint="default" w:ascii="Times New Roman" w:hAnsi="Times New Roman" w:cs="Times New Roman"/>
              <w:color w:val="auto"/>
              <w:sz w:val="24"/>
              <w:szCs w:val="24"/>
            </w:rPr>
          </w:pPr>
        </w:p>
        <w:p w14:paraId="0A7A0929">
          <w:pPr>
            <w:pStyle w:val="13"/>
            <w:tabs>
              <w:tab w:val="right" w:leader="dot" w:pos="8306"/>
            </w:tabs>
            <w:spacing w:line="360" w:lineRule="auto"/>
            <w:jc w:val="left"/>
            <w:rPr>
              <w:rFonts w:hint="default" w:ascii="Times New Roman" w:hAnsi="Times New Roman" w:cs="Times New Roman"/>
              <w:color w:val="auto"/>
              <w:sz w:val="24"/>
              <w:szCs w:val="24"/>
            </w:rPr>
          </w:pPr>
          <w:r>
            <w:rPr>
              <w:rFonts w:hint="default" w:ascii="Times New Roman" w:hAnsi="Times New Roman" w:eastAsia="Times New Roman Uni" w:cs="Times New Roman"/>
              <w:b w:val="0"/>
              <w:bCs w:val="0"/>
              <w:color w:val="auto"/>
              <w:sz w:val="24"/>
              <w:szCs w:val="24"/>
            </w:rPr>
            <w:fldChar w:fldCharType="begin"/>
          </w:r>
          <w:r>
            <w:rPr>
              <w:rFonts w:hint="default" w:ascii="Times New Roman" w:hAnsi="Times New Roman" w:eastAsia="Times New Roman Uni" w:cs="Times New Roman"/>
              <w:b w:val="0"/>
              <w:bCs w:val="0"/>
              <w:color w:val="auto"/>
              <w:sz w:val="24"/>
              <w:szCs w:val="24"/>
            </w:rPr>
            <w:instrText xml:space="preserve">TOC \o "1-1" \h \u </w:instrText>
          </w:r>
          <w:r>
            <w:rPr>
              <w:rFonts w:hint="default" w:ascii="Times New Roman" w:hAnsi="Times New Roman" w:eastAsia="Times New Roman Uni" w:cs="Times New Roman"/>
              <w:b w:val="0"/>
              <w:bCs w:val="0"/>
              <w:color w:val="auto"/>
              <w:sz w:val="24"/>
              <w:szCs w:val="24"/>
            </w:rPr>
            <w:fldChar w:fldCharType="separate"/>
          </w:r>
          <w:r>
            <w:rPr>
              <w:rFonts w:hint="default" w:ascii="Times New Roman" w:hAnsi="Times New Roman" w:eastAsia="Times New Roman Uni" w:cs="Times New Roman"/>
              <w:b/>
              <w:bCs/>
              <w:color w:val="auto"/>
              <w:sz w:val="24"/>
              <w:szCs w:val="24"/>
            </w:rPr>
            <w:fldChar w:fldCharType="begin"/>
          </w:r>
          <w:r>
            <w:rPr>
              <w:rFonts w:hint="default" w:ascii="Times New Roman" w:hAnsi="Times New Roman" w:eastAsia="Times New Roman Uni" w:cs="Times New Roman"/>
              <w:b/>
              <w:bCs/>
              <w:color w:val="auto"/>
              <w:sz w:val="24"/>
              <w:szCs w:val="24"/>
            </w:rPr>
            <w:instrText xml:space="preserve"> HYPERLINK \l _Toc32420 </w:instrText>
          </w:r>
          <w:r>
            <w:rPr>
              <w:rFonts w:hint="default" w:ascii="Times New Roman" w:hAnsi="Times New Roman" w:eastAsia="Times New Roman Uni" w:cs="Times New Roman"/>
              <w:b/>
              <w:bCs/>
              <w:color w:val="auto"/>
              <w:sz w:val="24"/>
              <w:szCs w:val="24"/>
            </w:rPr>
            <w:fldChar w:fldCharType="separate"/>
          </w:r>
          <w:r>
            <w:rPr>
              <w:rFonts w:hint="default" w:ascii="Times New Roman" w:hAnsi="Times New Roman" w:cs="Times New Roman"/>
              <w:b/>
              <w:bCs/>
              <w:color w:val="auto"/>
              <w:sz w:val="24"/>
              <w:szCs w:val="24"/>
            </w:rPr>
            <w:t>Supplemental method</w:t>
          </w:r>
          <w:r>
            <w:rPr>
              <w:rFonts w:hint="default" w:ascii="Times New Roman" w:hAnsi="Times New Roman" w:cs="Times New Roman"/>
              <w:b/>
              <w:bCs/>
              <w:color w:val="auto"/>
              <w:sz w:val="24"/>
              <w:szCs w:val="24"/>
              <w:lang w:val="en-US" w:eastAsia="zh-CN"/>
            </w:rPr>
            <w:t>s</w:t>
          </w:r>
          <w:r>
            <w:rPr>
              <w:rFonts w:hint="default" w:ascii="Times New Roman" w:hAnsi="Times New Roman" w:cs="Times New Roman"/>
              <w:b/>
              <w:bCs/>
              <w:color w:val="auto"/>
              <w:sz w:val="24"/>
              <w:szCs w:val="24"/>
            </w:rPr>
            <w:t xml:space="preserve">. </w:t>
          </w:r>
          <w:r>
            <w:rPr>
              <w:rFonts w:hint="default" w:ascii="Times New Roman" w:hAnsi="Times New Roman" w:cs="Times New Roman"/>
              <w:b w:val="0"/>
              <w:bCs w:val="0"/>
              <w:color w:val="auto"/>
              <w:sz w:val="24"/>
              <w:szCs w:val="24"/>
            </w:rPr>
            <w:t>Definition of Metabolic Syndrome and Metabolically Healthy/Unhealthy Obesity</w:t>
          </w:r>
          <w:r>
            <w:rPr>
              <w:rFonts w:hint="default" w:ascii="Times New Roman" w:hAnsi="Times New Roman" w:cs="Times New Roman"/>
              <w:b w:val="0"/>
              <w:bCs w:val="0"/>
              <w:color w:val="auto"/>
              <w:sz w:val="24"/>
              <w:szCs w:val="24"/>
            </w:rPr>
            <w:tab/>
          </w:r>
          <w:r>
            <w:rPr>
              <w:rFonts w:hint="default" w:ascii="Times New Roman" w:hAnsi="Times New Roman" w:cs="Times New Roman"/>
              <w:b w:val="0"/>
              <w:bCs w:val="0"/>
              <w:color w:val="auto"/>
              <w:sz w:val="24"/>
              <w:szCs w:val="24"/>
            </w:rPr>
            <w:fldChar w:fldCharType="begin"/>
          </w:r>
          <w:r>
            <w:rPr>
              <w:rFonts w:hint="default" w:ascii="Times New Roman" w:hAnsi="Times New Roman" w:cs="Times New Roman"/>
              <w:b w:val="0"/>
              <w:bCs w:val="0"/>
              <w:color w:val="auto"/>
              <w:sz w:val="24"/>
              <w:szCs w:val="24"/>
            </w:rPr>
            <w:instrText xml:space="preserve"> PAGEREF _Toc32420 \h </w:instrText>
          </w:r>
          <w:r>
            <w:rPr>
              <w:rFonts w:hint="default" w:ascii="Times New Roman" w:hAnsi="Times New Roman" w:cs="Times New Roman"/>
              <w:b w:val="0"/>
              <w:bCs w:val="0"/>
              <w:color w:val="auto"/>
              <w:sz w:val="24"/>
              <w:szCs w:val="24"/>
            </w:rPr>
            <w:fldChar w:fldCharType="separate"/>
          </w:r>
          <w:r>
            <w:rPr>
              <w:rFonts w:hint="default" w:ascii="Times New Roman" w:hAnsi="Times New Roman" w:cs="Times New Roman"/>
              <w:b w:val="0"/>
              <w:bCs w:val="0"/>
              <w:color w:val="auto"/>
              <w:sz w:val="24"/>
              <w:szCs w:val="24"/>
            </w:rPr>
            <w:t>2</w:t>
          </w:r>
          <w:r>
            <w:rPr>
              <w:rFonts w:hint="default" w:ascii="Times New Roman" w:hAnsi="Times New Roman" w:cs="Times New Roman"/>
              <w:b w:val="0"/>
              <w:bCs w:val="0"/>
              <w:color w:val="auto"/>
              <w:sz w:val="24"/>
              <w:szCs w:val="24"/>
            </w:rPr>
            <w:fldChar w:fldCharType="end"/>
          </w:r>
          <w:r>
            <w:rPr>
              <w:rFonts w:hint="default" w:ascii="Times New Roman" w:hAnsi="Times New Roman" w:eastAsia="Times New Roman Uni" w:cs="Times New Roman"/>
              <w:b/>
              <w:bCs/>
              <w:color w:val="auto"/>
              <w:sz w:val="24"/>
              <w:szCs w:val="24"/>
            </w:rPr>
            <w:fldChar w:fldCharType="end"/>
          </w:r>
        </w:p>
        <w:p w14:paraId="08AD7629">
          <w:pPr>
            <w:pStyle w:val="13"/>
            <w:tabs>
              <w:tab w:val="right" w:leader="dot" w:pos="8306"/>
            </w:tabs>
            <w:spacing w:line="360" w:lineRule="auto"/>
            <w:jc w:val="left"/>
            <w:rPr>
              <w:rFonts w:hint="default" w:ascii="Times New Roman" w:hAnsi="Times New Roman" w:cs="Times New Roman"/>
              <w:color w:val="auto"/>
              <w:sz w:val="24"/>
              <w:szCs w:val="24"/>
            </w:rPr>
          </w:pPr>
          <w:r>
            <w:rPr>
              <w:rFonts w:hint="default" w:ascii="Times New Roman" w:hAnsi="Times New Roman" w:eastAsia="Times New Roman Uni" w:cs="Times New Roman"/>
              <w:bCs w:val="0"/>
              <w:color w:val="auto"/>
              <w:sz w:val="24"/>
              <w:szCs w:val="24"/>
            </w:rPr>
            <w:fldChar w:fldCharType="begin"/>
          </w:r>
          <w:r>
            <w:rPr>
              <w:rFonts w:hint="default" w:ascii="Times New Roman" w:hAnsi="Times New Roman" w:eastAsia="Times New Roman Uni" w:cs="Times New Roman"/>
              <w:bCs w:val="0"/>
              <w:color w:val="auto"/>
              <w:sz w:val="24"/>
              <w:szCs w:val="24"/>
            </w:rPr>
            <w:instrText xml:space="preserve"> HYPERLINK \l _Toc25293 </w:instrText>
          </w:r>
          <w:r>
            <w:rPr>
              <w:rFonts w:hint="default" w:ascii="Times New Roman" w:hAnsi="Times New Roman" w:eastAsia="Times New Roman Uni" w:cs="Times New Roman"/>
              <w:bCs w:val="0"/>
              <w:color w:val="auto"/>
              <w:sz w:val="24"/>
              <w:szCs w:val="24"/>
            </w:rPr>
            <w:fldChar w:fldCharType="separate"/>
          </w:r>
          <w:r>
            <w:rPr>
              <w:rFonts w:hint="default" w:ascii="Times New Roman" w:hAnsi="Times New Roman" w:cs="Times New Roman"/>
              <w:b/>
              <w:bCs w:val="0"/>
              <w:color w:val="auto"/>
              <w:sz w:val="24"/>
              <w:szCs w:val="24"/>
              <w:lang w:val="en-US" w:eastAsia="zh-CN"/>
            </w:rPr>
            <w:t>T</w:t>
          </w:r>
          <w:r>
            <w:rPr>
              <w:rFonts w:hint="default" w:ascii="Times New Roman" w:hAnsi="Times New Roman" w:cs="Times New Roman"/>
              <w:b/>
              <w:bCs w:val="0"/>
              <w:color w:val="auto"/>
              <w:sz w:val="24"/>
              <w:szCs w:val="24"/>
            </w:rPr>
            <w:t xml:space="preserve">able </w:t>
          </w:r>
          <w:r>
            <w:rPr>
              <w:rFonts w:hint="default" w:ascii="Times New Roman" w:hAnsi="Times New Roman" w:cs="Times New Roman"/>
              <w:b/>
              <w:bCs w:val="0"/>
              <w:color w:val="auto"/>
              <w:sz w:val="24"/>
              <w:szCs w:val="24"/>
              <w:lang w:val="en-US" w:eastAsia="zh-CN"/>
            </w:rPr>
            <w:t>S1.</w:t>
          </w:r>
          <w:r>
            <w:rPr>
              <w:rFonts w:hint="default" w:ascii="Times New Roman" w:hAnsi="Times New Roman" w:cs="Times New Roman"/>
              <w:bCs/>
              <w:color w:val="auto"/>
              <w:sz w:val="24"/>
              <w:szCs w:val="24"/>
              <w:lang w:val="en-US" w:eastAsia="zh-CN"/>
            </w:rPr>
            <w:t xml:space="preserve"> Sex Differences in </w:t>
          </w:r>
          <w:r>
            <w:rPr>
              <w:rFonts w:hint="default" w:ascii="Times New Roman" w:hAnsi="Times New Roman" w:eastAsia="等线 Light" w:cs="Times New Roman"/>
              <w:bCs/>
              <w:color w:val="auto"/>
              <w:sz w:val="24"/>
              <w:szCs w:val="24"/>
              <w:lang w:val="en-US"/>
            </w:rPr>
            <w:t xml:space="preserve">the </w:t>
          </w:r>
          <w:r>
            <w:rPr>
              <w:rFonts w:hint="default" w:ascii="Times New Roman" w:hAnsi="Times New Roman" w:cs="Times New Roman"/>
              <w:bCs/>
              <w:color w:val="auto"/>
              <w:sz w:val="24"/>
              <w:szCs w:val="24"/>
              <w:lang w:val="en-US" w:eastAsia="zh-CN"/>
            </w:rPr>
            <w:t>Five Metabolic Indices among Adolescents, Stratified by Age Groups</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_Toc25293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5</w:t>
          </w:r>
          <w:r>
            <w:rPr>
              <w:rFonts w:hint="default" w:ascii="Times New Roman" w:hAnsi="Times New Roman" w:cs="Times New Roman"/>
              <w:color w:val="auto"/>
              <w:sz w:val="24"/>
              <w:szCs w:val="24"/>
            </w:rPr>
            <w:fldChar w:fldCharType="end"/>
          </w:r>
          <w:r>
            <w:rPr>
              <w:rFonts w:hint="default" w:ascii="Times New Roman" w:hAnsi="Times New Roman" w:eastAsia="Times New Roman Uni" w:cs="Times New Roman"/>
              <w:bCs w:val="0"/>
              <w:color w:val="auto"/>
              <w:sz w:val="24"/>
              <w:szCs w:val="24"/>
            </w:rPr>
            <w:fldChar w:fldCharType="end"/>
          </w:r>
        </w:p>
        <w:p w14:paraId="073924A8">
          <w:pPr>
            <w:pStyle w:val="13"/>
            <w:tabs>
              <w:tab w:val="right" w:leader="dot" w:pos="8306"/>
            </w:tabs>
            <w:spacing w:line="360" w:lineRule="auto"/>
            <w:jc w:val="left"/>
            <w:rPr>
              <w:rFonts w:hint="default" w:ascii="Times New Roman" w:hAnsi="Times New Roman" w:cs="Times New Roman"/>
              <w:color w:val="auto"/>
              <w:sz w:val="24"/>
              <w:szCs w:val="24"/>
            </w:rPr>
          </w:pPr>
          <w:r>
            <w:rPr>
              <w:rFonts w:hint="default" w:ascii="Times New Roman" w:hAnsi="Times New Roman" w:eastAsia="Times New Roman Uni" w:cs="Times New Roman"/>
              <w:bCs w:val="0"/>
              <w:color w:val="auto"/>
              <w:sz w:val="24"/>
              <w:szCs w:val="24"/>
            </w:rPr>
            <w:fldChar w:fldCharType="begin"/>
          </w:r>
          <w:r>
            <w:rPr>
              <w:rFonts w:hint="default" w:ascii="Times New Roman" w:hAnsi="Times New Roman" w:eastAsia="Times New Roman Uni" w:cs="Times New Roman"/>
              <w:bCs w:val="0"/>
              <w:color w:val="auto"/>
              <w:sz w:val="24"/>
              <w:szCs w:val="24"/>
            </w:rPr>
            <w:instrText xml:space="preserve"> HYPERLINK \l _Toc16902 </w:instrText>
          </w:r>
          <w:r>
            <w:rPr>
              <w:rFonts w:hint="default" w:ascii="Times New Roman" w:hAnsi="Times New Roman" w:eastAsia="Times New Roman Uni" w:cs="Times New Roman"/>
              <w:bCs w:val="0"/>
              <w:color w:val="auto"/>
              <w:sz w:val="24"/>
              <w:szCs w:val="24"/>
            </w:rPr>
            <w:fldChar w:fldCharType="separate"/>
          </w:r>
          <w:r>
            <w:rPr>
              <w:rFonts w:hint="default" w:ascii="Times New Roman" w:hAnsi="Times New Roman" w:cs="Times New Roman"/>
              <w:b/>
              <w:bCs w:val="0"/>
              <w:color w:val="auto"/>
              <w:sz w:val="24"/>
              <w:szCs w:val="24"/>
              <w:lang w:val="en-US" w:eastAsia="zh-CN"/>
            </w:rPr>
            <w:t>T</w:t>
          </w:r>
          <w:r>
            <w:rPr>
              <w:rFonts w:hint="default" w:ascii="Times New Roman" w:hAnsi="Times New Roman" w:cs="Times New Roman"/>
              <w:b/>
              <w:bCs w:val="0"/>
              <w:color w:val="auto"/>
              <w:sz w:val="24"/>
              <w:szCs w:val="24"/>
            </w:rPr>
            <w:t>able</w:t>
          </w:r>
          <w:r>
            <w:rPr>
              <w:rFonts w:hint="default" w:ascii="Times New Roman" w:hAnsi="Times New Roman" w:cs="Times New Roman"/>
              <w:b/>
              <w:bCs w:val="0"/>
              <w:color w:val="auto"/>
              <w:sz w:val="24"/>
              <w:szCs w:val="24"/>
              <w:lang w:val="en-US" w:eastAsia="zh-CN"/>
            </w:rPr>
            <w:t xml:space="preserve"> S2.</w:t>
          </w:r>
          <w:r>
            <w:rPr>
              <w:rFonts w:hint="default" w:ascii="Times New Roman" w:hAnsi="Times New Roman" w:cs="Times New Roman"/>
              <w:bCs/>
              <w:color w:val="auto"/>
              <w:sz w:val="24"/>
              <w:szCs w:val="24"/>
              <w:lang w:val="en-US" w:eastAsia="zh-CN"/>
            </w:rPr>
            <w:t xml:space="preserve"> Sex Differences in </w:t>
          </w:r>
          <w:r>
            <w:rPr>
              <w:rFonts w:hint="default" w:ascii="Times New Roman" w:hAnsi="Times New Roman" w:eastAsia="等线 Light" w:cs="Times New Roman"/>
              <w:bCs/>
              <w:color w:val="auto"/>
              <w:sz w:val="24"/>
              <w:szCs w:val="24"/>
              <w:lang w:val="en-US"/>
            </w:rPr>
            <w:t xml:space="preserve">the </w:t>
          </w:r>
          <w:r>
            <w:rPr>
              <w:rFonts w:hint="default" w:ascii="Times New Roman" w:hAnsi="Times New Roman" w:cs="Times New Roman"/>
              <w:bCs/>
              <w:color w:val="auto"/>
              <w:sz w:val="24"/>
              <w:szCs w:val="24"/>
              <w:lang w:val="en-US" w:eastAsia="zh-CN"/>
            </w:rPr>
            <w:t xml:space="preserve">Five Metabolic Indices under Multiple Definition </w:t>
          </w:r>
          <w:bookmarkStart w:id="26" w:name="_GoBack"/>
          <w:r>
            <w:rPr>
              <w:rFonts w:hint="default" w:ascii="Times New Roman" w:hAnsi="Times New Roman" w:cs="Times New Roman"/>
              <w:bCs/>
              <w:color w:val="auto"/>
              <w:sz w:val="24"/>
              <w:szCs w:val="24"/>
              <w:lang w:val="en-US" w:eastAsia="zh-CN"/>
            </w:rPr>
            <w:t>Standards</w:t>
          </w:r>
          <w:bookmarkEnd w:id="26"/>
          <w:r>
            <w:rPr>
              <w:rFonts w:hint="default" w:ascii="Times New Roman" w:hAnsi="Times New Roman" w:cs="Times New Roman"/>
              <w:bCs/>
              <w:color w:val="auto"/>
              <w:sz w:val="24"/>
              <w:szCs w:val="24"/>
              <w:lang w:val="en-US" w:eastAsia="zh-CN"/>
            </w:rPr>
            <w:t>, Stratified by BMI Categories</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_Toc16902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7</w:t>
          </w:r>
          <w:r>
            <w:rPr>
              <w:rFonts w:hint="default" w:ascii="Times New Roman" w:hAnsi="Times New Roman" w:cs="Times New Roman"/>
              <w:color w:val="auto"/>
              <w:sz w:val="24"/>
              <w:szCs w:val="24"/>
            </w:rPr>
            <w:fldChar w:fldCharType="end"/>
          </w:r>
          <w:r>
            <w:rPr>
              <w:rFonts w:hint="default" w:ascii="Times New Roman" w:hAnsi="Times New Roman" w:eastAsia="Times New Roman Uni" w:cs="Times New Roman"/>
              <w:bCs w:val="0"/>
              <w:color w:val="auto"/>
              <w:sz w:val="24"/>
              <w:szCs w:val="24"/>
            </w:rPr>
            <w:fldChar w:fldCharType="end"/>
          </w:r>
        </w:p>
        <w:p w14:paraId="23D73B5A">
          <w:pPr>
            <w:pStyle w:val="13"/>
            <w:tabs>
              <w:tab w:val="right" w:leader="dot" w:pos="8306"/>
            </w:tabs>
            <w:spacing w:line="360" w:lineRule="auto"/>
            <w:jc w:val="left"/>
            <w:rPr>
              <w:rFonts w:hint="default" w:ascii="Times New Roman" w:hAnsi="Times New Roman" w:cs="Times New Roman"/>
              <w:color w:val="auto"/>
              <w:sz w:val="24"/>
              <w:szCs w:val="24"/>
            </w:rPr>
          </w:pPr>
          <w:r>
            <w:rPr>
              <w:rFonts w:hint="default" w:ascii="Times New Roman" w:hAnsi="Times New Roman" w:eastAsia="Times New Roman Uni" w:cs="Times New Roman"/>
              <w:bCs w:val="0"/>
              <w:color w:val="auto"/>
              <w:sz w:val="24"/>
              <w:szCs w:val="24"/>
            </w:rPr>
            <w:fldChar w:fldCharType="begin"/>
          </w:r>
          <w:r>
            <w:rPr>
              <w:rFonts w:hint="default" w:ascii="Times New Roman" w:hAnsi="Times New Roman" w:eastAsia="Times New Roman Uni" w:cs="Times New Roman"/>
              <w:bCs w:val="0"/>
              <w:color w:val="auto"/>
              <w:sz w:val="24"/>
              <w:szCs w:val="24"/>
            </w:rPr>
            <w:instrText xml:space="preserve"> HYPERLINK \l _Toc3380 </w:instrText>
          </w:r>
          <w:r>
            <w:rPr>
              <w:rFonts w:hint="default" w:ascii="Times New Roman" w:hAnsi="Times New Roman" w:eastAsia="Times New Roman Uni" w:cs="Times New Roman"/>
              <w:bCs w:val="0"/>
              <w:color w:val="auto"/>
              <w:sz w:val="24"/>
              <w:szCs w:val="24"/>
            </w:rPr>
            <w:fldChar w:fldCharType="separate"/>
          </w:r>
          <w:r>
            <w:rPr>
              <w:rFonts w:hint="default" w:ascii="Times New Roman" w:hAnsi="Times New Roman" w:cs="Times New Roman"/>
              <w:b/>
              <w:bCs w:val="0"/>
              <w:color w:val="auto"/>
              <w:sz w:val="24"/>
              <w:szCs w:val="24"/>
              <w:lang w:val="en-US" w:eastAsia="zh-CN"/>
            </w:rPr>
            <w:t>Table S3.</w:t>
          </w:r>
          <w:r>
            <w:rPr>
              <w:rFonts w:hint="default" w:ascii="Times New Roman" w:hAnsi="Times New Roman" w:cs="Times New Roman"/>
              <w:bCs/>
              <w:color w:val="auto"/>
              <w:sz w:val="24"/>
              <w:szCs w:val="24"/>
              <w:lang w:val="en-US" w:eastAsia="zh-CN"/>
            </w:rPr>
            <w:t xml:space="preserve"> Prevalence and Sex Disparities of Metabolic Syndrome in Adolescents across Different Definition Criteria</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_Toc3380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9</w:t>
          </w:r>
          <w:r>
            <w:rPr>
              <w:rFonts w:hint="default" w:ascii="Times New Roman" w:hAnsi="Times New Roman" w:cs="Times New Roman"/>
              <w:color w:val="auto"/>
              <w:sz w:val="24"/>
              <w:szCs w:val="24"/>
            </w:rPr>
            <w:fldChar w:fldCharType="end"/>
          </w:r>
          <w:r>
            <w:rPr>
              <w:rFonts w:hint="default" w:ascii="Times New Roman" w:hAnsi="Times New Roman" w:eastAsia="Times New Roman Uni" w:cs="Times New Roman"/>
              <w:bCs w:val="0"/>
              <w:color w:val="auto"/>
              <w:sz w:val="24"/>
              <w:szCs w:val="24"/>
            </w:rPr>
            <w:fldChar w:fldCharType="end"/>
          </w:r>
        </w:p>
        <w:p w14:paraId="75AE2CB7">
          <w:pPr>
            <w:pStyle w:val="13"/>
            <w:tabs>
              <w:tab w:val="right" w:leader="dot" w:pos="8306"/>
            </w:tabs>
            <w:spacing w:line="360" w:lineRule="auto"/>
            <w:jc w:val="left"/>
            <w:rPr>
              <w:rFonts w:hint="default" w:ascii="Times New Roman" w:hAnsi="Times New Roman" w:cs="Times New Roman"/>
              <w:color w:val="auto"/>
              <w:sz w:val="24"/>
              <w:szCs w:val="24"/>
            </w:rPr>
          </w:pPr>
          <w:r>
            <w:rPr>
              <w:rFonts w:hint="default" w:ascii="Times New Roman" w:hAnsi="Times New Roman" w:eastAsia="Times New Roman Uni" w:cs="Times New Roman"/>
              <w:bCs w:val="0"/>
              <w:color w:val="auto"/>
              <w:sz w:val="24"/>
              <w:szCs w:val="24"/>
            </w:rPr>
            <w:fldChar w:fldCharType="begin"/>
          </w:r>
          <w:r>
            <w:rPr>
              <w:rFonts w:hint="default" w:ascii="Times New Roman" w:hAnsi="Times New Roman" w:eastAsia="Times New Roman Uni" w:cs="Times New Roman"/>
              <w:bCs w:val="0"/>
              <w:color w:val="auto"/>
              <w:sz w:val="24"/>
              <w:szCs w:val="24"/>
            </w:rPr>
            <w:instrText xml:space="preserve"> HYPERLINK \l _Toc3405 </w:instrText>
          </w:r>
          <w:r>
            <w:rPr>
              <w:rFonts w:hint="default" w:ascii="Times New Roman" w:hAnsi="Times New Roman" w:eastAsia="Times New Roman Uni" w:cs="Times New Roman"/>
              <w:bCs w:val="0"/>
              <w:color w:val="auto"/>
              <w:sz w:val="24"/>
              <w:szCs w:val="24"/>
            </w:rPr>
            <w:fldChar w:fldCharType="separate"/>
          </w:r>
          <w:r>
            <w:rPr>
              <w:rFonts w:hint="default" w:ascii="Times New Roman" w:hAnsi="Times New Roman" w:cs="Times New Roman"/>
              <w:b/>
              <w:bCs w:val="0"/>
              <w:color w:val="auto"/>
              <w:sz w:val="24"/>
              <w:szCs w:val="24"/>
              <w:lang w:val="en-US" w:eastAsia="zh-CN"/>
            </w:rPr>
            <w:t>Table S4.</w:t>
          </w:r>
          <w:r>
            <w:rPr>
              <w:rFonts w:hint="default" w:ascii="Times New Roman" w:hAnsi="Times New Roman" w:cs="Times New Roman"/>
              <w:bCs/>
              <w:color w:val="auto"/>
              <w:sz w:val="24"/>
              <w:szCs w:val="24"/>
              <w:lang w:val="en-US" w:eastAsia="zh-CN"/>
            </w:rPr>
            <w:t xml:space="preserve"> Sex Differences in the Metabolic Phenotype among Adolescents</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_Toc3405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11</w:t>
          </w:r>
          <w:r>
            <w:rPr>
              <w:rFonts w:hint="default" w:ascii="Times New Roman" w:hAnsi="Times New Roman" w:cs="Times New Roman"/>
              <w:color w:val="auto"/>
              <w:sz w:val="24"/>
              <w:szCs w:val="24"/>
            </w:rPr>
            <w:fldChar w:fldCharType="end"/>
          </w:r>
          <w:r>
            <w:rPr>
              <w:rFonts w:hint="default" w:ascii="Times New Roman" w:hAnsi="Times New Roman" w:eastAsia="Times New Roman Uni" w:cs="Times New Roman"/>
              <w:bCs w:val="0"/>
              <w:color w:val="auto"/>
              <w:sz w:val="24"/>
              <w:szCs w:val="24"/>
            </w:rPr>
            <w:fldChar w:fldCharType="end"/>
          </w:r>
        </w:p>
        <w:p w14:paraId="77514787">
          <w:pPr>
            <w:pStyle w:val="13"/>
            <w:tabs>
              <w:tab w:val="right" w:leader="dot" w:pos="8306"/>
            </w:tabs>
            <w:spacing w:line="360" w:lineRule="auto"/>
            <w:jc w:val="left"/>
            <w:rPr>
              <w:rFonts w:hint="default" w:ascii="Times New Roman" w:hAnsi="Times New Roman" w:cs="Times New Roman"/>
              <w:color w:val="auto"/>
              <w:sz w:val="24"/>
              <w:szCs w:val="24"/>
            </w:rPr>
          </w:pPr>
          <w:r>
            <w:rPr>
              <w:rFonts w:hint="default" w:ascii="Times New Roman" w:hAnsi="Times New Roman" w:eastAsia="Times New Roman Uni" w:cs="Times New Roman"/>
              <w:bCs w:val="0"/>
              <w:color w:val="auto"/>
              <w:sz w:val="24"/>
              <w:szCs w:val="24"/>
            </w:rPr>
            <w:fldChar w:fldCharType="begin"/>
          </w:r>
          <w:r>
            <w:rPr>
              <w:rFonts w:hint="default" w:ascii="Times New Roman" w:hAnsi="Times New Roman" w:eastAsia="Times New Roman Uni" w:cs="Times New Roman"/>
              <w:bCs w:val="0"/>
              <w:color w:val="auto"/>
              <w:sz w:val="24"/>
              <w:szCs w:val="24"/>
            </w:rPr>
            <w:instrText xml:space="preserve"> HYPERLINK \l _Toc21383 </w:instrText>
          </w:r>
          <w:r>
            <w:rPr>
              <w:rFonts w:hint="default" w:ascii="Times New Roman" w:hAnsi="Times New Roman" w:eastAsia="Times New Roman Uni" w:cs="Times New Roman"/>
              <w:bCs w:val="0"/>
              <w:color w:val="auto"/>
              <w:sz w:val="24"/>
              <w:szCs w:val="24"/>
            </w:rPr>
            <w:fldChar w:fldCharType="separate"/>
          </w:r>
          <w:r>
            <w:rPr>
              <w:rFonts w:hint="default" w:ascii="Times New Roman" w:hAnsi="Times New Roman" w:cs="Times New Roman"/>
              <w:b/>
              <w:bCs w:val="0"/>
              <w:color w:val="auto"/>
              <w:sz w:val="24"/>
              <w:szCs w:val="24"/>
              <w:lang w:val="en-US" w:eastAsia="zh-CN"/>
            </w:rPr>
            <w:t>Table S5.</w:t>
          </w:r>
          <w:r>
            <w:rPr>
              <w:rFonts w:hint="default" w:ascii="Times New Roman" w:hAnsi="Times New Roman" w:cs="Times New Roman"/>
              <w:bCs/>
              <w:color w:val="auto"/>
              <w:sz w:val="24"/>
              <w:szCs w:val="24"/>
              <w:lang w:val="en-US" w:eastAsia="zh-CN"/>
            </w:rPr>
            <w:t xml:space="preserve"> Prevalence and Sex Disparities of Metabolic Syndrome in Adolescents When AO was Defined as WHtR≥0.5</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_Toc21383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12</w:t>
          </w:r>
          <w:r>
            <w:rPr>
              <w:rFonts w:hint="default" w:ascii="Times New Roman" w:hAnsi="Times New Roman" w:cs="Times New Roman"/>
              <w:color w:val="auto"/>
              <w:sz w:val="24"/>
              <w:szCs w:val="24"/>
            </w:rPr>
            <w:fldChar w:fldCharType="end"/>
          </w:r>
          <w:r>
            <w:rPr>
              <w:rFonts w:hint="default" w:ascii="Times New Roman" w:hAnsi="Times New Roman" w:eastAsia="Times New Roman Uni" w:cs="Times New Roman"/>
              <w:bCs w:val="0"/>
              <w:color w:val="auto"/>
              <w:sz w:val="24"/>
              <w:szCs w:val="24"/>
            </w:rPr>
            <w:fldChar w:fldCharType="end"/>
          </w:r>
        </w:p>
        <w:p w14:paraId="7F75D403">
          <w:pPr>
            <w:pStyle w:val="13"/>
            <w:tabs>
              <w:tab w:val="right" w:leader="dot" w:pos="8306"/>
            </w:tabs>
            <w:spacing w:line="360" w:lineRule="auto"/>
            <w:jc w:val="left"/>
            <w:rPr>
              <w:rFonts w:hint="default" w:ascii="Times New Roman" w:hAnsi="Times New Roman" w:cs="Times New Roman"/>
              <w:color w:val="auto"/>
              <w:sz w:val="24"/>
              <w:szCs w:val="24"/>
            </w:rPr>
          </w:pPr>
          <w:r>
            <w:rPr>
              <w:rFonts w:hint="default" w:ascii="Times New Roman" w:hAnsi="Times New Roman" w:eastAsia="Times New Roman Uni" w:cs="Times New Roman"/>
              <w:bCs w:val="0"/>
              <w:color w:val="auto"/>
              <w:sz w:val="24"/>
              <w:szCs w:val="24"/>
            </w:rPr>
            <w:fldChar w:fldCharType="begin"/>
          </w:r>
          <w:r>
            <w:rPr>
              <w:rFonts w:hint="default" w:ascii="Times New Roman" w:hAnsi="Times New Roman" w:eastAsia="Times New Roman Uni" w:cs="Times New Roman"/>
              <w:bCs w:val="0"/>
              <w:color w:val="auto"/>
              <w:sz w:val="24"/>
              <w:szCs w:val="24"/>
            </w:rPr>
            <w:instrText xml:space="preserve"> HYPERLINK \l _Toc11006 </w:instrText>
          </w:r>
          <w:r>
            <w:rPr>
              <w:rFonts w:hint="default" w:ascii="Times New Roman" w:hAnsi="Times New Roman" w:eastAsia="Times New Roman Uni" w:cs="Times New Roman"/>
              <w:bCs w:val="0"/>
              <w:color w:val="auto"/>
              <w:sz w:val="24"/>
              <w:szCs w:val="24"/>
            </w:rPr>
            <w:fldChar w:fldCharType="separate"/>
          </w:r>
          <w:r>
            <w:rPr>
              <w:rFonts w:hint="default" w:ascii="Times New Roman" w:hAnsi="Times New Roman" w:cs="Times New Roman"/>
              <w:b/>
              <w:bCs w:val="0"/>
              <w:color w:val="auto"/>
              <w:sz w:val="24"/>
              <w:szCs w:val="24"/>
              <w:lang w:val="en-US" w:eastAsia="zh-CN"/>
            </w:rPr>
            <w:t>Table S6.</w:t>
          </w:r>
          <w:r>
            <w:rPr>
              <w:rFonts w:hint="default" w:ascii="Times New Roman" w:hAnsi="Times New Roman" w:cs="Times New Roman"/>
              <w:bCs/>
              <w:color w:val="auto"/>
              <w:sz w:val="24"/>
              <w:szCs w:val="24"/>
              <w:lang w:val="en-US" w:eastAsia="zh-CN"/>
            </w:rPr>
            <w:t xml:space="preserve"> Criteria and Prevalence of Metabolic Syndrome among Adolescents in Previous Studies</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_Toc11006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13</w:t>
          </w:r>
          <w:r>
            <w:rPr>
              <w:rFonts w:hint="default" w:ascii="Times New Roman" w:hAnsi="Times New Roman" w:cs="Times New Roman"/>
              <w:color w:val="auto"/>
              <w:sz w:val="24"/>
              <w:szCs w:val="24"/>
            </w:rPr>
            <w:fldChar w:fldCharType="end"/>
          </w:r>
          <w:r>
            <w:rPr>
              <w:rFonts w:hint="default" w:ascii="Times New Roman" w:hAnsi="Times New Roman" w:eastAsia="Times New Roman Uni" w:cs="Times New Roman"/>
              <w:bCs w:val="0"/>
              <w:color w:val="auto"/>
              <w:sz w:val="24"/>
              <w:szCs w:val="24"/>
            </w:rPr>
            <w:fldChar w:fldCharType="end"/>
          </w:r>
        </w:p>
        <w:p w14:paraId="22D0EA47">
          <w:pPr>
            <w:pStyle w:val="13"/>
            <w:tabs>
              <w:tab w:val="right" w:leader="dot" w:pos="8306"/>
            </w:tabs>
            <w:spacing w:line="360" w:lineRule="auto"/>
            <w:jc w:val="left"/>
            <w:rPr>
              <w:rFonts w:hint="default" w:ascii="Times New Roman" w:hAnsi="Times New Roman" w:cs="Times New Roman"/>
              <w:color w:val="auto"/>
              <w:sz w:val="24"/>
              <w:szCs w:val="24"/>
            </w:rPr>
          </w:pPr>
          <w:r>
            <w:rPr>
              <w:rFonts w:hint="default" w:ascii="Times New Roman" w:hAnsi="Times New Roman" w:eastAsia="Times New Roman Uni" w:cs="Times New Roman"/>
              <w:bCs w:val="0"/>
              <w:color w:val="auto"/>
              <w:sz w:val="24"/>
              <w:szCs w:val="24"/>
            </w:rPr>
            <w:fldChar w:fldCharType="begin"/>
          </w:r>
          <w:r>
            <w:rPr>
              <w:rFonts w:hint="default" w:ascii="Times New Roman" w:hAnsi="Times New Roman" w:eastAsia="Times New Roman Uni" w:cs="Times New Roman"/>
              <w:bCs w:val="0"/>
              <w:color w:val="auto"/>
              <w:sz w:val="24"/>
              <w:szCs w:val="24"/>
            </w:rPr>
            <w:instrText xml:space="preserve"> HYPERLINK \l _Toc27929 </w:instrText>
          </w:r>
          <w:r>
            <w:rPr>
              <w:rFonts w:hint="default" w:ascii="Times New Roman" w:hAnsi="Times New Roman" w:eastAsia="Times New Roman Uni" w:cs="Times New Roman"/>
              <w:bCs w:val="0"/>
              <w:color w:val="auto"/>
              <w:sz w:val="24"/>
              <w:szCs w:val="24"/>
            </w:rPr>
            <w:fldChar w:fldCharType="separate"/>
          </w:r>
          <w:r>
            <w:rPr>
              <w:rFonts w:hint="default" w:ascii="Times New Roman" w:hAnsi="Times New Roman" w:cs="Times New Roman"/>
              <w:b/>
              <w:bCs w:val="0"/>
              <w:color w:val="auto"/>
              <w:sz w:val="24"/>
              <w:szCs w:val="24"/>
              <w:lang w:val="en-US" w:eastAsia="zh-CN"/>
            </w:rPr>
            <w:t>Figure S1.</w:t>
          </w:r>
          <w:r>
            <w:rPr>
              <w:rFonts w:hint="default" w:ascii="Times New Roman" w:hAnsi="Times New Roman" w:cs="Times New Roman"/>
              <w:bCs/>
              <w:color w:val="auto"/>
              <w:sz w:val="24"/>
              <w:szCs w:val="24"/>
              <w:lang w:val="en-US" w:eastAsia="zh-CN"/>
            </w:rPr>
            <w:t xml:space="preserve"> Study Flowchart</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_Toc27929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17</w:t>
          </w:r>
          <w:r>
            <w:rPr>
              <w:rFonts w:hint="default" w:ascii="Times New Roman" w:hAnsi="Times New Roman" w:cs="Times New Roman"/>
              <w:color w:val="auto"/>
              <w:sz w:val="24"/>
              <w:szCs w:val="24"/>
            </w:rPr>
            <w:fldChar w:fldCharType="end"/>
          </w:r>
          <w:r>
            <w:rPr>
              <w:rFonts w:hint="default" w:ascii="Times New Roman" w:hAnsi="Times New Roman" w:eastAsia="Times New Roman Uni" w:cs="Times New Roman"/>
              <w:bCs w:val="0"/>
              <w:color w:val="auto"/>
              <w:sz w:val="24"/>
              <w:szCs w:val="24"/>
            </w:rPr>
            <w:fldChar w:fldCharType="end"/>
          </w:r>
        </w:p>
        <w:p w14:paraId="744A11C0">
          <w:pPr>
            <w:pStyle w:val="13"/>
            <w:tabs>
              <w:tab w:val="right" w:leader="dot" w:pos="8306"/>
            </w:tabs>
            <w:spacing w:line="360" w:lineRule="auto"/>
            <w:jc w:val="left"/>
            <w:rPr>
              <w:rFonts w:hint="default" w:ascii="Times New Roman" w:hAnsi="Times New Roman" w:cs="Times New Roman"/>
              <w:color w:val="auto"/>
              <w:sz w:val="24"/>
              <w:szCs w:val="24"/>
            </w:rPr>
          </w:pPr>
          <w:r>
            <w:rPr>
              <w:rFonts w:hint="default" w:ascii="Times New Roman" w:hAnsi="Times New Roman" w:eastAsia="Times New Roman Uni" w:cs="Times New Roman"/>
              <w:bCs w:val="0"/>
              <w:color w:val="auto"/>
              <w:sz w:val="24"/>
              <w:szCs w:val="24"/>
            </w:rPr>
            <w:fldChar w:fldCharType="begin"/>
          </w:r>
          <w:r>
            <w:rPr>
              <w:rFonts w:hint="default" w:ascii="Times New Roman" w:hAnsi="Times New Roman" w:eastAsia="Times New Roman Uni" w:cs="Times New Roman"/>
              <w:bCs w:val="0"/>
              <w:color w:val="auto"/>
              <w:sz w:val="24"/>
              <w:szCs w:val="24"/>
            </w:rPr>
            <w:instrText xml:space="preserve"> HYPERLINK \l _Toc14452 </w:instrText>
          </w:r>
          <w:r>
            <w:rPr>
              <w:rFonts w:hint="default" w:ascii="Times New Roman" w:hAnsi="Times New Roman" w:eastAsia="Times New Roman Uni" w:cs="Times New Roman"/>
              <w:bCs w:val="0"/>
              <w:color w:val="auto"/>
              <w:sz w:val="24"/>
              <w:szCs w:val="24"/>
            </w:rPr>
            <w:fldChar w:fldCharType="separate"/>
          </w:r>
          <w:r>
            <w:rPr>
              <w:rFonts w:hint="default" w:ascii="Times New Roman" w:hAnsi="Times New Roman" w:cs="Times New Roman"/>
              <w:b/>
              <w:bCs w:val="0"/>
              <w:color w:val="auto"/>
              <w:sz w:val="24"/>
              <w:szCs w:val="24"/>
              <w:lang w:val="en-US" w:eastAsia="zh-CN"/>
            </w:rPr>
            <w:t>Figure S2.</w:t>
          </w:r>
          <w:r>
            <w:rPr>
              <w:rFonts w:hint="default" w:ascii="Times New Roman" w:hAnsi="Times New Roman" w:cs="Times New Roman"/>
              <w:bCs/>
              <w:color w:val="auto"/>
              <w:sz w:val="24"/>
              <w:szCs w:val="24"/>
              <w:lang w:val="en-US" w:eastAsia="zh-CN"/>
            </w:rPr>
            <w:t xml:space="preserve"> Temporal Trends of Metabolic Indices among Adolescents, Overall and by Sex</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_Toc14452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18</w:t>
          </w:r>
          <w:r>
            <w:rPr>
              <w:rFonts w:hint="default" w:ascii="Times New Roman" w:hAnsi="Times New Roman" w:cs="Times New Roman"/>
              <w:color w:val="auto"/>
              <w:sz w:val="24"/>
              <w:szCs w:val="24"/>
            </w:rPr>
            <w:fldChar w:fldCharType="end"/>
          </w:r>
          <w:r>
            <w:rPr>
              <w:rFonts w:hint="default" w:ascii="Times New Roman" w:hAnsi="Times New Roman" w:eastAsia="Times New Roman Uni" w:cs="Times New Roman"/>
              <w:bCs w:val="0"/>
              <w:color w:val="auto"/>
              <w:sz w:val="24"/>
              <w:szCs w:val="24"/>
            </w:rPr>
            <w:fldChar w:fldCharType="end"/>
          </w:r>
        </w:p>
        <w:p w14:paraId="28050665">
          <w:pPr>
            <w:pStyle w:val="13"/>
            <w:tabs>
              <w:tab w:val="right" w:leader="dot" w:pos="8306"/>
            </w:tabs>
            <w:spacing w:line="360" w:lineRule="auto"/>
            <w:jc w:val="left"/>
            <w:rPr>
              <w:rFonts w:hint="default" w:ascii="Times New Roman" w:hAnsi="Times New Roman" w:cs="Times New Roman"/>
              <w:color w:val="auto"/>
              <w:sz w:val="24"/>
              <w:szCs w:val="24"/>
            </w:rPr>
          </w:pPr>
          <w:r>
            <w:rPr>
              <w:rFonts w:hint="default" w:ascii="Times New Roman" w:hAnsi="Times New Roman" w:eastAsia="Times New Roman Uni" w:cs="Times New Roman"/>
              <w:bCs w:val="0"/>
              <w:color w:val="auto"/>
              <w:sz w:val="24"/>
              <w:szCs w:val="24"/>
            </w:rPr>
            <w:fldChar w:fldCharType="begin"/>
          </w:r>
          <w:r>
            <w:rPr>
              <w:rFonts w:hint="default" w:ascii="Times New Roman" w:hAnsi="Times New Roman" w:eastAsia="Times New Roman Uni" w:cs="Times New Roman"/>
              <w:bCs w:val="0"/>
              <w:color w:val="auto"/>
              <w:sz w:val="24"/>
              <w:szCs w:val="24"/>
            </w:rPr>
            <w:instrText xml:space="preserve"> HYPERLINK \l _Toc8141 </w:instrText>
          </w:r>
          <w:r>
            <w:rPr>
              <w:rFonts w:hint="default" w:ascii="Times New Roman" w:hAnsi="Times New Roman" w:eastAsia="Times New Roman Uni" w:cs="Times New Roman"/>
              <w:bCs w:val="0"/>
              <w:color w:val="auto"/>
              <w:sz w:val="24"/>
              <w:szCs w:val="24"/>
            </w:rPr>
            <w:fldChar w:fldCharType="separate"/>
          </w:r>
          <w:r>
            <w:rPr>
              <w:rFonts w:hint="default" w:ascii="Times New Roman" w:hAnsi="Times New Roman" w:cs="Times New Roman"/>
              <w:b/>
              <w:bCs w:val="0"/>
              <w:color w:val="auto"/>
              <w:sz w:val="24"/>
              <w:szCs w:val="24"/>
              <w:lang w:val="en-US" w:eastAsia="zh-CN"/>
            </w:rPr>
            <w:t>Figure S3.</w:t>
          </w:r>
          <w:r>
            <w:rPr>
              <w:rFonts w:hint="default" w:ascii="Times New Roman" w:hAnsi="Times New Roman" w:cs="Times New Roman"/>
              <w:bCs/>
              <w:color w:val="auto"/>
              <w:sz w:val="24"/>
              <w:szCs w:val="24"/>
              <w:lang w:val="en-US" w:eastAsia="zh-CN"/>
            </w:rPr>
            <w:t xml:space="preserve"> Metabolic Risk Factor Combinations in Adolescents with Metabolic Syndrome, Overall and by Sex</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_Toc8141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19</w:t>
          </w:r>
          <w:r>
            <w:rPr>
              <w:rFonts w:hint="default" w:ascii="Times New Roman" w:hAnsi="Times New Roman" w:cs="Times New Roman"/>
              <w:color w:val="auto"/>
              <w:sz w:val="24"/>
              <w:szCs w:val="24"/>
            </w:rPr>
            <w:fldChar w:fldCharType="end"/>
          </w:r>
          <w:r>
            <w:rPr>
              <w:rFonts w:hint="default" w:ascii="Times New Roman" w:hAnsi="Times New Roman" w:eastAsia="Times New Roman Uni" w:cs="Times New Roman"/>
              <w:bCs w:val="0"/>
              <w:color w:val="auto"/>
              <w:sz w:val="24"/>
              <w:szCs w:val="24"/>
            </w:rPr>
            <w:fldChar w:fldCharType="end"/>
          </w:r>
        </w:p>
        <w:p w14:paraId="594AC922">
          <w:pPr>
            <w:pStyle w:val="13"/>
            <w:tabs>
              <w:tab w:val="right" w:leader="dot" w:pos="8306"/>
            </w:tabs>
            <w:spacing w:line="360" w:lineRule="auto"/>
            <w:jc w:val="left"/>
            <w:rPr>
              <w:rFonts w:hint="default" w:ascii="Times New Roman" w:hAnsi="Times New Roman" w:cs="Times New Roman"/>
              <w:color w:val="auto"/>
              <w:sz w:val="24"/>
              <w:szCs w:val="24"/>
            </w:rPr>
          </w:pPr>
          <w:r>
            <w:rPr>
              <w:rFonts w:hint="default" w:ascii="Times New Roman" w:hAnsi="Times New Roman" w:eastAsia="Times New Roman Uni" w:cs="Times New Roman"/>
              <w:bCs w:val="0"/>
              <w:color w:val="auto"/>
              <w:sz w:val="24"/>
              <w:szCs w:val="24"/>
            </w:rPr>
            <w:fldChar w:fldCharType="begin"/>
          </w:r>
          <w:r>
            <w:rPr>
              <w:rFonts w:hint="default" w:ascii="Times New Roman" w:hAnsi="Times New Roman" w:eastAsia="Times New Roman Uni" w:cs="Times New Roman"/>
              <w:bCs w:val="0"/>
              <w:color w:val="auto"/>
              <w:sz w:val="24"/>
              <w:szCs w:val="24"/>
            </w:rPr>
            <w:instrText xml:space="preserve"> HYPERLINK \l _Toc21044 </w:instrText>
          </w:r>
          <w:r>
            <w:rPr>
              <w:rFonts w:hint="default" w:ascii="Times New Roman" w:hAnsi="Times New Roman" w:eastAsia="Times New Roman Uni" w:cs="Times New Roman"/>
              <w:bCs w:val="0"/>
              <w:color w:val="auto"/>
              <w:sz w:val="24"/>
              <w:szCs w:val="24"/>
            </w:rPr>
            <w:fldChar w:fldCharType="separate"/>
          </w:r>
          <w:r>
            <w:rPr>
              <w:rFonts w:hint="default" w:ascii="Times New Roman" w:hAnsi="Times New Roman" w:cs="Times New Roman"/>
              <w:b/>
              <w:bCs w:val="0"/>
              <w:color w:val="auto"/>
              <w:sz w:val="24"/>
              <w:szCs w:val="24"/>
              <w:lang w:val="en-US" w:eastAsia="zh-CN"/>
            </w:rPr>
            <w:t>Figure S4.</w:t>
          </w:r>
          <w:r>
            <w:rPr>
              <w:rFonts w:hint="default" w:ascii="Times New Roman" w:hAnsi="Times New Roman" w:cs="Times New Roman"/>
              <w:bCs/>
              <w:color w:val="auto"/>
              <w:sz w:val="24"/>
              <w:szCs w:val="24"/>
              <w:lang w:val="en-US" w:eastAsia="zh-CN"/>
            </w:rPr>
            <w:t xml:space="preserve"> Trends in Metabolic Syndrome Prevalence (Defined by Alternative Criteria) in Adolescents: By Survey Cycle and Age</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_Toc21044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20</w:t>
          </w:r>
          <w:r>
            <w:rPr>
              <w:rFonts w:hint="default" w:ascii="Times New Roman" w:hAnsi="Times New Roman" w:cs="Times New Roman"/>
              <w:color w:val="auto"/>
              <w:sz w:val="24"/>
              <w:szCs w:val="24"/>
            </w:rPr>
            <w:fldChar w:fldCharType="end"/>
          </w:r>
          <w:r>
            <w:rPr>
              <w:rFonts w:hint="default" w:ascii="Times New Roman" w:hAnsi="Times New Roman" w:eastAsia="Times New Roman Uni" w:cs="Times New Roman"/>
              <w:bCs w:val="0"/>
              <w:color w:val="auto"/>
              <w:sz w:val="24"/>
              <w:szCs w:val="24"/>
            </w:rPr>
            <w:fldChar w:fldCharType="end"/>
          </w:r>
        </w:p>
        <w:p w14:paraId="19A85741">
          <w:pPr>
            <w:pStyle w:val="13"/>
            <w:tabs>
              <w:tab w:val="right" w:leader="dot" w:pos="8306"/>
            </w:tabs>
            <w:spacing w:line="360" w:lineRule="auto"/>
            <w:jc w:val="left"/>
            <w:rPr>
              <w:rFonts w:hint="default" w:ascii="Times New Roman" w:hAnsi="Times New Roman" w:cs="Times New Roman"/>
              <w:color w:val="auto"/>
              <w:sz w:val="24"/>
              <w:szCs w:val="24"/>
            </w:rPr>
          </w:pPr>
          <w:r>
            <w:rPr>
              <w:rFonts w:hint="default" w:ascii="Times New Roman" w:hAnsi="Times New Roman" w:eastAsia="Times New Roman Uni" w:cs="Times New Roman"/>
              <w:bCs w:val="0"/>
              <w:color w:val="auto"/>
              <w:sz w:val="24"/>
              <w:szCs w:val="24"/>
            </w:rPr>
            <w:fldChar w:fldCharType="begin"/>
          </w:r>
          <w:r>
            <w:rPr>
              <w:rFonts w:hint="default" w:ascii="Times New Roman" w:hAnsi="Times New Roman" w:eastAsia="Times New Roman Uni" w:cs="Times New Roman"/>
              <w:bCs w:val="0"/>
              <w:color w:val="auto"/>
              <w:sz w:val="24"/>
              <w:szCs w:val="24"/>
            </w:rPr>
            <w:instrText xml:space="preserve"> HYPERLINK \l _Toc29589 </w:instrText>
          </w:r>
          <w:r>
            <w:rPr>
              <w:rFonts w:hint="default" w:ascii="Times New Roman" w:hAnsi="Times New Roman" w:eastAsia="Times New Roman Uni" w:cs="Times New Roman"/>
              <w:bCs w:val="0"/>
              <w:color w:val="auto"/>
              <w:sz w:val="24"/>
              <w:szCs w:val="24"/>
            </w:rPr>
            <w:fldChar w:fldCharType="separate"/>
          </w:r>
          <w:r>
            <w:rPr>
              <w:rFonts w:hint="default" w:ascii="Times New Roman" w:hAnsi="Times New Roman" w:cs="Times New Roman"/>
              <w:b/>
              <w:bCs w:val="0"/>
              <w:color w:val="auto"/>
              <w:sz w:val="24"/>
              <w:szCs w:val="24"/>
              <w:lang w:val="en-US" w:eastAsia="zh-CN"/>
            </w:rPr>
            <w:t>Figure S5.</w:t>
          </w:r>
          <w:r>
            <w:rPr>
              <w:rFonts w:hint="default" w:ascii="Times New Roman" w:hAnsi="Times New Roman" w:cs="Times New Roman"/>
              <w:bCs/>
              <w:color w:val="auto"/>
              <w:sz w:val="24"/>
              <w:szCs w:val="24"/>
              <w:lang w:val="en-US" w:eastAsia="zh-CN"/>
            </w:rPr>
            <w:t xml:space="preserve"> Prevalence of Metabolic Syndrome (Defined by Alternative Criteria)  in Adolescents by Subgroups</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_Toc29589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21</w:t>
          </w:r>
          <w:r>
            <w:rPr>
              <w:rFonts w:hint="default" w:ascii="Times New Roman" w:hAnsi="Times New Roman" w:cs="Times New Roman"/>
              <w:color w:val="auto"/>
              <w:sz w:val="24"/>
              <w:szCs w:val="24"/>
            </w:rPr>
            <w:fldChar w:fldCharType="end"/>
          </w:r>
          <w:r>
            <w:rPr>
              <w:rFonts w:hint="default" w:ascii="Times New Roman" w:hAnsi="Times New Roman" w:eastAsia="Times New Roman Uni" w:cs="Times New Roman"/>
              <w:bCs w:val="0"/>
              <w:color w:val="auto"/>
              <w:sz w:val="24"/>
              <w:szCs w:val="24"/>
            </w:rPr>
            <w:fldChar w:fldCharType="end"/>
          </w:r>
        </w:p>
        <w:p w14:paraId="3BCE93DF">
          <w:pPr>
            <w:pStyle w:val="13"/>
            <w:tabs>
              <w:tab w:val="right" w:leader="dot" w:pos="8306"/>
            </w:tabs>
            <w:spacing w:line="360" w:lineRule="auto"/>
            <w:jc w:val="left"/>
            <w:rPr>
              <w:rFonts w:hint="default" w:ascii="Times New Roman" w:hAnsi="Times New Roman" w:cs="Times New Roman"/>
              <w:color w:val="auto"/>
              <w:sz w:val="24"/>
              <w:szCs w:val="24"/>
            </w:rPr>
          </w:pPr>
          <w:r>
            <w:rPr>
              <w:rFonts w:hint="default" w:ascii="Times New Roman" w:hAnsi="Times New Roman" w:eastAsia="Times New Roman Uni" w:cs="Times New Roman"/>
              <w:bCs w:val="0"/>
              <w:color w:val="auto"/>
              <w:sz w:val="24"/>
              <w:szCs w:val="24"/>
            </w:rPr>
            <w:fldChar w:fldCharType="begin"/>
          </w:r>
          <w:r>
            <w:rPr>
              <w:rFonts w:hint="default" w:ascii="Times New Roman" w:hAnsi="Times New Roman" w:eastAsia="Times New Roman Uni" w:cs="Times New Roman"/>
              <w:bCs w:val="0"/>
              <w:color w:val="auto"/>
              <w:sz w:val="24"/>
              <w:szCs w:val="24"/>
            </w:rPr>
            <w:instrText xml:space="preserve"> HYPERLINK \l _Toc20452 </w:instrText>
          </w:r>
          <w:r>
            <w:rPr>
              <w:rFonts w:hint="default" w:ascii="Times New Roman" w:hAnsi="Times New Roman" w:eastAsia="Times New Roman Uni" w:cs="Times New Roman"/>
              <w:bCs w:val="0"/>
              <w:color w:val="auto"/>
              <w:sz w:val="24"/>
              <w:szCs w:val="24"/>
            </w:rPr>
            <w:fldChar w:fldCharType="separate"/>
          </w:r>
          <w:r>
            <w:rPr>
              <w:rFonts w:hint="default" w:ascii="Times New Roman" w:hAnsi="Times New Roman" w:cs="Times New Roman"/>
              <w:b/>
              <w:bCs w:val="0"/>
              <w:color w:val="auto"/>
              <w:sz w:val="24"/>
              <w:szCs w:val="24"/>
              <w:lang w:val="en-US" w:eastAsia="zh-CN"/>
            </w:rPr>
            <w:t>References for supplemental materials</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_Toc20452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22</w:t>
          </w:r>
          <w:r>
            <w:rPr>
              <w:rFonts w:hint="default" w:ascii="Times New Roman" w:hAnsi="Times New Roman" w:cs="Times New Roman"/>
              <w:color w:val="auto"/>
              <w:sz w:val="24"/>
              <w:szCs w:val="24"/>
            </w:rPr>
            <w:fldChar w:fldCharType="end"/>
          </w:r>
          <w:r>
            <w:rPr>
              <w:rFonts w:hint="default" w:ascii="Times New Roman" w:hAnsi="Times New Roman" w:eastAsia="Times New Roman Uni" w:cs="Times New Roman"/>
              <w:bCs w:val="0"/>
              <w:color w:val="auto"/>
              <w:sz w:val="24"/>
              <w:szCs w:val="24"/>
            </w:rPr>
            <w:fldChar w:fldCharType="end"/>
          </w:r>
        </w:p>
        <w:p w14:paraId="27CD2BE5">
          <w:pPr>
            <w:spacing w:line="360" w:lineRule="auto"/>
            <w:jc w:val="left"/>
            <w:rPr>
              <w:rFonts w:hint="default" w:ascii="Times New Roman" w:hAnsi="Times New Roman" w:eastAsia="Times New Roman Uni" w:cs="Times New Roman"/>
              <w:bCs w:val="0"/>
              <w:color w:val="auto"/>
              <w:kern w:val="2"/>
              <w:sz w:val="21"/>
              <w:szCs w:val="32"/>
              <w:lang w:val="en-US" w:eastAsia="zh-CN" w:bidi="ar-SA"/>
              <w14:ligatures w14:val="standardContextual"/>
            </w:rPr>
          </w:pPr>
          <w:r>
            <w:rPr>
              <w:rFonts w:hint="default" w:ascii="Times New Roman" w:hAnsi="Times New Roman" w:eastAsia="Times New Roman Uni" w:cs="Times New Roman"/>
              <w:bCs w:val="0"/>
              <w:color w:val="auto"/>
              <w:sz w:val="24"/>
              <w:szCs w:val="24"/>
            </w:rPr>
            <w:fldChar w:fldCharType="end"/>
          </w:r>
        </w:p>
      </w:sdtContent>
    </w:sdt>
    <w:p w14:paraId="513ED8AB">
      <w:pPr>
        <w:spacing w:line="480" w:lineRule="auto"/>
        <w:jc w:val="left"/>
        <w:rPr>
          <w:rFonts w:hint="default" w:ascii="Times New Roman" w:hAnsi="Times New Roman" w:eastAsia="Times New Roman Uni" w:cs="Times New Roman"/>
          <w:bCs w:val="0"/>
          <w:color w:val="auto"/>
          <w:kern w:val="2"/>
          <w:sz w:val="21"/>
          <w:szCs w:val="32"/>
          <w:lang w:val="en-US" w:eastAsia="zh-CN" w:bidi="ar-SA"/>
          <w14:ligatures w14:val="standardContextual"/>
        </w:rPr>
      </w:pPr>
    </w:p>
    <w:p w14:paraId="2FED3918">
      <w:pPr>
        <w:spacing w:line="480" w:lineRule="auto"/>
        <w:rPr>
          <w:rFonts w:hint="default" w:ascii="Times New Roman" w:hAnsi="Times New Roman" w:eastAsia="Times New Roman Uni" w:cs="Times New Roman"/>
          <w:color w:val="auto"/>
        </w:rPr>
      </w:pPr>
    </w:p>
    <w:p w14:paraId="0C365B6B">
      <w:pPr>
        <w:pStyle w:val="2"/>
        <w:keepNext/>
        <w:keepLines/>
        <w:pageBreakBefore/>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bCs/>
          <w:color w:val="auto"/>
          <w:sz w:val="24"/>
          <w:szCs w:val="24"/>
        </w:rPr>
      </w:pPr>
      <w:bookmarkStart w:id="0" w:name="_Toc32420"/>
      <w:bookmarkStart w:id="1" w:name="_Toc18806"/>
      <w:r>
        <w:rPr>
          <w:rFonts w:hint="default" w:ascii="Times New Roman" w:hAnsi="Times New Roman" w:cs="Times New Roman"/>
          <w:b/>
          <w:bCs/>
          <w:color w:val="auto"/>
          <w:sz w:val="24"/>
          <w:szCs w:val="24"/>
        </w:rPr>
        <w:t>Supplemental method</w:t>
      </w:r>
      <w:r>
        <w:rPr>
          <w:rFonts w:hint="default" w:ascii="Times New Roman" w:hAnsi="Times New Roman" w:cs="Times New Roman"/>
          <w:b/>
          <w:bCs/>
          <w:color w:val="auto"/>
          <w:sz w:val="24"/>
          <w:szCs w:val="24"/>
          <w:lang w:val="en-US" w:eastAsia="zh-CN"/>
        </w:rPr>
        <w:t>s</w:t>
      </w:r>
      <w:r>
        <w:rPr>
          <w:rFonts w:hint="default" w:ascii="Times New Roman" w:hAnsi="Times New Roman" w:cs="Times New Roman"/>
          <w:b/>
          <w:bCs/>
          <w:color w:val="auto"/>
          <w:sz w:val="24"/>
          <w:szCs w:val="24"/>
        </w:rPr>
        <w:t>. Definition of Metabolic Syndrome and Metabolically Healthy/Unhealthy Obesity</w:t>
      </w:r>
      <w:bookmarkEnd w:id="0"/>
      <w:bookmarkEnd w:id="1"/>
    </w:p>
    <w:p w14:paraId="0C1B7832">
      <w:pPr>
        <w:spacing w:line="480" w:lineRule="auto"/>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Various diagnostic criteria have been proposed by different organizations to define metabolic syndrome (MS) over the past decade. The MS </w:t>
      </w:r>
      <w:r>
        <w:rPr>
          <w:rFonts w:hint="default" w:ascii="Times New Roman" w:hAnsi="Times New Roman" w:cs="Times New Roman"/>
          <w:color w:val="auto"/>
          <w:sz w:val="24"/>
          <w:szCs w:val="24"/>
          <w:lang w:val="en-US" w:eastAsia="zh-CN"/>
        </w:rPr>
        <w:t xml:space="preserve">is </w:t>
      </w:r>
      <w:r>
        <w:rPr>
          <w:rFonts w:hint="default" w:ascii="Times New Roman" w:hAnsi="Times New Roman" w:cs="Times New Roman"/>
          <w:color w:val="auto"/>
          <w:sz w:val="24"/>
          <w:szCs w:val="24"/>
        </w:rPr>
        <w:t xml:space="preserve">commonly recognized as consisting of five risk factors, namely central obesity, raised blood pressure (BP), elevated fasting glucose (FPG), and dyslipidemia (characterized by </w:t>
      </w:r>
      <w:r>
        <w:rPr>
          <w:rFonts w:hint="default" w:ascii="Times New Roman" w:hAnsi="Times New Roman" w:cs="Times New Roman"/>
          <w:color w:val="auto"/>
          <w:sz w:val="24"/>
          <w:szCs w:val="24"/>
          <w:lang w:val="en-US" w:eastAsia="zh-CN"/>
        </w:rPr>
        <w:t xml:space="preserve">increased </w:t>
      </w:r>
      <w:r>
        <w:rPr>
          <w:rFonts w:hint="default" w:ascii="Times New Roman" w:hAnsi="Times New Roman" w:cs="Times New Roman"/>
          <w:color w:val="auto"/>
          <w:sz w:val="24"/>
          <w:szCs w:val="24"/>
        </w:rPr>
        <w:t>triglyceride [TG] and lowered high-density lipoprotein cholesterol [HDL-C]) .</w:t>
      </w:r>
    </w:p>
    <w:p w14:paraId="2BCD727A">
      <w:pPr>
        <w:spacing w:line="480" w:lineRule="auto"/>
        <w:ind w:firstLine="420"/>
        <w:jc w:val="left"/>
        <w:rPr>
          <w:rFonts w:hint="default" w:ascii="Times New Roman" w:hAnsi="Times New Roman" w:cs="Times New Roman"/>
          <w:color w:val="auto"/>
          <w:sz w:val="24"/>
          <w:szCs w:val="24"/>
        </w:rPr>
      </w:pPr>
      <w:r>
        <w:rPr>
          <w:rFonts w:hint="default" w:ascii="Times New Roman" w:hAnsi="Times New Roman" w:eastAsia="等线" w:cs="Times New Roman"/>
          <w:color w:val="auto"/>
          <w:sz w:val="24"/>
          <w:lang w:val="en-US"/>
        </w:rPr>
        <w:t>To date</w:t>
      </w:r>
      <w:r>
        <w:rPr>
          <w:rFonts w:hint="default" w:ascii="Times New Roman" w:hAnsi="Times New Roman" w:cs="Times New Roman"/>
          <w:color w:val="auto"/>
          <w:sz w:val="24"/>
          <w:szCs w:val="24"/>
        </w:rPr>
        <w:t xml:space="preserve">, there has yet to be a unified definition that can be employed to evaluate the risk among children and adolescents. We applied two classification systems to examine the presence of </w:t>
      </w:r>
      <w:r>
        <w:rPr>
          <w:rFonts w:hint="default" w:ascii="Times New Roman" w:hAnsi="Times New Roman" w:cs="Times New Roman"/>
          <w:b/>
          <w:bCs/>
          <w:color w:val="auto"/>
          <w:sz w:val="24"/>
          <w:szCs w:val="24"/>
          <w:u w:val="single"/>
        </w:rPr>
        <w:t>MS</w:t>
      </w:r>
      <w:r>
        <w:rPr>
          <w:rFonts w:hint="default" w:ascii="Times New Roman" w:hAnsi="Times New Roman" w:cs="Times New Roman"/>
          <w:color w:val="auto"/>
          <w:sz w:val="24"/>
          <w:szCs w:val="24"/>
        </w:rPr>
        <w:t>. The first system adopted the latest joint scientific statement on MS,</w:t>
      </w:r>
      <w:r>
        <w:rPr>
          <w:rFonts w:hint="default" w:ascii="Times New Roman" w:hAnsi="Times New Roman" w:cs="Times New Roman"/>
          <w:i w:val="0"/>
          <w:iCs w:val="0"/>
          <w:color w:val="auto"/>
          <w:sz w:val="24"/>
          <w:szCs w:val="24"/>
        </w:rPr>
        <w:fldChar w:fldCharType="begin"/>
      </w:r>
      <w:r>
        <w:rPr>
          <w:rFonts w:hint="default" w:ascii="Times New Roman" w:hAnsi="Times New Roman" w:cs="Times New Roman"/>
          <w:i w:val="0"/>
          <w:iCs w:val="0"/>
          <w:color w:val="auto"/>
          <w:sz w:val="24"/>
          <w:szCs w:val="24"/>
          <w:lang w:eastAsia="zh-CN"/>
        </w:rPr>
        <w:instrText xml:space="preserve"> ADDIN EN.CITE </w:instrText>
      </w:r>
      <w:r>
        <w:rPr>
          <w:rFonts w:hint="default" w:ascii="Times New Roman" w:hAnsi="Times New Roman" w:cs="Times New Roman"/>
          <w:i w:val="0"/>
          <w:iCs w:val="0"/>
          <w:color w:val="auto"/>
          <w:sz w:val="24"/>
          <w:szCs w:val="24"/>
          <w:lang w:eastAsia="zh-CN"/>
        </w:rPr>
        <w:fldChar w:fldCharType="begin">
          <w:fldData xml:space="preserve">PEVuZE5vdGU+PENpdGU+PEF1dGhvcj5BbGJlcnRpPC9BdXRob3I+PFllYXI+MjAwOTwvWWVhcj48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</w:fldData>
        </w:fldChar>
      </w:r>
      <w:r>
        <w:rPr>
          <w:rFonts w:hint="default" w:ascii="Times New Roman" w:hAnsi="Times New Roman" w:cs="Times New Roman"/>
          <w:i w:val="0"/>
          <w:iCs w:val="0"/>
          <w:color w:val="auto"/>
          <w:sz w:val="24"/>
          <w:szCs w:val="24"/>
          <w:lang w:eastAsia="zh-CN"/>
        </w:rPr>
        <w:instrText xml:space="preserve"> ADDIN EN.CITE.DATA </w:instrText>
      </w:r>
      <w:r>
        <w:rPr>
          <w:rFonts w:hint="default" w:ascii="Times New Roman" w:hAnsi="Times New Roman" w:cs="Times New Roman"/>
          <w:i w:val="0"/>
          <w:iCs w:val="0"/>
          <w:color w:val="auto"/>
          <w:sz w:val="24"/>
          <w:szCs w:val="24"/>
          <w:lang w:eastAsia="zh-CN"/>
        </w:rPr>
        <w:fldChar w:fldCharType="separate"/>
      </w:r>
      <w:r>
        <w:rPr>
          <w:rFonts w:hint="default" w:ascii="Times New Roman" w:hAnsi="Times New Roman" w:cs="Times New Roman"/>
          <w:i w:val="0"/>
          <w:iCs w:val="0"/>
          <w:color w:val="auto"/>
          <w:sz w:val="24"/>
          <w:szCs w:val="24"/>
          <w:lang w:eastAsia="zh-CN"/>
        </w:rPr>
        <w:fldChar w:fldCharType="end"/>
      </w:r>
      <w:r>
        <w:rPr>
          <w:rFonts w:hint="default" w:ascii="Times New Roman" w:hAnsi="Times New Roman" w:cs="Times New Roman"/>
          <w:i w:val="0"/>
          <w:iCs w:val="0"/>
          <w:color w:val="auto"/>
          <w:sz w:val="24"/>
          <w:szCs w:val="24"/>
        </w:rPr>
        <w:fldChar w:fldCharType="separate"/>
      </w:r>
      <w:r>
        <w:rPr>
          <w:rFonts w:hint="default" w:ascii="Times New Roman" w:hAnsi="Times New Roman" w:cs="Times New Roman" w:eastAsiaTheme="minorEastAsia"/>
          <w:i w:val="0"/>
          <w:iCs w:val="0"/>
          <w:color w:val="auto"/>
          <w:kern w:val="2"/>
          <w:sz w:val="24"/>
          <w:szCs w:val="24"/>
          <w:vertAlign w:val="superscript"/>
          <w:lang w:val="en-US" w:eastAsia="zh-CN" w:bidi="ar-SA"/>
          <w14:ligatures w14:val="standardContextual"/>
        </w:rPr>
        <w:t>1</w:t>
      </w:r>
      <w:r>
        <w:rPr>
          <w:rFonts w:hint="default" w:ascii="Times New Roman" w:hAnsi="Times New Roman" w:cs="Times New Roman"/>
          <w:i w:val="0"/>
          <w:iCs w:val="0"/>
          <w:color w:val="auto"/>
          <w:sz w:val="24"/>
          <w:szCs w:val="24"/>
        </w:rPr>
        <w:fldChar w:fldCharType="end"/>
      </w:r>
      <w:r>
        <w:rPr>
          <w:rFonts w:hint="default" w:ascii="Times New Roman" w:hAnsi="Times New Roman" w:cs="Times New Roman"/>
          <w:color w:val="auto"/>
          <w:sz w:val="24"/>
          <w:szCs w:val="24"/>
        </w:rPr>
        <w:t xml:space="preserve"> which declared </w:t>
      </w:r>
      <w:r>
        <w:rPr>
          <w:rFonts w:hint="default" w:ascii="Times New Roman" w:hAnsi="Times New Roman" w:eastAsia="等线" w:cs="Times New Roman"/>
          <w:color w:val="auto"/>
          <w:sz w:val="24"/>
          <w:lang w:val="en-US"/>
        </w:rPr>
        <w:t xml:space="preserve">that </w:t>
      </w:r>
      <w:r>
        <w:rPr>
          <w:rFonts w:hint="default" w:ascii="Times New Roman" w:hAnsi="Times New Roman" w:cs="Times New Roman"/>
          <w:color w:val="auto"/>
          <w:sz w:val="24"/>
          <w:szCs w:val="24"/>
        </w:rPr>
        <w:t xml:space="preserve">three abnormal findings out of five risk factors would qualify a person for MS. The other </w:t>
      </w:r>
      <w:r>
        <w:rPr>
          <w:rFonts w:hint="default" w:ascii="Times New Roman" w:hAnsi="Times New Roman" w:eastAsia="等线" w:cs="Times New Roman"/>
          <w:color w:val="auto"/>
          <w:sz w:val="24"/>
          <w:lang w:val="en-US"/>
        </w:rPr>
        <w:t xml:space="preserve">system </w:t>
      </w:r>
      <w:r>
        <w:rPr>
          <w:rFonts w:hint="default" w:ascii="Times New Roman" w:hAnsi="Times New Roman" w:cs="Times New Roman"/>
          <w:color w:val="auto"/>
          <w:sz w:val="24"/>
          <w:szCs w:val="24"/>
          <w:lang w:val="en-US" w:eastAsia="zh-CN"/>
        </w:rPr>
        <w:t xml:space="preserve">used </w:t>
      </w:r>
      <w:r>
        <w:rPr>
          <w:rFonts w:hint="default" w:ascii="Times New Roman" w:hAnsi="Times New Roman" w:cs="Times New Roman"/>
          <w:color w:val="auto"/>
          <w:sz w:val="24"/>
          <w:szCs w:val="24"/>
        </w:rPr>
        <w:t>remained taking the International Diabetes Federation (IDF) definition with central obesity being an obligatory component.</w:t>
      </w:r>
      <w:r>
        <w:rPr>
          <w:rFonts w:hint="default" w:ascii="Times New Roman" w:hAnsi="Times New Roman" w:cs="Times New Roman"/>
          <w:i w:val="0"/>
          <w:iCs w:val="0"/>
          <w:color w:val="auto"/>
          <w:sz w:val="24"/>
          <w:szCs w:val="24"/>
        </w:rPr>
        <w:fldChar w:fldCharType="begin"/>
      </w:r>
      <w:r>
        <w:rPr>
          <w:rFonts w:hint="default" w:ascii="Times New Roman" w:hAnsi="Times New Roman" w:cs="Times New Roman"/>
          <w:i w:val="0"/>
          <w:iCs w:val="0"/>
          <w:color w:val="auto"/>
          <w:sz w:val="24"/>
          <w:szCs w:val="24"/>
          <w:lang w:eastAsia="zh-CN"/>
        </w:rPr>
        <w:instrText xml:space="preserve"> ADDIN EN.CITE &lt;EndNote&gt;&lt;Cite&gt;&lt;Author&gt;Alberti&lt;/Author&gt;&lt;Year&gt;2005&lt;/Year&gt;&lt;RecNum&gt;100&lt;/RecNum&gt;&lt;DisplayText&gt;&lt;style face="superscript"&gt;2&lt;/style&gt;&lt;/DisplayText&gt;&lt;record&gt;&lt;rec-number&gt;100&lt;/rec-number&gt;&lt;foreign-keys&gt;&lt;key app="EN" db-id="we90wv2z22r5ebexw9qxs223dp025a0ezzzp" timestamp="1747713253"&gt;100&lt;/key&gt;&lt;/foreign-keys&gt;&lt;ref-type name="Journal Article"&gt;17&lt;/ref-type&gt;&lt;contributors&gt;&lt;authors&gt;&lt;author&gt;Alberti, K. George M. M.&lt;/author&gt;&lt;author&gt;Zimmet, Paul&lt;/author&gt;&lt;author&gt;Shaw, Jonathan&lt;/author&gt;&lt;/authors&gt;&lt;/contributors&gt;&lt;auth-address&gt;Department of Endocrinology and Metabolism, St Marys Hospital, London W2 1NY, UK. George.Alberti@newcastle.ac.uk&lt;/auth-address&gt;&lt;titles&gt;&lt;title&gt;&lt;style face="normal" font="default" size="100%"&gt;The metabolic syndrome&lt;/style&gt;&lt;style face="normal" font="default" charset="134" size="100%"&gt;—&lt;/style&gt;&lt;style face="normal" font="default" size="100%"&gt;a new worldwide definition&lt;/style&gt;&lt;/title&gt;&lt;secondary-title&gt;Lancet (London, England)&lt;/secondary-title&gt;&lt;alt-title&gt;Lancet&lt;/alt-title&gt;&lt;/titles&gt;&lt;periodical&gt;&lt;full-title&gt;Lancet (London, England)&lt;/full-title&gt;&lt;abbr-1&gt;Lancet&lt;/abbr-1&gt;&lt;/periodical&gt;&lt;alt-periodical&gt;&lt;full-title&gt;Lancet (London, England)&lt;/full-title&gt;&lt;abbr-1&gt;Lancet&lt;/abbr-1&gt;&lt;/alt-periodical&gt;&lt;pages&gt;1059-1062&lt;/pages&gt;&lt;volume&gt;366&lt;/volume&gt;&lt;number&gt;9491&lt;/number&gt;&lt;section&gt;&lt;style face="normal" font="default" size="100%"&gt;INDEX: 98.4 | QUARTILE: Q1 | CAS: 1&lt;/style&gt;&lt;style face="normal" font="default" charset="134" size="100%"&gt;区&lt;/style&gt;&lt;/section&gt;&lt;dates&gt;&lt;year&gt;2005&lt;/year&gt;&lt;/dates&gt;&lt;isbn&gt;1474-547X&lt;/isbn&gt;&lt;accession-num&gt;16182882&lt;/accession-num&gt;&lt;label&gt;98.4&lt;/label&gt;&lt;urls&gt;&lt;related-urls&gt;&lt;url&gt;https://pubmed.ncbi.nlm.nih.gov/16182882&lt;/url&gt;&lt;/related-urls&gt;&lt;/urls&gt;&lt;custom1&gt;98.4&lt;/custom1&gt;&lt;custom2&gt;Q1&lt;/custom2&gt;&lt;custom3&gt;&lt;style face="normal" font="default" size="100%"&gt;1&lt;/style&gt;&lt;style face="normal" font="default" charset="134" size="100%"&gt;区&lt;/style&gt;&lt;/custom3&gt;&lt;remote-database-name&gt;PubMed&lt;/remote-database-name&gt;&lt;language&gt;eng&lt;/language&gt;&lt;/record&gt;&lt;/Cite&gt;&lt;/EndNote&gt;</w:instrText>
      </w:r>
      <w:r>
        <w:rPr>
          <w:rFonts w:hint="default" w:ascii="Times New Roman" w:hAnsi="Times New Roman" w:cs="Times New Roman"/>
          <w:i w:val="0"/>
          <w:iCs w:val="0"/>
          <w:color w:val="auto"/>
          <w:sz w:val="24"/>
          <w:szCs w:val="24"/>
        </w:rPr>
        <w:fldChar w:fldCharType="separate"/>
      </w:r>
      <w:r>
        <w:rPr>
          <w:rFonts w:hint="default" w:ascii="Times New Roman" w:hAnsi="Times New Roman" w:cs="Times New Roman" w:eastAsiaTheme="minorEastAsia"/>
          <w:i w:val="0"/>
          <w:iCs w:val="0"/>
          <w:color w:val="auto"/>
          <w:kern w:val="2"/>
          <w:sz w:val="24"/>
          <w:szCs w:val="24"/>
          <w:vertAlign w:val="superscript"/>
          <w:lang w:val="en-US" w:eastAsia="zh-CN" w:bidi="ar-SA"/>
          <w14:ligatures w14:val="standardContextual"/>
        </w:rPr>
        <w:t>2</w:t>
      </w:r>
      <w:r>
        <w:rPr>
          <w:rFonts w:hint="default" w:ascii="Times New Roman" w:hAnsi="Times New Roman" w:cs="Times New Roman"/>
          <w:i w:val="0"/>
          <w:iCs w:val="0"/>
          <w:color w:val="auto"/>
          <w:sz w:val="24"/>
          <w:szCs w:val="24"/>
        </w:rPr>
        <w:fldChar w:fldCharType="end"/>
      </w:r>
      <w:r>
        <w:rPr>
          <w:rFonts w:hint="default" w:ascii="Times New Roman" w:hAnsi="Times New Roman" w:cs="Times New Roman"/>
          <w:color w:val="auto"/>
          <w:sz w:val="24"/>
          <w:szCs w:val="24"/>
        </w:rPr>
        <w:t xml:space="preserve"> The criteria for risk factors are listed in the table below: </w:t>
      </w:r>
    </w:p>
    <w:tbl>
      <w:tblPr>
        <w:tblStyle w:val="16"/>
        <w:tblW w:w="5382" w:type="pct"/>
        <w:jc w:val="center"/>
        <w:tblLayout w:type="fixed"/>
        <w:tblCellMar>
          <w:top w:w="0" w:type="dxa"/>
          <w:left w:w="108" w:type="dxa"/>
          <w:bottom w:w="0" w:type="dxa"/>
          <w:right w:w="108" w:type="dxa"/>
        </w:tblCellMar>
      </w:tblPr>
      <w:tblGrid>
        <w:gridCol w:w="1807"/>
        <w:gridCol w:w="2492"/>
        <w:gridCol w:w="1"/>
        <w:gridCol w:w="2437"/>
        <w:gridCol w:w="2437"/>
      </w:tblGrid>
      <w:tr w14:paraId="4DA41B6C">
        <w:tblPrEx>
          <w:tblCellMar>
            <w:top w:w="0" w:type="dxa"/>
            <w:left w:w="108" w:type="dxa"/>
            <w:bottom w:w="0" w:type="dxa"/>
            <w:right w:w="108" w:type="dxa"/>
          </w:tblCellMar>
        </w:tblPrEx>
        <w:trPr>
          <w:trHeight w:val="986" w:hRule="atLeast"/>
          <w:jc w:val="center"/>
        </w:trPr>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80C99">
            <w:pPr>
              <w:spacing w:line="240" w:lineRule="auto"/>
              <w:jc w:val="left"/>
              <w:rPr>
                <w:rFonts w:hint="default" w:ascii="Times New Roman" w:hAnsi="Times New Roman" w:eastAsia="宋体" w:cs="Times New Roman"/>
                <w:color w:val="auto"/>
                <w:sz w:val="24"/>
                <w:szCs w:val="24"/>
              </w:rPr>
            </w:pPr>
          </w:p>
        </w:tc>
        <w:tc>
          <w:tcPr>
            <w:tcW w:w="1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540D7">
            <w:pPr>
              <w:widowControl/>
              <w:spacing w:line="240" w:lineRule="auto"/>
              <w:jc w:val="center"/>
              <w:textAlignment w:val="center"/>
              <w:rPr>
                <w:rFonts w:hint="default" w:ascii="Times New Roman" w:hAnsi="Times New Roman" w:cs="Times New Roman"/>
                <w:b/>
                <w:bCs/>
                <w:color w:val="auto"/>
                <w:sz w:val="24"/>
                <w:szCs w:val="24"/>
              </w:rPr>
            </w:pPr>
            <w:r>
              <w:rPr>
                <w:rFonts w:hint="eastAsia" w:ascii="Times New Roman" w:hAnsi="Times New Roman" w:cs="Times New Roman"/>
                <w:b/>
                <w:bCs/>
                <w:i w:val="0"/>
                <w:iCs w:val="0"/>
                <w:color w:val="auto"/>
                <w:sz w:val="24"/>
                <w:highlight w:val="none"/>
                <w:lang w:val="en-US" w:eastAsia="zh-CN"/>
              </w:rPr>
              <w:t xml:space="preserve">Criterion </w:t>
            </w:r>
            <w:r>
              <w:rPr>
                <w:rFonts w:hint="default" w:ascii="Times New Roman" w:hAnsi="Times New Roman" w:cs="Times New Roman"/>
                <w:b/>
                <w:bCs/>
                <w:color w:val="auto"/>
                <w:sz w:val="24"/>
                <w:szCs w:val="24"/>
              </w:rPr>
              <w:t>1</w:t>
            </w:r>
          </w:p>
        </w:tc>
        <w:tc>
          <w:tcPr>
            <w:tcW w:w="13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90D7D">
            <w:pPr>
              <w:widowControl/>
              <w:spacing w:line="240" w:lineRule="auto"/>
              <w:jc w:val="center"/>
              <w:textAlignment w:val="center"/>
              <w:rPr>
                <w:rFonts w:hint="default" w:ascii="Times New Roman" w:hAnsi="Times New Roman" w:eastAsia="宋体" w:cs="Times New Roman"/>
                <w:b/>
                <w:bCs/>
                <w:color w:val="auto"/>
                <w:sz w:val="24"/>
                <w:szCs w:val="24"/>
              </w:rPr>
            </w:pPr>
            <w:r>
              <w:rPr>
                <w:rFonts w:hint="eastAsia" w:ascii="Times New Roman" w:hAnsi="Times New Roman" w:cs="Times New Roman"/>
                <w:b/>
                <w:bCs/>
                <w:i w:val="0"/>
                <w:iCs w:val="0"/>
                <w:color w:val="auto"/>
                <w:sz w:val="24"/>
                <w:highlight w:val="none"/>
                <w:lang w:val="en-US" w:eastAsia="zh-CN"/>
              </w:rPr>
              <w:t xml:space="preserve">Criterion </w:t>
            </w:r>
            <w:r>
              <w:rPr>
                <w:rFonts w:hint="default" w:ascii="Times New Roman" w:hAnsi="Times New Roman" w:eastAsia="宋体" w:cs="Times New Roman"/>
                <w:b/>
                <w:bCs/>
                <w:color w:val="auto"/>
                <w:kern w:val="0"/>
                <w:sz w:val="24"/>
                <w:szCs w:val="24"/>
                <w:lang w:bidi="ar"/>
              </w:rPr>
              <w:t>2</w:t>
            </w:r>
          </w:p>
        </w:tc>
        <w:tc>
          <w:tcPr>
            <w:tcW w:w="1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3DE58">
            <w:pPr>
              <w:widowControl/>
              <w:spacing w:line="240" w:lineRule="auto"/>
              <w:jc w:val="center"/>
              <w:textAlignment w:val="center"/>
              <w:rPr>
                <w:rFonts w:hint="default" w:ascii="Times New Roman" w:hAnsi="Times New Roman" w:eastAsia="宋体" w:cs="Times New Roman"/>
                <w:b/>
                <w:bCs/>
                <w:color w:val="auto"/>
                <w:sz w:val="24"/>
                <w:szCs w:val="24"/>
              </w:rPr>
            </w:pPr>
            <w:r>
              <w:rPr>
                <w:rFonts w:hint="eastAsia" w:ascii="Times New Roman" w:hAnsi="Times New Roman" w:cs="Times New Roman"/>
                <w:b/>
                <w:bCs/>
                <w:i w:val="0"/>
                <w:iCs w:val="0"/>
                <w:color w:val="auto"/>
                <w:sz w:val="24"/>
                <w:highlight w:val="none"/>
                <w:lang w:val="en-US" w:eastAsia="zh-CN"/>
              </w:rPr>
              <w:t xml:space="preserve">Criterion </w:t>
            </w:r>
            <w:r>
              <w:rPr>
                <w:rFonts w:hint="default" w:ascii="Times New Roman" w:hAnsi="Times New Roman" w:eastAsia="宋体" w:cs="Times New Roman"/>
                <w:b/>
                <w:bCs/>
                <w:color w:val="auto"/>
                <w:kern w:val="0"/>
                <w:sz w:val="24"/>
                <w:szCs w:val="24"/>
                <w:lang w:bidi="ar"/>
              </w:rPr>
              <w:t>3</w:t>
            </w:r>
          </w:p>
        </w:tc>
      </w:tr>
      <w:tr w14:paraId="7F1E8FF7">
        <w:tblPrEx>
          <w:tblCellMar>
            <w:top w:w="0" w:type="dxa"/>
            <w:left w:w="108" w:type="dxa"/>
            <w:bottom w:w="0" w:type="dxa"/>
            <w:right w:w="108" w:type="dxa"/>
          </w:tblCellMar>
        </w:tblPrEx>
        <w:trPr>
          <w:trHeight w:val="986" w:hRule="atLeast"/>
          <w:jc w:val="center"/>
        </w:trPr>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77EF6">
            <w:pPr>
              <w:widowControl/>
              <w:spacing w:line="240" w:lineRule="auto"/>
              <w:jc w:val="left"/>
              <w:textAlignment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kern w:val="0"/>
                <w:sz w:val="24"/>
                <w:szCs w:val="24"/>
                <w:lang w:bidi="ar"/>
              </w:rPr>
              <w:t>Waist circumference (WC)</w:t>
            </w:r>
          </w:p>
        </w:tc>
        <w:tc>
          <w:tcPr>
            <w:tcW w:w="401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61E8F8">
            <w:pPr>
              <w:widowControl/>
              <w:spacing w:line="240" w:lineRule="auto"/>
              <w:jc w:val="left"/>
              <w:textAlignment w:val="center"/>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kern w:val="0"/>
                <w:sz w:val="24"/>
                <w:szCs w:val="24"/>
                <w:lang w:eastAsia="zh-CN" w:bidi="ar"/>
              </w:rPr>
              <w:t>&lt;</w:t>
            </w:r>
            <w:r>
              <w:rPr>
                <w:rFonts w:hint="default" w:ascii="Times New Roman" w:hAnsi="Times New Roman" w:eastAsia="宋体" w:cs="Times New Roman"/>
                <w:color w:val="auto"/>
                <w:kern w:val="0"/>
                <w:sz w:val="24"/>
                <w:szCs w:val="24"/>
                <w:lang w:bidi="ar"/>
              </w:rPr>
              <w:t>16 years:</w:t>
            </w:r>
            <w:r>
              <w:rPr>
                <w:rFonts w:hint="eastAsia" w:ascii="Times New Roman" w:hAnsi="Times New Roman" w:eastAsia="宋体" w:cs="Times New Roman"/>
                <w:color w:val="auto"/>
                <w:kern w:val="0"/>
                <w:sz w:val="24"/>
                <w:szCs w:val="24"/>
                <w:lang w:val="en-US" w:eastAsia="zh-CN" w:bidi="ar"/>
              </w:rPr>
              <w:t xml:space="preserve"> </w:t>
            </w:r>
            <w:r>
              <w:rPr>
                <w:rFonts w:hint="default" w:ascii="Times New Roman" w:hAnsi="Times New Roman" w:eastAsia="宋体" w:cs="Times New Roman"/>
                <w:color w:val="auto"/>
                <w:kern w:val="0"/>
                <w:sz w:val="24"/>
                <w:szCs w:val="24"/>
                <w:lang w:eastAsia="zh-CN" w:bidi="ar"/>
              </w:rPr>
              <w:t>≥</w:t>
            </w:r>
            <w:r>
              <w:rPr>
                <w:rFonts w:hint="default" w:ascii="Times New Roman" w:hAnsi="Times New Roman" w:eastAsia="宋体" w:cs="Times New Roman"/>
                <w:color w:val="auto"/>
                <w:kern w:val="0"/>
                <w:sz w:val="24"/>
                <w:szCs w:val="24"/>
                <w:lang w:bidi="ar"/>
              </w:rPr>
              <w:t>90th percentile (age and sex specific) or adult cutoff if lower</w:t>
            </w:r>
            <w:r>
              <w:rPr>
                <w:rFonts w:hint="default" w:ascii="Times New Roman" w:hAnsi="Times New Roman" w:eastAsia="宋体" w:cs="Times New Roman"/>
                <w:color w:val="auto"/>
                <w:kern w:val="0"/>
                <w:sz w:val="24"/>
                <w:szCs w:val="24"/>
                <w:lang w:bidi="ar"/>
              </w:rPr>
              <w:br w:type="textWrapping"/>
            </w:r>
            <w:r>
              <w:rPr>
                <w:rFonts w:hint="default" w:ascii="Times New Roman" w:hAnsi="Times New Roman" w:eastAsia="宋体" w:cs="Times New Roman"/>
                <w:color w:val="auto"/>
                <w:kern w:val="0"/>
                <w:sz w:val="24"/>
                <w:szCs w:val="24"/>
                <w:lang w:eastAsia="zh-CN" w:bidi="ar"/>
              </w:rPr>
              <w:t>≥</w:t>
            </w:r>
            <w:r>
              <w:rPr>
                <w:rFonts w:hint="default" w:ascii="Times New Roman" w:hAnsi="Times New Roman" w:eastAsia="宋体" w:cs="Times New Roman"/>
                <w:color w:val="auto"/>
                <w:kern w:val="0"/>
                <w:sz w:val="24"/>
                <w:szCs w:val="24"/>
                <w:lang w:bidi="ar"/>
              </w:rPr>
              <w:t>16 years:</w:t>
            </w:r>
            <w:r>
              <w:rPr>
                <w:rFonts w:hint="eastAsia" w:ascii="Times New Roman" w:hAnsi="Times New Roman" w:eastAsia="宋体" w:cs="Times New Roman"/>
                <w:color w:val="auto"/>
                <w:kern w:val="0"/>
                <w:sz w:val="24"/>
                <w:szCs w:val="24"/>
                <w:lang w:val="en-US" w:eastAsia="zh-CN" w:bidi="ar"/>
              </w:rPr>
              <w:t xml:space="preserve"> </w:t>
            </w:r>
            <w:r>
              <w:rPr>
                <w:rFonts w:hint="default" w:ascii="Times New Roman" w:hAnsi="Times New Roman" w:eastAsia="宋体" w:cs="Times New Roman"/>
                <w:color w:val="auto"/>
                <w:kern w:val="0"/>
                <w:sz w:val="24"/>
                <w:szCs w:val="24"/>
                <w:lang w:eastAsia="zh-CN" w:bidi="ar"/>
              </w:rPr>
              <w:t>&gt;</w:t>
            </w:r>
            <w:r>
              <w:rPr>
                <w:rFonts w:hint="default" w:ascii="Times New Roman" w:hAnsi="Times New Roman" w:eastAsia="宋体" w:cs="Times New Roman"/>
                <w:color w:val="auto"/>
                <w:kern w:val="0"/>
                <w:sz w:val="24"/>
                <w:szCs w:val="24"/>
                <w:lang w:bidi="ar"/>
              </w:rPr>
              <w:t>102 cm in males and</w:t>
            </w:r>
            <w:r>
              <w:rPr>
                <w:rFonts w:hint="default" w:ascii="Times New Roman" w:hAnsi="Times New Roman" w:eastAsia="宋体" w:cs="Times New Roman"/>
                <w:color w:val="auto"/>
                <w:kern w:val="0"/>
                <w:sz w:val="24"/>
                <w:szCs w:val="24"/>
                <w:lang w:eastAsia="zh-CN" w:bidi="ar"/>
              </w:rPr>
              <w:t>&gt;</w:t>
            </w:r>
            <w:r>
              <w:rPr>
                <w:rFonts w:hint="default" w:ascii="Times New Roman" w:hAnsi="Times New Roman" w:eastAsia="宋体" w:cs="Times New Roman"/>
                <w:color w:val="auto"/>
                <w:kern w:val="0"/>
                <w:sz w:val="24"/>
                <w:szCs w:val="24"/>
                <w:lang w:bidi="ar"/>
              </w:rPr>
              <w:t xml:space="preserve">88 cm in females                </w:t>
            </w:r>
          </w:p>
        </w:tc>
      </w:tr>
      <w:tr w14:paraId="633EB26E">
        <w:tblPrEx>
          <w:tblCellMar>
            <w:top w:w="0" w:type="dxa"/>
            <w:left w:w="108" w:type="dxa"/>
            <w:bottom w:w="0" w:type="dxa"/>
            <w:right w:w="108" w:type="dxa"/>
          </w:tblCellMar>
        </w:tblPrEx>
        <w:trPr>
          <w:trHeight w:val="986" w:hRule="atLeast"/>
          <w:jc w:val="center"/>
        </w:trPr>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941D2">
            <w:pPr>
              <w:widowControl/>
              <w:spacing w:line="240" w:lineRule="auto"/>
              <w:jc w:val="left"/>
              <w:textAlignment w:val="center"/>
              <w:rPr>
                <w:rFonts w:hint="default" w:ascii="Times New Roman" w:hAnsi="Times New Roman" w:eastAsia="宋体" w:cs="Times New Roman"/>
                <w:b/>
                <w:bCs/>
                <w:color w:val="auto"/>
                <w:kern w:val="0"/>
                <w:sz w:val="24"/>
                <w:szCs w:val="24"/>
                <w:lang w:bidi="ar"/>
              </w:rPr>
            </w:pPr>
            <w:r>
              <w:rPr>
                <w:rFonts w:hint="default" w:ascii="Times New Roman" w:hAnsi="Times New Roman" w:eastAsia="宋体" w:cs="Times New Roman"/>
                <w:b/>
                <w:bCs/>
                <w:color w:val="auto"/>
                <w:kern w:val="0"/>
                <w:sz w:val="24"/>
                <w:szCs w:val="24"/>
                <w:lang w:bidi="ar"/>
              </w:rPr>
              <w:t>Blood pressure (BP)</w:t>
            </w:r>
          </w:p>
        </w:tc>
        <w:tc>
          <w:tcPr>
            <w:tcW w:w="1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2CF26">
            <w:pPr>
              <w:widowControl/>
              <w:spacing w:line="24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eastAsia="zh-CN" w:bidi="ar"/>
              </w:rPr>
              <w:t>≥</w:t>
            </w:r>
            <w:r>
              <w:rPr>
                <w:rFonts w:hint="default" w:ascii="Times New Roman" w:hAnsi="Times New Roman" w:eastAsia="宋体" w:cs="Times New Roman"/>
                <w:color w:val="auto"/>
                <w:kern w:val="0"/>
                <w:sz w:val="24"/>
                <w:szCs w:val="24"/>
                <w:lang w:bidi="ar"/>
              </w:rPr>
              <w:t>130/85 mmHg</w:t>
            </w:r>
          </w:p>
        </w:tc>
        <w:tc>
          <w:tcPr>
            <w:tcW w:w="26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3512D9">
            <w:pPr>
              <w:widowControl/>
              <w:spacing w:line="24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eastAsia="zh-CN" w:bidi="ar"/>
              </w:rPr>
              <w:t>≥</w:t>
            </w:r>
            <w:r>
              <w:rPr>
                <w:rFonts w:hint="default" w:ascii="Times New Roman" w:hAnsi="Times New Roman" w:eastAsia="宋体" w:cs="Times New Roman"/>
                <w:color w:val="auto"/>
                <w:kern w:val="0"/>
                <w:sz w:val="24"/>
                <w:szCs w:val="24"/>
                <w:lang w:bidi="ar"/>
              </w:rPr>
              <w:t>90th percentile (age, sex, and height specific)</w:t>
            </w:r>
          </w:p>
        </w:tc>
      </w:tr>
      <w:tr w14:paraId="12AB4253">
        <w:tblPrEx>
          <w:tblCellMar>
            <w:top w:w="0" w:type="dxa"/>
            <w:left w:w="108" w:type="dxa"/>
            <w:bottom w:w="0" w:type="dxa"/>
            <w:right w:w="108" w:type="dxa"/>
          </w:tblCellMar>
        </w:tblPrEx>
        <w:trPr>
          <w:trHeight w:val="986" w:hRule="atLeast"/>
          <w:jc w:val="center"/>
        </w:trPr>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8442C">
            <w:pPr>
              <w:widowControl/>
              <w:spacing w:line="240" w:lineRule="auto"/>
              <w:jc w:val="left"/>
              <w:textAlignment w:val="center"/>
              <w:rPr>
                <w:rFonts w:hint="default" w:ascii="Times New Roman" w:hAnsi="Times New Roman" w:eastAsia="宋体" w:cs="Times New Roman"/>
                <w:b/>
                <w:bCs/>
                <w:color w:val="auto"/>
                <w:kern w:val="0"/>
                <w:sz w:val="24"/>
                <w:szCs w:val="24"/>
                <w:lang w:bidi="ar"/>
              </w:rPr>
            </w:pPr>
            <w:r>
              <w:rPr>
                <w:rFonts w:hint="default" w:ascii="Times New Roman" w:hAnsi="Times New Roman" w:eastAsia="宋体" w:cs="Times New Roman"/>
                <w:b/>
                <w:bCs/>
                <w:color w:val="auto"/>
                <w:kern w:val="0"/>
                <w:sz w:val="24"/>
                <w:szCs w:val="24"/>
                <w:lang w:bidi="ar"/>
              </w:rPr>
              <w:t>Fasting plasma glucose (FPG)</w:t>
            </w:r>
          </w:p>
        </w:tc>
        <w:tc>
          <w:tcPr>
            <w:tcW w:w="401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3177B2">
            <w:pPr>
              <w:widowControl/>
              <w:spacing w:line="24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eastAsia="zh-CN" w:bidi="ar"/>
              </w:rPr>
              <w:t>≥</w:t>
            </w:r>
            <w:r>
              <w:rPr>
                <w:rFonts w:hint="default" w:ascii="Times New Roman" w:hAnsi="Times New Roman" w:eastAsia="宋体" w:cs="Times New Roman"/>
                <w:color w:val="auto"/>
                <w:kern w:val="0"/>
                <w:sz w:val="24"/>
                <w:szCs w:val="24"/>
                <w:lang w:bidi="ar"/>
              </w:rPr>
              <w:t xml:space="preserve">100 mg/dL (5.6 mmol/L) </w:t>
            </w:r>
          </w:p>
        </w:tc>
      </w:tr>
      <w:tr w14:paraId="1A4C0236">
        <w:tblPrEx>
          <w:tblCellMar>
            <w:top w:w="0" w:type="dxa"/>
            <w:left w:w="108" w:type="dxa"/>
            <w:bottom w:w="0" w:type="dxa"/>
            <w:right w:w="108" w:type="dxa"/>
          </w:tblCellMar>
        </w:tblPrEx>
        <w:trPr>
          <w:trHeight w:val="986" w:hRule="atLeast"/>
          <w:jc w:val="center"/>
        </w:trPr>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B7E34">
            <w:pPr>
              <w:widowControl/>
              <w:spacing w:line="240" w:lineRule="auto"/>
              <w:jc w:val="left"/>
              <w:textAlignment w:val="center"/>
              <w:rPr>
                <w:rFonts w:hint="default" w:ascii="Times New Roman" w:hAnsi="Times New Roman" w:eastAsia="宋体" w:cs="Times New Roman"/>
                <w:b/>
                <w:bCs/>
                <w:color w:val="auto"/>
                <w:kern w:val="0"/>
                <w:sz w:val="24"/>
                <w:szCs w:val="24"/>
                <w:lang w:bidi="ar"/>
              </w:rPr>
            </w:pPr>
            <w:r>
              <w:rPr>
                <w:rFonts w:hint="default" w:ascii="Times New Roman" w:hAnsi="Times New Roman" w:eastAsia="宋体" w:cs="Times New Roman"/>
                <w:b/>
                <w:bCs/>
                <w:color w:val="auto"/>
                <w:kern w:val="0"/>
                <w:sz w:val="24"/>
                <w:szCs w:val="24"/>
                <w:lang w:bidi="ar"/>
              </w:rPr>
              <w:t>Triglycerides (TG)</w:t>
            </w:r>
          </w:p>
        </w:tc>
        <w:tc>
          <w:tcPr>
            <w:tcW w:w="26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4B012E">
            <w:pPr>
              <w:widowControl/>
              <w:spacing w:line="24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eastAsia="zh-CN" w:bidi="ar"/>
              </w:rPr>
              <w:t>≥</w:t>
            </w:r>
            <w:r>
              <w:rPr>
                <w:rFonts w:hint="default" w:ascii="Times New Roman" w:hAnsi="Times New Roman" w:eastAsia="宋体" w:cs="Times New Roman"/>
                <w:color w:val="auto"/>
                <w:kern w:val="0"/>
                <w:sz w:val="24"/>
                <w:szCs w:val="24"/>
                <w:lang w:bidi="ar"/>
              </w:rPr>
              <w:t>150 mg/dL (1.7 mmol/L)</w:t>
            </w:r>
          </w:p>
        </w:tc>
        <w:tc>
          <w:tcPr>
            <w:tcW w:w="1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0F5BD">
            <w:pPr>
              <w:widowControl/>
              <w:spacing w:line="24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eastAsia="zh-CN" w:bidi="ar"/>
              </w:rPr>
              <w:t>≥</w:t>
            </w:r>
            <w:r>
              <w:rPr>
                <w:rFonts w:hint="default" w:ascii="Times New Roman" w:hAnsi="Times New Roman" w:eastAsia="宋体" w:cs="Times New Roman"/>
                <w:color w:val="auto"/>
                <w:kern w:val="0"/>
                <w:sz w:val="24"/>
                <w:szCs w:val="24"/>
                <w:lang w:bidi="ar"/>
              </w:rPr>
              <w:t>110 mg/dL (1.24 mmol/L)</w:t>
            </w:r>
          </w:p>
        </w:tc>
      </w:tr>
      <w:tr w14:paraId="7E31C679">
        <w:tblPrEx>
          <w:tblCellMar>
            <w:top w:w="0" w:type="dxa"/>
            <w:left w:w="108" w:type="dxa"/>
            <w:bottom w:w="0" w:type="dxa"/>
            <w:right w:w="108" w:type="dxa"/>
          </w:tblCellMar>
        </w:tblPrEx>
        <w:trPr>
          <w:trHeight w:val="90" w:hRule="atLeast"/>
          <w:jc w:val="center"/>
        </w:trPr>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601A3">
            <w:pPr>
              <w:widowControl/>
              <w:spacing w:line="240" w:lineRule="auto"/>
              <w:jc w:val="left"/>
              <w:textAlignment w:val="center"/>
              <w:rPr>
                <w:rFonts w:hint="default" w:ascii="Times New Roman" w:hAnsi="Times New Roman" w:eastAsia="宋体" w:cs="Times New Roman"/>
                <w:b/>
                <w:bCs/>
                <w:color w:val="auto"/>
                <w:kern w:val="0"/>
                <w:sz w:val="24"/>
                <w:szCs w:val="24"/>
                <w:lang w:bidi="ar"/>
              </w:rPr>
            </w:pPr>
            <w:r>
              <w:rPr>
                <w:rFonts w:hint="default" w:ascii="Times New Roman" w:hAnsi="Times New Roman" w:eastAsia="宋体" w:cs="Times New Roman"/>
                <w:b/>
                <w:bCs/>
                <w:color w:val="auto"/>
                <w:kern w:val="0"/>
                <w:sz w:val="24"/>
                <w:szCs w:val="24"/>
                <w:lang w:bidi="ar"/>
              </w:rPr>
              <w:t>High-density lipoprotein cholesterol (HDL-C)</w:t>
            </w:r>
          </w:p>
        </w:tc>
        <w:tc>
          <w:tcPr>
            <w:tcW w:w="26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E5E916">
            <w:pPr>
              <w:widowControl/>
              <w:spacing w:line="240" w:lineRule="auto"/>
              <w:jc w:val="left"/>
              <w:textAlignment w:val="center"/>
              <w:rPr>
                <w:rFonts w:hint="default" w:ascii="Times New Roman" w:hAnsi="Times New Roman" w:eastAsia="宋体" w:cs="Times New Roman"/>
                <w:color w:val="auto"/>
                <w:kern w:val="0"/>
                <w:sz w:val="24"/>
                <w:szCs w:val="24"/>
                <w:lang w:bidi="ar"/>
              </w:rPr>
            </w:pPr>
            <w:r>
              <w:rPr>
                <w:rFonts w:hint="eastAsia" w:ascii="Times New Roman" w:hAnsi="Times New Roman" w:eastAsia="宋体" w:cs="Times New Roman"/>
                <w:color w:val="auto"/>
                <w:kern w:val="0"/>
                <w:sz w:val="24"/>
                <w:szCs w:val="24"/>
                <w:lang w:eastAsia="zh-CN" w:bidi="ar"/>
              </w:rPr>
              <w:t>&lt;</w:t>
            </w:r>
            <w:r>
              <w:rPr>
                <w:rFonts w:hint="default" w:ascii="Times New Roman" w:hAnsi="Times New Roman" w:eastAsia="宋体" w:cs="Times New Roman"/>
                <w:color w:val="auto"/>
                <w:kern w:val="0"/>
                <w:sz w:val="24"/>
                <w:szCs w:val="24"/>
                <w:lang w:bidi="ar"/>
              </w:rPr>
              <w:t>16 years:</w:t>
            </w:r>
            <w:r>
              <w:rPr>
                <w:rFonts w:hint="default" w:ascii="Times New Roman" w:hAnsi="Times New Roman" w:eastAsia="宋体" w:cs="Times New Roman"/>
                <w:color w:val="auto"/>
                <w:kern w:val="0"/>
                <w:sz w:val="24"/>
                <w:szCs w:val="24"/>
                <w:lang w:eastAsia="zh-CN" w:bidi="ar"/>
              </w:rPr>
              <w:t>&lt;</w:t>
            </w:r>
            <w:r>
              <w:rPr>
                <w:rFonts w:hint="default" w:ascii="Times New Roman" w:hAnsi="Times New Roman" w:eastAsia="宋体" w:cs="Times New Roman"/>
                <w:color w:val="auto"/>
                <w:kern w:val="0"/>
                <w:sz w:val="24"/>
                <w:szCs w:val="24"/>
                <w:lang w:bidi="ar"/>
              </w:rPr>
              <w:t>40 mg/dL (1.03 mmol/L)</w:t>
            </w:r>
          </w:p>
          <w:p w14:paraId="26FC41FF">
            <w:pPr>
              <w:widowControl/>
              <w:spacing w:line="24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eastAsia="zh-CN" w:bidi="ar"/>
              </w:rPr>
              <w:t>≥</w:t>
            </w:r>
            <w:r>
              <w:rPr>
                <w:rFonts w:hint="default" w:ascii="Times New Roman" w:hAnsi="Times New Roman" w:eastAsia="宋体" w:cs="Times New Roman"/>
                <w:color w:val="auto"/>
                <w:kern w:val="0"/>
                <w:sz w:val="24"/>
                <w:szCs w:val="24"/>
                <w:lang w:bidi="ar"/>
              </w:rPr>
              <w:t>16 years:</w:t>
            </w:r>
            <w:r>
              <w:rPr>
                <w:rFonts w:hint="default" w:ascii="Times New Roman" w:hAnsi="Times New Roman" w:eastAsia="宋体" w:cs="Times New Roman"/>
                <w:color w:val="auto"/>
                <w:kern w:val="0"/>
                <w:sz w:val="24"/>
                <w:szCs w:val="24"/>
                <w:lang w:eastAsia="zh-CN" w:bidi="ar"/>
              </w:rPr>
              <w:t>&lt;</w:t>
            </w:r>
            <w:r>
              <w:rPr>
                <w:rFonts w:hint="default" w:ascii="Times New Roman" w:hAnsi="Times New Roman" w:eastAsia="宋体" w:cs="Times New Roman"/>
                <w:color w:val="auto"/>
                <w:kern w:val="0"/>
                <w:sz w:val="24"/>
                <w:szCs w:val="24"/>
                <w:lang w:bidi="ar"/>
              </w:rPr>
              <w:t>40 mg/dL (1.03 mmol/L) in males and</w:t>
            </w:r>
            <w:r>
              <w:rPr>
                <w:rFonts w:hint="eastAsia" w:ascii="Times New Roman" w:hAnsi="Times New Roman" w:eastAsia="宋体" w:cs="Times New Roman"/>
                <w:color w:val="auto"/>
                <w:kern w:val="0"/>
                <w:sz w:val="24"/>
                <w:szCs w:val="24"/>
                <w:lang w:val="en-US" w:eastAsia="zh-CN" w:bidi="ar"/>
              </w:rPr>
              <w:t xml:space="preserve"> </w:t>
            </w:r>
            <w:r>
              <w:rPr>
                <w:rFonts w:hint="default" w:ascii="Times New Roman" w:hAnsi="Times New Roman" w:eastAsia="宋体" w:cs="Times New Roman"/>
                <w:color w:val="auto"/>
                <w:kern w:val="0"/>
                <w:sz w:val="24"/>
                <w:szCs w:val="24"/>
                <w:lang w:eastAsia="zh-CN" w:bidi="ar"/>
              </w:rPr>
              <w:t>&lt;</w:t>
            </w:r>
            <w:r>
              <w:rPr>
                <w:rFonts w:hint="default" w:ascii="Times New Roman" w:hAnsi="Times New Roman" w:eastAsia="宋体" w:cs="Times New Roman"/>
                <w:color w:val="auto"/>
                <w:kern w:val="0"/>
                <w:sz w:val="24"/>
                <w:szCs w:val="24"/>
                <w:lang w:bidi="ar"/>
              </w:rPr>
              <w:t>50 mg/dL (1.29 mmol/L) in females</w:t>
            </w:r>
          </w:p>
        </w:tc>
        <w:tc>
          <w:tcPr>
            <w:tcW w:w="1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E5B2A">
            <w:pPr>
              <w:widowControl/>
              <w:spacing w:line="240" w:lineRule="auto"/>
              <w:jc w:val="left"/>
              <w:textAlignment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eastAsia="zh-CN" w:bidi="ar"/>
              </w:rPr>
              <w:t>≤</w:t>
            </w:r>
            <w:r>
              <w:rPr>
                <w:rFonts w:hint="default" w:ascii="Times New Roman" w:hAnsi="Times New Roman" w:eastAsia="宋体" w:cs="Times New Roman"/>
                <w:color w:val="auto"/>
                <w:kern w:val="0"/>
                <w:sz w:val="24"/>
                <w:szCs w:val="24"/>
                <w:lang w:bidi="ar"/>
              </w:rPr>
              <w:t>40 mg/dL (1.03 mmol/L)</w:t>
            </w:r>
          </w:p>
        </w:tc>
      </w:tr>
      <w:tr w14:paraId="23BAD17A">
        <w:tblPrEx>
          <w:tblCellMar>
            <w:top w:w="0" w:type="dxa"/>
            <w:left w:w="108" w:type="dxa"/>
            <w:bottom w:w="0" w:type="dxa"/>
            <w:right w:w="108" w:type="dxa"/>
          </w:tblCellMar>
        </w:tblPrEx>
        <w:trPr>
          <w:trHeight w:val="1297" w:hRule="atLeast"/>
          <w:jc w:val="center"/>
        </w:trPr>
        <w:tc>
          <w:tcPr>
            <w:tcW w:w="9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4CCB1">
            <w:pPr>
              <w:widowControl/>
              <w:spacing w:line="240" w:lineRule="auto"/>
              <w:jc w:val="left"/>
              <w:textAlignment w:val="center"/>
              <w:rPr>
                <w:rFonts w:hint="default" w:ascii="Times New Roman" w:hAnsi="Times New Roman" w:eastAsia="宋体" w:cs="Times New Roman"/>
                <w:b/>
                <w:bCs/>
                <w:color w:val="auto"/>
                <w:kern w:val="0"/>
                <w:sz w:val="24"/>
                <w:szCs w:val="24"/>
                <w:lang w:val="en-US" w:eastAsia="zh-CN" w:bidi="ar"/>
              </w:rPr>
            </w:pPr>
            <w:r>
              <w:rPr>
                <w:rFonts w:hint="default" w:ascii="Times New Roman" w:hAnsi="Times New Roman" w:eastAsia="宋体" w:cs="Times New Roman"/>
                <w:b/>
                <w:bCs/>
                <w:color w:val="auto"/>
                <w:kern w:val="0"/>
                <w:sz w:val="24"/>
                <w:szCs w:val="24"/>
                <w:lang w:val="en-US" w:eastAsia="zh-CN" w:bidi="ar"/>
              </w:rPr>
              <w:t>Reference</w:t>
            </w:r>
          </w:p>
        </w:tc>
        <w:tc>
          <w:tcPr>
            <w:tcW w:w="13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F47A6">
            <w:pPr>
              <w:widowControl/>
              <w:spacing w:line="240" w:lineRule="auto"/>
              <w:jc w:val="left"/>
              <w:textAlignment w:val="center"/>
              <w:rPr>
                <w:rFonts w:hint="default" w:ascii="Times New Roman" w:hAnsi="Times New Roman" w:eastAsia="宋体" w:cs="Times New Roman"/>
                <w:i/>
                <w:iCs/>
                <w:color w:val="auto"/>
                <w:kern w:val="0"/>
                <w:sz w:val="24"/>
                <w:szCs w:val="24"/>
                <w:lang w:bidi="ar"/>
              </w:rPr>
            </w:pPr>
            <w:r>
              <w:rPr>
                <w:rFonts w:hint="default" w:ascii="Times New Roman" w:hAnsi="Times New Roman" w:eastAsia="宋体" w:cs="Times New Roman"/>
                <w:i/>
                <w:iCs/>
                <w:color w:val="auto"/>
                <w:kern w:val="0"/>
                <w:sz w:val="24"/>
                <w:szCs w:val="24"/>
                <w:lang w:bidi="ar"/>
              </w:rPr>
              <w:t xml:space="preserve">Zimmet et al. 2007a; Liu et al. 2022; </w:t>
            </w:r>
          </w:p>
          <w:p w14:paraId="6ACCF7B1">
            <w:pPr>
              <w:widowControl/>
              <w:spacing w:line="240" w:lineRule="auto"/>
              <w:jc w:val="left"/>
              <w:textAlignment w:val="center"/>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i/>
                <w:iCs/>
                <w:color w:val="auto"/>
                <w:kern w:val="0"/>
                <w:sz w:val="24"/>
                <w:szCs w:val="24"/>
                <w:lang w:bidi="ar"/>
              </w:rPr>
              <w:t>Liu et al. 2023</w:t>
            </w:r>
          </w:p>
        </w:tc>
        <w:tc>
          <w:tcPr>
            <w:tcW w:w="1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9B78A">
            <w:pPr>
              <w:widowControl/>
              <w:spacing w:line="240" w:lineRule="auto"/>
              <w:jc w:val="left"/>
              <w:textAlignment w:val="center"/>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i/>
                <w:iCs/>
                <w:color w:val="auto"/>
                <w:kern w:val="0"/>
                <w:sz w:val="24"/>
                <w:szCs w:val="24"/>
                <w:lang w:bidi="ar"/>
              </w:rPr>
              <w:t>Zimmet et al. 2007b; Cai et al. 2022</w:t>
            </w:r>
          </w:p>
        </w:tc>
        <w:tc>
          <w:tcPr>
            <w:tcW w:w="1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6928E">
            <w:pPr>
              <w:widowControl/>
              <w:spacing w:line="240" w:lineRule="auto"/>
              <w:jc w:val="left"/>
              <w:textAlignment w:val="center"/>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i/>
                <w:iCs/>
                <w:color w:val="auto"/>
                <w:kern w:val="0"/>
                <w:sz w:val="24"/>
                <w:szCs w:val="24"/>
                <w:lang w:bidi="ar"/>
              </w:rPr>
              <w:t>Cook et al. 2003; Duncan, Li, and Zhou 2004</w:t>
            </w:r>
          </w:p>
        </w:tc>
      </w:tr>
    </w:tbl>
    <w:p w14:paraId="437B8CFC">
      <w:pPr>
        <w:spacing w:line="480" w:lineRule="auto"/>
        <w:ind w:firstLine="420"/>
        <w:jc w:val="left"/>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bidi="ar"/>
        </w:rPr>
        <w:t xml:space="preserve">Regarding each risk factor, since the criteria in the literature are not completely unified, there are different cutoff points for defining abnormal values. </w:t>
      </w:r>
      <w:r>
        <w:rPr>
          <w:rFonts w:hint="eastAsia" w:ascii="Times New Roman" w:hAnsi="Times New Roman" w:cs="Times New Roman"/>
          <w:b/>
          <w:bCs/>
          <w:i w:val="0"/>
          <w:iCs w:val="0"/>
          <w:color w:val="auto"/>
          <w:sz w:val="24"/>
          <w:highlight w:val="none"/>
          <w:u w:val="single"/>
          <w:lang w:val="en-US" w:eastAsia="zh-CN"/>
        </w:rPr>
        <w:t xml:space="preserve">Criterion </w:t>
      </w:r>
      <w:r>
        <w:rPr>
          <w:rFonts w:hint="default" w:ascii="Times New Roman" w:hAnsi="Times New Roman" w:eastAsia="宋体" w:cs="Times New Roman"/>
          <w:b/>
          <w:bCs/>
          <w:color w:val="auto"/>
          <w:kern w:val="0"/>
          <w:sz w:val="24"/>
          <w:szCs w:val="24"/>
          <w:u w:val="single"/>
          <w:lang w:bidi="ar"/>
        </w:rPr>
        <w:t>1</w:t>
      </w:r>
      <w:r>
        <w:rPr>
          <w:rFonts w:hint="default" w:ascii="Times New Roman" w:hAnsi="Times New Roman" w:eastAsia="宋体" w:cs="Times New Roman"/>
          <w:color w:val="auto"/>
          <w:kern w:val="0"/>
          <w:sz w:val="24"/>
          <w:szCs w:val="24"/>
          <w:lang w:bidi="ar"/>
        </w:rPr>
        <w:t xml:space="preserve"> was the</w:t>
      </w:r>
      <w:r>
        <w:rPr>
          <w:rFonts w:hint="default" w:ascii="Times New Roman" w:hAnsi="Times New Roman" w:eastAsia="宋体" w:cs="Times New Roman"/>
          <w:color w:val="auto"/>
          <w:kern w:val="0"/>
          <w:sz w:val="24"/>
          <w:szCs w:val="24"/>
          <w:lang w:val="en-US" w:eastAsia="zh-CN" w:bidi="ar"/>
        </w:rPr>
        <w:t xml:space="preserve"> primary one</w:t>
      </w:r>
      <w:r>
        <w:rPr>
          <w:rFonts w:hint="default" w:ascii="Times New Roman" w:hAnsi="Times New Roman" w:eastAsia="宋体" w:cs="Times New Roman"/>
          <w:color w:val="auto"/>
          <w:kern w:val="0"/>
          <w:sz w:val="24"/>
          <w:szCs w:val="24"/>
          <w:lang w:bidi="ar"/>
        </w:rPr>
        <w:t xml:space="preserve"> adopted in our article. Besides waist circumference (WC), it also included BP</w:t>
      </w:r>
      <w:r>
        <w:rPr>
          <w:rFonts w:hint="default" w:ascii="Times New Roman" w:hAnsi="Times New Roman" w:eastAsia="宋体" w:cs="Times New Roman"/>
          <w:color w:val="auto"/>
          <w:kern w:val="0"/>
          <w:sz w:val="24"/>
          <w:szCs w:val="24"/>
          <w:lang w:eastAsia="zh-CN" w:bidi="ar"/>
        </w:rPr>
        <w:t>≥</w:t>
      </w:r>
      <w:r>
        <w:rPr>
          <w:rFonts w:hint="default" w:ascii="Times New Roman" w:hAnsi="Times New Roman" w:eastAsia="宋体" w:cs="Times New Roman"/>
          <w:color w:val="auto"/>
          <w:kern w:val="0"/>
          <w:sz w:val="24"/>
          <w:szCs w:val="24"/>
          <w:lang w:bidi="ar"/>
        </w:rPr>
        <w:t>130/85 mmHg, FPG</w:t>
      </w:r>
      <w:r>
        <w:rPr>
          <w:rFonts w:hint="default" w:ascii="Times New Roman" w:hAnsi="Times New Roman" w:eastAsia="宋体" w:cs="Times New Roman"/>
          <w:color w:val="auto"/>
          <w:kern w:val="0"/>
          <w:sz w:val="24"/>
          <w:szCs w:val="24"/>
          <w:lang w:eastAsia="zh-CN" w:bidi="ar"/>
        </w:rPr>
        <w:t>≥</w:t>
      </w:r>
      <w:r>
        <w:rPr>
          <w:rFonts w:hint="default" w:ascii="Times New Roman" w:hAnsi="Times New Roman" w:eastAsia="宋体" w:cs="Times New Roman"/>
          <w:color w:val="auto"/>
          <w:kern w:val="0"/>
          <w:sz w:val="24"/>
          <w:szCs w:val="24"/>
          <w:lang w:bidi="ar"/>
        </w:rPr>
        <w:t>100 mg/dL, TG</w:t>
      </w:r>
      <w:r>
        <w:rPr>
          <w:rFonts w:hint="default"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bidi="ar"/>
        </w:rPr>
        <w:t>150 mg/dL, and HDL-C</w:t>
      </w:r>
      <w:r>
        <w:rPr>
          <w:rFonts w:hint="default" w:ascii="Times New Roman" w:hAnsi="Times New Roman" w:eastAsia="宋体" w:cs="Times New Roman"/>
          <w:color w:val="auto"/>
          <w:kern w:val="0"/>
          <w:sz w:val="24"/>
          <w:szCs w:val="24"/>
          <w:lang w:eastAsia="zh-CN" w:bidi="ar"/>
        </w:rPr>
        <w:t>&lt;</w:t>
      </w:r>
      <w:r>
        <w:rPr>
          <w:rFonts w:hint="default" w:ascii="Times New Roman" w:hAnsi="Times New Roman" w:eastAsia="宋体" w:cs="Times New Roman"/>
          <w:color w:val="auto"/>
          <w:kern w:val="0"/>
          <w:sz w:val="24"/>
          <w:szCs w:val="24"/>
          <w:lang w:bidi="ar"/>
        </w:rPr>
        <w:t>40 mg/dL (for males and females under 16 years old) or</w:t>
      </w:r>
      <w:r>
        <w:rPr>
          <w:rFonts w:hint="eastAsia" w:ascii="Times New Roman" w:hAnsi="Times New Roman" w:eastAsia="宋体" w:cs="Times New Roman"/>
          <w:color w:val="auto"/>
          <w:kern w:val="0"/>
          <w:sz w:val="24"/>
          <w:szCs w:val="24"/>
          <w:lang w:val="en-US" w:eastAsia="zh-CN" w:bidi="ar"/>
        </w:rPr>
        <w:t xml:space="preserve"> </w:t>
      </w:r>
      <w:r>
        <w:rPr>
          <w:rFonts w:hint="default" w:ascii="Times New Roman" w:hAnsi="Times New Roman" w:eastAsia="宋体" w:cs="Times New Roman"/>
          <w:color w:val="auto"/>
          <w:kern w:val="0"/>
          <w:sz w:val="24"/>
          <w:szCs w:val="24"/>
          <w:lang w:eastAsia="zh-CN" w:bidi="ar"/>
        </w:rPr>
        <w:t>&lt;</w:t>
      </w:r>
      <w:r>
        <w:rPr>
          <w:rFonts w:hint="default" w:ascii="Times New Roman" w:hAnsi="Times New Roman" w:eastAsia="宋体" w:cs="Times New Roman"/>
          <w:color w:val="auto"/>
          <w:kern w:val="0"/>
          <w:sz w:val="24"/>
          <w:szCs w:val="24"/>
          <w:lang w:bidi="ar"/>
        </w:rPr>
        <w:t>50 mg/dL (for females aged 16 years and above). The defin</w:t>
      </w:r>
      <w:r>
        <w:rPr>
          <w:rFonts w:hint="eastAsia" w:ascii="Times New Roman" w:hAnsi="Times New Roman" w:eastAsia="宋体" w:cs="Times New Roman"/>
          <w:color w:val="auto"/>
          <w:kern w:val="0"/>
          <w:sz w:val="24"/>
          <w:szCs w:val="24"/>
          <w:lang w:val="en-US" w:eastAsia="zh-CN" w:bidi="ar"/>
        </w:rPr>
        <w:t>ition</w:t>
      </w:r>
      <w:r>
        <w:rPr>
          <w:rFonts w:hint="default" w:ascii="Times New Roman" w:hAnsi="Times New Roman" w:eastAsia="宋体" w:cs="Times New Roman"/>
          <w:color w:val="auto"/>
          <w:kern w:val="0"/>
          <w:sz w:val="24"/>
          <w:szCs w:val="24"/>
          <w:lang w:bidi="ar"/>
        </w:rPr>
        <w:t xml:space="preserve"> for these risk factors have been widely used in many </w:t>
      </w:r>
      <w:r>
        <w:rPr>
          <w:rFonts w:hint="default" w:ascii="Times New Roman" w:hAnsi="Times New Roman" w:eastAsia="宋体" w:cs="Times New Roman"/>
          <w:color w:val="auto"/>
          <w:kern w:val="0"/>
          <w:sz w:val="24"/>
          <w:szCs w:val="24"/>
          <w:lang w:val="en-US" w:eastAsia="zh-CN" w:bidi="ar"/>
        </w:rPr>
        <w:t>studies</w:t>
      </w:r>
      <w:r>
        <w:rPr>
          <w:rFonts w:hint="default" w:ascii="Times New Roman" w:hAnsi="Times New Roman" w:eastAsia="宋体" w:cs="Times New Roman"/>
          <w:color w:val="auto"/>
          <w:kern w:val="0"/>
          <w:sz w:val="24"/>
          <w:szCs w:val="24"/>
          <w:lang w:bidi="ar"/>
        </w:rPr>
        <w:t>.</w:t>
      </w:r>
      <w:r>
        <w:rPr>
          <w:rFonts w:hint="default" w:ascii="Times New Roman" w:hAnsi="Times New Roman" w:eastAsia="宋体" w:cs="Times New Roman"/>
          <w:i w:val="0"/>
          <w:iCs w:val="0"/>
          <w:color w:val="auto"/>
          <w:kern w:val="0"/>
          <w:sz w:val="24"/>
          <w:szCs w:val="24"/>
          <w:lang w:bidi="ar"/>
        </w:rPr>
        <w:fldChar w:fldCharType="begin">
          <w:fldData xml:space="preserve">PEVuZE5vdGU+PENpdGU+PEF1dGhvcj5aaW1tZXQ8L0F1dGhvcj48WWVhcj4yMDA3PC9ZZWFyPjxS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</w:fldData>
        </w:fldChar>
      </w:r>
      <w:r>
        <w:rPr>
          <w:rFonts w:hint="default" w:ascii="Times New Roman" w:hAnsi="Times New Roman" w:eastAsia="宋体" w:cs="Times New Roman"/>
          <w:i w:val="0"/>
          <w:iCs w:val="0"/>
          <w:color w:val="auto"/>
          <w:kern w:val="0"/>
          <w:sz w:val="24"/>
          <w:szCs w:val="24"/>
          <w:lang w:eastAsia="zh-CN" w:bidi="ar"/>
        </w:rPr>
        <w:instrText xml:space="preserve"> ADDIN EN.CITE </w:instrText>
      </w:r>
      <w:r>
        <w:rPr>
          <w:rFonts w:hint="default" w:ascii="Times New Roman" w:hAnsi="Times New Roman" w:eastAsia="宋体" w:cs="Times New Roman"/>
          <w:i w:val="0"/>
          <w:iCs w:val="0"/>
          <w:color w:val="auto"/>
          <w:kern w:val="0"/>
          <w:sz w:val="24"/>
          <w:szCs w:val="24"/>
          <w:lang w:eastAsia="zh-CN" w:bidi="ar"/>
        </w:rPr>
        <w:fldChar w:fldCharType="begin">
          <w:fldData xml:space="preserve">PEVuZE5vdGU+PENpdGU+PEF1dGhvcj5aaW1tZXQ8L0F1dGhvcj48WWVhcj4yMDA3PC9ZZWFyPjxS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</w:fldData>
        </w:fldChar>
      </w:r>
      <w:r>
        <w:rPr>
          <w:rFonts w:hint="default" w:ascii="Times New Roman" w:hAnsi="Times New Roman" w:eastAsia="宋体" w:cs="Times New Roman"/>
          <w:i w:val="0"/>
          <w:iCs w:val="0"/>
          <w:color w:val="auto"/>
          <w:kern w:val="0"/>
          <w:sz w:val="24"/>
          <w:szCs w:val="24"/>
          <w:lang w:eastAsia="zh-CN" w:bidi="ar"/>
        </w:rPr>
        <w:instrText xml:space="preserve"> ADDIN EN.CITE.DATA </w:instrText>
      </w:r>
      <w:r>
        <w:rPr>
          <w:rFonts w:hint="default" w:ascii="Times New Roman" w:hAnsi="Times New Roman" w:eastAsia="宋体" w:cs="Times New Roman"/>
          <w:i w:val="0"/>
          <w:iCs w:val="0"/>
          <w:color w:val="auto"/>
          <w:kern w:val="0"/>
          <w:sz w:val="24"/>
          <w:szCs w:val="24"/>
          <w:lang w:eastAsia="zh-CN" w:bidi="ar"/>
        </w:rPr>
        <w:fldChar w:fldCharType="separate"/>
      </w:r>
      <w:r>
        <w:rPr>
          <w:rFonts w:hint="default" w:ascii="Times New Roman" w:hAnsi="Times New Roman" w:eastAsia="宋体" w:cs="Times New Roman"/>
          <w:i w:val="0"/>
          <w:iCs w:val="0"/>
          <w:color w:val="auto"/>
          <w:kern w:val="0"/>
          <w:sz w:val="24"/>
          <w:szCs w:val="24"/>
          <w:lang w:eastAsia="zh-CN" w:bidi="ar"/>
        </w:rPr>
        <w:fldChar w:fldCharType="end"/>
      </w:r>
      <w:r>
        <w:rPr>
          <w:rFonts w:hint="default" w:ascii="Times New Roman" w:hAnsi="Times New Roman" w:eastAsia="宋体" w:cs="Times New Roman"/>
          <w:i w:val="0"/>
          <w:iCs w:val="0"/>
          <w:color w:val="auto"/>
          <w:kern w:val="0"/>
          <w:sz w:val="24"/>
          <w:szCs w:val="24"/>
          <w:lang w:bidi="ar"/>
        </w:rPr>
        <w:fldChar w:fldCharType="separate"/>
      </w:r>
      <w:r>
        <w:rPr>
          <w:rFonts w:hint="default" w:ascii="Times New Roman" w:hAnsi="Times New Roman" w:eastAsia="宋体" w:cs="Times New Roman"/>
          <w:i w:val="0"/>
          <w:iCs w:val="0"/>
          <w:color w:val="auto"/>
          <w:kern w:val="0"/>
          <w:sz w:val="24"/>
          <w:szCs w:val="24"/>
          <w:vertAlign w:val="superscript"/>
          <w:lang w:val="en-US" w:eastAsia="zh-CN" w:bidi="ar"/>
          <w14:ligatures w14:val="standardContextual"/>
        </w:rPr>
        <w:t>3-5</w:t>
      </w:r>
      <w:r>
        <w:rPr>
          <w:rFonts w:hint="default" w:ascii="Times New Roman" w:hAnsi="Times New Roman" w:eastAsia="宋体" w:cs="Times New Roman"/>
          <w:i w:val="0"/>
          <w:iCs w:val="0"/>
          <w:color w:val="auto"/>
          <w:kern w:val="0"/>
          <w:sz w:val="24"/>
          <w:szCs w:val="24"/>
          <w:lang w:bidi="ar"/>
        </w:rPr>
        <w:fldChar w:fldCharType="end"/>
      </w:r>
      <w:r>
        <w:rPr>
          <w:rFonts w:hint="default" w:ascii="Times New Roman" w:hAnsi="Times New Roman" w:eastAsia="宋体" w:cs="Times New Roman"/>
          <w:color w:val="auto"/>
          <w:kern w:val="0"/>
          <w:sz w:val="24"/>
          <w:szCs w:val="24"/>
          <w:lang w:bidi="ar"/>
        </w:rPr>
        <w:t xml:space="preserve"> </w:t>
      </w:r>
      <w:r>
        <w:rPr>
          <w:rFonts w:hint="eastAsia" w:ascii="Times New Roman" w:hAnsi="Times New Roman" w:cs="Times New Roman"/>
          <w:b/>
          <w:bCs/>
          <w:i w:val="0"/>
          <w:iCs w:val="0"/>
          <w:color w:val="auto"/>
          <w:sz w:val="24"/>
          <w:highlight w:val="none"/>
          <w:u w:val="single"/>
          <w:lang w:val="en-US" w:eastAsia="zh-CN"/>
        </w:rPr>
        <w:t xml:space="preserve">Criterion </w:t>
      </w:r>
      <w:r>
        <w:rPr>
          <w:rFonts w:hint="default" w:ascii="Times New Roman" w:hAnsi="Times New Roman" w:eastAsia="宋体" w:cs="Times New Roman"/>
          <w:b/>
          <w:bCs/>
          <w:color w:val="auto"/>
          <w:kern w:val="0"/>
          <w:sz w:val="24"/>
          <w:szCs w:val="24"/>
          <w:u w:val="single"/>
          <w:lang w:bidi="ar"/>
        </w:rPr>
        <w:t>2</w:t>
      </w:r>
      <w:r>
        <w:rPr>
          <w:rFonts w:hint="default" w:ascii="Times New Roman" w:hAnsi="Times New Roman" w:eastAsia="宋体" w:cs="Times New Roman"/>
          <w:color w:val="auto"/>
          <w:kern w:val="0"/>
          <w:sz w:val="24"/>
          <w:szCs w:val="24"/>
          <w:lang w:bidi="ar"/>
        </w:rPr>
        <w:t xml:space="preserve"> differed from </w:t>
      </w:r>
      <w:r>
        <w:rPr>
          <w:rFonts w:hint="eastAsia" w:ascii="Times New Roman" w:hAnsi="Times New Roman" w:cs="Times New Roman"/>
          <w:b w:val="0"/>
          <w:bCs w:val="0"/>
          <w:i w:val="0"/>
          <w:iCs w:val="0"/>
          <w:color w:val="auto"/>
          <w:sz w:val="24"/>
          <w:highlight w:val="none"/>
          <w:lang w:val="en-US" w:eastAsia="zh-CN"/>
        </w:rPr>
        <w:t xml:space="preserve">Criterion </w:t>
      </w:r>
      <w:r>
        <w:rPr>
          <w:rFonts w:hint="default" w:ascii="Times New Roman" w:hAnsi="Times New Roman" w:eastAsia="宋体" w:cs="Times New Roman"/>
          <w:color w:val="auto"/>
          <w:kern w:val="0"/>
          <w:sz w:val="24"/>
          <w:szCs w:val="24"/>
          <w:lang w:bidi="ar"/>
        </w:rPr>
        <w:t>1 in that the criterion for abnormally increased BP adopted</w:t>
      </w:r>
      <w:r>
        <w:rPr>
          <w:rFonts w:hint="default" w:ascii="Times New Roman" w:hAnsi="Times New Roman" w:eastAsia="宋体" w:cs="Times New Roman"/>
          <w:color w:val="auto"/>
          <w:kern w:val="0"/>
          <w:sz w:val="24"/>
          <w:szCs w:val="24"/>
          <w:lang w:val="en-US" w:eastAsia="zh-CN" w:bidi="ar"/>
        </w:rPr>
        <w:t xml:space="preserve"> </w:t>
      </w:r>
      <w:r>
        <w:rPr>
          <w:rFonts w:hint="default" w:ascii="Times New Roman" w:hAnsi="Times New Roman" w:eastAsia="宋体" w:cs="Times New Roman"/>
          <w:color w:val="auto"/>
          <w:kern w:val="0"/>
          <w:sz w:val="24"/>
          <w:szCs w:val="24"/>
          <w:lang w:eastAsia="zh-CN" w:bidi="ar"/>
        </w:rPr>
        <w:t>≥</w:t>
      </w:r>
      <w:r>
        <w:rPr>
          <w:rFonts w:hint="default" w:ascii="Times New Roman" w:hAnsi="Times New Roman" w:eastAsia="宋体" w:cs="Times New Roman"/>
          <w:color w:val="auto"/>
          <w:kern w:val="0"/>
          <w:sz w:val="24"/>
          <w:szCs w:val="24"/>
          <w:lang w:bidi="ar"/>
        </w:rPr>
        <w:t xml:space="preserve">90th percentile by age, </w:t>
      </w:r>
      <w:r>
        <w:rPr>
          <w:rFonts w:hint="default" w:ascii="Times New Roman" w:hAnsi="Times New Roman" w:eastAsia="宋体" w:cs="Times New Roman"/>
          <w:color w:val="auto"/>
          <w:kern w:val="0"/>
          <w:sz w:val="24"/>
          <w:szCs w:val="24"/>
          <w:lang w:eastAsia="zh-CN" w:bidi="ar"/>
        </w:rPr>
        <w:t>sex</w:t>
      </w:r>
      <w:r>
        <w:rPr>
          <w:rFonts w:hint="default" w:ascii="Times New Roman" w:hAnsi="Times New Roman" w:eastAsia="宋体" w:cs="Times New Roman"/>
          <w:color w:val="auto"/>
          <w:kern w:val="0"/>
          <w:sz w:val="24"/>
          <w:szCs w:val="24"/>
          <w:lang w:bidi="ar"/>
        </w:rPr>
        <w:t>, and height, which is still often applied in articles related to adolescent metabolism-related studies.</w:t>
      </w:r>
      <w:r>
        <w:rPr>
          <w:rFonts w:hint="default" w:ascii="Times New Roman" w:hAnsi="Times New Roman" w:eastAsia="宋体" w:cs="Times New Roman"/>
          <w:color w:val="auto"/>
          <w:kern w:val="0"/>
          <w:sz w:val="24"/>
          <w:szCs w:val="24"/>
          <w:lang w:bidi="ar"/>
        </w:rPr>
        <w:fldChar w:fldCharType="begin">
          <w:fldData xml:space="preserve">PEVuZE5vdGU+PENpdGU+PEF1dGhvcj5aaW1tZXQ8L0F1dGhvcj48WWVhcj4yMDA3PC9ZZWFyPjxS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</w:fldData>
        </w:fldChar>
      </w:r>
      <w:r>
        <w:rPr>
          <w:rFonts w:hint="default" w:ascii="Times New Roman" w:hAnsi="Times New Roman" w:eastAsia="宋体" w:cs="Times New Roman"/>
          <w:color w:val="auto"/>
          <w:kern w:val="0"/>
          <w:sz w:val="24"/>
          <w:szCs w:val="24"/>
          <w:lang w:eastAsia="zh-CN" w:bidi="ar"/>
        </w:rPr>
        <w:instrText xml:space="preserve"> ADDIN EN.CITE </w:instrText>
      </w:r>
      <w:r>
        <w:rPr>
          <w:rFonts w:hint="default" w:ascii="Times New Roman" w:hAnsi="Times New Roman" w:eastAsia="宋体" w:cs="Times New Roman"/>
          <w:color w:val="auto"/>
          <w:kern w:val="0"/>
          <w:sz w:val="24"/>
          <w:szCs w:val="24"/>
          <w:lang w:eastAsia="zh-CN" w:bidi="ar"/>
        </w:rPr>
        <w:fldChar w:fldCharType="begin">
          <w:fldData xml:space="preserve">PEVuZE5vdGU+PENpdGU+PEF1dGhvcj5aaW1tZXQ8L0F1dGhvcj48WWVhcj4yMDA3PC9ZZWFyPjxS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==
</w:fldData>
        </w:fldChar>
      </w:r>
      <w:r>
        <w:rPr>
          <w:rFonts w:hint="default" w:ascii="Times New Roman" w:hAnsi="Times New Roman" w:eastAsia="宋体" w:cs="Times New Roman"/>
          <w:color w:val="auto"/>
          <w:kern w:val="0"/>
          <w:sz w:val="24"/>
          <w:szCs w:val="24"/>
          <w:lang w:eastAsia="zh-CN" w:bidi="ar"/>
        </w:rPr>
        <w:instrText xml:space="preserve"> ADDIN EN.CITE.DATA </w:instrText>
      </w:r>
      <w:r>
        <w:rPr>
          <w:rFonts w:hint="default" w:ascii="Times New Roman" w:hAnsi="Times New Roman" w:eastAsia="宋体" w:cs="Times New Roman"/>
          <w:color w:val="auto"/>
          <w:kern w:val="0"/>
          <w:sz w:val="24"/>
          <w:szCs w:val="24"/>
          <w:lang w:eastAsia="zh-CN" w:bidi="ar"/>
        </w:rPr>
        <w:fldChar w:fldCharType="separate"/>
      </w:r>
      <w:r>
        <w:rPr>
          <w:rFonts w:hint="default" w:ascii="Times New Roman" w:hAnsi="Times New Roman" w:eastAsia="宋体" w:cs="Times New Roman"/>
          <w:color w:val="auto"/>
          <w:kern w:val="0"/>
          <w:sz w:val="24"/>
          <w:szCs w:val="24"/>
          <w:lang w:eastAsia="zh-CN" w:bidi="ar"/>
        </w:rPr>
        <w:fldChar w:fldCharType="end"/>
      </w:r>
      <w:r>
        <w:rPr>
          <w:rFonts w:hint="default" w:ascii="Times New Roman" w:hAnsi="Times New Roman" w:eastAsia="宋体" w:cs="Times New Roman"/>
          <w:color w:val="auto"/>
          <w:kern w:val="0"/>
          <w:sz w:val="24"/>
          <w:szCs w:val="24"/>
          <w:lang w:bidi="ar"/>
        </w:rPr>
        <w:fldChar w:fldCharType="separate"/>
      </w:r>
      <w:r>
        <w:rPr>
          <w:rFonts w:hint="default" w:ascii="Times New Roman" w:hAnsi="Times New Roman" w:eastAsia="宋体" w:cs="Times New Roman"/>
          <w:color w:val="auto"/>
          <w:kern w:val="0"/>
          <w:sz w:val="24"/>
          <w:szCs w:val="24"/>
          <w:vertAlign w:val="superscript"/>
          <w:lang w:val="en-US" w:eastAsia="zh-CN" w:bidi="ar"/>
          <w14:ligatures w14:val="standardContextual"/>
        </w:rPr>
        <w:t>6,7</w:t>
      </w:r>
      <w:r>
        <w:rPr>
          <w:rFonts w:hint="default" w:ascii="Times New Roman" w:hAnsi="Times New Roman" w:eastAsia="宋体" w:cs="Times New Roman"/>
          <w:color w:val="auto"/>
          <w:kern w:val="0"/>
          <w:sz w:val="24"/>
          <w:szCs w:val="24"/>
          <w:lang w:bidi="ar"/>
        </w:rPr>
        <w:fldChar w:fldCharType="end"/>
      </w:r>
      <w:r>
        <w:rPr>
          <w:rFonts w:hint="default" w:ascii="Times New Roman" w:hAnsi="Times New Roman" w:eastAsia="宋体" w:cs="Times New Roman"/>
          <w:color w:val="auto"/>
          <w:kern w:val="0"/>
          <w:sz w:val="24"/>
          <w:szCs w:val="24"/>
          <w:lang w:bidi="ar"/>
        </w:rPr>
        <w:t xml:space="preserve"> </w:t>
      </w:r>
      <w:r>
        <w:rPr>
          <w:rFonts w:hint="eastAsia" w:ascii="Times New Roman" w:hAnsi="Times New Roman" w:cs="Times New Roman"/>
          <w:b/>
          <w:bCs/>
          <w:i w:val="0"/>
          <w:iCs w:val="0"/>
          <w:color w:val="auto"/>
          <w:sz w:val="24"/>
          <w:highlight w:val="none"/>
          <w:u w:val="single"/>
          <w:lang w:val="en-US" w:eastAsia="zh-CN"/>
        </w:rPr>
        <w:t xml:space="preserve">Criterion </w:t>
      </w:r>
      <w:r>
        <w:rPr>
          <w:rFonts w:hint="default" w:ascii="Times New Roman" w:hAnsi="Times New Roman" w:eastAsia="宋体" w:cs="Times New Roman"/>
          <w:b/>
          <w:bCs/>
          <w:color w:val="auto"/>
          <w:kern w:val="0"/>
          <w:sz w:val="24"/>
          <w:szCs w:val="24"/>
          <w:u w:val="single"/>
          <w:lang w:bidi="ar"/>
        </w:rPr>
        <w:t>3</w:t>
      </w:r>
      <w:r>
        <w:rPr>
          <w:rFonts w:hint="default" w:ascii="Times New Roman" w:hAnsi="Times New Roman" w:eastAsia="宋体" w:cs="Times New Roman"/>
          <w:color w:val="auto"/>
          <w:kern w:val="0"/>
          <w:sz w:val="24"/>
          <w:szCs w:val="24"/>
          <w:lang w:bidi="ar"/>
        </w:rPr>
        <w:t xml:space="preserve"> was more frequently used in earlier articles and mainly further adjusted the </w:t>
      </w:r>
      <w:r>
        <w:rPr>
          <w:rFonts w:hint="eastAsia" w:ascii="Times New Roman" w:hAnsi="Times New Roman" w:cs="Times New Roman"/>
          <w:b w:val="0"/>
          <w:bCs w:val="0"/>
          <w:i w:val="0"/>
          <w:iCs w:val="0"/>
          <w:color w:val="auto"/>
          <w:sz w:val="24"/>
          <w:highlight w:val="none"/>
          <w:lang w:val="en-US" w:eastAsia="zh-CN"/>
        </w:rPr>
        <w:t xml:space="preserve">criterion </w:t>
      </w:r>
      <w:r>
        <w:rPr>
          <w:rFonts w:hint="default" w:ascii="Times New Roman" w:hAnsi="Times New Roman" w:eastAsia="宋体" w:cs="Times New Roman"/>
          <w:color w:val="auto"/>
          <w:kern w:val="0"/>
          <w:sz w:val="24"/>
          <w:szCs w:val="24"/>
          <w:lang w:bidi="ar"/>
        </w:rPr>
        <w:t xml:space="preserve">for dyslipidemia in adolescents on the basis of </w:t>
      </w:r>
      <w:r>
        <w:rPr>
          <w:rFonts w:hint="eastAsia" w:ascii="Times New Roman" w:hAnsi="Times New Roman" w:cs="Times New Roman"/>
          <w:b w:val="0"/>
          <w:bCs w:val="0"/>
          <w:i w:val="0"/>
          <w:iCs w:val="0"/>
          <w:color w:val="auto"/>
          <w:sz w:val="24"/>
          <w:highlight w:val="none"/>
          <w:lang w:val="en-US" w:eastAsia="zh-CN"/>
        </w:rPr>
        <w:t xml:space="preserve">Criterion </w:t>
      </w:r>
      <w:r>
        <w:rPr>
          <w:rFonts w:hint="default" w:ascii="Times New Roman" w:hAnsi="Times New Roman" w:eastAsia="宋体" w:cs="Times New Roman"/>
          <w:color w:val="auto"/>
          <w:kern w:val="0"/>
          <w:sz w:val="24"/>
          <w:szCs w:val="24"/>
          <w:lang w:bidi="ar"/>
        </w:rPr>
        <w:t>2.</w:t>
      </w:r>
      <w:r>
        <w:rPr>
          <w:rFonts w:hint="default" w:ascii="Times New Roman" w:hAnsi="Times New Roman" w:cs="Times New Roman"/>
          <w:i w:val="0"/>
          <w:iCs w:val="0"/>
          <w:color w:val="auto"/>
          <w:sz w:val="24"/>
          <w:szCs w:val="24"/>
        </w:rPr>
        <w:fldChar w:fldCharType="begin">
          <w:fldData xml:space="preserve">PEVuZE5vdGU+PENpdGU+PEF1dGhvcj5Db29rPC9BdXRob3I+PFllYXI+MjAwMzwvWWVhcj48UmVj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</w:fldData>
        </w:fldChar>
      </w:r>
      <w:r>
        <w:rPr>
          <w:rFonts w:hint="default" w:ascii="Times New Roman" w:hAnsi="Times New Roman" w:cs="Times New Roman"/>
          <w:i w:val="0"/>
          <w:iCs w:val="0"/>
          <w:color w:val="auto"/>
          <w:sz w:val="24"/>
          <w:szCs w:val="24"/>
          <w:lang w:eastAsia="zh-CN"/>
        </w:rPr>
        <w:instrText xml:space="preserve"> ADDIN EN.CITE </w:instrText>
      </w:r>
      <w:r>
        <w:rPr>
          <w:rFonts w:hint="default" w:ascii="Times New Roman" w:hAnsi="Times New Roman" w:cs="Times New Roman"/>
          <w:i w:val="0"/>
          <w:iCs w:val="0"/>
          <w:color w:val="auto"/>
          <w:sz w:val="24"/>
          <w:szCs w:val="24"/>
          <w:lang w:eastAsia="zh-CN"/>
        </w:rPr>
        <w:fldChar w:fldCharType="begin">
          <w:fldData xml:space="preserve">PEVuZE5vdGU+PENpdGU+PEF1dGhvcj5Db29rPC9BdXRob3I+PFllYXI+MjAwMzwvWWVhcj48UmVj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</w:fldData>
        </w:fldChar>
      </w:r>
      <w:r>
        <w:rPr>
          <w:rFonts w:hint="default" w:ascii="Times New Roman" w:hAnsi="Times New Roman" w:cs="Times New Roman"/>
          <w:i w:val="0"/>
          <w:iCs w:val="0"/>
          <w:color w:val="auto"/>
          <w:sz w:val="24"/>
          <w:szCs w:val="24"/>
          <w:lang w:eastAsia="zh-CN"/>
        </w:rPr>
        <w:instrText xml:space="preserve"> ADDIN EN.CITE.DATA </w:instrText>
      </w:r>
      <w:r>
        <w:rPr>
          <w:rFonts w:hint="default" w:ascii="Times New Roman" w:hAnsi="Times New Roman" w:cs="Times New Roman"/>
          <w:i w:val="0"/>
          <w:iCs w:val="0"/>
          <w:color w:val="auto"/>
          <w:sz w:val="24"/>
          <w:szCs w:val="24"/>
          <w:lang w:eastAsia="zh-CN"/>
        </w:rPr>
        <w:fldChar w:fldCharType="separate"/>
      </w:r>
      <w:r>
        <w:rPr>
          <w:rFonts w:hint="default" w:ascii="Times New Roman" w:hAnsi="Times New Roman" w:cs="Times New Roman"/>
          <w:i w:val="0"/>
          <w:iCs w:val="0"/>
          <w:color w:val="auto"/>
          <w:sz w:val="24"/>
          <w:szCs w:val="24"/>
          <w:lang w:eastAsia="zh-CN"/>
        </w:rPr>
        <w:fldChar w:fldCharType="end"/>
      </w:r>
      <w:r>
        <w:rPr>
          <w:rFonts w:hint="default" w:ascii="Times New Roman" w:hAnsi="Times New Roman" w:cs="Times New Roman"/>
          <w:i w:val="0"/>
          <w:iCs w:val="0"/>
          <w:color w:val="auto"/>
          <w:sz w:val="24"/>
          <w:szCs w:val="24"/>
        </w:rPr>
        <w:fldChar w:fldCharType="separate"/>
      </w:r>
      <w:r>
        <w:rPr>
          <w:rFonts w:hint="default" w:ascii="Times New Roman" w:hAnsi="Times New Roman" w:cs="Times New Roman" w:eastAsiaTheme="minorEastAsia"/>
          <w:i w:val="0"/>
          <w:iCs w:val="0"/>
          <w:color w:val="auto"/>
          <w:kern w:val="2"/>
          <w:sz w:val="24"/>
          <w:szCs w:val="24"/>
          <w:vertAlign w:val="superscript"/>
          <w:lang w:val="en-US" w:eastAsia="zh-CN" w:bidi="ar-SA"/>
          <w14:ligatures w14:val="standardContextual"/>
        </w:rPr>
        <w:t>8,9</w:t>
      </w:r>
      <w:r>
        <w:rPr>
          <w:rFonts w:hint="default" w:ascii="Times New Roman" w:hAnsi="Times New Roman" w:cs="Times New Roman"/>
          <w:i w:val="0"/>
          <w:iCs w:val="0"/>
          <w:color w:val="auto"/>
          <w:sz w:val="24"/>
          <w:szCs w:val="24"/>
        </w:rPr>
        <w:fldChar w:fldCharType="end"/>
      </w:r>
      <w:r>
        <w:rPr>
          <w:rFonts w:hint="default" w:ascii="Times New Roman" w:hAnsi="Times New Roman" w:eastAsia="宋体" w:cs="Times New Roman"/>
          <w:color w:val="auto"/>
          <w:kern w:val="0"/>
          <w:sz w:val="24"/>
          <w:szCs w:val="24"/>
          <w:lang w:bidi="ar"/>
        </w:rPr>
        <w:t xml:space="preserve"> However, its application has been relatively rare in recent years. Moreover, most of these articles identified FPG</w:t>
      </w:r>
      <w:r>
        <w:rPr>
          <w:rFonts w:hint="default" w:ascii="Times New Roman" w:hAnsi="Times New Roman" w:eastAsia="宋体" w:cs="Times New Roman"/>
          <w:color w:val="auto"/>
          <w:kern w:val="0"/>
          <w:sz w:val="24"/>
          <w:szCs w:val="24"/>
          <w:lang w:eastAsia="zh-CN" w:bidi="ar"/>
        </w:rPr>
        <w:t>≥</w:t>
      </w:r>
      <w:r>
        <w:rPr>
          <w:rFonts w:hint="default" w:ascii="Times New Roman" w:hAnsi="Times New Roman" w:eastAsia="宋体" w:cs="Times New Roman"/>
          <w:color w:val="auto"/>
          <w:kern w:val="0"/>
          <w:sz w:val="24"/>
          <w:szCs w:val="24"/>
          <w:lang w:bidi="ar"/>
        </w:rPr>
        <w:t>110 mg/dL (</w:t>
      </w:r>
      <w:r>
        <w:rPr>
          <w:rFonts w:hint="default" w:ascii="Times New Roman" w:hAnsi="Times New Roman" w:eastAsia="宋体" w:cs="Times New Roman"/>
          <w:color w:val="auto"/>
          <w:kern w:val="0"/>
          <w:sz w:val="24"/>
          <w:szCs w:val="24"/>
          <w:lang w:eastAsia="zh-CN" w:bidi="ar"/>
        </w:rPr>
        <w:t>≥</w:t>
      </w:r>
      <w:r>
        <w:rPr>
          <w:rFonts w:hint="default" w:ascii="Times New Roman" w:hAnsi="Times New Roman" w:eastAsia="宋体" w:cs="Times New Roman"/>
          <w:color w:val="auto"/>
          <w:kern w:val="0"/>
          <w:sz w:val="24"/>
          <w:szCs w:val="24"/>
          <w:lang w:bidi="ar"/>
        </w:rPr>
        <w:t>6.1 mmol/L) as elevated, referring to the definition of the National Cholesterol Education Program (NCEP) Adult Treatment Panel III (ATP III) (2001), and this standard was modified in 2004 to</w:t>
      </w:r>
      <w:r>
        <w:rPr>
          <w:rFonts w:hint="default" w:ascii="Times New Roman" w:hAnsi="Times New Roman" w:eastAsia="宋体" w:cs="Times New Roman"/>
          <w:color w:val="auto"/>
          <w:kern w:val="0"/>
          <w:sz w:val="24"/>
          <w:szCs w:val="24"/>
          <w:lang w:eastAsia="zh-CN" w:bidi="ar"/>
        </w:rPr>
        <w:t>≥</w:t>
      </w:r>
      <w:r>
        <w:rPr>
          <w:rFonts w:hint="default" w:ascii="Times New Roman" w:hAnsi="Times New Roman" w:eastAsia="宋体" w:cs="Times New Roman"/>
          <w:color w:val="auto"/>
          <w:kern w:val="0"/>
          <w:sz w:val="24"/>
          <w:szCs w:val="24"/>
          <w:lang w:bidi="ar"/>
        </w:rPr>
        <w:t xml:space="preserve">100 mg/dL (5.6 mmol/L) in 2004. Therefore, this </w:t>
      </w:r>
      <w:r>
        <w:rPr>
          <w:rFonts w:hint="default" w:ascii="Times New Roman" w:hAnsi="Times New Roman" w:eastAsia="宋体" w:cs="Times New Roman"/>
          <w:color w:val="auto"/>
          <w:kern w:val="0"/>
          <w:sz w:val="24"/>
          <w:szCs w:val="24"/>
          <w:lang w:eastAsia="zh-CN" w:bidi="ar"/>
        </w:rPr>
        <w:t>cutoff</w:t>
      </w:r>
      <w:r>
        <w:rPr>
          <w:rFonts w:hint="default" w:ascii="Times New Roman" w:hAnsi="Times New Roman" w:eastAsia="宋体" w:cs="Times New Roman"/>
          <w:color w:val="auto"/>
          <w:kern w:val="0"/>
          <w:sz w:val="24"/>
          <w:szCs w:val="24"/>
          <w:lang w:bidi="ar"/>
        </w:rPr>
        <w:t xml:space="preserve"> of FPG was no</w:t>
      </w:r>
      <w:r>
        <w:rPr>
          <w:rFonts w:hint="default" w:ascii="Times New Roman" w:hAnsi="Times New Roman" w:eastAsia="宋体" w:cs="Times New Roman"/>
          <w:color w:val="auto"/>
          <w:kern w:val="0"/>
          <w:sz w:val="24"/>
          <w:szCs w:val="24"/>
          <w:lang w:val="en-US" w:eastAsia="zh-CN" w:bidi="ar"/>
        </w:rPr>
        <w:t>t</w:t>
      </w:r>
      <w:r>
        <w:rPr>
          <w:rFonts w:hint="default" w:ascii="Times New Roman" w:hAnsi="Times New Roman" w:eastAsia="宋体" w:cs="Times New Roman"/>
          <w:color w:val="auto"/>
          <w:kern w:val="0"/>
          <w:sz w:val="24"/>
          <w:szCs w:val="24"/>
          <w:lang w:bidi="ar"/>
        </w:rPr>
        <w:t xml:space="preserve"> considered in this </w:t>
      </w:r>
      <w:r>
        <w:rPr>
          <w:rFonts w:hint="default" w:ascii="Times New Roman" w:hAnsi="Times New Roman" w:eastAsia="宋体" w:cs="Times New Roman"/>
          <w:color w:val="auto"/>
          <w:kern w:val="0"/>
          <w:sz w:val="24"/>
          <w:szCs w:val="24"/>
          <w:lang w:val="en-US" w:eastAsia="zh-CN" w:bidi="ar"/>
        </w:rPr>
        <w:t>study</w:t>
      </w:r>
      <w:r>
        <w:rPr>
          <w:rFonts w:hint="default" w:ascii="Times New Roman" w:hAnsi="Times New Roman" w:eastAsia="宋体" w:cs="Times New Roman"/>
          <w:color w:val="auto"/>
          <w:kern w:val="0"/>
          <w:sz w:val="24"/>
          <w:szCs w:val="24"/>
          <w:lang w:bidi="ar"/>
        </w:rPr>
        <w:t xml:space="preserve">. </w:t>
      </w:r>
    </w:p>
    <w:p w14:paraId="3B83F12E">
      <w:pPr>
        <w:spacing w:line="480" w:lineRule="auto"/>
        <w:ind w:firstLine="420"/>
        <w:jc w:val="left"/>
        <w:rPr>
          <w:rFonts w:hint="default" w:ascii="Times New Roman" w:hAnsi="Times New Roman" w:eastAsia="宋体" w:cs="Times New Roman"/>
          <w:color w:val="auto"/>
          <w:kern w:val="0"/>
          <w:sz w:val="24"/>
          <w:szCs w:val="24"/>
          <w:lang w:bidi="ar"/>
        </w:rPr>
        <w:sectPr>
          <w:footerReference r:id="rId3" w:type="default"/>
          <w:pgSz w:w="11906" w:h="16838"/>
          <w:pgMar w:top="1440" w:right="1800" w:bottom="1440" w:left="1800" w:header="851" w:footer="992" w:gutter="0"/>
          <w:cols w:space="425" w:num="1"/>
          <w:docGrid w:type="lines" w:linePitch="312" w:charSpace="0"/>
        </w:sectPr>
      </w:pPr>
      <w:r>
        <w:rPr>
          <w:rFonts w:hint="default" w:ascii="Times New Roman" w:hAnsi="Times New Roman" w:eastAsia="宋体" w:cs="Times New Roman"/>
          <w:color w:val="auto"/>
          <w:kern w:val="0"/>
          <w:sz w:val="24"/>
          <w:szCs w:val="24"/>
          <w:lang w:bidi="ar"/>
        </w:rPr>
        <w:t xml:space="preserve">To define metabolically healthy obesity (MHO) and metabolically unhealthy obesity (MUO), our study first used the percentile values of </w:t>
      </w:r>
      <w:r>
        <w:rPr>
          <w:rFonts w:hint="default" w:ascii="Times New Roman" w:hAnsi="Times New Roman" w:eastAsia="宋体" w:cs="Times New Roman"/>
          <w:color w:val="auto"/>
          <w:kern w:val="0"/>
          <w:sz w:val="24"/>
          <w:szCs w:val="24"/>
          <w:lang w:val="en-US" w:eastAsia="zh-CN" w:bidi="ar"/>
        </w:rPr>
        <w:t>b</w:t>
      </w:r>
      <w:r>
        <w:rPr>
          <w:rFonts w:hint="default" w:ascii="Times New Roman" w:hAnsi="Times New Roman" w:eastAsia="宋体" w:cs="Times New Roman"/>
          <w:color w:val="auto"/>
          <w:kern w:val="0"/>
          <w:sz w:val="24"/>
          <w:szCs w:val="24"/>
          <w:lang w:bidi="ar"/>
        </w:rPr>
        <w:t xml:space="preserve">ody </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lang w:bidi="ar"/>
        </w:rPr>
        <w:t xml:space="preserve">ass </w:t>
      </w:r>
      <w:r>
        <w:rPr>
          <w:rFonts w:hint="default" w:ascii="Times New Roman" w:hAnsi="Times New Roman" w:eastAsia="宋体" w:cs="Times New Roman"/>
          <w:color w:val="auto"/>
          <w:kern w:val="0"/>
          <w:sz w:val="24"/>
          <w:szCs w:val="24"/>
          <w:lang w:val="en-US" w:eastAsia="zh-CN" w:bidi="ar"/>
        </w:rPr>
        <w:t>i</w:t>
      </w:r>
      <w:r>
        <w:rPr>
          <w:rFonts w:hint="default" w:ascii="Times New Roman" w:hAnsi="Times New Roman" w:eastAsia="宋体" w:cs="Times New Roman"/>
          <w:color w:val="auto"/>
          <w:kern w:val="0"/>
          <w:sz w:val="24"/>
          <w:szCs w:val="24"/>
          <w:lang w:bidi="ar"/>
        </w:rPr>
        <w:t xml:space="preserve">ndex (BMI) to identify obesity among adolescents. The age- and sex-specific BMI percentiles were computed by employing reference data from the Centers for Disease Control and Prevention and were categorized into three groups: underweight (&lt;5th percentile)/normal weight (5th to &lt;85th percentile), overweight (85th to 95th percentile), and </w:t>
      </w:r>
      <w:r>
        <w:rPr>
          <w:rFonts w:hint="default" w:ascii="Times New Roman" w:hAnsi="Times New Roman" w:eastAsia="宋体" w:cs="Times New Roman"/>
          <w:color w:val="auto"/>
          <w:kern w:val="0"/>
          <w:sz w:val="24"/>
          <w:lang w:val="en-US" w:bidi="ar"/>
        </w:rPr>
        <w:t>obese</w:t>
      </w:r>
      <w:r>
        <w:rPr>
          <w:rFonts w:hint="default" w:ascii="Times New Roman" w:hAnsi="Times New Roman" w:eastAsia="宋体" w:cs="Times New Roman"/>
          <w:color w:val="auto"/>
          <w:kern w:val="0"/>
          <w:sz w:val="24"/>
          <w:szCs w:val="24"/>
          <w:lang w:val="en-US" w:bidi="ar"/>
          <w14:ligatures w14:val="standardContextual"/>
        </w:rPr>
        <w:t xml:space="preserve"> </w:t>
      </w:r>
      <w:r>
        <w:rPr>
          <w:rFonts w:hint="default" w:ascii="Times New Roman" w:hAnsi="Times New Roman" w:eastAsia="宋体" w:cs="Times New Roman"/>
          <w:color w:val="auto"/>
          <w:kern w:val="0"/>
          <w:sz w:val="24"/>
          <w:szCs w:val="24"/>
          <w:lang w:bidi="ar"/>
        </w:rPr>
        <w:t>(</w:t>
      </w:r>
      <w:r>
        <w:rPr>
          <w:rFonts w:hint="default" w:ascii="Times New Roman" w:hAnsi="Times New Roman" w:eastAsia="宋体" w:cs="Times New Roman"/>
          <w:color w:val="auto"/>
          <w:kern w:val="0"/>
          <w:sz w:val="24"/>
          <w:szCs w:val="24"/>
          <w:lang w:eastAsia="zh-CN" w:bidi="ar"/>
        </w:rPr>
        <w:t>≥</w:t>
      </w:r>
      <w:r>
        <w:rPr>
          <w:rFonts w:hint="default" w:ascii="Times New Roman" w:hAnsi="Times New Roman" w:eastAsia="宋体" w:cs="Times New Roman"/>
          <w:color w:val="auto"/>
          <w:kern w:val="0"/>
          <w:sz w:val="24"/>
          <w:szCs w:val="24"/>
          <w:lang w:bidi="ar"/>
        </w:rPr>
        <w:t>95th percentile).</w:t>
      </w:r>
      <w:r>
        <w:rPr>
          <w:rFonts w:hint="default" w:ascii="Times New Roman" w:hAnsi="Times New Roman" w:eastAsia="宋体" w:cs="Times New Roman"/>
          <w:i w:val="0"/>
          <w:iCs w:val="0"/>
          <w:color w:val="auto"/>
          <w:kern w:val="0"/>
          <w:sz w:val="24"/>
          <w:szCs w:val="24"/>
          <w:lang w:bidi="ar"/>
        </w:rPr>
        <w:fldChar w:fldCharType="begin"/>
      </w:r>
      <w:r>
        <w:rPr>
          <w:rFonts w:hint="default" w:ascii="Times New Roman" w:hAnsi="Times New Roman" w:eastAsia="宋体" w:cs="Times New Roman"/>
          <w:i w:val="0"/>
          <w:iCs w:val="0"/>
          <w:color w:val="auto"/>
          <w:kern w:val="0"/>
          <w:sz w:val="24"/>
          <w:szCs w:val="24"/>
          <w:lang w:eastAsia="zh-CN" w:bidi="ar"/>
        </w:rPr>
        <w:instrText xml:space="preserve"> ADDIN EN.CITE &lt;EndNote&gt;&lt;Cite&gt;&lt;Author&gt;Liu&lt;/Author&gt;&lt;Year&gt;2023&lt;/Year&gt;&lt;RecNum&gt;103&lt;/RecNum&gt;&lt;DisplayText&gt;&lt;style face="superscript"&gt;5&lt;/style&gt;&lt;/DisplayText&gt;&lt;record&gt;&lt;rec-number&gt;103&lt;/rec-number&gt;&lt;foreign-keys&gt;&lt;key app="EN" db-id="we90wv2z22r5ebexw9qxs223dp025a0ezzzp" timestamp="1747725438"&gt;103&lt;/key&gt;&lt;/foreign-keys&gt;&lt;ref-type name="Journal Article"&gt;17&lt;/ref-type&gt;&lt;contributors&gt;&lt;authors&gt;&lt;author&gt;Liu, Junxiu&lt;/author&gt;&lt;author&gt;Park, Yong-Moon Mark&lt;/author&gt;&lt;author&gt;Ma, Jun&lt;/author&gt;&lt;author&gt;Lavie, Carl J.&lt;/author&gt;&lt;/authors&gt;&lt;/contributors&gt;&lt;auth-address&gt;Department of Population Health Science and Policy, Icahn School of Medicine at Mount Sinai, New York, NY.&amp;#xD;Department of Epidemiology, Fay W. Boozman College of Public Health, University of Arkansas for Medical Sciences, Little Rock, AR.&amp;#xD;Department of Medicine, University of Illinois at Chicago, Chicago, IL.&amp;#xD;John Ochsner Heart and Vascular Institute, Ochsner Clinical School University of Queensland School of Medicine, New Orleans, LA.&lt;/auth-address&gt;&lt;titles&gt;&lt;title&gt;Trends in Metabolic Phenotypes of Obesity Among US Adolescents, NHANES 1999-2018&lt;/title&gt;&lt;secondary-title&gt;Mayo Clinic Proceedings&lt;/secondary-title&gt;&lt;alt-title&gt;Mayo Clin Proc&lt;/alt-title&gt;&lt;/titles&gt;&lt;periodical&gt;&lt;full-title&gt;Mayo Clinic Proceedings&lt;/full-title&gt;&lt;abbr-1&gt;Mayo Clin Proc&lt;/abbr-1&gt;&lt;/periodical&gt;&lt;alt-periodical&gt;&lt;full-title&gt;Mayo Clinic Proceedings&lt;/full-title&gt;&lt;abbr-1&gt;Mayo Clin Proc&lt;/abbr-1&gt;&lt;/alt-periodical&gt;&lt;pages&gt;633-636&lt;/pages&gt;&lt;volume&gt;98&lt;/volume&gt;&lt;number&gt;4&lt;/number&gt;&lt;section&gt;INDEX: 7.2 | QUARTILE: Q1 | CAS: 2区&lt;/section&gt;&lt;dates&gt;&lt;year&gt;2023&lt;/year&gt;&lt;/dates&gt;&lt;isbn&gt;1942-5546&lt;/isbn&gt;&lt;accession-num&gt;37019518&lt;/accession-num&gt;&lt;label&gt;7.2&lt;/label&gt;&lt;urls&gt;&lt;related-urls&gt;&lt;url&gt;https://pubmed.ncbi.nlm.nih.gov/37019518&lt;/url&gt;&lt;/related-urls&gt;&lt;/urls&gt;&lt;custom1&gt;7.2&lt;/custom1&gt;&lt;custom2&gt;Q1&lt;/custom2&gt;&lt;custom3&gt;2区&lt;/custom3&gt;&lt;electronic-resource-num&gt;10.1016/j.mayocp.2023.01.025&lt;/electronic-resource-num&gt;&lt;remote-database-name&gt;PubMed&lt;/remote-database-name&gt;&lt;language&gt;eng&lt;/language&gt;&lt;/record&gt;&lt;/Cite&gt;&lt;/EndNote&gt;</w:instrText>
      </w:r>
      <w:r>
        <w:rPr>
          <w:rFonts w:hint="default" w:ascii="Times New Roman" w:hAnsi="Times New Roman" w:eastAsia="宋体" w:cs="Times New Roman"/>
          <w:i w:val="0"/>
          <w:iCs w:val="0"/>
          <w:color w:val="auto"/>
          <w:kern w:val="0"/>
          <w:sz w:val="24"/>
          <w:szCs w:val="24"/>
          <w:lang w:bidi="ar"/>
        </w:rPr>
        <w:fldChar w:fldCharType="separate"/>
      </w:r>
      <w:r>
        <w:rPr>
          <w:rFonts w:hint="default" w:ascii="Times New Roman" w:hAnsi="Times New Roman" w:eastAsia="宋体" w:cs="Times New Roman"/>
          <w:i w:val="0"/>
          <w:iCs w:val="0"/>
          <w:color w:val="auto"/>
          <w:kern w:val="0"/>
          <w:sz w:val="24"/>
          <w:szCs w:val="24"/>
          <w:vertAlign w:val="superscript"/>
          <w:lang w:val="en-US" w:eastAsia="zh-CN" w:bidi="ar"/>
          <w14:ligatures w14:val="standardContextual"/>
        </w:rPr>
        <w:t>5</w:t>
      </w:r>
      <w:r>
        <w:rPr>
          <w:rFonts w:hint="default" w:ascii="Times New Roman" w:hAnsi="Times New Roman" w:eastAsia="宋体" w:cs="Times New Roman"/>
          <w:i w:val="0"/>
          <w:iCs w:val="0"/>
          <w:color w:val="auto"/>
          <w:kern w:val="0"/>
          <w:sz w:val="24"/>
          <w:szCs w:val="24"/>
          <w:lang w:bidi="ar"/>
        </w:rPr>
        <w:fldChar w:fldCharType="end"/>
      </w:r>
      <w:r>
        <w:rPr>
          <w:rFonts w:hint="default" w:ascii="Times New Roman" w:hAnsi="Times New Roman" w:eastAsia="宋体" w:cs="Times New Roman"/>
          <w:color w:val="auto"/>
          <w:kern w:val="0"/>
          <w:sz w:val="24"/>
          <w:szCs w:val="24"/>
          <w:lang w:bidi="ar"/>
        </w:rPr>
        <w:t xml:space="preserve"> WC was excluded due to its collinearity with BMI. Similar with some previous research,</w:t>
      </w:r>
      <w:r>
        <w:rPr>
          <w:rFonts w:hint="default" w:ascii="Times New Roman" w:hAnsi="Times New Roman" w:eastAsia="宋体" w:cs="Times New Roman"/>
          <w:i w:val="0"/>
          <w:iCs w:val="0"/>
          <w:color w:val="auto"/>
          <w:kern w:val="0"/>
          <w:sz w:val="24"/>
          <w:szCs w:val="24"/>
          <w:lang w:bidi="ar"/>
        </w:rPr>
        <w:fldChar w:fldCharType="begin">
          <w:fldData xml:space="preserve">PEVuZE5vdGU+PENpdGU+PEF1dGhvcj5DYWk8L0F1dGhvcj48WWVhcj4yMDIyPC9ZZWFyPjxSZWNO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</w:fldData>
        </w:fldChar>
      </w:r>
      <w:r>
        <w:rPr>
          <w:rFonts w:hint="default" w:ascii="Times New Roman" w:hAnsi="Times New Roman" w:eastAsia="宋体" w:cs="Times New Roman"/>
          <w:i w:val="0"/>
          <w:iCs w:val="0"/>
          <w:color w:val="auto"/>
          <w:kern w:val="0"/>
          <w:sz w:val="24"/>
          <w:szCs w:val="24"/>
          <w:lang w:eastAsia="zh-CN" w:bidi="ar"/>
        </w:rPr>
        <w:instrText xml:space="preserve"> ADDIN EN.CITE </w:instrText>
      </w:r>
      <w:r>
        <w:rPr>
          <w:rFonts w:hint="default" w:ascii="Times New Roman" w:hAnsi="Times New Roman" w:eastAsia="宋体" w:cs="Times New Roman"/>
          <w:i w:val="0"/>
          <w:iCs w:val="0"/>
          <w:color w:val="auto"/>
          <w:kern w:val="0"/>
          <w:sz w:val="24"/>
          <w:szCs w:val="24"/>
          <w:lang w:eastAsia="zh-CN" w:bidi="ar"/>
        </w:rPr>
        <w:fldChar w:fldCharType="begin">
          <w:fldData xml:space="preserve">PEVuZE5vdGU+PENpdGU+PEF1dGhvcj5DYWk8L0F1dGhvcj48WWVhcj4yMDIyPC9ZZWFyPjxSZWNO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</w:fldData>
        </w:fldChar>
      </w:r>
      <w:r>
        <w:rPr>
          <w:rFonts w:hint="default" w:ascii="Times New Roman" w:hAnsi="Times New Roman" w:eastAsia="宋体" w:cs="Times New Roman"/>
          <w:i w:val="0"/>
          <w:iCs w:val="0"/>
          <w:color w:val="auto"/>
          <w:kern w:val="0"/>
          <w:sz w:val="24"/>
          <w:szCs w:val="24"/>
          <w:lang w:eastAsia="zh-CN" w:bidi="ar"/>
        </w:rPr>
        <w:instrText xml:space="preserve"> ADDIN EN.CITE.DATA </w:instrText>
      </w:r>
      <w:r>
        <w:rPr>
          <w:rFonts w:hint="default" w:ascii="Times New Roman" w:hAnsi="Times New Roman" w:eastAsia="宋体" w:cs="Times New Roman"/>
          <w:i w:val="0"/>
          <w:iCs w:val="0"/>
          <w:color w:val="auto"/>
          <w:kern w:val="0"/>
          <w:sz w:val="24"/>
          <w:szCs w:val="24"/>
          <w:lang w:eastAsia="zh-CN" w:bidi="ar"/>
        </w:rPr>
        <w:fldChar w:fldCharType="separate"/>
      </w:r>
      <w:r>
        <w:rPr>
          <w:rFonts w:hint="default" w:ascii="Times New Roman" w:hAnsi="Times New Roman" w:eastAsia="宋体" w:cs="Times New Roman"/>
          <w:i w:val="0"/>
          <w:iCs w:val="0"/>
          <w:color w:val="auto"/>
          <w:kern w:val="0"/>
          <w:sz w:val="24"/>
          <w:szCs w:val="24"/>
          <w:lang w:eastAsia="zh-CN" w:bidi="ar"/>
        </w:rPr>
        <w:fldChar w:fldCharType="end"/>
      </w:r>
      <w:r>
        <w:rPr>
          <w:rFonts w:hint="default" w:ascii="Times New Roman" w:hAnsi="Times New Roman" w:eastAsia="宋体" w:cs="Times New Roman"/>
          <w:i w:val="0"/>
          <w:iCs w:val="0"/>
          <w:color w:val="auto"/>
          <w:kern w:val="0"/>
          <w:sz w:val="24"/>
          <w:szCs w:val="24"/>
          <w:lang w:bidi="ar"/>
        </w:rPr>
        <w:fldChar w:fldCharType="separate"/>
      </w:r>
      <w:r>
        <w:rPr>
          <w:rFonts w:hint="default" w:ascii="Times New Roman" w:hAnsi="Times New Roman" w:eastAsia="宋体" w:cs="Times New Roman"/>
          <w:i w:val="0"/>
          <w:iCs w:val="0"/>
          <w:color w:val="auto"/>
          <w:kern w:val="0"/>
          <w:sz w:val="24"/>
          <w:szCs w:val="24"/>
          <w:vertAlign w:val="superscript"/>
          <w:lang w:val="en-US" w:eastAsia="zh-CN" w:bidi="ar"/>
          <w14:ligatures w14:val="standardContextual"/>
        </w:rPr>
        <w:t>7,10-12</w:t>
      </w:r>
      <w:r>
        <w:rPr>
          <w:rFonts w:hint="default" w:ascii="Times New Roman" w:hAnsi="Times New Roman" w:eastAsia="宋体" w:cs="Times New Roman"/>
          <w:i w:val="0"/>
          <w:iCs w:val="0"/>
          <w:color w:val="auto"/>
          <w:kern w:val="0"/>
          <w:sz w:val="24"/>
          <w:szCs w:val="24"/>
          <w:lang w:bidi="ar"/>
        </w:rPr>
        <w:fldChar w:fldCharType="end"/>
      </w:r>
      <w:r>
        <w:rPr>
          <w:rFonts w:hint="default" w:ascii="Times New Roman" w:hAnsi="Times New Roman" w:eastAsia="宋体" w:cs="Times New Roman"/>
          <w:color w:val="auto"/>
          <w:kern w:val="0"/>
          <w:sz w:val="24"/>
          <w:szCs w:val="24"/>
          <w:lang w:bidi="ar"/>
        </w:rPr>
        <w:t xml:space="preserve"> adolescents with obesity were further classified as having </w:t>
      </w:r>
      <w:r>
        <w:rPr>
          <w:rFonts w:hint="default" w:ascii="Times New Roman" w:hAnsi="Times New Roman" w:eastAsia="宋体" w:cs="Times New Roman"/>
          <w:b/>
          <w:bCs/>
          <w:color w:val="auto"/>
          <w:kern w:val="0"/>
          <w:sz w:val="24"/>
          <w:szCs w:val="24"/>
          <w:u w:val="single"/>
          <w:lang w:bidi="ar"/>
        </w:rPr>
        <w:t>MHO</w:t>
      </w:r>
      <w:r>
        <w:rPr>
          <w:rFonts w:hint="default" w:ascii="Times New Roman" w:hAnsi="Times New Roman" w:eastAsia="宋体" w:cs="Times New Roman"/>
          <w:b/>
          <w:bCs/>
          <w:color w:val="auto"/>
          <w:kern w:val="0"/>
          <w:sz w:val="24"/>
          <w:szCs w:val="24"/>
          <w:lang w:bidi="ar"/>
        </w:rPr>
        <w:t xml:space="preserve"> </w:t>
      </w:r>
      <w:r>
        <w:rPr>
          <w:rFonts w:hint="default" w:ascii="Times New Roman" w:hAnsi="Times New Roman" w:eastAsia="宋体" w:cs="Times New Roman"/>
          <w:color w:val="auto"/>
          <w:kern w:val="0"/>
          <w:sz w:val="24"/>
          <w:szCs w:val="24"/>
          <w:lang w:bidi="ar"/>
        </w:rPr>
        <w:t xml:space="preserve">if they had none of the four metabolic components or as having </w:t>
      </w:r>
      <w:r>
        <w:rPr>
          <w:rFonts w:hint="default" w:ascii="Times New Roman" w:hAnsi="Times New Roman" w:eastAsia="宋体" w:cs="Times New Roman"/>
          <w:b/>
          <w:bCs/>
          <w:color w:val="auto"/>
          <w:kern w:val="0"/>
          <w:sz w:val="24"/>
          <w:szCs w:val="24"/>
          <w:u w:val="single"/>
          <w:lang w:bidi="ar"/>
        </w:rPr>
        <w:t>MUO</w:t>
      </w:r>
      <w:r>
        <w:rPr>
          <w:rFonts w:hint="default" w:ascii="Times New Roman" w:hAnsi="Times New Roman" w:eastAsia="宋体" w:cs="Times New Roman"/>
          <w:b/>
          <w:bCs/>
          <w:color w:val="auto"/>
          <w:kern w:val="0"/>
          <w:sz w:val="24"/>
          <w:szCs w:val="24"/>
          <w:lang w:bidi="ar"/>
        </w:rPr>
        <w:t xml:space="preserve"> </w:t>
      </w:r>
      <w:r>
        <w:rPr>
          <w:rFonts w:hint="default" w:ascii="Times New Roman" w:hAnsi="Times New Roman" w:eastAsia="宋体" w:cs="Times New Roman"/>
          <w:color w:val="auto"/>
          <w:kern w:val="0"/>
          <w:sz w:val="24"/>
          <w:szCs w:val="24"/>
          <w:lang w:bidi="ar"/>
        </w:rPr>
        <w:t xml:space="preserve">if they had one to four metabolic abnormalities (specifically, high BP, elevated FPG, increased TG, or low HDL-C). The definitions of the four metabolic indicator abnormalities also reference the criteria presented in the above table. Among these, </w:t>
      </w:r>
      <w:r>
        <w:rPr>
          <w:rFonts w:hint="default" w:ascii="Times New Roman" w:hAnsi="Times New Roman" w:eastAsia="宋体" w:cs="Times New Roman"/>
          <w:color w:val="auto"/>
          <w:kern w:val="0"/>
          <w:sz w:val="24"/>
          <w:lang w:val="en-US" w:bidi="ar"/>
        </w:rPr>
        <w:t xml:space="preserve">the </w:t>
      </w:r>
      <w:r>
        <w:rPr>
          <w:rFonts w:hint="default" w:ascii="Times New Roman" w:hAnsi="Times New Roman" w:eastAsia="宋体" w:cs="Times New Roman"/>
          <w:color w:val="auto"/>
          <w:kern w:val="0"/>
          <w:sz w:val="24"/>
          <w:szCs w:val="24"/>
          <w:lang w:bidi="ar"/>
        </w:rPr>
        <w:t xml:space="preserve">results following </w:t>
      </w:r>
      <w:r>
        <w:rPr>
          <w:rFonts w:hint="eastAsia" w:ascii="Times New Roman" w:hAnsi="Times New Roman" w:cs="Times New Roman"/>
          <w:b w:val="0"/>
          <w:bCs w:val="0"/>
          <w:i w:val="0"/>
          <w:iCs w:val="0"/>
          <w:color w:val="auto"/>
          <w:sz w:val="24"/>
          <w:highlight w:val="none"/>
          <w:lang w:val="en-US" w:eastAsia="zh-CN"/>
        </w:rPr>
        <w:t xml:space="preserve">Criterion </w:t>
      </w:r>
      <w:r>
        <w:rPr>
          <w:rFonts w:hint="default" w:ascii="Times New Roman" w:hAnsi="Times New Roman" w:eastAsia="宋体" w:cs="Times New Roman"/>
          <w:color w:val="auto"/>
          <w:kern w:val="0"/>
          <w:sz w:val="24"/>
          <w:szCs w:val="24"/>
          <w:lang w:bidi="ar"/>
        </w:rPr>
        <w:t xml:space="preserve">1 </w:t>
      </w:r>
      <w:r>
        <w:rPr>
          <w:rFonts w:hint="default" w:ascii="Times New Roman" w:hAnsi="Times New Roman" w:eastAsia="宋体" w:cs="Times New Roman"/>
          <w:color w:val="auto"/>
          <w:kern w:val="0"/>
          <w:sz w:val="24"/>
          <w:szCs w:val="24"/>
          <w:lang w:val="en-US" w:eastAsia="zh-CN" w:bidi="ar"/>
        </w:rPr>
        <w:t xml:space="preserve">are </w:t>
      </w:r>
      <w:r>
        <w:rPr>
          <w:rFonts w:hint="default" w:ascii="Times New Roman" w:hAnsi="Times New Roman" w:eastAsia="宋体" w:cs="Times New Roman"/>
          <w:color w:val="auto"/>
          <w:kern w:val="0"/>
          <w:sz w:val="24"/>
          <w:szCs w:val="24"/>
          <w:lang w:bidi="ar"/>
        </w:rPr>
        <w:t>primarily described in the main text. Moreover, we also repeated the analyses including overweight</w:t>
      </w:r>
      <w:r>
        <w:rPr>
          <w:rFonts w:hint="default" w:ascii="Times New Roman" w:hAnsi="Times New Roman" w:eastAsia="宋体" w:cs="Times New Roman"/>
          <w:color w:val="auto"/>
          <w:kern w:val="0"/>
          <w:sz w:val="24"/>
          <w:szCs w:val="24"/>
          <w:lang w:val="en-US" w:eastAsia="zh-CN" w:bidi="ar"/>
        </w:rPr>
        <w:t xml:space="preserve"> </w:t>
      </w:r>
      <w:r>
        <w:rPr>
          <w:rFonts w:hint="default" w:ascii="Times New Roman" w:hAnsi="Times New Roman" w:eastAsia="宋体" w:cs="Times New Roman"/>
          <w:color w:val="auto"/>
          <w:kern w:val="0"/>
          <w:sz w:val="24"/>
          <w:szCs w:val="24"/>
          <w:lang w:bidi="ar"/>
        </w:rPr>
        <w:t xml:space="preserve">individuals. Besides, we also noticed that some articles directly applied the definition of MS to define "metabolic health status" when defining MHO/MUO, determining it on the </w:t>
      </w:r>
      <w:r>
        <w:rPr>
          <w:rFonts w:hint="default" w:ascii="Times New Roman" w:hAnsi="Times New Roman" w:eastAsia="宋体" w:cs="Times New Roman"/>
          <w:color w:val="auto"/>
          <w:kern w:val="0"/>
          <w:sz w:val="24"/>
          <w:lang w:val="en-US" w:bidi="ar"/>
        </w:rPr>
        <w:t xml:space="preserve">basis of the </w:t>
      </w:r>
      <w:r>
        <w:rPr>
          <w:rFonts w:hint="default" w:ascii="Times New Roman" w:hAnsi="Times New Roman" w:eastAsia="宋体" w:cs="Times New Roman"/>
          <w:color w:val="auto"/>
          <w:kern w:val="0"/>
          <w:sz w:val="24"/>
          <w:szCs w:val="24"/>
          <w:lang w:bidi="ar"/>
        </w:rPr>
        <w:t>presence or absence of MS (from WC, BP, FPG, TG and HDL-C) and obesity (from BMI).</w:t>
      </w:r>
      <w:r>
        <w:rPr>
          <w:rFonts w:hint="default" w:ascii="Times New Roman" w:hAnsi="Times New Roman" w:eastAsia="宋体" w:cs="Times New Roman"/>
          <w:i w:val="0"/>
          <w:iCs w:val="0"/>
          <w:color w:val="auto"/>
          <w:kern w:val="0"/>
          <w:sz w:val="24"/>
          <w:szCs w:val="24"/>
          <w:lang w:bidi="ar"/>
        </w:rPr>
        <w:fldChar w:fldCharType="begin">
          <w:fldData xml:space="preserve">PEVuZE5vdGU+PENpdGU+PEF1dGhvcj5MaXU8L0F1dGhvcj48WWVhcj4yMDIzPC9ZZWFyPjxSZWNO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</w:fldData>
        </w:fldChar>
      </w:r>
      <w:r>
        <w:rPr>
          <w:rFonts w:hint="default" w:ascii="Times New Roman" w:hAnsi="Times New Roman" w:eastAsia="宋体" w:cs="Times New Roman"/>
          <w:i w:val="0"/>
          <w:iCs w:val="0"/>
          <w:color w:val="auto"/>
          <w:kern w:val="0"/>
          <w:sz w:val="24"/>
          <w:szCs w:val="24"/>
          <w:lang w:eastAsia="zh-CN" w:bidi="ar"/>
        </w:rPr>
        <w:instrText xml:space="preserve"> ADDIN EN.CITE </w:instrText>
      </w:r>
      <w:r>
        <w:rPr>
          <w:rFonts w:hint="default" w:ascii="Times New Roman" w:hAnsi="Times New Roman" w:eastAsia="宋体" w:cs="Times New Roman"/>
          <w:i w:val="0"/>
          <w:iCs w:val="0"/>
          <w:color w:val="auto"/>
          <w:kern w:val="0"/>
          <w:sz w:val="24"/>
          <w:szCs w:val="24"/>
          <w:lang w:eastAsia="zh-CN" w:bidi="ar"/>
        </w:rPr>
        <w:fldChar w:fldCharType="begin">
          <w:fldData xml:space="preserve">PEVuZE5vdGU+PENpdGU+PEF1dGhvcj5MaXU8L0F1dGhvcj48WWVhcj4yMDIzPC9ZZWFyPjxSZWNO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</w:fldData>
        </w:fldChar>
      </w:r>
      <w:r>
        <w:rPr>
          <w:rFonts w:hint="default" w:ascii="Times New Roman" w:hAnsi="Times New Roman" w:eastAsia="宋体" w:cs="Times New Roman"/>
          <w:i w:val="0"/>
          <w:iCs w:val="0"/>
          <w:color w:val="auto"/>
          <w:kern w:val="0"/>
          <w:sz w:val="24"/>
          <w:szCs w:val="24"/>
          <w:lang w:eastAsia="zh-CN" w:bidi="ar"/>
        </w:rPr>
        <w:instrText xml:space="preserve"> ADDIN EN.CITE.DATA </w:instrText>
      </w:r>
      <w:r>
        <w:rPr>
          <w:rFonts w:hint="default" w:ascii="Times New Roman" w:hAnsi="Times New Roman" w:eastAsia="宋体" w:cs="Times New Roman"/>
          <w:i w:val="0"/>
          <w:iCs w:val="0"/>
          <w:color w:val="auto"/>
          <w:kern w:val="0"/>
          <w:sz w:val="24"/>
          <w:szCs w:val="24"/>
          <w:lang w:eastAsia="zh-CN" w:bidi="ar"/>
        </w:rPr>
        <w:fldChar w:fldCharType="separate"/>
      </w:r>
      <w:r>
        <w:rPr>
          <w:rFonts w:hint="default" w:ascii="Times New Roman" w:hAnsi="Times New Roman" w:eastAsia="宋体" w:cs="Times New Roman"/>
          <w:i w:val="0"/>
          <w:iCs w:val="0"/>
          <w:color w:val="auto"/>
          <w:kern w:val="0"/>
          <w:sz w:val="24"/>
          <w:szCs w:val="24"/>
          <w:lang w:eastAsia="zh-CN" w:bidi="ar"/>
        </w:rPr>
        <w:fldChar w:fldCharType="end"/>
      </w:r>
      <w:r>
        <w:rPr>
          <w:rFonts w:hint="default" w:ascii="Times New Roman" w:hAnsi="Times New Roman" w:eastAsia="宋体" w:cs="Times New Roman"/>
          <w:i w:val="0"/>
          <w:iCs w:val="0"/>
          <w:color w:val="auto"/>
          <w:kern w:val="0"/>
          <w:sz w:val="24"/>
          <w:szCs w:val="24"/>
          <w:lang w:bidi="ar"/>
        </w:rPr>
        <w:fldChar w:fldCharType="separate"/>
      </w:r>
      <w:r>
        <w:rPr>
          <w:rFonts w:hint="default" w:ascii="Times New Roman" w:hAnsi="Times New Roman" w:eastAsia="宋体" w:cs="Times New Roman"/>
          <w:i w:val="0"/>
          <w:iCs w:val="0"/>
          <w:color w:val="auto"/>
          <w:kern w:val="0"/>
          <w:sz w:val="24"/>
          <w:szCs w:val="24"/>
          <w:vertAlign w:val="superscript"/>
          <w:lang w:val="en-US" w:eastAsia="zh-CN" w:bidi="ar"/>
          <w14:ligatures w14:val="standardContextual"/>
        </w:rPr>
        <w:t>5,9</w:t>
      </w:r>
      <w:r>
        <w:rPr>
          <w:rFonts w:hint="default" w:ascii="Times New Roman" w:hAnsi="Times New Roman" w:eastAsia="宋体" w:cs="Times New Roman"/>
          <w:i w:val="0"/>
          <w:iCs w:val="0"/>
          <w:color w:val="auto"/>
          <w:kern w:val="0"/>
          <w:sz w:val="24"/>
          <w:szCs w:val="24"/>
          <w:lang w:bidi="ar"/>
        </w:rPr>
        <w:fldChar w:fldCharType="end"/>
      </w:r>
      <w:r>
        <w:rPr>
          <w:rFonts w:hint="default" w:ascii="Times New Roman" w:hAnsi="Times New Roman" w:eastAsia="宋体" w:cs="Times New Roman"/>
          <w:color w:val="auto"/>
          <w:kern w:val="0"/>
          <w:sz w:val="24"/>
          <w:szCs w:val="24"/>
          <w:lang w:bidi="ar"/>
        </w:rPr>
        <w:t xml:space="preserve"> This approach was not used in our article.</w:t>
      </w:r>
    </w:p>
    <w:p w14:paraId="500091A8">
      <w:pPr>
        <w:pStyle w:val="2"/>
        <w:keepNext/>
        <w:keepLines/>
        <w:pageBreakBefore w:val="0"/>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bCs/>
          <w:color w:val="auto"/>
          <w:sz w:val="24"/>
          <w:szCs w:val="24"/>
          <w:lang w:val="en-US" w:eastAsia="zh-CN"/>
        </w:rPr>
      </w:pPr>
      <w:bookmarkStart w:id="2" w:name="_Toc17541"/>
      <w:bookmarkStart w:id="3" w:name="_Toc25293"/>
      <w:r>
        <w:rPr>
          <w:rFonts w:hint="default" w:ascii="Times New Roman" w:hAnsi="Times New Roman" w:cs="Times New Roman"/>
          <w:b/>
          <w:bCs/>
          <w:color w:val="auto"/>
          <w:sz w:val="24"/>
          <w:szCs w:val="24"/>
          <w:lang w:val="en-US" w:eastAsia="zh-CN"/>
        </w:rPr>
        <w:t>T</w:t>
      </w:r>
      <w:r>
        <w:rPr>
          <w:rFonts w:hint="default" w:ascii="Times New Roman" w:hAnsi="Times New Roman" w:cs="Times New Roman"/>
          <w:b/>
          <w:bCs/>
          <w:color w:val="auto"/>
          <w:sz w:val="24"/>
          <w:szCs w:val="24"/>
        </w:rPr>
        <w:t xml:space="preserve">able </w:t>
      </w:r>
      <w:r>
        <w:rPr>
          <w:rFonts w:hint="default" w:ascii="Times New Roman" w:hAnsi="Times New Roman" w:cs="Times New Roman"/>
          <w:b/>
          <w:bCs/>
          <w:color w:val="auto"/>
          <w:sz w:val="24"/>
          <w:szCs w:val="24"/>
          <w:lang w:val="en-US" w:eastAsia="zh-CN"/>
        </w:rPr>
        <w:t xml:space="preserve">S1. Sex Differences in </w:t>
      </w:r>
      <w:r>
        <w:rPr>
          <w:rFonts w:hint="default" w:ascii="Times New Roman" w:hAnsi="Times New Roman" w:eastAsia="等线 Light" w:cs="Times New Roman"/>
          <w:b/>
          <w:bCs/>
          <w:color w:val="auto"/>
          <w:sz w:val="24"/>
          <w:lang w:val="en-US"/>
        </w:rPr>
        <w:t xml:space="preserve">the </w:t>
      </w:r>
      <w:r>
        <w:rPr>
          <w:rFonts w:hint="default" w:ascii="Times New Roman" w:hAnsi="Times New Roman" w:cs="Times New Roman"/>
          <w:b/>
          <w:bCs/>
          <w:color w:val="auto"/>
          <w:sz w:val="24"/>
          <w:szCs w:val="24"/>
          <w:lang w:val="en-US" w:eastAsia="zh-CN"/>
        </w:rPr>
        <w:t>Five Metabolic Indices among Adolescents, Stratified by Age Groups</w:t>
      </w:r>
      <w:bookmarkEnd w:id="2"/>
      <w:bookmarkEnd w:id="3"/>
    </w:p>
    <w:tbl>
      <w:tblPr>
        <w:tblStyle w:val="16"/>
        <w:tblW w:w="5038"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39"/>
        <w:gridCol w:w="1984"/>
        <w:gridCol w:w="1984"/>
        <w:gridCol w:w="990"/>
        <w:gridCol w:w="227"/>
        <w:gridCol w:w="1983"/>
        <w:gridCol w:w="1984"/>
        <w:gridCol w:w="992"/>
      </w:tblGrid>
      <w:tr w14:paraId="0C07644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448" w:type="pct"/>
            <w:shd w:val="clear" w:color="auto" w:fill="AEAAAA" w:themeFill="background2" w:themeFillShade="BF"/>
            <w:noWrap/>
            <w:vAlign w:val="center"/>
          </w:tcPr>
          <w:p w14:paraId="11906A36">
            <w:pPr>
              <w:widowControl/>
              <w:spacing w:line="240" w:lineRule="auto"/>
              <w:jc w:val="left"/>
              <w:rPr>
                <w:rFonts w:hint="default" w:ascii="Times New Roman" w:hAnsi="Times New Roman" w:eastAsia="Times New Roman Uni" w:cs="Times New Roman"/>
                <w:b/>
                <w:bCs/>
                <w:color w:val="auto"/>
                <w:kern w:val="0"/>
                <w:sz w:val="24"/>
                <w:szCs w:val="24"/>
                <w14:ligatures w14:val="none"/>
              </w:rPr>
            </w:pPr>
          </w:p>
        </w:tc>
        <w:tc>
          <w:tcPr>
            <w:tcW w:w="1735" w:type="pct"/>
            <w:gridSpan w:val="3"/>
            <w:tcBorders>
              <w:bottom w:val="single" w:color="auto" w:sz="4" w:space="0"/>
            </w:tcBorders>
            <w:shd w:val="clear" w:color="auto" w:fill="AEAAAA" w:themeFill="background2" w:themeFillShade="BF"/>
            <w:noWrap/>
            <w:vAlign w:val="center"/>
          </w:tcPr>
          <w:p w14:paraId="4EDF32EE">
            <w:pPr>
              <w:widowControl/>
              <w:spacing w:line="240" w:lineRule="auto"/>
              <w:jc w:val="center"/>
              <w:rPr>
                <w:rFonts w:hint="default" w:ascii="Times New Roman" w:hAnsi="Times New Roman" w:eastAsia="Times New Roman Uni" w:cs="Times New Roman"/>
                <w:b/>
                <w:bCs/>
                <w:color w:val="auto"/>
                <w:kern w:val="0"/>
                <w:sz w:val="24"/>
                <w:szCs w:val="24"/>
                <w14:ligatures w14:val="none"/>
              </w:rPr>
            </w:pPr>
            <w:r>
              <w:rPr>
                <w:rFonts w:hint="default" w:ascii="Times New Roman" w:hAnsi="Times New Roman" w:eastAsia="Times New Roman Uni" w:cs="Times New Roman"/>
                <w:b/>
                <w:bCs/>
                <w:color w:val="auto"/>
                <w:kern w:val="0"/>
                <w:sz w:val="24"/>
                <w:szCs w:val="24"/>
                <w14:ligatures w14:val="none"/>
              </w:rPr>
              <w:t>Age of 1</w:t>
            </w:r>
            <w:r>
              <w:rPr>
                <w:rFonts w:hint="default" w:ascii="Times New Roman" w:hAnsi="Times New Roman" w:eastAsia="Times New Roman Uni" w:cs="Times New Roman"/>
                <w:b/>
                <w:bCs/>
                <w:color w:val="auto"/>
                <w:kern w:val="0"/>
                <w:sz w:val="24"/>
                <w:szCs w:val="24"/>
                <w:lang w:val="en-US" w:eastAsia="zh-CN"/>
                <w14:ligatures w14:val="none"/>
              </w:rPr>
              <w:t>2</w:t>
            </w:r>
            <w:r>
              <w:rPr>
                <w:rFonts w:hint="default" w:ascii="Times New Roman" w:hAnsi="Times New Roman" w:eastAsia="Times New Roman Uni" w:cs="Times New Roman"/>
                <w:b/>
                <w:bCs/>
                <w:color w:val="auto"/>
                <w:kern w:val="0"/>
                <w:sz w:val="24"/>
                <w:szCs w:val="24"/>
                <w14:ligatures w14:val="none"/>
              </w:rPr>
              <w:t>-15 years (n=3458)</w:t>
            </w:r>
          </w:p>
        </w:tc>
        <w:tc>
          <w:tcPr>
            <w:tcW w:w="79" w:type="pct"/>
            <w:shd w:val="clear" w:color="auto" w:fill="AEAAAA" w:themeFill="background2" w:themeFillShade="BF"/>
            <w:noWrap/>
            <w:vAlign w:val="center"/>
          </w:tcPr>
          <w:p w14:paraId="76D9833A">
            <w:pPr>
              <w:widowControl/>
              <w:spacing w:line="240" w:lineRule="auto"/>
              <w:jc w:val="center"/>
              <w:rPr>
                <w:rFonts w:hint="default" w:ascii="Times New Roman" w:hAnsi="Times New Roman" w:eastAsia="Times New Roman Uni" w:cs="Times New Roman"/>
                <w:b/>
                <w:bCs/>
                <w:color w:val="auto"/>
                <w:kern w:val="0"/>
                <w:sz w:val="24"/>
                <w:szCs w:val="24"/>
                <w:lang w:val="en-US" w:eastAsia="zh-CN" w:bidi="ar-SA"/>
                <w14:ligatures w14:val="none"/>
              </w:rPr>
            </w:pPr>
          </w:p>
        </w:tc>
        <w:tc>
          <w:tcPr>
            <w:tcW w:w="1735" w:type="pct"/>
            <w:gridSpan w:val="3"/>
            <w:tcBorders>
              <w:bottom w:val="single" w:color="auto" w:sz="4" w:space="0"/>
            </w:tcBorders>
            <w:shd w:val="clear" w:color="auto" w:fill="AEAAAA" w:themeFill="background2" w:themeFillShade="BF"/>
            <w:noWrap/>
            <w:vAlign w:val="center"/>
          </w:tcPr>
          <w:p w14:paraId="2793F579">
            <w:pPr>
              <w:widowControl/>
              <w:spacing w:line="240" w:lineRule="auto"/>
              <w:jc w:val="center"/>
              <w:rPr>
                <w:rFonts w:hint="default" w:ascii="Times New Roman" w:hAnsi="Times New Roman" w:eastAsia="Times New Roman Uni" w:cs="Times New Roman"/>
                <w:b/>
                <w:bCs/>
                <w:color w:val="auto"/>
                <w:kern w:val="0"/>
                <w:sz w:val="24"/>
                <w:szCs w:val="24"/>
                <w14:ligatures w14:val="none"/>
              </w:rPr>
            </w:pPr>
            <w:r>
              <w:rPr>
                <w:rFonts w:hint="default" w:ascii="Times New Roman" w:hAnsi="Times New Roman" w:eastAsia="Times New Roman Uni" w:cs="Times New Roman"/>
                <w:b/>
                <w:bCs/>
                <w:color w:val="auto"/>
                <w:kern w:val="0"/>
                <w:sz w:val="24"/>
                <w:szCs w:val="24"/>
                <w14:ligatures w14:val="none"/>
              </w:rPr>
              <w:t>Age of 16-19 years (n=3531)</w:t>
            </w:r>
          </w:p>
        </w:tc>
      </w:tr>
      <w:tr w14:paraId="66CDD4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448" w:type="pct"/>
            <w:tcBorders>
              <w:bottom w:val="single" w:color="auto" w:sz="4" w:space="0"/>
            </w:tcBorders>
            <w:shd w:val="clear" w:color="auto" w:fill="AEAAAA" w:themeFill="background2" w:themeFillShade="BF"/>
            <w:noWrap/>
            <w:vAlign w:val="center"/>
          </w:tcPr>
          <w:p w14:paraId="03ACA755">
            <w:pPr>
              <w:widowControl/>
              <w:spacing w:line="240" w:lineRule="auto"/>
              <w:jc w:val="left"/>
              <w:rPr>
                <w:rFonts w:hint="default" w:ascii="Times New Roman" w:hAnsi="Times New Roman" w:eastAsia="Times New Roman Uni" w:cs="Times New Roman"/>
                <w:b/>
                <w:bCs/>
                <w:color w:val="auto"/>
                <w:kern w:val="0"/>
                <w:sz w:val="24"/>
                <w:szCs w:val="24"/>
                <w14:ligatures w14:val="none"/>
              </w:rPr>
            </w:pPr>
          </w:p>
        </w:tc>
        <w:tc>
          <w:tcPr>
            <w:tcW w:w="694" w:type="pct"/>
            <w:tcBorders>
              <w:top w:val="single" w:color="auto" w:sz="4" w:space="0"/>
              <w:bottom w:val="single" w:color="auto" w:sz="4" w:space="0"/>
            </w:tcBorders>
            <w:shd w:val="clear" w:color="auto" w:fill="AEAAAA" w:themeFill="background2" w:themeFillShade="BF"/>
            <w:noWrap/>
            <w:vAlign w:val="center"/>
          </w:tcPr>
          <w:p w14:paraId="42688BF5">
            <w:pPr>
              <w:widowControl/>
              <w:spacing w:line="240" w:lineRule="auto"/>
              <w:jc w:val="center"/>
              <w:rPr>
                <w:rFonts w:hint="default" w:ascii="Times New Roman" w:hAnsi="Times New Roman" w:eastAsia="Times New Roman Uni" w:cs="Times New Roman"/>
                <w:b/>
                <w:bCs/>
                <w:color w:val="auto"/>
                <w:kern w:val="0"/>
                <w:sz w:val="24"/>
                <w:szCs w:val="24"/>
                <w:lang w:val="en-US" w:eastAsia="zh-CN" w:bidi="ar-SA"/>
                <w14:ligatures w14:val="none"/>
              </w:rPr>
            </w:pPr>
            <w:r>
              <w:rPr>
                <w:rFonts w:hint="default" w:ascii="Times New Roman" w:hAnsi="Times New Roman" w:eastAsia="Times New Roman Uni" w:cs="Times New Roman"/>
                <w:b/>
                <w:bCs/>
                <w:color w:val="auto"/>
                <w:kern w:val="0"/>
                <w:sz w:val="24"/>
                <w:szCs w:val="24"/>
                <w14:ligatures w14:val="none"/>
              </w:rPr>
              <w:t>Male (n=1783)</w:t>
            </w:r>
          </w:p>
        </w:tc>
        <w:tc>
          <w:tcPr>
            <w:tcW w:w="694" w:type="pct"/>
            <w:tcBorders>
              <w:top w:val="single" w:color="auto" w:sz="4" w:space="0"/>
              <w:bottom w:val="single" w:color="auto" w:sz="4" w:space="0"/>
            </w:tcBorders>
            <w:shd w:val="clear" w:color="auto" w:fill="AEAAAA" w:themeFill="background2" w:themeFillShade="BF"/>
            <w:noWrap/>
            <w:vAlign w:val="center"/>
          </w:tcPr>
          <w:p w14:paraId="3048B30F">
            <w:pPr>
              <w:widowControl/>
              <w:spacing w:line="240" w:lineRule="auto"/>
              <w:jc w:val="center"/>
              <w:rPr>
                <w:rFonts w:hint="default" w:ascii="Times New Roman" w:hAnsi="Times New Roman" w:eastAsia="Times New Roman Uni" w:cs="Times New Roman"/>
                <w:b/>
                <w:bCs/>
                <w:color w:val="auto"/>
                <w:kern w:val="0"/>
                <w:sz w:val="24"/>
                <w:szCs w:val="24"/>
                <w:lang w:val="en-US" w:eastAsia="zh-CN" w:bidi="ar-SA"/>
                <w14:ligatures w14:val="none"/>
              </w:rPr>
            </w:pPr>
            <w:r>
              <w:rPr>
                <w:rFonts w:hint="default" w:ascii="Times New Roman" w:hAnsi="Times New Roman" w:eastAsia="Times New Roman Uni" w:cs="Times New Roman"/>
                <w:b/>
                <w:bCs/>
                <w:color w:val="auto"/>
                <w:kern w:val="0"/>
                <w:sz w:val="24"/>
                <w:szCs w:val="24"/>
                <w14:ligatures w14:val="none"/>
              </w:rPr>
              <w:t>Female (n=1675)</w:t>
            </w:r>
          </w:p>
        </w:tc>
        <w:tc>
          <w:tcPr>
            <w:tcW w:w="346" w:type="pct"/>
            <w:tcBorders>
              <w:top w:val="single" w:color="auto" w:sz="4" w:space="0"/>
              <w:bottom w:val="single" w:color="auto" w:sz="4" w:space="0"/>
            </w:tcBorders>
            <w:shd w:val="clear" w:color="auto" w:fill="AEAAAA" w:themeFill="background2" w:themeFillShade="BF"/>
            <w:noWrap/>
            <w:vAlign w:val="center"/>
          </w:tcPr>
          <w:p w14:paraId="1E92906B">
            <w:pPr>
              <w:widowControl/>
              <w:spacing w:line="240" w:lineRule="auto"/>
              <w:jc w:val="center"/>
              <w:rPr>
                <w:rFonts w:hint="default" w:ascii="Times New Roman" w:hAnsi="Times New Roman" w:eastAsia="Times New Roman Uni" w:cs="Times New Roman"/>
                <w:b/>
                <w:bCs/>
                <w:color w:val="auto"/>
                <w:kern w:val="0"/>
                <w:sz w:val="24"/>
                <w:szCs w:val="24"/>
                <w:lang w:val="en-US" w:eastAsia="zh-CN" w:bidi="ar-SA"/>
                <w14:ligatures w14:val="none"/>
              </w:rPr>
            </w:pPr>
            <w:r>
              <w:rPr>
                <w:rFonts w:hint="default" w:ascii="Times New Roman" w:hAnsi="Times New Roman" w:eastAsia="Times New Roman Uni" w:cs="Times New Roman"/>
                <w:b/>
                <w:bCs/>
                <w:color w:val="auto"/>
                <w:kern w:val="0"/>
                <w:sz w:val="24"/>
                <w:szCs w:val="24"/>
                <w14:ligatures w14:val="none"/>
              </w:rPr>
              <w:t>P value</w:t>
            </w:r>
          </w:p>
        </w:tc>
        <w:tc>
          <w:tcPr>
            <w:tcW w:w="79" w:type="pct"/>
            <w:shd w:val="clear" w:color="auto" w:fill="AEAAAA" w:themeFill="background2" w:themeFillShade="BF"/>
            <w:noWrap/>
            <w:vAlign w:val="center"/>
          </w:tcPr>
          <w:p w14:paraId="5BE49FF9">
            <w:pPr>
              <w:widowControl/>
              <w:spacing w:line="240" w:lineRule="auto"/>
              <w:jc w:val="center"/>
              <w:rPr>
                <w:rFonts w:hint="default" w:ascii="Times New Roman" w:hAnsi="Times New Roman" w:eastAsia="Times New Roman Uni" w:cs="Times New Roman"/>
                <w:b/>
                <w:bCs/>
                <w:color w:val="auto"/>
                <w:kern w:val="0"/>
                <w:sz w:val="24"/>
                <w:szCs w:val="24"/>
                <w:lang w:val="en-US" w:eastAsia="zh-CN" w:bidi="ar-SA"/>
                <w14:ligatures w14:val="none"/>
              </w:rPr>
            </w:pPr>
          </w:p>
        </w:tc>
        <w:tc>
          <w:tcPr>
            <w:tcW w:w="694" w:type="pct"/>
            <w:tcBorders>
              <w:top w:val="single" w:color="auto" w:sz="4" w:space="0"/>
              <w:bottom w:val="single" w:color="auto" w:sz="4" w:space="0"/>
            </w:tcBorders>
            <w:shd w:val="clear" w:color="auto" w:fill="AEAAAA" w:themeFill="background2" w:themeFillShade="BF"/>
            <w:noWrap/>
            <w:vAlign w:val="center"/>
          </w:tcPr>
          <w:p w14:paraId="46A5315E">
            <w:pPr>
              <w:widowControl/>
              <w:spacing w:line="240" w:lineRule="auto"/>
              <w:jc w:val="center"/>
              <w:rPr>
                <w:rFonts w:hint="default" w:ascii="Times New Roman" w:hAnsi="Times New Roman" w:eastAsia="Times New Roman Uni" w:cs="Times New Roman"/>
                <w:b/>
                <w:bCs/>
                <w:color w:val="auto"/>
                <w:kern w:val="0"/>
                <w:sz w:val="24"/>
                <w:szCs w:val="24"/>
                <w:lang w:val="en-US" w:eastAsia="zh-CN" w:bidi="ar-SA"/>
                <w14:ligatures w14:val="none"/>
              </w:rPr>
            </w:pPr>
            <w:r>
              <w:rPr>
                <w:rFonts w:hint="default" w:ascii="Times New Roman" w:hAnsi="Times New Roman" w:eastAsia="Times New Roman Uni" w:cs="Times New Roman"/>
                <w:b/>
                <w:bCs/>
                <w:color w:val="auto"/>
                <w:kern w:val="0"/>
                <w:sz w:val="24"/>
                <w:szCs w:val="24"/>
                <w14:ligatures w14:val="none"/>
              </w:rPr>
              <w:t>Male (n=1861)</w:t>
            </w:r>
          </w:p>
        </w:tc>
        <w:tc>
          <w:tcPr>
            <w:tcW w:w="694" w:type="pct"/>
            <w:tcBorders>
              <w:top w:val="single" w:color="auto" w:sz="4" w:space="0"/>
              <w:bottom w:val="single" w:color="auto" w:sz="4" w:space="0"/>
            </w:tcBorders>
            <w:shd w:val="clear" w:color="auto" w:fill="AEAAAA" w:themeFill="background2" w:themeFillShade="BF"/>
            <w:noWrap/>
            <w:vAlign w:val="center"/>
          </w:tcPr>
          <w:p w14:paraId="3846D730">
            <w:pPr>
              <w:widowControl/>
              <w:spacing w:line="240" w:lineRule="auto"/>
              <w:jc w:val="center"/>
              <w:rPr>
                <w:rFonts w:hint="default" w:ascii="Times New Roman" w:hAnsi="Times New Roman" w:eastAsia="Times New Roman Uni" w:cs="Times New Roman"/>
                <w:b/>
                <w:bCs/>
                <w:color w:val="auto"/>
                <w:kern w:val="0"/>
                <w:sz w:val="24"/>
                <w:szCs w:val="24"/>
                <w:lang w:val="en-US" w:eastAsia="zh-CN" w:bidi="ar-SA"/>
                <w14:ligatures w14:val="none"/>
              </w:rPr>
            </w:pPr>
            <w:r>
              <w:rPr>
                <w:rFonts w:hint="default" w:ascii="Times New Roman" w:hAnsi="Times New Roman" w:eastAsia="Times New Roman Uni" w:cs="Times New Roman"/>
                <w:b/>
                <w:bCs/>
                <w:color w:val="auto"/>
                <w:kern w:val="0"/>
                <w:sz w:val="24"/>
                <w:szCs w:val="24"/>
                <w14:ligatures w14:val="none"/>
              </w:rPr>
              <w:t>Female (n=1670)</w:t>
            </w:r>
          </w:p>
        </w:tc>
        <w:tc>
          <w:tcPr>
            <w:tcW w:w="347" w:type="pct"/>
            <w:tcBorders>
              <w:top w:val="single" w:color="auto" w:sz="4" w:space="0"/>
              <w:bottom w:val="single" w:color="auto" w:sz="4" w:space="0"/>
            </w:tcBorders>
            <w:shd w:val="clear" w:color="auto" w:fill="AEAAAA" w:themeFill="background2" w:themeFillShade="BF"/>
            <w:noWrap/>
            <w:vAlign w:val="center"/>
          </w:tcPr>
          <w:p w14:paraId="26F53E74">
            <w:pPr>
              <w:widowControl/>
              <w:spacing w:line="240" w:lineRule="auto"/>
              <w:jc w:val="center"/>
              <w:rPr>
                <w:rFonts w:hint="default" w:ascii="Times New Roman" w:hAnsi="Times New Roman" w:eastAsia="Times New Roman Uni" w:cs="Times New Roman"/>
                <w:b/>
                <w:bCs/>
                <w:color w:val="auto"/>
                <w:kern w:val="0"/>
                <w:sz w:val="24"/>
                <w:szCs w:val="24"/>
                <w:lang w:val="en-US" w:eastAsia="zh-CN" w:bidi="ar-SA"/>
                <w14:ligatures w14:val="none"/>
              </w:rPr>
            </w:pPr>
            <w:r>
              <w:rPr>
                <w:rFonts w:hint="default" w:ascii="Times New Roman" w:hAnsi="Times New Roman" w:eastAsia="Times New Roman Uni" w:cs="Times New Roman"/>
                <w:b/>
                <w:bCs/>
                <w:color w:val="auto"/>
                <w:kern w:val="0"/>
                <w:sz w:val="24"/>
                <w:szCs w:val="24"/>
                <w14:ligatures w14:val="none"/>
              </w:rPr>
              <w:t>P value</w:t>
            </w:r>
          </w:p>
        </w:tc>
      </w:tr>
      <w:tr w14:paraId="0B2626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48" w:type="pct"/>
            <w:tcBorders>
              <w:top w:val="single" w:color="auto" w:sz="4" w:space="0"/>
            </w:tcBorders>
            <w:shd w:val="clear" w:color="auto" w:fill="D7D7D7" w:themeFill="background1" w:themeFillShade="D8"/>
            <w:noWrap/>
            <w:vAlign w:val="center"/>
          </w:tcPr>
          <w:p w14:paraId="1F9FCE2E">
            <w:pPr>
              <w:widowControl/>
              <w:spacing w:line="240" w:lineRule="auto"/>
              <w:jc w:val="left"/>
              <w:rPr>
                <w:rFonts w:hint="default" w:ascii="Times New Roman" w:hAnsi="Times New Roman" w:eastAsia="Times New Roman Uni" w:cs="Times New Roman"/>
                <w:b/>
                <w:bCs/>
                <w:color w:val="auto"/>
                <w:kern w:val="0"/>
                <w:sz w:val="24"/>
                <w:szCs w:val="24"/>
                <w14:ligatures w14:val="none"/>
              </w:rPr>
            </w:pPr>
            <w:r>
              <w:rPr>
                <w:rFonts w:hint="default" w:ascii="Times New Roman" w:hAnsi="Times New Roman" w:eastAsia="Times New Roman Uni" w:cs="Times New Roman"/>
                <w:b/>
                <w:bCs/>
                <w:color w:val="auto"/>
                <w:kern w:val="0"/>
                <w:sz w:val="24"/>
                <w:szCs w:val="24"/>
                <w14:ligatures w14:val="none"/>
              </w:rPr>
              <w:t>Waist circumference</w:t>
            </w:r>
          </w:p>
        </w:tc>
        <w:tc>
          <w:tcPr>
            <w:tcW w:w="694" w:type="pct"/>
            <w:tcBorders>
              <w:top w:val="single" w:color="auto" w:sz="4" w:space="0"/>
            </w:tcBorders>
            <w:shd w:val="clear" w:color="auto" w:fill="D7D7D7" w:themeFill="background1" w:themeFillShade="D8"/>
            <w:noWrap/>
            <w:vAlign w:val="center"/>
          </w:tcPr>
          <w:p w14:paraId="5BFD7159">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tcBorders>
              <w:top w:val="single" w:color="auto" w:sz="4" w:space="0"/>
            </w:tcBorders>
            <w:shd w:val="clear" w:color="auto" w:fill="D7D7D7" w:themeFill="background1" w:themeFillShade="D8"/>
            <w:noWrap/>
            <w:vAlign w:val="center"/>
          </w:tcPr>
          <w:p w14:paraId="24F25201">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346" w:type="pct"/>
            <w:tcBorders>
              <w:top w:val="single" w:color="auto" w:sz="4" w:space="0"/>
            </w:tcBorders>
            <w:shd w:val="clear" w:color="auto" w:fill="D7D7D7" w:themeFill="background1" w:themeFillShade="D8"/>
            <w:noWrap/>
            <w:vAlign w:val="center"/>
          </w:tcPr>
          <w:p w14:paraId="7F40AEB3">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79" w:type="pct"/>
            <w:shd w:val="clear" w:color="auto" w:fill="D7D7D7" w:themeFill="background1" w:themeFillShade="D8"/>
            <w:noWrap/>
            <w:vAlign w:val="center"/>
          </w:tcPr>
          <w:p w14:paraId="6F7B0E06">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tcBorders>
              <w:top w:val="single" w:color="auto" w:sz="4" w:space="0"/>
            </w:tcBorders>
            <w:shd w:val="clear" w:color="auto" w:fill="D7D7D7" w:themeFill="background1" w:themeFillShade="D8"/>
            <w:noWrap/>
            <w:vAlign w:val="center"/>
          </w:tcPr>
          <w:p w14:paraId="5ED5E5E7">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tcBorders>
              <w:top w:val="single" w:color="auto" w:sz="4" w:space="0"/>
            </w:tcBorders>
            <w:shd w:val="clear" w:color="auto" w:fill="D7D7D7" w:themeFill="background1" w:themeFillShade="D8"/>
            <w:noWrap/>
            <w:vAlign w:val="center"/>
          </w:tcPr>
          <w:p w14:paraId="4EE1B425">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347" w:type="pct"/>
            <w:tcBorders>
              <w:top w:val="single" w:color="auto" w:sz="4" w:space="0"/>
            </w:tcBorders>
            <w:shd w:val="clear" w:color="auto" w:fill="D7D7D7" w:themeFill="background1" w:themeFillShade="D8"/>
            <w:noWrap/>
            <w:vAlign w:val="center"/>
          </w:tcPr>
          <w:p w14:paraId="43C8D87E">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r>
      <w:tr w14:paraId="70F00E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1" w:hRule="atLeast"/>
          <w:jc w:val="center"/>
        </w:trPr>
        <w:tc>
          <w:tcPr>
            <w:tcW w:w="1448" w:type="pct"/>
            <w:shd w:val="clear" w:color="auto" w:fill="auto"/>
            <w:vAlign w:val="center"/>
          </w:tcPr>
          <w:p w14:paraId="51A2B635">
            <w:pPr>
              <w:widowControl/>
              <w:spacing w:line="240" w:lineRule="auto"/>
              <w:jc w:val="left"/>
              <w:textAlignment w:val="bottom"/>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宋体" w:cs="Times New Roman"/>
                <w:color w:val="auto"/>
                <w:kern w:val="0"/>
                <w:sz w:val="24"/>
                <w:szCs w:val="24"/>
                <w:lang w:val="en-US" w:eastAsia="zh-CN" w:bidi="ar"/>
              </w:rPr>
              <w:t>STD1</w:t>
            </w:r>
            <w:r>
              <w:rPr>
                <w:rFonts w:hint="default" w:ascii="Times New Roman" w:hAnsi="Times New Roman" w:eastAsia="宋体" w:cs="Times New Roman"/>
                <w:color w:val="auto"/>
                <w:kern w:val="0"/>
                <w:sz w:val="24"/>
                <w:szCs w:val="24"/>
                <w:lang w:bidi="ar"/>
              </w:rPr>
              <w:t>: &lt;16 years: ≥90th percentile or adult cutoff if lower; ≥16 years: &gt;102 cm in male</w:t>
            </w:r>
            <w:r>
              <w:rPr>
                <w:rFonts w:hint="default" w:ascii="Times New Roman" w:hAnsi="Times New Roman" w:eastAsia="宋体" w:cs="Times New Roman"/>
                <w:color w:val="auto"/>
                <w:kern w:val="0"/>
                <w:sz w:val="24"/>
                <w:szCs w:val="24"/>
                <w:lang w:val="en-US" w:eastAsia="zh-CN" w:bidi="ar"/>
              </w:rPr>
              <w:t>s</w:t>
            </w:r>
            <w:r>
              <w:rPr>
                <w:rFonts w:hint="default" w:ascii="Times New Roman" w:hAnsi="Times New Roman" w:eastAsia="宋体" w:cs="Times New Roman"/>
                <w:color w:val="auto"/>
                <w:kern w:val="0"/>
                <w:sz w:val="24"/>
                <w:szCs w:val="24"/>
                <w:lang w:bidi="ar"/>
              </w:rPr>
              <w:t xml:space="preserve"> and &gt;88</w:t>
            </w:r>
            <w:r>
              <w:rPr>
                <w:rFonts w:hint="default" w:ascii="Times New Roman" w:hAnsi="Times New Roman" w:eastAsia="宋体" w:cs="Times New Roman"/>
                <w:color w:val="auto"/>
                <w:kern w:val="0"/>
                <w:sz w:val="24"/>
                <w:szCs w:val="24"/>
                <w:lang w:val="en-US" w:eastAsia="zh-CN" w:bidi="ar"/>
              </w:rPr>
              <w:t xml:space="preserve"> </w:t>
            </w:r>
            <w:r>
              <w:rPr>
                <w:rFonts w:hint="default" w:ascii="Times New Roman" w:hAnsi="Times New Roman" w:eastAsia="宋体" w:cs="Times New Roman"/>
                <w:color w:val="auto"/>
                <w:kern w:val="0"/>
                <w:sz w:val="24"/>
                <w:szCs w:val="24"/>
                <w:lang w:bidi="ar"/>
              </w:rPr>
              <w:t>cm in female</w:t>
            </w:r>
            <w:r>
              <w:rPr>
                <w:rFonts w:hint="default" w:ascii="Times New Roman" w:hAnsi="Times New Roman" w:eastAsia="宋体" w:cs="Times New Roman"/>
                <w:color w:val="auto"/>
                <w:kern w:val="0"/>
                <w:sz w:val="24"/>
                <w:szCs w:val="24"/>
                <w:lang w:val="en-US" w:eastAsia="zh-CN" w:bidi="ar"/>
              </w:rPr>
              <w:t xml:space="preserve">s </w:t>
            </w:r>
            <w:r>
              <w:rPr>
                <w:rFonts w:hint="default" w:ascii="Times New Roman" w:hAnsi="Times New Roman" w:eastAsia="宋体" w:cs="Times New Roman"/>
                <w:color w:val="auto"/>
                <w:kern w:val="0"/>
                <w:sz w:val="24"/>
                <w:szCs w:val="24"/>
                <w:lang w:bidi="ar"/>
              </w:rPr>
              <w:t xml:space="preserve"> </w:t>
            </w:r>
          </w:p>
        </w:tc>
        <w:tc>
          <w:tcPr>
            <w:tcW w:w="694" w:type="pct"/>
            <w:shd w:val="clear" w:color="auto" w:fill="auto"/>
            <w:noWrap/>
            <w:vAlign w:val="center"/>
          </w:tcPr>
          <w:p w14:paraId="0EC76263">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10.49 (8.35, 12.63)</w:t>
            </w:r>
          </w:p>
        </w:tc>
        <w:tc>
          <w:tcPr>
            <w:tcW w:w="694" w:type="pct"/>
            <w:shd w:val="clear" w:color="auto" w:fill="auto"/>
            <w:noWrap/>
            <w:vAlign w:val="center"/>
          </w:tcPr>
          <w:p w14:paraId="12163AAC">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22.14 (18.88, 25.4)</w:t>
            </w:r>
            <w:r>
              <w:rPr>
                <w:rFonts w:hint="default" w:ascii="Times New Roman" w:hAnsi="Times New Roman" w:eastAsia="宋体" w:cs="Times New Roman"/>
                <w:color w:val="auto"/>
                <w:kern w:val="0"/>
                <w:sz w:val="24"/>
                <w:szCs w:val="24"/>
                <w:vertAlign w:val="superscript"/>
                <w:lang w:val="en-US" w:eastAsia="zh-CN" w:bidi="ar"/>
              </w:rPr>
              <w:t>a</w:t>
            </w:r>
          </w:p>
        </w:tc>
        <w:tc>
          <w:tcPr>
            <w:tcW w:w="346" w:type="pct"/>
            <w:shd w:val="clear" w:color="auto" w:fill="auto"/>
            <w:noWrap/>
            <w:vAlign w:val="center"/>
          </w:tcPr>
          <w:p w14:paraId="79D58FA1">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&lt;0.001</w:t>
            </w:r>
          </w:p>
        </w:tc>
        <w:tc>
          <w:tcPr>
            <w:tcW w:w="79" w:type="pct"/>
            <w:shd w:val="clear" w:color="auto" w:fill="auto"/>
            <w:noWrap/>
            <w:vAlign w:val="center"/>
          </w:tcPr>
          <w:p w14:paraId="10F407B5">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auto"/>
            <w:noWrap/>
            <w:vAlign w:val="center"/>
          </w:tcPr>
          <w:p w14:paraId="7CD853BC">
            <w:pPr>
              <w:widowControl/>
              <w:spacing w:line="240" w:lineRule="auto"/>
              <w:jc w:val="center"/>
              <w:rPr>
                <w:rFonts w:hint="default" w:ascii="Times New Roman" w:hAnsi="Times New Roman" w:eastAsia="Times New Roman Uni" w:cs="Times New Roman"/>
                <w:color w:val="auto"/>
                <w:kern w:val="0"/>
                <w:sz w:val="24"/>
                <w:szCs w:val="24"/>
                <w:lang w:val="en-US" w:eastAsia="zh-CN"/>
                <w14:ligatures w14:val="none"/>
              </w:rPr>
            </w:pPr>
            <w:r>
              <w:rPr>
                <w:rFonts w:hint="default" w:ascii="Times New Roman" w:hAnsi="Times New Roman" w:eastAsia="Times New Roman Uni" w:cs="Times New Roman"/>
                <w:color w:val="auto"/>
                <w:kern w:val="0"/>
                <w:sz w:val="24"/>
                <w:szCs w:val="24"/>
                <w14:ligatures w14:val="none"/>
              </w:rPr>
              <w:t>14.77 (12.06, 17.48)</w:t>
            </w:r>
            <w:r>
              <w:rPr>
                <w:rFonts w:hint="default" w:ascii="Times New Roman" w:hAnsi="Times New Roman" w:eastAsia="Times New Roman Uni" w:cs="Times New Roman"/>
                <w:color w:val="auto"/>
                <w:kern w:val="0"/>
                <w:sz w:val="24"/>
                <w:szCs w:val="24"/>
                <w:vertAlign w:val="superscript"/>
                <w:lang w:val="en-US" w:eastAsia="zh-CN"/>
                <w14:ligatures w14:val="none"/>
              </w:rPr>
              <w:t>b</w:t>
            </w:r>
          </w:p>
        </w:tc>
        <w:tc>
          <w:tcPr>
            <w:tcW w:w="694" w:type="pct"/>
            <w:shd w:val="clear" w:color="auto" w:fill="auto"/>
            <w:noWrap/>
            <w:vAlign w:val="center"/>
          </w:tcPr>
          <w:p w14:paraId="12116137">
            <w:pPr>
              <w:widowControl/>
              <w:spacing w:line="240" w:lineRule="auto"/>
              <w:jc w:val="center"/>
              <w:rPr>
                <w:rFonts w:hint="default" w:ascii="Times New Roman" w:hAnsi="Times New Roman" w:eastAsia="Times New Roman Uni" w:cs="Times New Roman"/>
                <w:color w:val="auto"/>
                <w:kern w:val="0"/>
                <w:sz w:val="24"/>
                <w:szCs w:val="24"/>
                <w:lang w:val="en-US"/>
                <w14:ligatures w14:val="none"/>
              </w:rPr>
            </w:pPr>
            <w:r>
              <w:rPr>
                <w:rFonts w:hint="default" w:ascii="Times New Roman" w:hAnsi="Times New Roman" w:eastAsia="Times New Roman Uni" w:cs="Times New Roman"/>
                <w:color w:val="auto"/>
                <w:kern w:val="0"/>
                <w:sz w:val="24"/>
                <w:szCs w:val="24"/>
                <w14:ligatures w14:val="none"/>
              </w:rPr>
              <w:t>29.58 (26.29, 32.86)</w:t>
            </w:r>
            <w:r>
              <w:rPr>
                <w:rFonts w:hint="default" w:ascii="Times New Roman" w:hAnsi="Times New Roman" w:eastAsia="Times New Roman Uni" w:cs="Times New Roman"/>
                <w:color w:val="auto"/>
                <w:kern w:val="0"/>
                <w:sz w:val="24"/>
                <w:szCs w:val="24"/>
                <w:vertAlign w:val="superscript"/>
                <w:lang w:val="en-US" w:eastAsia="zh-CN"/>
                <w14:ligatures w14:val="none"/>
              </w:rPr>
              <w:t>c</w:t>
            </w:r>
          </w:p>
        </w:tc>
        <w:tc>
          <w:tcPr>
            <w:tcW w:w="347" w:type="pct"/>
            <w:shd w:val="clear" w:color="auto" w:fill="auto"/>
            <w:noWrap/>
            <w:vAlign w:val="center"/>
          </w:tcPr>
          <w:p w14:paraId="3FCB2FA8">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&lt;0.001</w:t>
            </w:r>
          </w:p>
        </w:tc>
      </w:tr>
      <w:tr w14:paraId="6AF3E42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448" w:type="pct"/>
            <w:shd w:val="clear" w:color="auto" w:fill="auto"/>
            <w:noWrap/>
            <w:vAlign w:val="center"/>
          </w:tcPr>
          <w:p w14:paraId="445A05FD">
            <w:pPr>
              <w:widowControl/>
              <w:spacing w:line="240" w:lineRule="auto"/>
              <w:jc w:val="left"/>
              <w:textAlignment w:val="bottom"/>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宋体" w:cs="Times New Roman"/>
                <w:color w:val="auto"/>
                <w:kern w:val="0"/>
                <w:sz w:val="24"/>
                <w:szCs w:val="24"/>
                <w:lang w:val="en-US" w:eastAsia="zh-CN" w:bidi="ar"/>
              </w:rPr>
              <w:t>STD2</w:t>
            </w:r>
            <w:r>
              <w:rPr>
                <w:rFonts w:hint="default" w:ascii="Times New Roman" w:hAnsi="Times New Roman" w:eastAsia="宋体" w:cs="Times New Roman"/>
                <w:color w:val="auto"/>
                <w:kern w:val="0"/>
                <w:sz w:val="24"/>
                <w:szCs w:val="24"/>
                <w:lang w:bidi="ar"/>
              </w:rPr>
              <w:t>: ≥102 cm in male</w:t>
            </w:r>
            <w:r>
              <w:rPr>
                <w:rFonts w:hint="default" w:ascii="Times New Roman" w:hAnsi="Times New Roman" w:eastAsia="宋体" w:cs="Times New Roman"/>
                <w:color w:val="auto"/>
                <w:kern w:val="0"/>
                <w:sz w:val="24"/>
                <w:szCs w:val="24"/>
                <w:lang w:val="en-US" w:eastAsia="zh-CN" w:bidi="ar"/>
              </w:rPr>
              <w:t>s</w:t>
            </w:r>
            <w:r>
              <w:rPr>
                <w:rFonts w:hint="default" w:ascii="Times New Roman" w:hAnsi="Times New Roman" w:eastAsia="宋体" w:cs="Times New Roman"/>
                <w:color w:val="auto"/>
                <w:kern w:val="0"/>
                <w:sz w:val="24"/>
                <w:szCs w:val="24"/>
                <w:lang w:bidi="ar"/>
              </w:rPr>
              <w:t xml:space="preserve"> and ≥88 cm in female</w:t>
            </w:r>
            <w:r>
              <w:rPr>
                <w:rFonts w:hint="default" w:ascii="Times New Roman" w:hAnsi="Times New Roman" w:eastAsia="宋体" w:cs="Times New Roman"/>
                <w:color w:val="auto"/>
                <w:kern w:val="0"/>
                <w:sz w:val="24"/>
                <w:szCs w:val="24"/>
                <w:lang w:val="en-US" w:eastAsia="zh-CN" w:bidi="ar"/>
              </w:rPr>
              <w:t>s</w:t>
            </w:r>
          </w:p>
        </w:tc>
        <w:tc>
          <w:tcPr>
            <w:tcW w:w="694" w:type="pct"/>
            <w:shd w:val="clear" w:color="auto" w:fill="auto"/>
            <w:noWrap/>
            <w:vAlign w:val="center"/>
          </w:tcPr>
          <w:p w14:paraId="6016A4FE">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9.04 (7.1, 10.98)</w:t>
            </w:r>
          </w:p>
        </w:tc>
        <w:tc>
          <w:tcPr>
            <w:tcW w:w="694" w:type="pct"/>
            <w:shd w:val="clear" w:color="auto" w:fill="auto"/>
            <w:noWrap/>
            <w:vAlign w:val="center"/>
          </w:tcPr>
          <w:p w14:paraId="5FC47BB7">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22.14 (18.88, 25.4)</w:t>
            </w:r>
          </w:p>
        </w:tc>
        <w:tc>
          <w:tcPr>
            <w:tcW w:w="346" w:type="pct"/>
            <w:shd w:val="clear" w:color="auto" w:fill="auto"/>
            <w:noWrap/>
            <w:vAlign w:val="center"/>
          </w:tcPr>
          <w:p w14:paraId="0FCAF459">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&lt;0.001</w:t>
            </w:r>
          </w:p>
        </w:tc>
        <w:tc>
          <w:tcPr>
            <w:tcW w:w="79" w:type="pct"/>
            <w:shd w:val="clear" w:color="auto" w:fill="auto"/>
            <w:noWrap/>
            <w:vAlign w:val="center"/>
          </w:tcPr>
          <w:p w14:paraId="780CBE24">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auto"/>
            <w:noWrap/>
            <w:vAlign w:val="center"/>
          </w:tcPr>
          <w:p w14:paraId="1BE753AE">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14.77 (12.06, 17.48)</w:t>
            </w:r>
            <w:r>
              <w:rPr>
                <w:rFonts w:hint="default" w:ascii="Times New Roman" w:hAnsi="Times New Roman" w:eastAsia="Times New Roman Uni" w:cs="Times New Roman"/>
                <w:color w:val="auto"/>
                <w:kern w:val="0"/>
                <w:sz w:val="24"/>
                <w:szCs w:val="24"/>
                <w:vertAlign w:val="superscript"/>
                <w:lang w:val="en-US" w:eastAsia="zh-CN"/>
                <w14:ligatures w14:val="none"/>
              </w:rPr>
              <w:t>b</w:t>
            </w:r>
          </w:p>
        </w:tc>
        <w:tc>
          <w:tcPr>
            <w:tcW w:w="694" w:type="pct"/>
            <w:shd w:val="clear" w:color="auto" w:fill="auto"/>
            <w:noWrap/>
            <w:vAlign w:val="center"/>
          </w:tcPr>
          <w:p w14:paraId="14820392">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29.58 (26.29, 32.86)</w:t>
            </w:r>
            <w:r>
              <w:rPr>
                <w:rFonts w:hint="default" w:ascii="Times New Roman" w:hAnsi="Times New Roman" w:eastAsia="Times New Roman Uni" w:cs="Times New Roman"/>
                <w:color w:val="auto"/>
                <w:kern w:val="0"/>
                <w:sz w:val="24"/>
                <w:szCs w:val="24"/>
                <w:vertAlign w:val="superscript"/>
                <w:lang w:val="en-US" w:eastAsia="zh-CN"/>
                <w14:ligatures w14:val="none"/>
              </w:rPr>
              <w:t>c</w:t>
            </w:r>
          </w:p>
        </w:tc>
        <w:tc>
          <w:tcPr>
            <w:tcW w:w="347" w:type="pct"/>
            <w:shd w:val="clear" w:color="auto" w:fill="auto"/>
            <w:noWrap/>
            <w:vAlign w:val="center"/>
          </w:tcPr>
          <w:p w14:paraId="5ACFA4D8">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&lt;0.001</w:t>
            </w:r>
          </w:p>
        </w:tc>
      </w:tr>
      <w:tr w14:paraId="1F41A4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448" w:type="pct"/>
            <w:shd w:val="clear" w:color="auto" w:fill="auto"/>
            <w:noWrap/>
            <w:vAlign w:val="center"/>
          </w:tcPr>
          <w:p w14:paraId="2983DB3F">
            <w:pPr>
              <w:widowControl/>
              <w:spacing w:line="240" w:lineRule="auto"/>
              <w:jc w:val="left"/>
              <w:textAlignment w:val="bottom"/>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宋体" w:cs="Times New Roman"/>
                <w:color w:val="auto"/>
                <w:kern w:val="0"/>
                <w:sz w:val="24"/>
                <w:szCs w:val="24"/>
                <w:lang w:val="en-US" w:eastAsia="zh-CN" w:bidi="ar"/>
              </w:rPr>
              <w:t>STD3</w:t>
            </w:r>
            <w:r>
              <w:rPr>
                <w:rFonts w:hint="default" w:ascii="Times New Roman" w:hAnsi="Times New Roman" w:eastAsia="宋体" w:cs="Times New Roman"/>
                <w:color w:val="auto"/>
                <w:kern w:val="0"/>
                <w:sz w:val="24"/>
                <w:szCs w:val="24"/>
                <w:lang w:bidi="ar"/>
              </w:rPr>
              <w:t>: ≥</w:t>
            </w:r>
            <w:r>
              <w:rPr>
                <w:rFonts w:hint="default" w:ascii="Times New Roman" w:hAnsi="Times New Roman" w:eastAsia="宋体" w:cs="Times New Roman"/>
                <w:color w:val="auto"/>
                <w:kern w:val="0"/>
                <w:sz w:val="24"/>
                <w:szCs w:val="24"/>
                <w:lang w:val="en-US" w:eastAsia="zh-CN" w:bidi="ar"/>
              </w:rPr>
              <w:t xml:space="preserve">94 </w:t>
            </w:r>
            <w:r>
              <w:rPr>
                <w:rFonts w:hint="default" w:ascii="Times New Roman" w:hAnsi="Times New Roman" w:eastAsia="宋体" w:cs="Times New Roman"/>
                <w:color w:val="auto"/>
                <w:kern w:val="0"/>
                <w:sz w:val="24"/>
                <w:szCs w:val="24"/>
                <w:lang w:bidi="ar"/>
              </w:rPr>
              <w:t>cm in male</w:t>
            </w:r>
            <w:r>
              <w:rPr>
                <w:rFonts w:hint="default" w:ascii="Times New Roman" w:hAnsi="Times New Roman" w:eastAsia="宋体" w:cs="Times New Roman"/>
                <w:color w:val="auto"/>
                <w:kern w:val="0"/>
                <w:sz w:val="24"/>
                <w:szCs w:val="24"/>
                <w:lang w:val="en-US" w:eastAsia="zh-CN" w:bidi="ar"/>
              </w:rPr>
              <w:t>s</w:t>
            </w:r>
            <w:r>
              <w:rPr>
                <w:rFonts w:hint="default" w:ascii="Times New Roman" w:hAnsi="Times New Roman" w:eastAsia="宋体" w:cs="Times New Roman"/>
                <w:color w:val="auto"/>
                <w:kern w:val="0"/>
                <w:sz w:val="24"/>
                <w:szCs w:val="24"/>
                <w:lang w:bidi="ar"/>
              </w:rPr>
              <w:t xml:space="preserve"> and ≥8</w:t>
            </w:r>
            <w:r>
              <w:rPr>
                <w:rFonts w:hint="default" w:ascii="Times New Roman" w:hAnsi="Times New Roman" w:eastAsia="宋体" w:cs="Times New Roman"/>
                <w:color w:val="auto"/>
                <w:kern w:val="0"/>
                <w:sz w:val="24"/>
                <w:szCs w:val="24"/>
                <w:lang w:val="en-US" w:eastAsia="zh-CN" w:bidi="ar"/>
              </w:rPr>
              <w:t>0</w:t>
            </w:r>
            <w:r>
              <w:rPr>
                <w:rFonts w:hint="default" w:ascii="Times New Roman" w:hAnsi="Times New Roman" w:eastAsia="宋体" w:cs="Times New Roman"/>
                <w:color w:val="auto"/>
                <w:kern w:val="0"/>
                <w:sz w:val="24"/>
                <w:szCs w:val="24"/>
                <w:lang w:bidi="ar"/>
              </w:rPr>
              <w:t xml:space="preserve"> cm in female</w:t>
            </w:r>
            <w:r>
              <w:rPr>
                <w:rFonts w:hint="default" w:ascii="Times New Roman" w:hAnsi="Times New Roman" w:eastAsia="宋体" w:cs="Times New Roman"/>
                <w:color w:val="auto"/>
                <w:kern w:val="0"/>
                <w:sz w:val="24"/>
                <w:szCs w:val="24"/>
                <w:lang w:val="en-US" w:eastAsia="zh-CN" w:bidi="ar"/>
              </w:rPr>
              <w:t>s</w:t>
            </w:r>
          </w:p>
        </w:tc>
        <w:tc>
          <w:tcPr>
            <w:tcW w:w="694" w:type="pct"/>
            <w:shd w:val="clear" w:color="auto" w:fill="auto"/>
            <w:noWrap/>
            <w:vAlign w:val="center"/>
          </w:tcPr>
          <w:p w14:paraId="167691A0">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14.3 (11.83, 16.77)</w:t>
            </w:r>
          </w:p>
        </w:tc>
        <w:tc>
          <w:tcPr>
            <w:tcW w:w="694" w:type="pct"/>
            <w:shd w:val="clear" w:color="auto" w:fill="auto"/>
            <w:noWrap/>
            <w:vAlign w:val="center"/>
          </w:tcPr>
          <w:p w14:paraId="5DBD6B88">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37.5 (33.95, 41.06)</w:t>
            </w:r>
          </w:p>
        </w:tc>
        <w:tc>
          <w:tcPr>
            <w:tcW w:w="346" w:type="pct"/>
            <w:shd w:val="clear" w:color="auto" w:fill="auto"/>
            <w:noWrap/>
            <w:vAlign w:val="center"/>
          </w:tcPr>
          <w:p w14:paraId="46D33A64">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&lt;0.001</w:t>
            </w:r>
          </w:p>
        </w:tc>
        <w:tc>
          <w:tcPr>
            <w:tcW w:w="79" w:type="pct"/>
            <w:shd w:val="clear" w:color="auto" w:fill="auto"/>
            <w:noWrap/>
            <w:vAlign w:val="center"/>
          </w:tcPr>
          <w:p w14:paraId="3073DD14">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auto"/>
            <w:noWrap/>
            <w:vAlign w:val="center"/>
          </w:tcPr>
          <w:p w14:paraId="67F51E6E">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24.6 (21.11, 28.09)</w:t>
            </w:r>
            <w:r>
              <w:rPr>
                <w:rFonts w:hint="default" w:ascii="Times New Roman" w:hAnsi="Times New Roman" w:eastAsia="Times New Roman Uni" w:cs="Times New Roman"/>
                <w:color w:val="auto"/>
                <w:kern w:val="0"/>
                <w:sz w:val="24"/>
                <w:szCs w:val="24"/>
                <w:vertAlign w:val="superscript"/>
                <w:lang w:val="en-US" w:eastAsia="zh-CN"/>
                <w14:ligatures w14:val="none"/>
              </w:rPr>
              <w:t>b</w:t>
            </w:r>
          </w:p>
        </w:tc>
        <w:tc>
          <w:tcPr>
            <w:tcW w:w="694" w:type="pct"/>
            <w:shd w:val="clear" w:color="auto" w:fill="auto"/>
            <w:noWrap/>
            <w:vAlign w:val="center"/>
          </w:tcPr>
          <w:p w14:paraId="419D5DD1">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49.19 (45.78, 52.59)</w:t>
            </w:r>
            <w:r>
              <w:rPr>
                <w:rFonts w:hint="default" w:ascii="Times New Roman" w:hAnsi="Times New Roman" w:eastAsia="Times New Roman Uni" w:cs="Times New Roman"/>
                <w:color w:val="auto"/>
                <w:kern w:val="0"/>
                <w:sz w:val="24"/>
                <w:szCs w:val="24"/>
                <w:vertAlign w:val="superscript"/>
                <w:lang w:val="en-US" w:eastAsia="zh-CN"/>
                <w14:ligatures w14:val="none"/>
              </w:rPr>
              <w:t>c</w:t>
            </w:r>
          </w:p>
        </w:tc>
        <w:tc>
          <w:tcPr>
            <w:tcW w:w="347" w:type="pct"/>
            <w:shd w:val="clear" w:color="auto" w:fill="auto"/>
            <w:noWrap/>
            <w:vAlign w:val="center"/>
          </w:tcPr>
          <w:p w14:paraId="4D24FE6E">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&lt;0.001</w:t>
            </w:r>
          </w:p>
        </w:tc>
      </w:tr>
      <w:tr w14:paraId="289EB9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48" w:type="pct"/>
            <w:shd w:val="clear" w:color="auto" w:fill="D7D7D7" w:themeFill="background1" w:themeFillShade="D8"/>
            <w:noWrap/>
            <w:vAlign w:val="center"/>
          </w:tcPr>
          <w:p w14:paraId="3444CAA9">
            <w:pPr>
              <w:widowControl/>
              <w:spacing w:line="240" w:lineRule="auto"/>
              <w:jc w:val="left"/>
              <w:rPr>
                <w:rFonts w:hint="default" w:ascii="Times New Roman" w:hAnsi="Times New Roman" w:eastAsia="Times New Roman Uni" w:cs="Times New Roman"/>
                <w:b/>
                <w:bCs/>
                <w:color w:val="auto"/>
                <w:kern w:val="0"/>
                <w:sz w:val="24"/>
                <w:szCs w:val="24"/>
                <w14:ligatures w14:val="none"/>
              </w:rPr>
            </w:pPr>
            <w:r>
              <w:rPr>
                <w:rFonts w:hint="default" w:ascii="Times New Roman" w:hAnsi="Times New Roman" w:eastAsia="Times New Roman Uni" w:cs="Times New Roman"/>
                <w:b/>
                <w:bCs/>
                <w:color w:val="auto"/>
                <w:kern w:val="0"/>
                <w:sz w:val="24"/>
                <w:szCs w:val="24"/>
                <w14:ligatures w14:val="none"/>
              </w:rPr>
              <w:t>Blood pressure</w:t>
            </w:r>
          </w:p>
        </w:tc>
        <w:tc>
          <w:tcPr>
            <w:tcW w:w="694" w:type="pct"/>
            <w:shd w:val="clear" w:color="auto" w:fill="D7D7D7" w:themeFill="background1" w:themeFillShade="D8"/>
            <w:noWrap/>
            <w:vAlign w:val="center"/>
          </w:tcPr>
          <w:p w14:paraId="2B878551">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D7D7D7" w:themeFill="background1" w:themeFillShade="D8"/>
            <w:noWrap/>
            <w:vAlign w:val="center"/>
          </w:tcPr>
          <w:p w14:paraId="09123564">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346" w:type="pct"/>
            <w:shd w:val="clear" w:color="auto" w:fill="D7D7D7" w:themeFill="background1" w:themeFillShade="D8"/>
            <w:noWrap/>
            <w:vAlign w:val="center"/>
          </w:tcPr>
          <w:p w14:paraId="1A970350">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79" w:type="pct"/>
            <w:shd w:val="clear" w:color="auto" w:fill="D7D7D7" w:themeFill="background1" w:themeFillShade="D8"/>
            <w:noWrap/>
            <w:vAlign w:val="center"/>
          </w:tcPr>
          <w:p w14:paraId="2E66E091">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D7D7D7" w:themeFill="background1" w:themeFillShade="D8"/>
            <w:noWrap/>
            <w:vAlign w:val="center"/>
          </w:tcPr>
          <w:p w14:paraId="3BC1DF9C">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D7D7D7" w:themeFill="background1" w:themeFillShade="D8"/>
            <w:noWrap/>
            <w:vAlign w:val="center"/>
          </w:tcPr>
          <w:p w14:paraId="17AC41B6">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347" w:type="pct"/>
            <w:shd w:val="clear" w:color="auto" w:fill="D7D7D7" w:themeFill="background1" w:themeFillShade="D8"/>
            <w:noWrap/>
            <w:vAlign w:val="center"/>
          </w:tcPr>
          <w:p w14:paraId="46619505">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r>
      <w:tr w14:paraId="3E00E0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448" w:type="pct"/>
            <w:shd w:val="clear" w:color="auto" w:fill="auto"/>
            <w:noWrap/>
            <w:vAlign w:val="center"/>
          </w:tcPr>
          <w:p w14:paraId="6C435283">
            <w:pPr>
              <w:widowControl/>
              <w:spacing w:line="240" w:lineRule="auto"/>
              <w:jc w:val="left"/>
              <w:textAlignment w:val="bottom"/>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宋体" w:cs="Times New Roman"/>
                <w:color w:val="auto"/>
                <w:kern w:val="0"/>
                <w:sz w:val="24"/>
                <w:szCs w:val="24"/>
                <w:lang w:val="en-US" w:eastAsia="zh-CN" w:bidi="ar"/>
              </w:rPr>
              <w:t>STD1</w:t>
            </w:r>
            <w:r>
              <w:rPr>
                <w:rFonts w:hint="default" w:ascii="Times New Roman" w:hAnsi="Times New Roman" w:eastAsia="宋体" w:cs="Times New Roman"/>
                <w:color w:val="auto"/>
                <w:kern w:val="0"/>
                <w:sz w:val="24"/>
                <w:szCs w:val="24"/>
                <w:lang w:bidi="ar"/>
              </w:rPr>
              <w:t>: ≥130/85 mmHg</w:t>
            </w:r>
          </w:p>
        </w:tc>
        <w:tc>
          <w:tcPr>
            <w:tcW w:w="694" w:type="pct"/>
            <w:shd w:val="clear" w:color="auto" w:fill="auto"/>
            <w:noWrap/>
            <w:vAlign w:val="center"/>
          </w:tcPr>
          <w:p w14:paraId="2D65BE1E">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3.25 (1.85, 4.66)</w:t>
            </w:r>
          </w:p>
        </w:tc>
        <w:tc>
          <w:tcPr>
            <w:tcW w:w="694" w:type="pct"/>
            <w:shd w:val="clear" w:color="auto" w:fill="auto"/>
            <w:noWrap/>
            <w:vAlign w:val="center"/>
          </w:tcPr>
          <w:p w14:paraId="333B62A3">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0.3 (0.02, 0.58)</w:t>
            </w:r>
          </w:p>
        </w:tc>
        <w:tc>
          <w:tcPr>
            <w:tcW w:w="346" w:type="pct"/>
            <w:shd w:val="clear" w:color="auto" w:fill="auto"/>
            <w:noWrap/>
            <w:vAlign w:val="center"/>
          </w:tcPr>
          <w:p w14:paraId="0843C39C">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&lt;0.001</w:t>
            </w:r>
          </w:p>
        </w:tc>
        <w:tc>
          <w:tcPr>
            <w:tcW w:w="79" w:type="pct"/>
            <w:shd w:val="clear" w:color="auto" w:fill="auto"/>
            <w:noWrap/>
            <w:vAlign w:val="center"/>
          </w:tcPr>
          <w:p w14:paraId="2AB3FA96">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auto"/>
            <w:noWrap/>
            <w:vAlign w:val="center"/>
          </w:tcPr>
          <w:p w14:paraId="55A107D6">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8.56 (6.4, 10.73)</w:t>
            </w:r>
            <w:r>
              <w:rPr>
                <w:rFonts w:hint="default" w:ascii="Times New Roman" w:hAnsi="Times New Roman" w:eastAsia="Times New Roman Uni" w:cs="Times New Roman"/>
                <w:color w:val="auto"/>
                <w:kern w:val="0"/>
                <w:sz w:val="24"/>
                <w:szCs w:val="24"/>
                <w:vertAlign w:val="superscript"/>
                <w:lang w:val="en-US" w:eastAsia="zh-CN"/>
                <w14:ligatures w14:val="none"/>
              </w:rPr>
              <w:t>b</w:t>
            </w:r>
          </w:p>
        </w:tc>
        <w:tc>
          <w:tcPr>
            <w:tcW w:w="694" w:type="pct"/>
            <w:shd w:val="clear" w:color="auto" w:fill="auto"/>
            <w:noWrap/>
            <w:vAlign w:val="center"/>
          </w:tcPr>
          <w:p w14:paraId="1DB67130">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1.52 (0.7, 2.33)</w:t>
            </w:r>
            <w:r>
              <w:rPr>
                <w:rFonts w:hint="default" w:ascii="Times New Roman" w:hAnsi="Times New Roman" w:eastAsia="Times New Roman Uni" w:cs="Times New Roman"/>
                <w:color w:val="auto"/>
                <w:kern w:val="0"/>
                <w:sz w:val="24"/>
                <w:szCs w:val="24"/>
                <w:vertAlign w:val="superscript"/>
                <w:lang w:val="en-US" w:eastAsia="zh-CN"/>
                <w14:ligatures w14:val="none"/>
              </w:rPr>
              <w:t>c</w:t>
            </w:r>
          </w:p>
        </w:tc>
        <w:tc>
          <w:tcPr>
            <w:tcW w:w="347" w:type="pct"/>
            <w:shd w:val="clear" w:color="auto" w:fill="auto"/>
            <w:noWrap/>
            <w:vAlign w:val="center"/>
          </w:tcPr>
          <w:p w14:paraId="7B210D1C">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&lt;0.001</w:t>
            </w:r>
          </w:p>
        </w:tc>
      </w:tr>
      <w:tr w14:paraId="70D062E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448" w:type="pct"/>
            <w:shd w:val="clear" w:color="auto" w:fill="auto"/>
            <w:vAlign w:val="center"/>
          </w:tcPr>
          <w:p w14:paraId="42BA65FC">
            <w:pPr>
              <w:widowControl/>
              <w:spacing w:line="240" w:lineRule="auto"/>
              <w:jc w:val="left"/>
              <w:textAlignment w:val="bottom"/>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宋体" w:cs="Times New Roman"/>
                <w:color w:val="auto"/>
                <w:kern w:val="0"/>
                <w:sz w:val="24"/>
                <w:szCs w:val="24"/>
                <w:lang w:val="en-US" w:eastAsia="zh-CN" w:bidi="ar"/>
              </w:rPr>
              <w:t>STD2</w:t>
            </w:r>
            <w:r>
              <w:rPr>
                <w:rFonts w:hint="default" w:ascii="Times New Roman" w:hAnsi="Times New Roman" w:eastAsia="宋体" w:cs="Times New Roman"/>
                <w:color w:val="auto"/>
                <w:kern w:val="0"/>
                <w:sz w:val="24"/>
                <w:szCs w:val="24"/>
                <w:lang w:bidi="ar"/>
              </w:rPr>
              <w:t xml:space="preserve">: </w:t>
            </w:r>
            <w:r>
              <w:rPr>
                <w:rFonts w:hint="default" w:ascii="Times New Roman" w:hAnsi="Times New Roman" w:eastAsia="宋体" w:cs="Times New Roman"/>
                <w:i w:val="0"/>
                <w:iCs w:val="0"/>
                <w:color w:val="auto"/>
                <w:kern w:val="0"/>
                <w:sz w:val="24"/>
                <w:szCs w:val="24"/>
                <w:u w:val="none"/>
                <w:lang w:val="en-US" w:eastAsia="zh-CN" w:bidi="ar"/>
                <w14:ligatures w14:val="standardContextual"/>
              </w:rPr>
              <w:t>≤17 years: ≥90th percentile by age, sex, and height; &gt;17 years: ≥130/85 mmHg</w:t>
            </w:r>
          </w:p>
        </w:tc>
        <w:tc>
          <w:tcPr>
            <w:tcW w:w="694" w:type="pct"/>
            <w:shd w:val="clear" w:color="auto" w:fill="auto"/>
            <w:noWrap/>
            <w:vAlign w:val="center"/>
          </w:tcPr>
          <w:p w14:paraId="5E26C192">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9.75 (7.74, 11.76)</w:t>
            </w:r>
          </w:p>
        </w:tc>
        <w:tc>
          <w:tcPr>
            <w:tcW w:w="694" w:type="pct"/>
            <w:shd w:val="clear" w:color="auto" w:fill="auto"/>
            <w:noWrap/>
            <w:vAlign w:val="center"/>
          </w:tcPr>
          <w:p w14:paraId="0FDCF1E2">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8.1 (6, 10.21)</w:t>
            </w:r>
          </w:p>
        </w:tc>
        <w:tc>
          <w:tcPr>
            <w:tcW w:w="346" w:type="pct"/>
            <w:shd w:val="clear" w:color="auto" w:fill="auto"/>
            <w:noWrap/>
            <w:vAlign w:val="center"/>
          </w:tcPr>
          <w:p w14:paraId="2A381789">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0.281</w:t>
            </w:r>
          </w:p>
        </w:tc>
        <w:tc>
          <w:tcPr>
            <w:tcW w:w="79" w:type="pct"/>
            <w:shd w:val="clear" w:color="auto" w:fill="auto"/>
            <w:noWrap/>
            <w:vAlign w:val="center"/>
          </w:tcPr>
          <w:p w14:paraId="44EBB198">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auto"/>
            <w:noWrap/>
            <w:vAlign w:val="center"/>
          </w:tcPr>
          <w:p w14:paraId="2108F15B">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10.65 (8.4, 12.89)</w:t>
            </w:r>
          </w:p>
        </w:tc>
        <w:tc>
          <w:tcPr>
            <w:tcW w:w="694" w:type="pct"/>
            <w:shd w:val="clear" w:color="auto" w:fill="auto"/>
            <w:noWrap/>
            <w:vAlign w:val="center"/>
          </w:tcPr>
          <w:p w14:paraId="6F20016E">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5.49 (4.07, 6.92)</w:t>
            </w:r>
            <w:r>
              <w:rPr>
                <w:rFonts w:hint="default" w:ascii="Times New Roman" w:hAnsi="Times New Roman" w:eastAsia="Times New Roman Uni" w:cs="Times New Roman"/>
                <w:color w:val="auto"/>
                <w:kern w:val="0"/>
                <w:sz w:val="24"/>
                <w:szCs w:val="24"/>
                <w:vertAlign w:val="superscript"/>
                <w:lang w:val="en-US" w:eastAsia="zh-CN"/>
                <w14:ligatures w14:val="none"/>
              </w:rPr>
              <w:t>c</w:t>
            </w:r>
          </w:p>
        </w:tc>
        <w:tc>
          <w:tcPr>
            <w:tcW w:w="347" w:type="pct"/>
            <w:shd w:val="clear" w:color="auto" w:fill="auto"/>
            <w:noWrap/>
            <w:vAlign w:val="center"/>
          </w:tcPr>
          <w:p w14:paraId="39E3BCD7">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&lt;0.001</w:t>
            </w:r>
          </w:p>
        </w:tc>
      </w:tr>
      <w:tr w14:paraId="0AC33E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48" w:type="pct"/>
            <w:shd w:val="clear" w:color="auto" w:fill="D7D7D7" w:themeFill="background1" w:themeFillShade="D8"/>
            <w:noWrap/>
            <w:vAlign w:val="center"/>
          </w:tcPr>
          <w:p w14:paraId="056E960E">
            <w:pPr>
              <w:widowControl/>
              <w:spacing w:line="240" w:lineRule="auto"/>
              <w:jc w:val="left"/>
              <w:rPr>
                <w:rFonts w:hint="default" w:ascii="Times New Roman" w:hAnsi="Times New Roman" w:eastAsia="Times New Roman Uni" w:cs="Times New Roman"/>
                <w:b/>
                <w:bCs/>
                <w:color w:val="auto"/>
                <w:kern w:val="0"/>
                <w:sz w:val="24"/>
                <w:szCs w:val="24"/>
                <w14:ligatures w14:val="none"/>
              </w:rPr>
            </w:pPr>
            <w:r>
              <w:rPr>
                <w:rFonts w:hint="default" w:ascii="Times New Roman" w:hAnsi="Times New Roman" w:eastAsia="Times New Roman Uni" w:cs="Times New Roman"/>
                <w:b/>
                <w:bCs/>
                <w:color w:val="auto"/>
                <w:kern w:val="0"/>
                <w:sz w:val="24"/>
                <w:szCs w:val="24"/>
                <w14:ligatures w14:val="none"/>
              </w:rPr>
              <w:t>Fasting plasma glucose</w:t>
            </w:r>
          </w:p>
        </w:tc>
        <w:tc>
          <w:tcPr>
            <w:tcW w:w="694" w:type="pct"/>
            <w:shd w:val="clear" w:color="auto" w:fill="D7D7D7" w:themeFill="background1" w:themeFillShade="D8"/>
            <w:noWrap/>
            <w:vAlign w:val="center"/>
          </w:tcPr>
          <w:p w14:paraId="73C6CEB5">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D7D7D7" w:themeFill="background1" w:themeFillShade="D8"/>
            <w:noWrap/>
            <w:vAlign w:val="center"/>
          </w:tcPr>
          <w:p w14:paraId="2CF4E5C6">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346" w:type="pct"/>
            <w:shd w:val="clear" w:color="auto" w:fill="D7D7D7" w:themeFill="background1" w:themeFillShade="D8"/>
            <w:noWrap/>
            <w:vAlign w:val="center"/>
          </w:tcPr>
          <w:p w14:paraId="4A1FA5AF">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79" w:type="pct"/>
            <w:shd w:val="clear" w:color="auto" w:fill="D7D7D7" w:themeFill="background1" w:themeFillShade="D8"/>
            <w:noWrap/>
            <w:vAlign w:val="center"/>
          </w:tcPr>
          <w:p w14:paraId="3B2412BA">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D7D7D7" w:themeFill="background1" w:themeFillShade="D8"/>
            <w:noWrap/>
            <w:vAlign w:val="center"/>
          </w:tcPr>
          <w:p w14:paraId="71EF2F7A">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D7D7D7" w:themeFill="background1" w:themeFillShade="D8"/>
            <w:noWrap/>
            <w:vAlign w:val="center"/>
          </w:tcPr>
          <w:p w14:paraId="7FFD4737">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347" w:type="pct"/>
            <w:shd w:val="clear" w:color="auto" w:fill="D7D7D7" w:themeFill="background1" w:themeFillShade="D8"/>
            <w:noWrap/>
            <w:vAlign w:val="center"/>
          </w:tcPr>
          <w:p w14:paraId="32A1F866">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r>
      <w:tr w14:paraId="42848F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448" w:type="pct"/>
            <w:shd w:val="clear" w:color="auto" w:fill="auto"/>
            <w:noWrap/>
            <w:vAlign w:val="center"/>
          </w:tcPr>
          <w:p w14:paraId="7F4CAE22">
            <w:pPr>
              <w:widowControl/>
              <w:spacing w:line="240" w:lineRule="auto"/>
              <w:jc w:val="left"/>
              <w:textAlignment w:val="bottom"/>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宋体" w:cs="Times New Roman"/>
                <w:color w:val="auto"/>
                <w:kern w:val="0"/>
                <w:sz w:val="24"/>
                <w:szCs w:val="24"/>
                <w:lang w:val="en-US" w:eastAsia="zh-CN" w:bidi="ar"/>
              </w:rPr>
              <w:t>STD1</w:t>
            </w:r>
            <w:r>
              <w:rPr>
                <w:rFonts w:hint="default" w:ascii="Times New Roman" w:hAnsi="Times New Roman" w:eastAsia="宋体" w:cs="Times New Roman"/>
                <w:color w:val="auto"/>
                <w:kern w:val="0"/>
                <w:sz w:val="24"/>
                <w:szCs w:val="24"/>
                <w:lang w:bidi="ar"/>
              </w:rPr>
              <w:t>: ≥100 mg/dL</w:t>
            </w:r>
          </w:p>
        </w:tc>
        <w:tc>
          <w:tcPr>
            <w:tcW w:w="694" w:type="pct"/>
            <w:shd w:val="clear" w:color="auto" w:fill="auto"/>
            <w:noWrap/>
            <w:vAlign w:val="center"/>
          </w:tcPr>
          <w:p w14:paraId="043F94B2">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23.92 (20.57, 27.26)</w:t>
            </w:r>
          </w:p>
        </w:tc>
        <w:tc>
          <w:tcPr>
            <w:tcW w:w="694" w:type="pct"/>
            <w:shd w:val="clear" w:color="auto" w:fill="auto"/>
            <w:noWrap/>
            <w:vAlign w:val="center"/>
          </w:tcPr>
          <w:p w14:paraId="163825B7">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12.05 (10.06, 14.03)</w:t>
            </w:r>
          </w:p>
        </w:tc>
        <w:tc>
          <w:tcPr>
            <w:tcW w:w="346" w:type="pct"/>
            <w:shd w:val="clear" w:color="auto" w:fill="auto"/>
            <w:noWrap/>
            <w:vAlign w:val="center"/>
          </w:tcPr>
          <w:p w14:paraId="030BA80A">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&lt;0.001</w:t>
            </w:r>
          </w:p>
        </w:tc>
        <w:tc>
          <w:tcPr>
            <w:tcW w:w="79" w:type="pct"/>
            <w:shd w:val="clear" w:color="auto" w:fill="auto"/>
            <w:noWrap/>
            <w:vAlign w:val="center"/>
          </w:tcPr>
          <w:p w14:paraId="713A30D7">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auto"/>
            <w:noWrap/>
            <w:vAlign w:val="center"/>
          </w:tcPr>
          <w:p w14:paraId="6070A490">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21.57 (18.5, 24.64)</w:t>
            </w:r>
          </w:p>
        </w:tc>
        <w:tc>
          <w:tcPr>
            <w:tcW w:w="694" w:type="pct"/>
            <w:shd w:val="clear" w:color="auto" w:fill="auto"/>
            <w:noWrap/>
            <w:vAlign w:val="center"/>
          </w:tcPr>
          <w:p w14:paraId="5C660DD7">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8.78 (6.6, 10.95)</w:t>
            </w:r>
            <w:r>
              <w:rPr>
                <w:rFonts w:hint="default" w:ascii="Times New Roman" w:hAnsi="Times New Roman" w:eastAsia="Times New Roman Uni" w:cs="Times New Roman"/>
                <w:color w:val="auto"/>
                <w:kern w:val="0"/>
                <w:sz w:val="24"/>
                <w:szCs w:val="24"/>
                <w:vertAlign w:val="superscript"/>
                <w:lang w:val="en-US" w:eastAsia="zh-CN"/>
                <w14:ligatures w14:val="none"/>
              </w:rPr>
              <w:t>c</w:t>
            </w:r>
          </w:p>
        </w:tc>
        <w:tc>
          <w:tcPr>
            <w:tcW w:w="347" w:type="pct"/>
            <w:shd w:val="clear" w:color="auto" w:fill="auto"/>
            <w:noWrap/>
            <w:vAlign w:val="center"/>
          </w:tcPr>
          <w:p w14:paraId="522DCFAA">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&lt;0.001</w:t>
            </w:r>
          </w:p>
        </w:tc>
      </w:tr>
      <w:tr w14:paraId="059AD82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448" w:type="pct"/>
            <w:shd w:val="clear" w:color="auto" w:fill="auto"/>
            <w:noWrap/>
            <w:vAlign w:val="center"/>
          </w:tcPr>
          <w:p w14:paraId="727F9DFE">
            <w:pPr>
              <w:widowControl/>
              <w:spacing w:line="240" w:lineRule="auto"/>
              <w:jc w:val="left"/>
              <w:textAlignment w:val="bottom"/>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宋体" w:cs="Times New Roman"/>
                <w:color w:val="auto"/>
                <w:kern w:val="0"/>
                <w:sz w:val="24"/>
                <w:szCs w:val="24"/>
                <w:lang w:val="en-US" w:eastAsia="zh-CN" w:bidi="ar"/>
              </w:rPr>
              <w:t>STD2</w:t>
            </w:r>
            <w:r>
              <w:rPr>
                <w:rFonts w:hint="default" w:ascii="Times New Roman" w:hAnsi="Times New Roman" w:eastAsia="宋体" w:cs="Times New Roman"/>
                <w:color w:val="auto"/>
                <w:kern w:val="0"/>
                <w:sz w:val="24"/>
                <w:szCs w:val="24"/>
                <w:lang w:bidi="ar"/>
              </w:rPr>
              <w:t>: ≥110 mg/dL</w:t>
            </w:r>
          </w:p>
        </w:tc>
        <w:tc>
          <w:tcPr>
            <w:tcW w:w="694" w:type="pct"/>
            <w:shd w:val="clear" w:color="auto" w:fill="auto"/>
            <w:noWrap/>
            <w:vAlign w:val="center"/>
          </w:tcPr>
          <w:p w14:paraId="4D335C97">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2.22 (1.3, 3.14)</w:t>
            </w:r>
          </w:p>
        </w:tc>
        <w:tc>
          <w:tcPr>
            <w:tcW w:w="694" w:type="pct"/>
            <w:shd w:val="clear" w:color="auto" w:fill="auto"/>
            <w:noWrap/>
            <w:vAlign w:val="center"/>
          </w:tcPr>
          <w:p w14:paraId="4673E605">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1.66 (0.76, 2.56)</w:t>
            </w:r>
          </w:p>
        </w:tc>
        <w:tc>
          <w:tcPr>
            <w:tcW w:w="346" w:type="pct"/>
            <w:shd w:val="clear" w:color="auto" w:fill="auto"/>
            <w:noWrap/>
            <w:vAlign w:val="center"/>
          </w:tcPr>
          <w:p w14:paraId="674C2D7F">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0.406</w:t>
            </w:r>
          </w:p>
        </w:tc>
        <w:tc>
          <w:tcPr>
            <w:tcW w:w="79" w:type="pct"/>
            <w:shd w:val="clear" w:color="auto" w:fill="auto"/>
            <w:noWrap/>
            <w:vAlign w:val="center"/>
          </w:tcPr>
          <w:p w14:paraId="707A5F9D">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auto"/>
            <w:noWrap/>
            <w:vAlign w:val="center"/>
          </w:tcPr>
          <w:p w14:paraId="21B2FB41">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3.36 (2.32, 4.4)</w:t>
            </w:r>
          </w:p>
        </w:tc>
        <w:tc>
          <w:tcPr>
            <w:tcW w:w="694" w:type="pct"/>
            <w:shd w:val="clear" w:color="auto" w:fill="auto"/>
            <w:noWrap/>
            <w:vAlign w:val="center"/>
          </w:tcPr>
          <w:p w14:paraId="6A5DB1C5">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1.61 (0.76, 2.45)</w:t>
            </w:r>
          </w:p>
        </w:tc>
        <w:tc>
          <w:tcPr>
            <w:tcW w:w="347" w:type="pct"/>
            <w:shd w:val="clear" w:color="auto" w:fill="auto"/>
            <w:noWrap/>
            <w:vAlign w:val="center"/>
          </w:tcPr>
          <w:p w14:paraId="2779C582">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0.020</w:t>
            </w:r>
          </w:p>
        </w:tc>
      </w:tr>
      <w:tr w14:paraId="35E6E2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48" w:type="pct"/>
            <w:shd w:val="clear" w:color="auto" w:fill="D7D7D7" w:themeFill="background1" w:themeFillShade="D8"/>
            <w:noWrap/>
            <w:vAlign w:val="center"/>
          </w:tcPr>
          <w:p w14:paraId="206243E8">
            <w:pPr>
              <w:widowControl/>
              <w:spacing w:line="240" w:lineRule="auto"/>
              <w:jc w:val="left"/>
              <w:rPr>
                <w:rFonts w:hint="default" w:ascii="Times New Roman" w:hAnsi="Times New Roman" w:eastAsia="Times New Roman Uni" w:cs="Times New Roman"/>
                <w:b/>
                <w:bCs/>
                <w:color w:val="auto"/>
                <w:kern w:val="0"/>
                <w:sz w:val="24"/>
                <w:szCs w:val="24"/>
                <w14:ligatures w14:val="none"/>
              </w:rPr>
            </w:pPr>
            <w:r>
              <w:rPr>
                <w:rFonts w:hint="default" w:ascii="Times New Roman" w:hAnsi="Times New Roman" w:eastAsia="Times New Roman Uni" w:cs="Times New Roman"/>
                <w:b/>
                <w:bCs/>
                <w:color w:val="auto"/>
                <w:kern w:val="0"/>
                <w:sz w:val="24"/>
                <w:szCs w:val="24"/>
                <w14:ligatures w14:val="none"/>
              </w:rPr>
              <w:t>Triglycerides</w:t>
            </w:r>
          </w:p>
        </w:tc>
        <w:tc>
          <w:tcPr>
            <w:tcW w:w="694" w:type="pct"/>
            <w:shd w:val="clear" w:color="auto" w:fill="D7D7D7" w:themeFill="background1" w:themeFillShade="D8"/>
            <w:noWrap/>
            <w:vAlign w:val="center"/>
          </w:tcPr>
          <w:p w14:paraId="7C81BC37">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D7D7D7" w:themeFill="background1" w:themeFillShade="D8"/>
            <w:noWrap/>
            <w:vAlign w:val="center"/>
          </w:tcPr>
          <w:p w14:paraId="181E7F19">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346" w:type="pct"/>
            <w:shd w:val="clear" w:color="auto" w:fill="D7D7D7" w:themeFill="background1" w:themeFillShade="D8"/>
            <w:noWrap/>
            <w:vAlign w:val="center"/>
          </w:tcPr>
          <w:p w14:paraId="64FE91F6">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79" w:type="pct"/>
            <w:shd w:val="clear" w:color="auto" w:fill="D7D7D7" w:themeFill="background1" w:themeFillShade="D8"/>
            <w:noWrap/>
            <w:vAlign w:val="center"/>
          </w:tcPr>
          <w:p w14:paraId="153266D5">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D7D7D7" w:themeFill="background1" w:themeFillShade="D8"/>
            <w:noWrap/>
            <w:vAlign w:val="center"/>
          </w:tcPr>
          <w:p w14:paraId="499FB266">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D7D7D7" w:themeFill="background1" w:themeFillShade="D8"/>
            <w:noWrap/>
            <w:vAlign w:val="center"/>
          </w:tcPr>
          <w:p w14:paraId="0E8BD5AA">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347" w:type="pct"/>
            <w:shd w:val="clear" w:color="auto" w:fill="D7D7D7" w:themeFill="background1" w:themeFillShade="D8"/>
            <w:noWrap/>
            <w:vAlign w:val="center"/>
          </w:tcPr>
          <w:p w14:paraId="25908FBC">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r>
      <w:tr w14:paraId="3EDE01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448" w:type="pct"/>
            <w:shd w:val="clear" w:color="auto" w:fill="auto"/>
            <w:noWrap/>
            <w:vAlign w:val="center"/>
          </w:tcPr>
          <w:p w14:paraId="759ACBCB">
            <w:pPr>
              <w:widowControl/>
              <w:spacing w:line="240" w:lineRule="auto"/>
              <w:jc w:val="left"/>
              <w:textAlignment w:val="bottom"/>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宋体" w:cs="Times New Roman"/>
                <w:color w:val="auto"/>
                <w:kern w:val="0"/>
                <w:sz w:val="24"/>
                <w:szCs w:val="24"/>
                <w:lang w:val="en-US" w:eastAsia="zh-CN" w:bidi="ar"/>
              </w:rPr>
              <w:t>STD1</w:t>
            </w:r>
            <w:r>
              <w:rPr>
                <w:rFonts w:hint="default" w:ascii="Times New Roman" w:hAnsi="Times New Roman" w:eastAsia="宋体" w:cs="Times New Roman"/>
                <w:color w:val="auto"/>
                <w:kern w:val="0"/>
                <w:sz w:val="24"/>
                <w:szCs w:val="24"/>
                <w:lang w:bidi="ar"/>
              </w:rPr>
              <w:t>: ≥150 mg/dL</w:t>
            </w:r>
          </w:p>
        </w:tc>
        <w:tc>
          <w:tcPr>
            <w:tcW w:w="694" w:type="pct"/>
            <w:shd w:val="clear" w:color="auto" w:fill="auto"/>
            <w:noWrap/>
            <w:vAlign w:val="center"/>
          </w:tcPr>
          <w:p w14:paraId="7EA3650F">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7.66 (5.7, 9.62)</w:t>
            </w:r>
          </w:p>
        </w:tc>
        <w:tc>
          <w:tcPr>
            <w:tcW w:w="694" w:type="pct"/>
            <w:shd w:val="clear" w:color="auto" w:fill="auto"/>
            <w:noWrap/>
            <w:vAlign w:val="center"/>
          </w:tcPr>
          <w:p w14:paraId="5D68ECAE">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5.82 (4.21, 7.42)</w:t>
            </w:r>
          </w:p>
        </w:tc>
        <w:tc>
          <w:tcPr>
            <w:tcW w:w="346" w:type="pct"/>
            <w:shd w:val="clear" w:color="auto" w:fill="auto"/>
            <w:noWrap/>
            <w:vAlign w:val="center"/>
          </w:tcPr>
          <w:p w14:paraId="1D4CAF59">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0.158</w:t>
            </w:r>
          </w:p>
        </w:tc>
        <w:tc>
          <w:tcPr>
            <w:tcW w:w="79" w:type="pct"/>
            <w:shd w:val="clear" w:color="auto" w:fill="auto"/>
            <w:noWrap/>
            <w:vAlign w:val="center"/>
          </w:tcPr>
          <w:p w14:paraId="21EF9E89">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auto"/>
            <w:noWrap/>
            <w:vAlign w:val="center"/>
          </w:tcPr>
          <w:p w14:paraId="00A19FE7">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10.03 (8.14, 11.93)</w:t>
            </w:r>
          </w:p>
        </w:tc>
        <w:tc>
          <w:tcPr>
            <w:tcW w:w="694" w:type="pct"/>
            <w:shd w:val="clear" w:color="auto" w:fill="auto"/>
            <w:noWrap/>
            <w:vAlign w:val="center"/>
          </w:tcPr>
          <w:p w14:paraId="538001E3">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6.95 (5.25, 8.65)</w:t>
            </w:r>
          </w:p>
        </w:tc>
        <w:tc>
          <w:tcPr>
            <w:tcW w:w="347" w:type="pct"/>
            <w:shd w:val="clear" w:color="auto" w:fill="auto"/>
            <w:noWrap/>
            <w:vAlign w:val="center"/>
          </w:tcPr>
          <w:p w14:paraId="70D5384E">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0.023</w:t>
            </w:r>
          </w:p>
        </w:tc>
      </w:tr>
      <w:tr w14:paraId="33C039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448" w:type="pct"/>
            <w:shd w:val="clear" w:color="auto" w:fill="auto"/>
            <w:noWrap/>
            <w:vAlign w:val="center"/>
          </w:tcPr>
          <w:p w14:paraId="65F1F3C7">
            <w:pPr>
              <w:widowControl/>
              <w:spacing w:line="240" w:lineRule="auto"/>
              <w:jc w:val="left"/>
              <w:textAlignment w:val="bottom"/>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宋体" w:cs="Times New Roman"/>
                <w:color w:val="auto"/>
                <w:kern w:val="0"/>
                <w:sz w:val="24"/>
                <w:szCs w:val="24"/>
                <w:lang w:val="en-US" w:eastAsia="zh-CN" w:bidi="ar"/>
              </w:rPr>
              <w:t>STD2</w:t>
            </w:r>
            <w:r>
              <w:rPr>
                <w:rFonts w:hint="default" w:ascii="Times New Roman" w:hAnsi="Times New Roman" w:eastAsia="宋体" w:cs="Times New Roman"/>
                <w:color w:val="auto"/>
                <w:kern w:val="0"/>
                <w:sz w:val="24"/>
                <w:szCs w:val="24"/>
                <w:lang w:bidi="ar"/>
              </w:rPr>
              <w:t>: ≥110 mg/dL</w:t>
            </w:r>
          </w:p>
        </w:tc>
        <w:tc>
          <w:tcPr>
            <w:tcW w:w="694" w:type="pct"/>
            <w:shd w:val="clear" w:color="auto" w:fill="auto"/>
            <w:noWrap/>
            <w:vAlign w:val="center"/>
          </w:tcPr>
          <w:p w14:paraId="47C6CD88">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17.53 (14.97, 20.08)</w:t>
            </w:r>
          </w:p>
        </w:tc>
        <w:tc>
          <w:tcPr>
            <w:tcW w:w="694" w:type="pct"/>
            <w:shd w:val="clear" w:color="auto" w:fill="auto"/>
            <w:noWrap/>
            <w:vAlign w:val="center"/>
          </w:tcPr>
          <w:p w14:paraId="30C7B79E">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15.8 (13.09, 18.5)</w:t>
            </w:r>
          </w:p>
        </w:tc>
        <w:tc>
          <w:tcPr>
            <w:tcW w:w="346" w:type="pct"/>
            <w:shd w:val="clear" w:color="auto" w:fill="auto"/>
            <w:noWrap/>
            <w:vAlign w:val="center"/>
          </w:tcPr>
          <w:p w14:paraId="78DC00BC">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0.360</w:t>
            </w:r>
          </w:p>
        </w:tc>
        <w:tc>
          <w:tcPr>
            <w:tcW w:w="79" w:type="pct"/>
            <w:shd w:val="clear" w:color="auto" w:fill="auto"/>
            <w:noWrap/>
            <w:vAlign w:val="center"/>
          </w:tcPr>
          <w:p w14:paraId="2B15326C">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auto"/>
            <w:noWrap/>
            <w:vAlign w:val="center"/>
          </w:tcPr>
          <w:p w14:paraId="673C121A">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22.06 (19.14, 24.99)</w:t>
            </w:r>
            <w:r>
              <w:rPr>
                <w:rFonts w:hint="default" w:ascii="Times New Roman" w:hAnsi="Times New Roman" w:eastAsia="Times New Roman Uni" w:cs="Times New Roman"/>
                <w:color w:val="auto"/>
                <w:kern w:val="0"/>
                <w:sz w:val="24"/>
                <w:szCs w:val="24"/>
                <w:vertAlign w:val="superscript"/>
                <w:lang w:val="en-US" w:eastAsia="zh-CN"/>
                <w14:ligatures w14:val="none"/>
              </w:rPr>
              <w:t>b</w:t>
            </w:r>
          </w:p>
        </w:tc>
        <w:tc>
          <w:tcPr>
            <w:tcW w:w="694" w:type="pct"/>
            <w:shd w:val="clear" w:color="auto" w:fill="auto"/>
            <w:noWrap/>
            <w:vAlign w:val="center"/>
          </w:tcPr>
          <w:p w14:paraId="068F6A7B">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16.97 (14.48, 19.46)</w:t>
            </w:r>
          </w:p>
        </w:tc>
        <w:tc>
          <w:tcPr>
            <w:tcW w:w="347" w:type="pct"/>
            <w:shd w:val="clear" w:color="auto" w:fill="auto"/>
            <w:noWrap/>
            <w:vAlign w:val="center"/>
          </w:tcPr>
          <w:p w14:paraId="46F4ADE6">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0.005</w:t>
            </w:r>
          </w:p>
        </w:tc>
      </w:tr>
      <w:tr w14:paraId="6C887C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48" w:type="pct"/>
            <w:shd w:val="clear" w:color="auto" w:fill="D7D7D7" w:themeFill="background1" w:themeFillShade="D8"/>
            <w:vAlign w:val="center"/>
          </w:tcPr>
          <w:p w14:paraId="2B94517B">
            <w:pPr>
              <w:widowControl/>
              <w:spacing w:line="240" w:lineRule="auto"/>
              <w:jc w:val="left"/>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b/>
                <w:bCs/>
                <w:color w:val="auto"/>
                <w:kern w:val="0"/>
                <w:sz w:val="24"/>
                <w:szCs w:val="24"/>
                <w14:ligatures w14:val="none"/>
              </w:rPr>
              <w:t>High-density lipoprotein cholesterol</w:t>
            </w:r>
          </w:p>
        </w:tc>
        <w:tc>
          <w:tcPr>
            <w:tcW w:w="694" w:type="pct"/>
            <w:shd w:val="clear" w:color="auto" w:fill="D7D7D7" w:themeFill="background1" w:themeFillShade="D8"/>
            <w:noWrap/>
            <w:vAlign w:val="center"/>
          </w:tcPr>
          <w:p w14:paraId="19D925A2">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D7D7D7" w:themeFill="background1" w:themeFillShade="D8"/>
            <w:noWrap/>
            <w:vAlign w:val="center"/>
          </w:tcPr>
          <w:p w14:paraId="5F0C2560">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346" w:type="pct"/>
            <w:shd w:val="clear" w:color="auto" w:fill="D7D7D7" w:themeFill="background1" w:themeFillShade="D8"/>
            <w:noWrap/>
            <w:vAlign w:val="center"/>
          </w:tcPr>
          <w:p w14:paraId="2B91A368">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79" w:type="pct"/>
            <w:shd w:val="clear" w:color="auto" w:fill="D7D7D7" w:themeFill="background1" w:themeFillShade="D8"/>
            <w:noWrap/>
            <w:vAlign w:val="center"/>
          </w:tcPr>
          <w:p w14:paraId="69FE6C25">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D7D7D7" w:themeFill="background1" w:themeFillShade="D8"/>
            <w:noWrap/>
            <w:vAlign w:val="center"/>
          </w:tcPr>
          <w:p w14:paraId="32209CA9">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D7D7D7" w:themeFill="background1" w:themeFillShade="D8"/>
            <w:noWrap/>
            <w:vAlign w:val="center"/>
          </w:tcPr>
          <w:p w14:paraId="45701AA5">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347" w:type="pct"/>
            <w:shd w:val="clear" w:color="auto" w:fill="D7D7D7" w:themeFill="background1" w:themeFillShade="D8"/>
            <w:noWrap/>
            <w:vAlign w:val="center"/>
          </w:tcPr>
          <w:p w14:paraId="01841D4B">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r>
      <w:tr w14:paraId="6E2FB4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8" w:hRule="atLeast"/>
          <w:jc w:val="center"/>
        </w:trPr>
        <w:tc>
          <w:tcPr>
            <w:tcW w:w="1448" w:type="pct"/>
            <w:shd w:val="clear" w:color="auto" w:fill="auto"/>
            <w:vAlign w:val="center"/>
          </w:tcPr>
          <w:p w14:paraId="37CDF962">
            <w:pPr>
              <w:widowControl/>
              <w:spacing w:line="240" w:lineRule="auto"/>
              <w:jc w:val="left"/>
              <w:textAlignment w:val="bottom"/>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宋体" w:cs="Times New Roman"/>
                <w:color w:val="auto"/>
                <w:kern w:val="0"/>
                <w:sz w:val="24"/>
                <w:szCs w:val="24"/>
                <w:lang w:val="en-US" w:eastAsia="zh-CN" w:bidi="ar"/>
              </w:rPr>
              <w:t>STD1</w:t>
            </w:r>
            <w:r>
              <w:rPr>
                <w:rFonts w:hint="default" w:ascii="Times New Roman" w:hAnsi="Times New Roman" w:eastAsia="宋体" w:cs="Times New Roman"/>
                <w:color w:val="auto"/>
                <w:kern w:val="0"/>
                <w:sz w:val="24"/>
                <w:szCs w:val="24"/>
                <w:lang w:bidi="ar"/>
              </w:rPr>
              <w:t>: &lt;16 years: &lt;40 mg/dL; ≥16 years: &lt;40 mg/dL in male</w:t>
            </w:r>
            <w:r>
              <w:rPr>
                <w:rFonts w:hint="default" w:ascii="Times New Roman" w:hAnsi="Times New Roman" w:eastAsia="宋体" w:cs="Times New Roman"/>
                <w:color w:val="auto"/>
                <w:kern w:val="0"/>
                <w:sz w:val="24"/>
                <w:szCs w:val="24"/>
                <w:lang w:val="en-US" w:eastAsia="zh-CN" w:bidi="ar"/>
              </w:rPr>
              <w:t>s</w:t>
            </w:r>
            <w:r>
              <w:rPr>
                <w:rFonts w:hint="default" w:ascii="Times New Roman" w:hAnsi="Times New Roman" w:eastAsia="宋体" w:cs="Times New Roman"/>
                <w:color w:val="auto"/>
                <w:kern w:val="0"/>
                <w:sz w:val="24"/>
                <w:szCs w:val="24"/>
                <w:lang w:bidi="ar"/>
              </w:rPr>
              <w:t xml:space="preserve"> and &lt;50 mg/dL in female</w:t>
            </w:r>
            <w:r>
              <w:rPr>
                <w:rFonts w:hint="default" w:ascii="Times New Roman" w:hAnsi="Times New Roman" w:eastAsia="宋体" w:cs="Times New Roman"/>
                <w:color w:val="auto"/>
                <w:kern w:val="0"/>
                <w:sz w:val="24"/>
                <w:szCs w:val="24"/>
                <w:lang w:val="en-US" w:eastAsia="zh-CN" w:bidi="ar"/>
              </w:rPr>
              <w:t>s</w:t>
            </w:r>
          </w:p>
        </w:tc>
        <w:tc>
          <w:tcPr>
            <w:tcW w:w="694" w:type="pct"/>
            <w:shd w:val="clear" w:color="auto" w:fill="auto"/>
            <w:noWrap/>
            <w:vAlign w:val="center"/>
          </w:tcPr>
          <w:p w14:paraId="30810390">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15.34 (12.93, 17.76)</w:t>
            </w:r>
          </w:p>
        </w:tc>
        <w:tc>
          <w:tcPr>
            <w:tcW w:w="694" w:type="pct"/>
            <w:shd w:val="clear" w:color="auto" w:fill="auto"/>
            <w:noWrap/>
            <w:vAlign w:val="center"/>
          </w:tcPr>
          <w:p w14:paraId="6072830D">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9.13 (7.24, 11.02)</w:t>
            </w:r>
          </w:p>
        </w:tc>
        <w:tc>
          <w:tcPr>
            <w:tcW w:w="346" w:type="pct"/>
            <w:shd w:val="clear" w:color="auto" w:fill="auto"/>
            <w:noWrap/>
            <w:vAlign w:val="center"/>
          </w:tcPr>
          <w:p w14:paraId="241A7E77">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&lt;0.001</w:t>
            </w:r>
          </w:p>
        </w:tc>
        <w:tc>
          <w:tcPr>
            <w:tcW w:w="79" w:type="pct"/>
            <w:shd w:val="clear" w:color="auto" w:fill="auto"/>
            <w:noWrap/>
            <w:vAlign w:val="center"/>
          </w:tcPr>
          <w:p w14:paraId="27724E8F">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auto"/>
            <w:noWrap/>
            <w:vAlign w:val="center"/>
          </w:tcPr>
          <w:p w14:paraId="673C87AF">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22.19 (19.58, 24.79)</w:t>
            </w:r>
            <w:r>
              <w:rPr>
                <w:rFonts w:hint="default" w:ascii="Times New Roman" w:hAnsi="Times New Roman" w:eastAsia="Times New Roman Uni" w:cs="Times New Roman"/>
                <w:color w:val="auto"/>
                <w:kern w:val="0"/>
                <w:sz w:val="24"/>
                <w:szCs w:val="24"/>
                <w:vertAlign w:val="superscript"/>
                <w:lang w:val="en-US" w:eastAsia="zh-CN"/>
                <w14:ligatures w14:val="none"/>
              </w:rPr>
              <w:t>b</w:t>
            </w:r>
          </w:p>
        </w:tc>
        <w:tc>
          <w:tcPr>
            <w:tcW w:w="694" w:type="pct"/>
            <w:shd w:val="clear" w:color="auto" w:fill="auto"/>
            <w:noWrap/>
            <w:vAlign w:val="center"/>
          </w:tcPr>
          <w:p w14:paraId="182E2635">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36.41 (33.16, 39.66)</w:t>
            </w:r>
            <w:r>
              <w:rPr>
                <w:rFonts w:hint="default" w:ascii="Times New Roman" w:hAnsi="Times New Roman" w:eastAsia="Times New Roman Uni" w:cs="Times New Roman"/>
                <w:color w:val="auto"/>
                <w:kern w:val="0"/>
                <w:sz w:val="24"/>
                <w:szCs w:val="24"/>
                <w:vertAlign w:val="superscript"/>
                <w:lang w:val="en-US" w:eastAsia="zh-CN"/>
                <w14:ligatures w14:val="none"/>
              </w:rPr>
              <w:t>c</w:t>
            </w:r>
          </w:p>
        </w:tc>
        <w:tc>
          <w:tcPr>
            <w:tcW w:w="347" w:type="pct"/>
            <w:shd w:val="clear" w:color="auto" w:fill="auto"/>
            <w:noWrap/>
            <w:vAlign w:val="center"/>
          </w:tcPr>
          <w:p w14:paraId="3D7C8CBB">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&lt;0.001</w:t>
            </w:r>
          </w:p>
        </w:tc>
      </w:tr>
      <w:tr w14:paraId="002992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1448" w:type="pct"/>
            <w:shd w:val="clear" w:color="auto" w:fill="auto"/>
            <w:noWrap/>
            <w:vAlign w:val="center"/>
          </w:tcPr>
          <w:p w14:paraId="373538C2">
            <w:pPr>
              <w:widowControl/>
              <w:spacing w:line="240" w:lineRule="auto"/>
              <w:jc w:val="left"/>
              <w:textAlignment w:val="bottom"/>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宋体" w:cs="Times New Roman"/>
                <w:color w:val="auto"/>
                <w:kern w:val="0"/>
                <w:sz w:val="24"/>
                <w:szCs w:val="24"/>
                <w:lang w:val="en-US" w:eastAsia="zh-CN" w:bidi="ar"/>
              </w:rPr>
              <w:t>STD2</w:t>
            </w:r>
            <w:r>
              <w:rPr>
                <w:rFonts w:hint="default" w:ascii="Times New Roman" w:hAnsi="Times New Roman" w:eastAsia="宋体" w:cs="Times New Roman"/>
                <w:color w:val="auto"/>
                <w:kern w:val="0"/>
                <w:sz w:val="24"/>
                <w:szCs w:val="24"/>
                <w:lang w:bidi="ar"/>
              </w:rPr>
              <w:t>: ≤40 mg/dL</w:t>
            </w:r>
          </w:p>
        </w:tc>
        <w:tc>
          <w:tcPr>
            <w:tcW w:w="694" w:type="pct"/>
            <w:shd w:val="clear" w:color="auto" w:fill="auto"/>
            <w:noWrap/>
            <w:vAlign w:val="center"/>
          </w:tcPr>
          <w:p w14:paraId="1DFB2369">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17.49 (14.91, 20.07)</w:t>
            </w:r>
          </w:p>
        </w:tc>
        <w:tc>
          <w:tcPr>
            <w:tcW w:w="694" w:type="pct"/>
            <w:shd w:val="clear" w:color="auto" w:fill="auto"/>
            <w:noWrap/>
            <w:vAlign w:val="center"/>
          </w:tcPr>
          <w:p w14:paraId="468A30A9">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11.47 (9.21, 13.73)</w:t>
            </w:r>
          </w:p>
        </w:tc>
        <w:tc>
          <w:tcPr>
            <w:tcW w:w="346" w:type="pct"/>
            <w:shd w:val="clear" w:color="auto" w:fill="auto"/>
            <w:noWrap/>
            <w:vAlign w:val="center"/>
          </w:tcPr>
          <w:p w14:paraId="3E79A21B">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0.001</w:t>
            </w:r>
          </w:p>
        </w:tc>
        <w:tc>
          <w:tcPr>
            <w:tcW w:w="79" w:type="pct"/>
            <w:shd w:val="clear" w:color="auto" w:fill="auto"/>
            <w:noWrap/>
            <w:vAlign w:val="center"/>
          </w:tcPr>
          <w:p w14:paraId="5B4CB010">
            <w:pPr>
              <w:widowControl/>
              <w:spacing w:line="240" w:lineRule="auto"/>
              <w:jc w:val="center"/>
              <w:rPr>
                <w:rFonts w:hint="default" w:ascii="Times New Roman" w:hAnsi="Times New Roman" w:eastAsia="Times New Roman Uni" w:cs="Times New Roman"/>
                <w:color w:val="auto"/>
                <w:kern w:val="0"/>
                <w:sz w:val="24"/>
                <w:szCs w:val="24"/>
                <w14:ligatures w14:val="none"/>
              </w:rPr>
            </w:pPr>
          </w:p>
        </w:tc>
        <w:tc>
          <w:tcPr>
            <w:tcW w:w="694" w:type="pct"/>
            <w:shd w:val="clear" w:color="auto" w:fill="auto"/>
            <w:noWrap/>
            <w:vAlign w:val="center"/>
          </w:tcPr>
          <w:p w14:paraId="280B2FE1">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25.67 (22.88, 28.47)</w:t>
            </w:r>
            <w:r>
              <w:rPr>
                <w:rFonts w:hint="default" w:ascii="Times New Roman" w:hAnsi="Times New Roman" w:eastAsia="Times New Roman Uni" w:cs="Times New Roman"/>
                <w:color w:val="auto"/>
                <w:kern w:val="0"/>
                <w:sz w:val="24"/>
                <w:szCs w:val="24"/>
                <w:vertAlign w:val="superscript"/>
                <w:lang w:val="en-US" w:eastAsia="zh-CN"/>
                <w14:ligatures w14:val="none"/>
              </w:rPr>
              <w:t>b</w:t>
            </w:r>
          </w:p>
        </w:tc>
        <w:tc>
          <w:tcPr>
            <w:tcW w:w="694" w:type="pct"/>
            <w:shd w:val="clear" w:color="auto" w:fill="auto"/>
            <w:noWrap/>
            <w:vAlign w:val="center"/>
          </w:tcPr>
          <w:p w14:paraId="50388AF3">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11.55 (9.36, 13.74)</w:t>
            </w:r>
          </w:p>
        </w:tc>
        <w:tc>
          <w:tcPr>
            <w:tcW w:w="347" w:type="pct"/>
            <w:shd w:val="clear" w:color="auto" w:fill="auto"/>
            <w:noWrap/>
            <w:vAlign w:val="center"/>
          </w:tcPr>
          <w:p w14:paraId="24377FAB">
            <w:pPr>
              <w:widowControl/>
              <w:spacing w:line="240" w:lineRule="auto"/>
              <w:jc w:val="center"/>
              <w:rPr>
                <w:rFonts w:hint="default" w:ascii="Times New Roman" w:hAnsi="Times New Roman" w:eastAsia="Times New Roman Uni" w:cs="Times New Roman"/>
                <w:color w:val="auto"/>
                <w:kern w:val="0"/>
                <w:sz w:val="24"/>
                <w:szCs w:val="24"/>
                <w14:ligatures w14:val="none"/>
              </w:rPr>
            </w:pPr>
            <w:r>
              <w:rPr>
                <w:rFonts w:hint="default" w:ascii="Times New Roman" w:hAnsi="Times New Roman" w:eastAsia="Times New Roman Uni" w:cs="Times New Roman"/>
                <w:color w:val="auto"/>
                <w:kern w:val="0"/>
                <w:sz w:val="24"/>
                <w:szCs w:val="24"/>
                <w14:ligatures w14:val="none"/>
              </w:rPr>
              <w:t>&lt;0.001</w:t>
            </w:r>
          </w:p>
        </w:tc>
      </w:tr>
    </w:tbl>
    <w:p w14:paraId="5A568A85">
      <w:pPr>
        <w:spacing w:line="240" w:lineRule="auto"/>
        <w:jc w:val="left"/>
        <w:rPr>
          <w:rFonts w:hint="default" w:ascii="Times New Roman" w:hAnsi="Times New Roman" w:cs="Times New Roman" w:eastAsiaTheme="minorEastAsia"/>
          <w:b w:val="0"/>
          <w:bCs w:val="0"/>
          <w:color w:val="auto"/>
          <w:sz w:val="21"/>
          <w:szCs w:val="24"/>
          <w:lang w:val="en-US" w:eastAsia="zh-CN"/>
        </w:rPr>
      </w:pPr>
      <w:r>
        <w:rPr>
          <w:rFonts w:hint="default" w:ascii="Times New Roman" w:hAnsi="Times New Roman" w:cs="Times New Roman"/>
          <w:b w:val="0"/>
          <w:bCs w:val="0"/>
          <w:color w:val="auto"/>
          <w:sz w:val="21"/>
          <w:szCs w:val="24"/>
        </w:rPr>
        <w:t>Data are presented as percentage (</w:t>
      </w:r>
      <w:r>
        <w:rPr>
          <w:rFonts w:hint="default" w:ascii="Times New Roman" w:hAnsi="Times New Roman" w:cs="Times New Roman"/>
          <w:b w:val="0"/>
          <w:bCs w:val="0"/>
          <w:color w:val="auto"/>
          <w:sz w:val="21"/>
          <w:szCs w:val="24"/>
          <w:lang w:val="en-US" w:eastAsia="zh-CN"/>
        </w:rPr>
        <w:t>95%CI), adjusted for NHANES fasting sample weight.</w:t>
      </w:r>
    </w:p>
    <w:p w14:paraId="30BFA9C6">
      <w:pPr>
        <w:spacing w:line="240" w:lineRule="auto"/>
        <w:jc w:val="left"/>
        <w:rPr>
          <w:rFonts w:hint="default" w:ascii="Times New Roman" w:hAnsi="Times New Roman" w:cs="Times New Roman"/>
          <w:b w:val="0"/>
          <w:bCs w:val="0"/>
          <w:color w:val="auto"/>
          <w:sz w:val="21"/>
          <w:szCs w:val="24"/>
          <w:lang w:val="en-US" w:eastAsia="zh-CN"/>
        </w:rPr>
      </w:pPr>
      <w:r>
        <w:rPr>
          <w:rFonts w:hint="default" w:ascii="Times New Roman" w:hAnsi="Times New Roman" w:cs="Times New Roman"/>
          <w:b w:val="0"/>
          <w:bCs w:val="0"/>
          <w:color w:val="auto"/>
          <w:sz w:val="21"/>
          <w:szCs w:val="24"/>
          <w:lang w:val="en-US" w:eastAsia="zh-CN"/>
        </w:rPr>
        <w:t xml:space="preserve">CI=confidence interval; NHANES=National Health and Nutrition Examination Survey; </w:t>
      </w:r>
      <w:r>
        <w:rPr>
          <w:rFonts w:hint="default" w:ascii="Times New Roman" w:hAnsi="Times New Roman" w:cs="Times New Roman"/>
          <w:b w:val="0"/>
          <w:bCs w:val="0"/>
          <w:color w:val="auto"/>
          <w:sz w:val="21"/>
          <w:szCs w:val="24"/>
        </w:rPr>
        <w:t>STD=</w:t>
      </w:r>
      <w:r>
        <w:rPr>
          <w:rFonts w:hint="default" w:ascii="Times New Roman" w:hAnsi="Times New Roman" w:cs="Times New Roman"/>
          <w:b w:val="0"/>
          <w:bCs w:val="0"/>
          <w:color w:val="auto"/>
          <w:sz w:val="21"/>
          <w:szCs w:val="24"/>
          <w:lang w:val="en-US" w:eastAsia="zh-CN"/>
        </w:rPr>
        <w:t>s</w:t>
      </w:r>
      <w:r>
        <w:rPr>
          <w:rFonts w:hint="default" w:ascii="Times New Roman" w:hAnsi="Times New Roman" w:cs="Times New Roman"/>
          <w:b w:val="0"/>
          <w:bCs w:val="0"/>
          <w:color w:val="auto"/>
          <w:sz w:val="21"/>
          <w:szCs w:val="24"/>
        </w:rPr>
        <w:t>tandard</w:t>
      </w:r>
      <w:r>
        <w:rPr>
          <w:rFonts w:hint="default" w:ascii="Times New Roman" w:hAnsi="Times New Roman" w:cs="Times New Roman"/>
          <w:b w:val="0"/>
          <w:bCs w:val="0"/>
          <w:color w:val="auto"/>
          <w:sz w:val="21"/>
          <w:szCs w:val="24"/>
          <w:lang w:val="en-US" w:eastAsia="zh-CN"/>
        </w:rPr>
        <w:t>.</w:t>
      </w:r>
    </w:p>
    <w:p w14:paraId="1AA86907">
      <w:pPr>
        <w:spacing w:line="240" w:lineRule="auto"/>
        <w:jc w:val="left"/>
        <w:rPr>
          <w:rFonts w:hint="default" w:ascii="Times New Roman" w:hAnsi="Times New Roman" w:cs="Times New Roman"/>
          <w:b w:val="0"/>
          <w:bCs w:val="0"/>
          <w:color w:val="auto"/>
          <w:sz w:val="21"/>
          <w:szCs w:val="24"/>
        </w:rPr>
      </w:pPr>
      <w:r>
        <w:rPr>
          <w:rFonts w:hint="default" w:ascii="Times New Roman" w:hAnsi="Times New Roman" w:cs="Times New Roman"/>
          <w:b w:val="0"/>
          <w:bCs w:val="0"/>
          <w:color w:val="auto"/>
          <w:sz w:val="21"/>
          <w:szCs w:val="24"/>
          <w:vertAlign w:val="superscript"/>
          <w:lang w:val="en-US" w:eastAsia="zh-CN"/>
        </w:rPr>
        <w:t>a</w:t>
      </w:r>
      <w:r>
        <w:rPr>
          <w:rFonts w:hint="default" w:ascii="Times New Roman" w:hAnsi="Times New Roman" w:cs="Times New Roman"/>
          <w:b w:val="0"/>
          <w:bCs w:val="0"/>
          <w:color w:val="auto"/>
          <w:sz w:val="21"/>
          <w:szCs w:val="24"/>
          <w:lang w:val="en-US" w:eastAsia="zh-CN"/>
        </w:rPr>
        <w:t xml:space="preserve"> </w:t>
      </w:r>
      <w:r>
        <w:rPr>
          <w:rFonts w:hint="default" w:ascii="Times New Roman" w:hAnsi="Times New Roman" w:cs="Times New Roman"/>
          <w:b w:val="0"/>
          <w:bCs w:val="0"/>
          <w:color w:val="auto"/>
          <w:sz w:val="21"/>
          <w:szCs w:val="24"/>
        </w:rPr>
        <w:t>According to our calculations, the age-</w:t>
      </w:r>
      <w:r>
        <w:rPr>
          <w:rFonts w:hint="default" w:ascii="Times New Roman" w:hAnsi="Times New Roman" w:cs="Times New Roman"/>
          <w:b w:val="0"/>
          <w:bCs w:val="0"/>
          <w:color w:val="auto"/>
          <w:sz w:val="21"/>
          <w:szCs w:val="24"/>
          <w:lang w:val="en-US" w:eastAsia="zh-CN"/>
        </w:rPr>
        <w:t xml:space="preserve"> and sex-</w:t>
      </w:r>
      <w:r>
        <w:rPr>
          <w:rFonts w:hint="default" w:ascii="Times New Roman" w:hAnsi="Times New Roman" w:cs="Times New Roman"/>
          <w:b w:val="0"/>
          <w:bCs w:val="0"/>
          <w:color w:val="auto"/>
          <w:sz w:val="21"/>
          <w:szCs w:val="24"/>
        </w:rPr>
        <w:t xml:space="preserve">specific 90th percentiles of waist circumference for females under 16 years old actually exceeded </w:t>
      </w:r>
      <w:r>
        <w:rPr>
          <w:rFonts w:hint="default" w:ascii="Times New Roman" w:hAnsi="Times New Roman" w:cs="Times New Roman"/>
          <w:b w:val="0"/>
          <w:bCs w:val="0"/>
          <w:color w:val="auto"/>
          <w:sz w:val="21"/>
          <w:szCs w:val="24"/>
          <w:lang w:val="en-US" w:eastAsia="zh-CN"/>
        </w:rPr>
        <w:t>the adult cutoff value (</w:t>
      </w:r>
      <w:r>
        <w:rPr>
          <w:rFonts w:hint="default" w:ascii="Times New Roman" w:hAnsi="Times New Roman" w:cs="Times New Roman"/>
          <w:b w:val="0"/>
          <w:bCs w:val="0"/>
          <w:color w:val="auto"/>
          <w:sz w:val="21"/>
          <w:szCs w:val="24"/>
        </w:rPr>
        <w:t>88 cm</w:t>
      </w:r>
      <w:r>
        <w:rPr>
          <w:rFonts w:hint="default" w:ascii="Times New Roman" w:hAnsi="Times New Roman" w:cs="Times New Roman"/>
          <w:b w:val="0"/>
          <w:bCs w:val="0"/>
          <w:color w:val="auto"/>
          <w:sz w:val="21"/>
          <w:szCs w:val="24"/>
          <w:lang w:val="en-US" w:eastAsia="zh-CN"/>
        </w:rPr>
        <w:t>).</w:t>
      </w:r>
      <w:r>
        <w:rPr>
          <w:rFonts w:hint="default" w:ascii="Times New Roman" w:hAnsi="Times New Roman" w:cs="Times New Roman"/>
          <w:b w:val="0"/>
          <w:bCs w:val="0"/>
          <w:color w:val="auto"/>
          <w:sz w:val="21"/>
          <w:szCs w:val="24"/>
        </w:rPr>
        <w:t xml:space="preserve"> Therefore, 88 cm was actually adopted. </w:t>
      </w:r>
    </w:p>
    <w:p w14:paraId="2C25E079">
      <w:pPr>
        <w:spacing w:line="240" w:lineRule="auto"/>
        <w:jc w:val="left"/>
        <w:rPr>
          <w:rFonts w:hint="default" w:ascii="Times New Roman" w:hAnsi="Times New Roman" w:cs="Times New Roman"/>
          <w:b w:val="0"/>
          <w:bCs w:val="0"/>
          <w:color w:val="auto"/>
          <w:sz w:val="21"/>
          <w:szCs w:val="24"/>
          <w:lang w:val="en-US" w:eastAsia="zh-CN"/>
        </w:rPr>
      </w:pPr>
      <w:r>
        <w:rPr>
          <w:rFonts w:hint="default" w:ascii="Times New Roman" w:hAnsi="Times New Roman" w:eastAsia="Times New Roman Uni" w:cs="Times New Roman"/>
          <w:color w:val="auto"/>
          <w:kern w:val="0"/>
          <w:sz w:val="24"/>
          <w:szCs w:val="24"/>
          <w:vertAlign w:val="superscript"/>
          <w:lang w:val="en-US" w:eastAsia="zh-CN"/>
          <w14:ligatures w14:val="none"/>
        </w:rPr>
        <w:t xml:space="preserve">b </w:t>
      </w:r>
      <w:r>
        <w:rPr>
          <w:rFonts w:hint="default" w:ascii="Times New Roman" w:hAnsi="Times New Roman" w:cs="Times New Roman"/>
          <w:b w:val="0"/>
          <w:bCs w:val="0"/>
          <w:color w:val="auto"/>
          <w:sz w:val="21"/>
          <w:szCs w:val="24"/>
          <w:lang w:val="en-US" w:eastAsia="zh-CN"/>
        </w:rPr>
        <w:t xml:space="preserve">There was a statistically significant difference in the proportion of abnormalities between the 12-15-year-old and 16-19-year-old age groups among males. </w:t>
      </w:r>
    </w:p>
    <w:p w14:paraId="1D3E6048">
      <w:pPr>
        <w:spacing w:line="240" w:lineRule="auto"/>
        <w:jc w:val="left"/>
        <w:rPr>
          <w:rFonts w:hint="default" w:ascii="Times New Roman" w:hAnsi="Times New Roman" w:eastAsia="Times New Roman Uni" w:cs="Times New Roman"/>
          <w:color w:val="auto"/>
          <w:lang w:val="en-US" w:eastAsia="zh-CN"/>
        </w:rPr>
      </w:pPr>
      <w:r>
        <w:rPr>
          <w:rFonts w:hint="default" w:ascii="Times New Roman" w:hAnsi="Times New Roman" w:eastAsia="Times New Roman Uni" w:cs="Times New Roman"/>
          <w:color w:val="auto"/>
          <w:kern w:val="0"/>
          <w:sz w:val="24"/>
          <w:szCs w:val="24"/>
          <w:vertAlign w:val="superscript"/>
          <w:lang w:val="en-US" w:eastAsia="zh-CN"/>
          <w14:ligatures w14:val="none"/>
        </w:rPr>
        <w:t xml:space="preserve">c </w:t>
      </w:r>
      <w:r>
        <w:rPr>
          <w:rFonts w:hint="default" w:ascii="Times New Roman" w:hAnsi="Times New Roman" w:cs="Times New Roman"/>
          <w:b w:val="0"/>
          <w:bCs w:val="0"/>
          <w:color w:val="auto"/>
          <w:sz w:val="21"/>
          <w:szCs w:val="24"/>
          <w:lang w:val="en-US" w:eastAsia="zh-CN"/>
        </w:rPr>
        <w:t>There was a statistically significant difference in the proportion of abnormalities between the 12-15-year-old and 16-19-year-old age groups among females.</w:t>
      </w:r>
    </w:p>
    <w:p w14:paraId="300D5598">
      <w:pPr>
        <w:pStyle w:val="2"/>
        <w:keepNext/>
        <w:keepLines/>
        <w:pageBreakBefore/>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bCs/>
          <w:color w:val="auto"/>
          <w:sz w:val="24"/>
          <w:szCs w:val="24"/>
          <w:lang w:val="en-US" w:eastAsia="zh-CN"/>
        </w:rPr>
      </w:pPr>
      <w:bookmarkStart w:id="4" w:name="_Toc29062"/>
      <w:bookmarkStart w:id="5" w:name="_Toc16902"/>
      <w:r>
        <w:rPr>
          <w:rFonts w:hint="default" w:ascii="Times New Roman" w:hAnsi="Times New Roman" w:cs="Times New Roman"/>
          <w:b/>
          <w:bCs/>
          <w:color w:val="auto"/>
          <w:sz w:val="24"/>
          <w:szCs w:val="24"/>
          <w:lang w:val="en-US" w:eastAsia="zh-CN"/>
        </w:rPr>
        <w:t>T</w:t>
      </w:r>
      <w:r>
        <w:rPr>
          <w:rFonts w:hint="default" w:ascii="Times New Roman" w:hAnsi="Times New Roman" w:cs="Times New Roman"/>
          <w:b/>
          <w:bCs/>
          <w:color w:val="auto"/>
          <w:sz w:val="24"/>
          <w:szCs w:val="24"/>
        </w:rPr>
        <w:t>able</w:t>
      </w:r>
      <w:r>
        <w:rPr>
          <w:rFonts w:hint="default" w:ascii="Times New Roman" w:hAnsi="Times New Roman" w:cs="Times New Roman"/>
          <w:b/>
          <w:bCs/>
          <w:color w:val="auto"/>
          <w:sz w:val="24"/>
          <w:szCs w:val="24"/>
          <w:lang w:val="en-US" w:eastAsia="zh-CN"/>
        </w:rPr>
        <w:t xml:space="preserve"> S2. Sex Differences in </w:t>
      </w:r>
      <w:r>
        <w:rPr>
          <w:rFonts w:hint="default" w:ascii="Times New Roman" w:hAnsi="Times New Roman" w:eastAsia="等线 Light" w:cs="Times New Roman"/>
          <w:b/>
          <w:bCs/>
          <w:color w:val="auto"/>
          <w:sz w:val="24"/>
          <w:lang w:val="en-US"/>
        </w:rPr>
        <w:t xml:space="preserve">the </w:t>
      </w:r>
      <w:r>
        <w:rPr>
          <w:rFonts w:hint="default" w:ascii="Times New Roman" w:hAnsi="Times New Roman" w:cs="Times New Roman"/>
          <w:b/>
          <w:bCs/>
          <w:color w:val="auto"/>
          <w:sz w:val="24"/>
          <w:szCs w:val="24"/>
          <w:lang w:val="en-US" w:eastAsia="zh-CN"/>
        </w:rPr>
        <w:t>Five Metabolic Indices under Multiple Definition Standards, Stratified by BMI Categories</w:t>
      </w:r>
      <w:bookmarkEnd w:id="4"/>
      <w:bookmarkEnd w:id="5"/>
    </w:p>
    <w:tbl>
      <w:tblPr>
        <w:tblStyle w:val="16"/>
        <w:tblW w:w="141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39"/>
        <w:gridCol w:w="1134"/>
        <w:gridCol w:w="1134"/>
        <w:gridCol w:w="901"/>
        <w:gridCol w:w="240"/>
        <w:gridCol w:w="1121"/>
        <w:gridCol w:w="1134"/>
        <w:gridCol w:w="901"/>
        <w:gridCol w:w="227"/>
        <w:gridCol w:w="1134"/>
        <w:gridCol w:w="1134"/>
        <w:gridCol w:w="901"/>
      </w:tblGrid>
      <w:tr w14:paraId="4D826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trPr>
        <w:tc>
          <w:tcPr>
            <w:tcW w:w="4139" w:type="dxa"/>
            <w:tcBorders>
              <w:top w:val="single" w:color="auto" w:sz="4" w:space="0"/>
              <w:left w:val="nil"/>
              <w:bottom w:val="nil"/>
              <w:right w:val="nil"/>
            </w:tcBorders>
            <w:shd w:val="clear" w:color="auto" w:fill="AEAAAA" w:themeFill="background2" w:themeFillShade="BF"/>
            <w:noWrap/>
            <w:vAlign w:val="center"/>
          </w:tcPr>
          <w:p w14:paraId="53A46AB1">
            <w:pPr>
              <w:spacing w:line="240" w:lineRule="auto"/>
              <w:jc w:val="both"/>
              <w:rPr>
                <w:rFonts w:hint="default" w:ascii="Times New Roman" w:hAnsi="Times New Roman" w:cs="Times New Roman"/>
                <w:b/>
                <w:bCs/>
                <w:i w:val="0"/>
                <w:iCs w:val="0"/>
                <w:color w:val="auto"/>
                <w:sz w:val="24"/>
                <w:szCs w:val="24"/>
                <w:u w:val="none"/>
              </w:rPr>
            </w:pPr>
          </w:p>
        </w:tc>
        <w:tc>
          <w:tcPr>
            <w:tcW w:w="3169" w:type="dxa"/>
            <w:gridSpan w:val="3"/>
            <w:tcBorders>
              <w:top w:val="single" w:color="auto" w:sz="4" w:space="0"/>
              <w:left w:val="nil"/>
              <w:bottom w:val="single" w:color="000000" w:sz="8" w:space="0"/>
              <w:right w:val="nil"/>
            </w:tcBorders>
            <w:shd w:val="clear" w:color="auto" w:fill="AEAAAA" w:themeFill="background2" w:themeFillShade="BF"/>
            <w:vAlign w:val="center"/>
          </w:tcPr>
          <w:p w14:paraId="5D21D746">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Underweight/normal weight (n=4343)</w:t>
            </w:r>
          </w:p>
        </w:tc>
        <w:tc>
          <w:tcPr>
            <w:tcW w:w="240" w:type="dxa"/>
            <w:tcBorders>
              <w:top w:val="single" w:color="auto" w:sz="4" w:space="0"/>
              <w:left w:val="nil"/>
              <w:bottom w:val="single" w:color="000000" w:sz="8" w:space="0"/>
              <w:right w:val="nil"/>
            </w:tcBorders>
            <w:shd w:val="clear" w:color="auto" w:fill="AEAAAA" w:themeFill="background2" w:themeFillShade="BF"/>
            <w:vAlign w:val="center"/>
          </w:tcPr>
          <w:p w14:paraId="30952086">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pPr>
          </w:p>
        </w:tc>
        <w:tc>
          <w:tcPr>
            <w:tcW w:w="3156" w:type="dxa"/>
            <w:gridSpan w:val="3"/>
            <w:tcBorders>
              <w:top w:val="single" w:color="auto" w:sz="4" w:space="0"/>
              <w:left w:val="nil"/>
              <w:bottom w:val="single" w:color="000000" w:sz="8" w:space="0"/>
              <w:right w:val="nil"/>
            </w:tcBorders>
            <w:shd w:val="clear" w:color="auto" w:fill="AEAAAA" w:themeFill="background2" w:themeFillShade="BF"/>
            <w:vAlign w:val="center"/>
          </w:tcPr>
          <w:p w14:paraId="3CE8EC5E">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Overweight (n=1200)</w:t>
            </w:r>
          </w:p>
        </w:tc>
        <w:tc>
          <w:tcPr>
            <w:tcW w:w="227" w:type="dxa"/>
            <w:tcBorders>
              <w:top w:val="single" w:color="auto" w:sz="4" w:space="0"/>
              <w:left w:val="nil"/>
              <w:bottom w:val="single" w:color="000000" w:sz="8" w:space="0"/>
              <w:right w:val="nil"/>
            </w:tcBorders>
            <w:shd w:val="clear" w:color="auto" w:fill="AEAAAA" w:themeFill="background2" w:themeFillShade="BF"/>
            <w:vAlign w:val="center"/>
          </w:tcPr>
          <w:p w14:paraId="1C73A9EF">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pPr>
          </w:p>
        </w:tc>
        <w:tc>
          <w:tcPr>
            <w:tcW w:w="3169" w:type="dxa"/>
            <w:gridSpan w:val="3"/>
            <w:tcBorders>
              <w:top w:val="single" w:color="auto" w:sz="4" w:space="0"/>
              <w:left w:val="nil"/>
              <w:bottom w:val="single" w:color="000000" w:sz="8" w:space="0"/>
              <w:right w:val="nil"/>
            </w:tcBorders>
            <w:shd w:val="clear" w:color="auto" w:fill="AEAAAA" w:themeFill="background2" w:themeFillShade="BF"/>
            <w:vAlign w:val="center"/>
          </w:tcPr>
          <w:p w14:paraId="76AACC6C">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Obesity (n=1446)</w:t>
            </w:r>
          </w:p>
        </w:tc>
      </w:tr>
      <w:tr w14:paraId="63E9B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4139" w:type="dxa"/>
            <w:tcBorders>
              <w:top w:val="nil"/>
              <w:left w:val="nil"/>
              <w:bottom w:val="single" w:color="000000" w:sz="8" w:space="0"/>
              <w:right w:val="nil"/>
            </w:tcBorders>
            <w:shd w:val="clear" w:color="auto" w:fill="AEAAAA" w:themeFill="background2" w:themeFillShade="BF"/>
            <w:noWrap/>
            <w:vAlign w:val="center"/>
          </w:tcPr>
          <w:p w14:paraId="01824930">
            <w:pPr>
              <w:spacing w:line="240" w:lineRule="auto"/>
              <w:jc w:val="both"/>
              <w:rPr>
                <w:rFonts w:hint="default" w:ascii="Times New Roman" w:hAnsi="Times New Roman" w:cs="Times New Roman"/>
                <w:b/>
                <w:bCs/>
                <w:i w:val="0"/>
                <w:iCs w:val="0"/>
                <w:color w:val="auto"/>
                <w:sz w:val="24"/>
                <w:szCs w:val="24"/>
                <w:u w:val="none"/>
              </w:rPr>
            </w:pPr>
          </w:p>
        </w:tc>
        <w:tc>
          <w:tcPr>
            <w:tcW w:w="1134" w:type="dxa"/>
            <w:tcBorders>
              <w:top w:val="single" w:color="auto" w:sz="4" w:space="0"/>
              <w:left w:val="nil"/>
              <w:bottom w:val="single" w:color="000000" w:sz="8" w:space="0"/>
              <w:right w:val="nil"/>
            </w:tcBorders>
            <w:shd w:val="clear" w:color="auto" w:fill="AEAAAA" w:themeFill="background2" w:themeFillShade="BF"/>
            <w:vAlign w:val="center"/>
          </w:tcPr>
          <w:p w14:paraId="3E731CE8">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Male (n=2323)</w:t>
            </w:r>
          </w:p>
        </w:tc>
        <w:tc>
          <w:tcPr>
            <w:tcW w:w="1134" w:type="dxa"/>
            <w:tcBorders>
              <w:top w:val="single" w:color="auto" w:sz="4" w:space="0"/>
              <w:left w:val="nil"/>
              <w:bottom w:val="single" w:color="000000" w:sz="8" w:space="0"/>
              <w:right w:val="nil"/>
            </w:tcBorders>
            <w:shd w:val="clear" w:color="auto" w:fill="AEAAAA" w:themeFill="background2" w:themeFillShade="BF"/>
            <w:vAlign w:val="center"/>
          </w:tcPr>
          <w:p w14:paraId="4A70B215">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Female (n=2020)</w:t>
            </w:r>
          </w:p>
        </w:tc>
        <w:tc>
          <w:tcPr>
            <w:tcW w:w="901" w:type="dxa"/>
            <w:tcBorders>
              <w:top w:val="single" w:color="auto" w:sz="4" w:space="0"/>
              <w:left w:val="nil"/>
              <w:bottom w:val="single" w:color="000000" w:sz="8" w:space="0"/>
              <w:right w:val="nil"/>
            </w:tcBorders>
            <w:shd w:val="clear" w:color="auto" w:fill="AEAAAA" w:themeFill="background2" w:themeFillShade="BF"/>
            <w:vAlign w:val="center"/>
          </w:tcPr>
          <w:p w14:paraId="4D6F9D9A">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P value</w:t>
            </w:r>
          </w:p>
        </w:tc>
        <w:tc>
          <w:tcPr>
            <w:tcW w:w="240" w:type="dxa"/>
            <w:tcBorders>
              <w:top w:val="nil"/>
              <w:left w:val="nil"/>
              <w:bottom w:val="single" w:color="000000" w:sz="8" w:space="0"/>
              <w:right w:val="nil"/>
            </w:tcBorders>
            <w:shd w:val="clear" w:color="auto" w:fill="AEAAAA" w:themeFill="background2" w:themeFillShade="BF"/>
            <w:vAlign w:val="center"/>
          </w:tcPr>
          <w:p w14:paraId="23527E09">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pPr>
          </w:p>
        </w:tc>
        <w:tc>
          <w:tcPr>
            <w:tcW w:w="1121" w:type="dxa"/>
            <w:tcBorders>
              <w:top w:val="single" w:color="auto" w:sz="4" w:space="0"/>
              <w:left w:val="nil"/>
              <w:bottom w:val="single" w:color="000000" w:sz="8" w:space="0"/>
              <w:right w:val="nil"/>
            </w:tcBorders>
            <w:shd w:val="clear" w:color="auto" w:fill="AEAAAA" w:themeFill="background2" w:themeFillShade="BF"/>
            <w:vAlign w:val="center"/>
          </w:tcPr>
          <w:p w14:paraId="21639375">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Male (n=575)</w:t>
            </w:r>
          </w:p>
        </w:tc>
        <w:tc>
          <w:tcPr>
            <w:tcW w:w="1134" w:type="dxa"/>
            <w:tcBorders>
              <w:top w:val="single" w:color="auto" w:sz="4" w:space="0"/>
              <w:left w:val="nil"/>
              <w:bottom w:val="single" w:color="000000" w:sz="8" w:space="0"/>
              <w:right w:val="nil"/>
            </w:tcBorders>
            <w:shd w:val="clear" w:color="auto" w:fill="AEAAAA" w:themeFill="background2" w:themeFillShade="BF"/>
            <w:vAlign w:val="center"/>
          </w:tcPr>
          <w:p w14:paraId="5FFD7922">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Female (n=625)</w:t>
            </w:r>
          </w:p>
        </w:tc>
        <w:tc>
          <w:tcPr>
            <w:tcW w:w="901" w:type="dxa"/>
            <w:tcBorders>
              <w:top w:val="single" w:color="auto" w:sz="4" w:space="0"/>
              <w:left w:val="nil"/>
              <w:bottom w:val="single" w:color="000000" w:sz="8" w:space="0"/>
              <w:right w:val="nil"/>
            </w:tcBorders>
            <w:shd w:val="clear" w:color="auto" w:fill="AEAAAA" w:themeFill="background2" w:themeFillShade="BF"/>
            <w:vAlign w:val="center"/>
          </w:tcPr>
          <w:p w14:paraId="68ABDCFB">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P value</w:t>
            </w:r>
          </w:p>
        </w:tc>
        <w:tc>
          <w:tcPr>
            <w:tcW w:w="227" w:type="dxa"/>
            <w:tcBorders>
              <w:top w:val="nil"/>
              <w:left w:val="nil"/>
              <w:bottom w:val="single" w:color="000000" w:sz="8" w:space="0"/>
              <w:right w:val="nil"/>
            </w:tcBorders>
            <w:shd w:val="clear" w:color="auto" w:fill="AEAAAA" w:themeFill="background2" w:themeFillShade="BF"/>
            <w:vAlign w:val="center"/>
          </w:tcPr>
          <w:p w14:paraId="56015428">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pPr>
          </w:p>
        </w:tc>
        <w:tc>
          <w:tcPr>
            <w:tcW w:w="1134" w:type="dxa"/>
            <w:tcBorders>
              <w:top w:val="single" w:color="auto" w:sz="4" w:space="0"/>
              <w:left w:val="nil"/>
              <w:bottom w:val="single" w:color="000000" w:sz="8" w:space="0"/>
              <w:right w:val="nil"/>
            </w:tcBorders>
            <w:shd w:val="clear" w:color="auto" w:fill="AEAAAA" w:themeFill="background2" w:themeFillShade="BF"/>
            <w:vAlign w:val="center"/>
          </w:tcPr>
          <w:p w14:paraId="7828E81A">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Male (n=746)</w:t>
            </w:r>
          </w:p>
        </w:tc>
        <w:tc>
          <w:tcPr>
            <w:tcW w:w="1134" w:type="dxa"/>
            <w:tcBorders>
              <w:top w:val="single" w:color="auto" w:sz="4" w:space="0"/>
              <w:left w:val="nil"/>
              <w:bottom w:val="single" w:color="000000" w:sz="8" w:space="0"/>
              <w:right w:val="nil"/>
            </w:tcBorders>
            <w:shd w:val="clear" w:color="auto" w:fill="AEAAAA" w:themeFill="background2" w:themeFillShade="BF"/>
            <w:vAlign w:val="center"/>
          </w:tcPr>
          <w:p w14:paraId="4AA5322E">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Female (n=700)</w:t>
            </w:r>
          </w:p>
        </w:tc>
        <w:tc>
          <w:tcPr>
            <w:tcW w:w="901" w:type="dxa"/>
            <w:tcBorders>
              <w:top w:val="single" w:color="auto" w:sz="4" w:space="0"/>
              <w:left w:val="nil"/>
              <w:bottom w:val="single" w:color="000000" w:sz="8" w:space="0"/>
              <w:right w:val="nil"/>
            </w:tcBorders>
            <w:shd w:val="clear" w:color="auto" w:fill="AEAAAA" w:themeFill="background2" w:themeFillShade="BF"/>
            <w:vAlign w:val="center"/>
          </w:tcPr>
          <w:p w14:paraId="1A6AF90E">
            <w:pPr>
              <w:keepNext w:val="0"/>
              <w:keepLines w:val="0"/>
              <w:widowControl/>
              <w:suppressLineNumbers w:val="0"/>
              <w:spacing w:line="240" w:lineRule="auto"/>
              <w:jc w:val="center"/>
              <w:textAlignment w:val="center"/>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P value</w:t>
            </w:r>
          </w:p>
        </w:tc>
      </w:tr>
      <w:tr w14:paraId="5A62B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4139" w:type="dxa"/>
            <w:tcBorders>
              <w:top w:val="single" w:color="000000" w:sz="8" w:space="0"/>
              <w:left w:val="nil"/>
              <w:bottom w:val="nil"/>
              <w:right w:val="nil"/>
            </w:tcBorders>
            <w:shd w:val="clear" w:color="auto" w:fill="D7D7D7"/>
            <w:noWrap/>
            <w:vAlign w:val="bottom"/>
          </w:tcPr>
          <w:p w14:paraId="5D124844">
            <w:pPr>
              <w:keepNext w:val="0"/>
              <w:keepLines w:val="0"/>
              <w:widowControl/>
              <w:suppressLineNumbers w:val="0"/>
              <w:spacing w:line="240" w:lineRule="auto"/>
              <w:jc w:val="left"/>
              <w:textAlignment w:val="bottom"/>
              <w:rPr>
                <w:rFonts w:hint="default" w:ascii="Times New Roman" w:hAnsi="Times New Roman" w:cs="Times New Roman"/>
                <w:b/>
                <w:bCs/>
                <w:i w:val="0"/>
                <w:iCs w:val="0"/>
                <w:color w:val="auto"/>
                <w:sz w:val="24"/>
                <w:szCs w:val="24"/>
                <w:u w:val="none"/>
                <w:lang w:val="en-US"/>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Waist circumference</w:t>
            </w:r>
          </w:p>
        </w:tc>
        <w:tc>
          <w:tcPr>
            <w:tcW w:w="1134" w:type="dxa"/>
            <w:tcBorders>
              <w:top w:val="single" w:color="000000" w:sz="8" w:space="0"/>
              <w:left w:val="nil"/>
              <w:bottom w:val="nil"/>
              <w:right w:val="nil"/>
            </w:tcBorders>
            <w:shd w:val="clear" w:color="auto" w:fill="D7D7D7"/>
            <w:noWrap/>
            <w:vAlign w:val="bottom"/>
          </w:tcPr>
          <w:p w14:paraId="355F6E2C">
            <w:pPr>
              <w:spacing w:line="240" w:lineRule="auto"/>
              <w:jc w:val="left"/>
              <w:rPr>
                <w:rFonts w:hint="default" w:ascii="Times New Roman" w:hAnsi="Times New Roman" w:cs="Times New Roman"/>
                <w:b/>
                <w:bCs/>
                <w:i w:val="0"/>
                <w:iCs w:val="0"/>
                <w:color w:val="auto"/>
                <w:sz w:val="24"/>
                <w:szCs w:val="24"/>
                <w:u w:val="none"/>
              </w:rPr>
            </w:pPr>
          </w:p>
        </w:tc>
        <w:tc>
          <w:tcPr>
            <w:tcW w:w="1134" w:type="dxa"/>
            <w:tcBorders>
              <w:top w:val="single" w:color="000000" w:sz="8" w:space="0"/>
              <w:left w:val="nil"/>
              <w:bottom w:val="nil"/>
              <w:right w:val="nil"/>
            </w:tcBorders>
            <w:shd w:val="clear" w:color="auto" w:fill="D7D7D7"/>
            <w:noWrap/>
            <w:vAlign w:val="bottom"/>
          </w:tcPr>
          <w:p w14:paraId="325ADEDA">
            <w:pPr>
              <w:spacing w:line="240" w:lineRule="auto"/>
              <w:jc w:val="left"/>
              <w:rPr>
                <w:rFonts w:hint="default" w:ascii="Times New Roman" w:hAnsi="Times New Roman" w:cs="Times New Roman"/>
                <w:b/>
                <w:bCs/>
                <w:i w:val="0"/>
                <w:iCs w:val="0"/>
                <w:color w:val="auto"/>
                <w:sz w:val="24"/>
                <w:szCs w:val="24"/>
                <w:u w:val="none"/>
              </w:rPr>
            </w:pPr>
          </w:p>
        </w:tc>
        <w:tc>
          <w:tcPr>
            <w:tcW w:w="901" w:type="dxa"/>
            <w:tcBorders>
              <w:top w:val="single" w:color="000000" w:sz="8" w:space="0"/>
              <w:left w:val="nil"/>
              <w:bottom w:val="nil"/>
              <w:right w:val="nil"/>
            </w:tcBorders>
            <w:shd w:val="clear" w:color="auto" w:fill="D7D7D7"/>
            <w:noWrap/>
            <w:vAlign w:val="bottom"/>
          </w:tcPr>
          <w:p w14:paraId="372EC5E1">
            <w:pPr>
              <w:spacing w:line="240" w:lineRule="auto"/>
              <w:jc w:val="left"/>
              <w:rPr>
                <w:rFonts w:hint="default" w:ascii="Times New Roman" w:hAnsi="Times New Roman" w:cs="Times New Roman"/>
                <w:b/>
                <w:bCs/>
                <w:i w:val="0"/>
                <w:iCs w:val="0"/>
                <w:color w:val="auto"/>
                <w:sz w:val="24"/>
                <w:szCs w:val="24"/>
                <w:u w:val="none"/>
              </w:rPr>
            </w:pPr>
          </w:p>
        </w:tc>
        <w:tc>
          <w:tcPr>
            <w:tcW w:w="240" w:type="dxa"/>
            <w:tcBorders>
              <w:top w:val="single" w:color="000000" w:sz="8" w:space="0"/>
              <w:left w:val="nil"/>
              <w:bottom w:val="nil"/>
              <w:right w:val="nil"/>
            </w:tcBorders>
            <w:shd w:val="clear" w:color="auto" w:fill="D7D7D7"/>
            <w:noWrap/>
            <w:vAlign w:val="bottom"/>
          </w:tcPr>
          <w:p w14:paraId="556957F9">
            <w:pPr>
              <w:spacing w:line="240" w:lineRule="auto"/>
              <w:jc w:val="left"/>
              <w:rPr>
                <w:rFonts w:hint="default" w:ascii="Times New Roman" w:hAnsi="Times New Roman" w:cs="Times New Roman"/>
                <w:b/>
                <w:bCs/>
                <w:i w:val="0"/>
                <w:iCs w:val="0"/>
                <w:color w:val="auto"/>
                <w:sz w:val="24"/>
                <w:szCs w:val="24"/>
                <w:u w:val="none"/>
              </w:rPr>
            </w:pPr>
          </w:p>
        </w:tc>
        <w:tc>
          <w:tcPr>
            <w:tcW w:w="1121" w:type="dxa"/>
            <w:tcBorders>
              <w:top w:val="single" w:color="000000" w:sz="8" w:space="0"/>
              <w:left w:val="nil"/>
              <w:bottom w:val="nil"/>
              <w:right w:val="nil"/>
            </w:tcBorders>
            <w:shd w:val="clear" w:color="auto" w:fill="D7D7D7"/>
            <w:noWrap/>
            <w:vAlign w:val="bottom"/>
          </w:tcPr>
          <w:p w14:paraId="2C171512">
            <w:pPr>
              <w:spacing w:line="240" w:lineRule="auto"/>
              <w:jc w:val="left"/>
              <w:rPr>
                <w:rFonts w:hint="default" w:ascii="Times New Roman" w:hAnsi="Times New Roman" w:cs="Times New Roman"/>
                <w:b/>
                <w:bCs/>
                <w:i w:val="0"/>
                <w:iCs w:val="0"/>
                <w:color w:val="auto"/>
                <w:sz w:val="24"/>
                <w:szCs w:val="24"/>
                <w:u w:val="none"/>
              </w:rPr>
            </w:pPr>
          </w:p>
        </w:tc>
        <w:tc>
          <w:tcPr>
            <w:tcW w:w="1134" w:type="dxa"/>
            <w:tcBorders>
              <w:top w:val="single" w:color="000000" w:sz="8" w:space="0"/>
              <w:left w:val="nil"/>
              <w:bottom w:val="nil"/>
              <w:right w:val="nil"/>
            </w:tcBorders>
            <w:shd w:val="clear" w:color="auto" w:fill="D7D7D7"/>
            <w:noWrap/>
            <w:vAlign w:val="bottom"/>
          </w:tcPr>
          <w:p w14:paraId="62F5C31C">
            <w:pPr>
              <w:spacing w:line="240" w:lineRule="auto"/>
              <w:jc w:val="left"/>
              <w:rPr>
                <w:rFonts w:hint="default" w:ascii="Times New Roman" w:hAnsi="Times New Roman" w:cs="Times New Roman"/>
                <w:b/>
                <w:bCs/>
                <w:i w:val="0"/>
                <w:iCs w:val="0"/>
                <w:color w:val="auto"/>
                <w:sz w:val="24"/>
                <w:szCs w:val="24"/>
                <w:u w:val="none"/>
              </w:rPr>
            </w:pPr>
          </w:p>
        </w:tc>
        <w:tc>
          <w:tcPr>
            <w:tcW w:w="901" w:type="dxa"/>
            <w:tcBorders>
              <w:top w:val="single" w:color="000000" w:sz="8" w:space="0"/>
              <w:left w:val="nil"/>
              <w:bottom w:val="nil"/>
              <w:right w:val="nil"/>
            </w:tcBorders>
            <w:shd w:val="clear" w:color="auto" w:fill="D7D7D7"/>
            <w:noWrap/>
            <w:vAlign w:val="bottom"/>
          </w:tcPr>
          <w:p w14:paraId="7BF5C7E4">
            <w:pPr>
              <w:spacing w:line="240" w:lineRule="auto"/>
              <w:jc w:val="left"/>
              <w:rPr>
                <w:rFonts w:hint="default" w:ascii="Times New Roman" w:hAnsi="Times New Roman" w:cs="Times New Roman"/>
                <w:b/>
                <w:bCs/>
                <w:i w:val="0"/>
                <w:iCs w:val="0"/>
                <w:color w:val="auto"/>
                <w:sz w:val="24"/>
                <w:szCs w:val="24"/>
                <w:u w:val="none"/>
              </w:rPr>
            </w:pPr>
          </w:p>
        </w:tc>
        <w:tc>
          <w:tcPr>
            <w:tcW w:w="227" w:type="dxa"/>
            <w:tcBorders>
              <w:top w:val="single" w:color="000000" w:sz="8" w:space="0"/>
              <w:left w:val="nil"/>
              <w:bottom w:val="nil"/>
              <w:right w:val="nil"/>
            </w:tcBorders>
            <w:shd w:val="clear" w:color="auto" w:fill="D7D7D7"/>
            <w:noWrap/>
            <w:vAlign w:val="bottom"/>
          </w:tcPr>
          <w:p w14:paraId="0067E86C">
            <w:pPr>
              <w:spacing w:line="240" w:lineRule="auto"/>
              <w:jc w:val="left"/>
              <w:rPr>
                <w:rFonts w:hint="default" w:ascii="Times New Roman" w:hAnsi="Times New Roman" w:cs="Times New Roman"/>
                <w:b/>
                <w:bCs/>
                <w:i w:val="0"/>
                <w:iCs w:val="0"/>
                <w:color w:val="auto"/>
                <w:sz w:val="24"/>
                <w:szCs w:val="24"/>
                <w:u w:val="none"/>
              </w:rPr>
            </w:pPr>
          </w:p>
        </w:tc>
        <w:tc>
          <w:tcPr>
            <w:tcW w:w="1134" w:type="dxa"/>
            <w:tcBorders>
              <w:top w:val="single" w:color="000000" w:sz="8" w:space="0"/>
              <w:left w:val="nil"/>
              <w:bottom w:val="nil"/>
              <w:right w:val="nil"/>
            </w:tcBorders>
            <w:shd w:val="clear" w:color="auto" w:fill="D7D7D7"/>
            <w:noWrap/>
            <w:vAlign w:val="bottom"/>
          </w:tcPr>
          <w:p w14:paraId="28B85997">
            <w:pPr>
              <w:spacing w:line="240" w:lineRule="auto"/>
              <w:jc w:val="left"/>
              <w:rPr>
                <w:rFonts w:hint="default" w:ascii="Times New Roman" w:hAnsi="Times New Roman" w:cs="Times New Roman"/>
                <w:b/>
                <w:bCs/>
                <w:i w:val="0"/>
                <w:iCs w:val="0"/>
                <w:color w:val="auto"/>
                <w:sz w:val="24"/>
                <w:szCs w:val="24"/>
                <w:u w:val="none"/>
              </w:rPr>
            </w:pPr>
          </w:p>
        </w:tc>
        <w:tc>
          <w:tcPr>
            <w:tcW w:w="1134" w:type="dxa"/>
            <w:tcBorders>
              <w:top w:val="single" w:color="000000" w:sz="8" w:space="0"/>
              <w:left w:val="nil"/>
              <w:bottom w:val="nil"/>
              <w:right w:val="nil"/>
            </w:tcBorders>
            <w:shd w:val="clear" w:color="auto" w:fill="D7D7D7"/>
            <w:noWrap/>
            <w:vAlign w:val="bottom"/>
          </w:tcPr>
          <w:p w14:paraId="1318B93E">
            <w:pPr>
              <w:spacing w:line="240" w:lineRule="auto"/>
              <w:jc w:val="left"/>
              <w:rPr>
                <w:rFonts w:hint="default" w:ascii="Times New Roman" w:hAnsi="Times New Roman" w:cs="Times New Roman"/>
                <w:b/>
                <w:bCs/>
                <w:i w:val="0"/>
                <w:iCs w:val="0"/>
                <w:color w:val="auto"/>
                <w:sz w:val="24"/>
                <w:szCs w:val="24"/>
                <w:u w:val="none"/>
              </w:rPr>
            </w:pPr>
          </w:p>
        </w:tc>
        <w:tc>
          <w:tcPr>
            <w:tcW w:w="901" w:type="dxa"/>
            <w:tcBorders>
              <w:top w:val="single" w:color="000000" w:sz="8" w:space="0"/>
              <w:left w:val="nil"/>
              <w:bottom w:val="nil"/>
              <w:right w:val="nil"/>
            </w:tcBorders>
            <w:shd w:val="clear" w:color="auto" w:fill="D7D7D7"/>
            <w:noWrap/>
            <w:vAlign w:val="bottom"/>
          </w:tcPr>
          <w:p w14:paraId="5BEB3BAF">
            <w:pPr>
              <w:spacing w:line="240" w:lineRule="auto"/>
              <w:jc w:val="left"/>
              <w:rPr>
                <w:rFonts w:hint="default" w:ascii="Times New Roman" w:hAnsi="Times New Roman" w:cs="Times New Roman"/>
                <w:b/>
                <w:bCs/>
                <w:i w:val="0"/>
                <w:iCs w:val="0"/>
                <w:color w:val="auto"/>
                <w:sz w:val="24"/>
                <w:szCs w:val="24"/>
                <w:u w:val="none"/>
              </w:rPr>
            </w:pPr>
          </w:p>
        </w:tc>
      </w:tr>
      <w:tr w14:paraId="418A2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4139" w:type="dxa"/>
            <w:tcBorders>
              <w:top w:val="nil"/>
              <w:left w:val="nil"/>
              <w:bottom w:val="nil"/>
              <w:right w:val="nil"/>
            </w:tcBorders>
            <w:shd w:val="clear" w:color="auto" w:fill="auto"/>
            <w:vAlign w:val="bottom"/>
          </w:tcPr>
          <w:p w14:paraId="4836F509">
            <w:pPr>
              <w:keepNext w:val="0"/>
              <w:keepLines w:val="0"/>
              <w:widowControl/>
              <w:suppressLineNumbers w:val="0"/>
              <w:spacing w:line="240" w:lineRule="auto"/>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 xml:space="preserve">STD1: </w:t>
            </w:r>
            <w:r>
              <w:rPr>
                <w:rStyle w:val="42"/>
                <w:rFonts w:hint="default" w:ascii="Times New Roman" w:hAnsi="Times New Roman" w:eastAsia="宋体" w:cs="Times New Roman"/>
                <w:color w:val="auto"/>
                <w:lang w:val="en-US" w:eastAsia="zh-CN" w:bidi="ar"/>
                <w14:ligatures w14:val="standardContextual"/>
              </w:rPr>
              <w:t xml:space="preserve">&lt;16 years:≥90th percentile or adult cutoff if lower; ≥16 years: &gt;102 cm in males and &gt;88 cm in females </w:t>
            </w:r>
          </w:p>
        </w:tc>
        <w:tc>
          <w:tcPr>
            <w:tcW w:w="1134" w:type="dxa"/>
            <w:tcBorders>
              <w:top w:val="nil"/>
              <w:left w:val="nil"/>
              <w:bottom w:val="nil"/>
              <w:right w:val="nil"/>
            </w:tcBorders>
            <w:shd w:val="clear" w:color="auto" w:fill="auto"/>
            <w:noWrap/>
            <w:vAlign w:val="center"/>
          </w:tcPr>
          <w:p w14:paraId="10D0839A">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0.00</w:t>
            </w:r>
          </w:p>
        </w:tc>
        <w:tc>
          <w:tcPr>
            <w:tcW w:w="1134" w:type="dxa"/>
            <w:tcBorders>
              <w:top w:val="nil"/>
              <w:left w:val="nil"/>
              <w:bottom w:val="nil"/>
              <w:right w:val="nil"/>
            </w:tcBorders>
            <w:shd w:val="clear" w:color="auto" w:fill="auto"/>
            <w:noWrap/>
            <w:vAlign w:val="center"/>
          </w:tcPr>
          <w:p w14:paraId="5EEBAF3E">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2.08</w:t>
            </w:r>
          </w:p>
        </w:tc>
        <w:tc>
          <w:tcPr>
            <w:tcW w:w="901" w:type="dxa"/>
            <w:tcBorders>
              <w:top w:val="nil"/>
              <w:left w:val="nil"/>
              <w:bottom w:val="nil"/>
              <w:right w:val="nil"/>
            </w:tcBorders>
            <w:shd w:val="clear" w:color="auto" w:fill="auto"/>
            <w:noWrap/>
            <w:vAlign w:val="center"/>
          </w:tcPr>
          <w:p w14:paraId="1C22189D">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c>
          <w:tcPr>
            <w:tcW w:w="240" w:type="dxa"/>
            <w:tcBorders>
              <w:top w:val="nil"/>
              <w:left w:val="nil"/>
              <w:bottom w:val="nil"/>
              <w:right w:val="nil"/>
            </w:tcBorders>
            <w:shd w:val="clear" w:color="auto" w:fill="auto"/>
            <w:noWrap/>
            <w:vAlign w:val="center"/>
          </w:tcPr>
          <w:p w14:paraId="162D7C90">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21" w:type="dxa"/>
            <w:tcBorders>
              <w:top w:val="nil"/>
              <w:left w:val="nil"/>
              <w:bottom w:val="nil"/>
              <w:right w:val="nil"/>
            </w:tcBorders>
            <w:shd w:val="clear" w:color="auto" w:fill="auto"/>
            <w:noWrap/>
            <w:vAlign w:val="center"/>
          </w:tcPr>
          <w:p w14:paraId="05D1234E">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2.47</w:t>
            </w:r>
          </w:p>
        </w:tc>
        <w:tc>
          <w:tcPr>
            <w:tcW w:w="1134" w:type="dxa"/>
            <w:tcBorders>
              <w:top w:val="nil"/>
              <w:left w:val="nil"/>
              <w:bottom w:val="nil"/>
              <w:right w:val="nil"/>
            </w:tcBorders>
            <w:shd w:val="clear" w:color="auto" w:fill="auto"/>
            <w:noWrap/>
            <w:vAlign w:val="center"/>
          </w:tcPr>
          <w:p w14:paraId="687D37D5">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40.01</w:t>
            </w:r>
          </w:p>
        </w:tc>
        <w:tc>
          <w:tcPr>
            <w:tcW w:w="901" w:type="dxa"/>
            <w:tcBorders>
              <w:top w:val="nil"/>
              <w:left w:val="nil"/>
              <w:bottom w:val="nil"/>
              <w:right w:val="nil"/>
            </w:tcBorders>
            <w:shd w:val="clear" w:color="auto" w:fill="auto"/>
            <w:noWrap/>
            <w:vAlign w:val="center"/>
          </w:tcPr>
          <w:p w14:paraId="118D1699">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c>
          <w:tcPr>
            <w:tcW w:w="227" w:type="dxa"/>
            <w:tcBorders>
              <w:top w:val="nil"/>
              <w:left w:val="nil"/>
              <w:bottom w:val="nil"/>
              <w:right w:val="nil"/>
            </w:tcBorders>
            <w:shd w:val="clear" w:color="auto" w:fill="auto"/>
            <w:noWrap/>
            <w:vAlign w:val="center"/>
          </w:tcPr>
          <w:p w14:paraId="19F5D0C1">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34" w:type="dxa"/>
            <w:tcBorders>
              <w:top w:val="nil"/>
              <w:left w:val="nil"/>
              <w:bottom w:val="nil"/>
              <w:right w:val="nil"/>
            </w:tcBorders>
            <w:shd w:val="clear" w:color="auto" w:fill="auto"/>
            <w:noWrap/>
            <w:vAlign w:val="center"/>
          </w:tcPr>
          <w:p w14:paraId="5FC62142">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61.62</w:t>
            </w:r>
          </w:p>
        </w:tc>
        <w:tc>
          <w:tcPr>
            <w:tcW w:w="1134" w:type="dxa"/>
            <w:tcBorders>
              <w:top w:val="nil"/>
              <w:left w:val="nil"/>
              <w:bottom w:val="nil"/>
              <w:right w:val="nil"/>
            </w:tcBorders>
            <w:shd w:val="clear" w:color="auto" w:fill="auto"/>
            <w:noWrap/>
            <w:vAlign w:val="center"/>
          </w:tcPr>
          <w:p w14:paraId="267E441B">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91.38</w:t>
            </w:r>
          </w:p>
        </w:tc>
        <w:tc>
          <w:tcPr>
            <w:tcW w:w="901" w:type="dxa"/>
            <w:tcBorders>
              <w:top w:val="nil"/>
              <w:left w:val="nil"/>
              <w:bottom w:val="nil"/>
              <w:right w:val="nil"/>
            </w:tcBorders>
            <w:shd w:val="clear" w:color="auto" w:fill="auto"/>
            <w:noWrap/>
            <w:vAlign w:val="center"/>
          </w:tcPr>
          <w:p w14:paraId="4AD6E3A4">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r>
      <w:tr w14:paraId="2F483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4139" w:type="dxa"/>
            <w:tcBorders>
              <w:top w:val="nil"/>
              <w:left w:val="nil"/>
              <w:bottom w:val="nil"/>
              <w:right w:val="nil"/>
            </w:tcBorders>
            <w:shd w:val="clear" w:color="auto" w:fill="auto"/>
            <w:noWrap/>
            <w:vAlign w:val="bottom"/>
          </w:tcPr>
          <w:p w14:paraId="1869EF9F">
            <w:pPr>
              <w:keepNext w:val="0"/>
              <w:keepLines w:val="0"/>
              <w:widowControl/>
              <w:suppressLineNumbers w:val="0"/>
              <w:spacing w:line="240" w:lineRule="auto"/>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 xml:space="preserve">STD2: </w:t>
            </w:r>
            <w:r>
              <w:rPr>
                <w:rStyle w:val="42"/>
                <w:rFonts w:hint="default" w:ascii="Times New Roman" w:hAnsi="Times New Roman" w:eastAsia="宋体" w:cs="Times New Roman"/>
                <w:color w:val="auto"/>
                <w:lang w:val="en-US" w:eastAsia="zh-CN" w:bidi="ar"/>
                <w14:ligatures w14:val="standardContextual"/>
              </w:rPr>
              <w:t>≥102 cm in males and ≥88 cm in females</w:t>
            </w:r>
          </w:p>
        </w:tc>
        <w:tc>
          <w:tcPr>
            <w:tcW w:w="1134" w:type="dxa"/>
            <w:tcBorders>
              <w:top w:val="nil"/>
              <w:left w:val="nil"/>
              <w:bottom w:val="nil"/>
              <w:right w:val="nil"/>
            </w:tcBorders>
            <w:shd w:val="clear" w:color="auto" w:fill="auto"/>
            <w:noWrap/>
            <w:vAlign w:val="center"/>
          </w:tcPr>
          <w:p w14:paraId="2E657636">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0.00</w:t>
            </w:r>
          </w:p>
        </w:tc>
        <w:tc>
          <w:tcPr>
            <w:tcW w:w="1134" w:type="dxa"/>
            <w:tcBorders>
              <w:top w:val="nil"/>
              <w:left w:val="nil"/>
              <w:bottom w:val="nil"/>
              <w:right w:val="nil"/>
            </w:tcBorders>
            <w:shd w:val="clear" w:color="auto" w:fill="auto"/>
            <w:noWrap/>
            <w:vAlign w:val="center"/>
          </w:tcPr>
          <w:p w14:paraId="7E0FE28D">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2.08</w:t>
            </w:r>
          </w:p>
        </w:tc>
        <w:tc>
          <w:tcPr>
            <w:tcW w:w="901" w:type="dxa"/>
            <w:tcBorders>
              <w:top w:val="nil"/>
              <w:left w:val="nil"/>
              <w:bottom w:val="nil"/>
              <w:right w:val="nil"/>
            </w:tcBorders>
            <w:shd w:val="clear" w:color="auto" w:fill="auto"/>
            <w:noWrap/>
            <w:vAlign w:val="center"/>
          </w:tcPr>
          <w:p w14:paraId="27660D1A">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c>
          <w:tcPr>
            <w:tcW w:w="240" w:type="dxa"/>
            <w:tcBorders>
              <w:top w:val="nil"/>
              <w:left w:val="nil"/>
              <w:bottom w:val="nil"/>
              <w:right w:val="nil"/>
            </w:tcBorders>
            <w:shd w:val="clear" w:color="auto" w:fill="auto"/>
            <w:noWrap/>
            <w:vAlign w:val="center"/>
          </w:tcPr>
          <w:p w14:paraId="07EBAB3D">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21" w:type="dxa"/>
            <w:tcBorders>
              <w:top w:val="nil"/>
              <w:left w:val="nil"/>
              <w:bottom w:val="nil"/>
              <w:right w:val="nil"/>
            </w:tcBorders>
            <w:shd w:val="clear" w:color="auto" w:fill="auto"/>
            <w:noWrap/>
            <w:vAlign w:val="center"/>
          </w:tcPr>
          <w:p w14:paraId="4B53E36A">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2.15</w:t>
            </w:r>
          </w:p>
        </w:tc>
        <w:tc>
          <w:tcPr>
            <w:tcW w:w="1134" w:type="dxa"/>
            <w:tcBorders>
              <w:top w:val="nil"/>
              <w:left w:val="nil"/>
              <w:bottom w:val="nil"/>
              <w:right w:val="nil"/>
            </w:tcBorders>
            <w:shd w:val="clear" w:color="auto" w:fill="auto"/>
            <w:noWrap/>
            <w:vAlign w:val="center"/>
          </w:tcPr>
          <w:p w14:paraId="372F549E">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40.01</w:t>
            </w:r>
          </w:p>
        </w:tc>
        <w:tc>
          <w:tcPr>
            <w:tcW w:w="901" w:type="dxa"/>
            <w:tcBorders>
              <w:top w:val="nil"/>
              <w:left w:val="nil"/>
              <w:bottom w:val="nil"/>
              <w:right w:val="nil"/>
            </w:tcBorders>
            <w:shd w:val="clear" w:color="auto" w:fill="auto"/>
            <w:noWrap/>
            <w:vAlign w:val="center"/>
          </w:tcPr>
          <w:p w14:paraId="31B7AD8D">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c>
          <w:tcPr>
            <w:tcW w:w="227" w:type="dxa"/>
            <w:tcBorders>
              <w:top w:val="nil"/>
              <w:left w:val="nil"/>
              <w:bottom w:val="nil"/>
              <w:right w:val="nil"/>
            </w:tcBorders>
            <w:shd w:val="clear" w:color="auto" w:fill="auto"/>
            <w:noWrap/>
            <w:vAlign w:val="center"/>
          </w:tcPr>
          <w:p w14:paraId="15597B24">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34" w:type="dxa"/>
            <w:tcBorders>
              <w:top w:val="nil"/>
              <w:left w:val="nil"/>
              <w:bottom w:val="nil"/>
              <w:right w:val="nil"/>
            </w:tcBorders>
            <w:shd w:val="clear" w:color="auto" w:fill="auto"/>
            <w:noWrap/>
            <w:vAlign w:val="center"/>
          </w:tcPr>
          <w:p w14:paraId="0C8D7EFE">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58.25</w:t>
            </w:r>
          </w:p>
        </w:tc>
        <w:tc>
          <w:tcPr>
            <w:tcW w:w="1134" w:type="dxa"/>
            <w:tcBorders>
              <w:top w:val="nil"/>
              <w:left w:val="nil"/>
              <w:bottom w:val="nil"/>
              <w:right w:val="nil"/>
            </w:tcBorders>
            <w:shd w:val="clear" w:color="auto" w:fill="auto"/>
            <w:noWrap/>
            <w:vAlign w:val="center"/>
          </w:tcPr>
          <w:p w14:paraId="78B2CDE7">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91.38</w:t>
            </w:r>
          </w:p>
        </w:tc>
        <w:tc>
          <w:tcPr>
            <w:tcW w:w="901" w:type="dxa"/>
            <w:tcBorders>
              <w:top w:val="nil"/>
              <w:left w:val="nil"/>
              <w:bottom w:val="nil"/>
              <w:right w:val="nil"/>
            </w:tcBorders>
            <w:shd w:val="clear" w:color="auto" w:fill="auto"/>
            <w:noWrap/>
            <w:vAlign w:val="center"/>
          </w:tcPr>
          <w:p w14:paraId="1DC1DF7C">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r>
      <w:tr w14:paraId="1CFB1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4139" w:type="dxa"/>
            <w:tcBorders>
              <w:top w:val="nil"/>
              <w:left w:val="nil"/>
              <w:bottom w:val="nil"/>
              <w:right w:val="nil"/>
            </w:tcBorders>
            <w:shd w:val="clear" w:color="auto" w:fill="auto"/>
            <w:noWrap/>
            <w:vAlign w:val="bottom"/>
          </w:tcPr>
          <w:p w14:paraId="69C97BD9">
            <w:pPr>
              <w:keepNext w:val="0"/>
              <w:keepLines w:val="0"/>
              <w:widowControl/>
              <w:suppressLineNumbers w:val="0"/>
              <w:spacing w:line="240" w:lineRule="auto"/>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 xml:space="preserve">STD3: </w:t>
            </w:r>
            <w:r>
              <w:rPr>
                <w:rStyle w:val="42"/>
                <w:rFonts w:hint="default" w:ascii="Times New Roman" w:hAnsi="Times New Roman" w:eastAsia="宋体" w:cs="Times New Roman"/>
                <w:color w:val="auto"/>
                <w:lang w:val="en-US" w:eastAsia="zh-CN" w:bidi="ar"/>
                <w14:ligatures w14:val="standardContextual"/>
              </w:rPr>
              <w:t>≥94 cm in males and ≥80 cm in females</w:t>
            </w:r>
          </w:p>
        </w:tc>
        <w:tc>
          <w:tcPr>
            <w:tcW w:w="1134" w:type="dxa"/>
            <w:tcBorders>
              <w:top w:val="nil"/>
              <w:left w:val="nil"/>
              <w:bottom w:val="nil"/>
              <w:right w:val="nil"/>
            </w:tcBorders>
            <w:shd w:val="clear" w:color="auto" w:fill="auto"/>
            <w:noWrap/>
            <w:vAlign w:val="center"/>
          </w:tcPr>
          <w:p w14:paraId="7B378008">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0.47</w:t>
            </w:r>
          </w:p>
        </w:tc>
        <w:tc>
          <w:tcPr>
            <w:tcW w:w="1134" w:type="dxa"/>
            <w:tcBorders>
              <w:top w:val="nil"/>
              <w:left w:val="nil"/>
              <w:bottom w:val="nil"/>
              <w:right w:val="nil"/>
            </w:tcBorders>
            <w:shd w:val="clear" w:color="auto" w:fill="auto"/>
            <w:noWrap/>
            <w:vAlign w:val="center"/>
          </w:tcPr>
          <w:p w14:paraId="5BC10106">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15.87</w:t>
            </w:r>
          </w:p>
        </w:tc>
        <w:tc>
          <w:tcPr>
            <w:tcW w:w="901" w:type="dxa"/>
            <w:tcBorders>
              <w:top w:val="nil"/>
              <w:left w:val="nil"/>
              <w:bottom w:val="nil"/>
              <w:right w:val="nil"/>
            </w:tcBorders>
            <w:shd w:val="clear" w:color="auto" w:fill="auto"/>
            <w:noWrap/>
            <w:vAlign w:val="center"/>
          </w:tcPr>
          <w:p w14:paraId="7D641935">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c>
          <w:tcPr>
            <w:tcW w:w="240" w:type="dxa"/>
            <w:tcBorders>
              <w:top w:val="nil"/>
              <w:left w:val="nil"/>
              <w:bottom w:val="nil"/>
              <w:right w:val="nil"/>
            </w:tcBorders>
            <w:shd w:val="clear" w:color="auto" w:fill="auto"/>
            <w:noWrap/>
            <w:vAlign w:val="center"/>
          </w:tcPr>
          <w:p w14:paraId="07F0CE41">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21" w:type="dxa"/>
            <w:tcBorders>
              <w:top w:val="nil"/>
              <w:left w:val="nil"/>
              <w:bottom w:val="nil"/>
              <w:right w:val="nil"/>
            </w:tcBorders>
            <w:shd w:val="clear" w:color="auto" w:fill="auto"/>
            <w:noWrap/>
            <w:vAlign w:val="center"/>
          </w:tcPr>
          <w:p w14:paraId="469696A7">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17.08</w:t>
            </w:r>
          </w:p>
        </w:tc>
        <w:tc>
          <w:tcPr>
            <w:tcW w:w="1134" w:type="dxa"/>
            <w:tcBorders>
              <w:top w:val="nil"/>
              <w:left w:val="nil"/>
              <w:bottom w:val="nil"/>
              <w:right w:val="nil"/>
            </w:tcBorders>
            <w:shd w:val="clear" w:color="auto" w:fill="auto"/>
            <w:noWrap/>
            <w:vAlign w:val="center"/>
          </w:tcPr>
          <w:p w14:paraId="29D0A6AB">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82.38</w:t>
            </w:r>
          </w:p>
        </w:tc>
        <w:tc>
          <w:tcPr>
            <w:tcW w:w="901" w:type="dxa"/>
            <w:tcBorders>
              <w:top w:val="nil"/>
              <w:left w:val="nil"/>
              <w:bottom w:val="nil"/>
              <w:right w:val="nil"/>
            </w:tcBorders>
            <w:shd w:val="clear" w:color="auto" w:fill="auto"/>
            <w:noWrap/>
            <w:vAlign w:val="center"/>
          </w:tcPr>
          <w:p w14:paraId="1C792636">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c>
          <w:tcPr>
            <w:tcW w:w="227" w:type="dxa"/>
            <w:tcBorders>
              <w:top w:val="nil"/>
              <w:left w:val="nil"/>
              <w:bottom w:val="nil"/>
              <w:right w:val="nil"/>
            </w:tcBorders>
            <w:shd w:val="clear" w:color="auto" w:fill="auto"/>
            <w:noWrap/>
            <w:vAlign w:val="center"/>
          </w:tcPr>
          <w:p w14:paraId="2F3BB63F">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34" w:type="dxa"/>
            <w:tcBorders>
              <w:top w:val="nil"/>
              <w:left w:val="nil"/>
              <w:bottom w:val="nil"/>
              <w:right w:val="nil"/>
            </w:tcBorders>
            <w:shd w:val="clear" w:color="auto" w:fill="auto"/>
            <w:noWrap/>
            <w:vAlign w:val="center"/>
          </w:tcPr>
          <w:p w14:paraId="3B08E45F">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83.12</w:t>
            </w:r>
          </w:p>
        </w:tc>
        <w:tc>
          <w:tcPr>
            <w:tcW w:w="1134" w:type="dxa"/>
            <w:tcBorders>
              <w:top w:val="nil"/>
              <w:left w:val="nil"/>
              <w:bottom w:val="nil"/>
              <w:right w:val="nil"/>
            </w:tcBorders>
            <w:shd w:val="clear" w:color="auto" w:fill="auto"/>
            <w:noWrap/>
            <w:vAlign w:val="center"/>
          </w:tcPr>
          <w:p w14:paraId="6FFD204C">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99.78</w:t>
            </w:r>
          </w:p>
        </w:tc>
        <w:tc>
          <w:tcPr>
            <w:tcW w:w="901" w:type="dxa"/>
            <w:tcBorders>
              <w:top w:val="nil"/>
              <w:left w:val="nil"/>
              <w:bottom w:val="nil"/>
              <w:right w:val="nil"/>
            </w:tcBorders>
            <w:shd w:val="clear" w:color="auto" w:fill="auto"/>
            <w:noWrap/>
            <w:vAlign w:val="center"/>
          </w:tcPr>
          <w:p w14:paraId="4FEE9AD1">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r>
      <w:tr w14:paraId="60645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4139" w:type="dxa"/>
            <w:tcBorders>
              <w:top w:val="nil"/>
              <w:left w:val="nil"/>
              <w:bottom w:val="nil"/>
              <w:right w:val="nil"/>
            </w:tcBorders>
            <w:shd w:val="clear" w:color="auto" w:fill="D7D7D7"/>
            <w:noWrap/>
            <w:vAlign w:val="bottom"/>
          </w:tcPr>
          <w:p w14:paraId="43393823">
            <w:pPr>
              <w:keepNext w:val="0"/>
              <w:keepLines w:val="0"/>
              <w:widowControl/>
              <w:suppressLineNumbers w:val="0"/>
              <w:spacing w:line="240" w:lineRule="auto"/>
              <w:jc w:val="left"/>
              <w:textAlignment w:val="bottom"/>
              <w:rPr>
                <w:rFonts w:hint="default" w:ascii="Times New Roman" w:hAnsi="Times New Roman" w:cs="Times New Roman"/>
                <w:b/>
                <w:bCs/>
                <w:i w:val="0"/>
                <w:iCs w:val="0"/>
                <w:color w:val="auto"/>
                <w:sz w:val="24"/>
                <w:szCs w:val="24"/>
                <w:u w:val="none"/>
                <w:lang w:val="en-US"/>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Blood pressure</w:t>
            </w:r>
          </w:p>
        </w:tc>
        <w:tc>
          <w:tcPr>
            <w:tcW w:w="1134" w:type="dxa"/>
            <w:tcBorders>
              <w:top w:val="nil"/>
              <w:left w:val="nil"/>
              <w:bottom w:val="nil"/>
              <w:right w:val="nil"/>
            </w:tcBorders>
            <w:shd w:val="clear" w:color="auto" w:fill="D7D7D7"/>
            <w:noWrap/>
            <w:vAlign w:val="center"/>
          </w:tcPr>
          <w:p w14:paraId="42AD8788">
            <w:pPr>
              <w:spacing w:line="240" w:lineRule="auto"/>
              <w:jc w:val="center"/>
              <w:rPr>
                <w:rFonts w:hint="default" w:ascii="Times New Roman" w:hAnsi="Times New Roman" w:cs="Times New Roman"/>
                <w:b/>
                <w:bCs/>
                <w:i w:val="0"/>
                <w:iCs w:val="0"/>
                <w:color w:val="auto"/>
                <w:sz w:val="24"/>
                <w:szCs w:val="24"/>
                <w:u w:val="none"/>
              </w:rPr>
            </w:pPr>
          </w:p>
        </w:tc>
        <w:tc>
          <w:tcPr>
            <w:tcW w:w="1134" w:type="dxa"/>
            <w:tcBorders>
              <w:top w:val="nil"/>
              <w:left w:val="nil"/>
              <w:bottom w:val="nil"/>
              <w:right w:val="nil"/>
            </w:tcBorders>
            <w:shd w:val="clear" w:color="auto" w:fill="D7D7D7"/>
            <w:noWrap/>
            <w:vAlign w:val="center"/>
          </w:tcPr>
          <w:p w14:paraId="37E7E6EF">
            <w:pPr>
              <w:spacing w:line="240" w:lineRule="auto"/>
              <w:jc w:val="center"/>
              <w:rPr>
                <w:rFonts w:hint="default" w:ascii="Times New Roman" w:hAnsi="Times New Roman" w:cs="Times New Roman"/>
                <w:b/>
                <w:bCs/>
                <w:i w:val="0"/>
                <w:iCs w:val="0"/>
                <w:color w:val="auto"/>
                <w:sz w:val="24"/>
                <w:szCs w:val="24"/>
                <w:u w:val="none"/>
              </w:rPr>
            </w:pPr>
          </w:p>
        </w:tc>
        <w:tc>
          <w:tcPr>
            <w:tcW w:w="901" w:type="dxa"/>
            <w:tcBorders>
              <w:top w:val="nil"/>
              <w:left w:val="nil"/>
              <w:bottom w:val="nil"/>
              <w:right w:val="nil"/>
            </w:tcBorders>
            <w:shd w:val="clear" w:color="auto" w:fill="D7D7D7"/>
            <w:noWrap/>
            <w:vAlign w:val="center"/>
          </w:tcPr>
          <w:p w14:paraId="37E5B773">
            <w:pPr>
              <w:spacing w:line="240" w:lineRule="auto"/>
              <w:jc w:val="center"/>
              <w:rPr>
                <w:rFonts w:hint="default" w:ascii="Times New Roman" w:hAnsi="Times New Roman" w:cs="Times New Roman"/>
                <w:b/>
                <w:bCs/>
                <w:i w:val="0"/>
                <w:iCs w:val="0"/>
                <w:color w:val="auto"/>
                <w:sz w:val="24"/>
                <w:szCs w:val="24"/>
                <w:u w:val="none"/>
              </w:rPr>
            </w:pPr>
          </w:p>
        </w:tc>
        <w:tc>
          <w:tcPr>
            <w:tcW w:w="240" w:type="dxa"/>
            <w:tcBorders>
              <w:top w:val="nil"/>
              <w:left w:val="nil"/>
              <w:bottom w:val="nil"/>
              <w:right w:val="nil"/>
            </w:tcBorders>
            <w:shd w:val="clear" w:color="auto" w:fill="D7D7D7"/>
            <w:noWrap/>
            <w:vAlign w:val="center"/>
          </w:tcPr>
          <w:p w14:paraId="4A5AFA1E">
            <w:pPr>
              <w:spacing w:line="240" w:lineRule="auto"/>
              <w:jc w:val="center"/>
              <w:rPr>
                <w:rFonts w:hint="default" w:ascii="Times New Roman" w:hAnsi="Times New Roman" w:cs="Times New Roman"/>
                <w:b/>
                <w:bCs/>
                <w:i w:val="0"/>
                <w:iCs w:val="0"/>
                <w:color w:val="auto"/>
                <w:sz w:val="24"/>
                <w:szCs w:val="24"/>
                <w:u w:val="none"/>
              </w:rPr>
            </w:pPr>
          </w:p>
        </w:tc>
        <w:tc>
          <w:tcPr>
            <w:tcW w:w="1121" w:type="dxa"/>
            <w:tcBorders>
              <w:top w:val="nil"/>
              <w:left w:val="nil"/>
              <w:bottom w:val="nil"/>
              <w:right w:val="nil"/>
            </w:tcBorders>
            <w:shd w:val="clear" w:color="auto" w:fill="D7D7D7"/>
            <w:noWrap/>
            <w:vAlign w:val="center"/>
          </w:tcPr>
          <w:p w14:paraId="458D5516">
            <w:pPr>
              <w:spacing w:line="240" w:lineRule="auto"/>
              <w:jc w:val="center"/>
              <w:rPr>
                <w:rFonts w:hint="default" w:ascii="Times New Roman" w:hAnsi="Times New Roman" w:cs="Times New Roman"/>
                <w:b/>
                <w:bCs/>
                <w:i w:val="0"/>
                <w:iCs w:val="0"/>
                <w:color w:val="auto"/>
                <w:sz w:val="24"/>
                <w:szCs w:val="24"/>
                <w:u w:val="none"/>
              </w:rPr>
            </w:pPr>
          </w:p>
        </w:tc>
        <w:tc>
          <w:tcPr>
            <w:tcW w:w="1134" w:type="dxa"/>
            <w:tcBorders>
              <w:top w:val="nil"/>
              <w:left w:val="nil"/>
              <w:bottom w:val="nil"/>
              <w:right w:val="nil"/>
            </w:tcBorders>
            <w:shd w:val="clear" w:color="auto" w:fill="D7D7D7"/>
            <w:noWrap/>
            <w:vAlign w:val="center"/>
          </w:tcPr>
          <w:p w14:paraId="4E6AF142">
            <w:pPr>
              <w:spacing w:line="240" w:lineRule="auto"/>
              <w:jc w:val="center"/>
              <w:rPr>
                <w:rFonts w:hint="default" w:ascii="Times New Roman" w:hAnsi="Times New Roman" w:cs="Times New Roman"/>
                <w:b/>
                <w:bCs/>
                <w:i w:val="0"/>
                <w:iCs w:val="0"/>
                <w:color w:val="auto"/>
                <w:sz w:val="24"/>
                <w:szCs w:val="24"/>
                <w:u w:val="none"/>
              </w:rPr>
            </w:pPr>
          </w:p>
        </w:tc>
        <w:tc>
          <w:tcPr>
            <w:tcW w:w="901" w:type="dxa"/>
            <w:tcBorders>
              <w:top w:val="nil"/>
              <w:left w:val="nil"/>
              <w:bottom w:val="nil"/>
              <w:right w:val="nil"/>
            </w:tcBorders>
            <w:shd w:val="clear" w:color="auto" w:fill="D7D7D7"/>
            <w:noWrap/>
            <w:vAlign w:val="center"/>
          </w:tcPr>
          <w:p w14:paraId="5901EBF4">
            <w:pPr>
              <w:spacing w:line="240" w:lineRule="auto"/>
              <w:jc w:val="center"/>
              <w:rPr>
                <w:rFonts w:hint="default" w:ascii="Times New Roman" w:hAnsi="Times New Roman" w:cs="Times New Roman"/>
                <w:b/>
                <w:bCs/>
                <w:i w:val="0"/>
                <w:iCs w:val="0"/>
                <w:color w:val="auto"/>
                <w:sz w:val="24"/>
                <w:szCs w:val="24"/>
                <w:u w:val="none"/>
              </w:rPr>
            </w:pPr>
          </w:p>
        </w:tc>
        <w:tc>
          <w:tcPr>
            <w:tcW w:w="227" w:type="dxa"/>
            <w:tcBorders>
              <w:top w:val="nil"/>
              <w:left w:val="nil"/>
              <w:bottom w:val="nil"/>
              <w:right w:val="nil"/>
            </w:tcBorders>
            <w:shd w:val="clear" w:color="auto" w:fill="D7D7D7"/>
            <w:noWrap/>
            <w:vAlign w:val="center"/>
          </w:tcPr>
          <w:p w14:paraId="3B090B9F">
            <w:pPr>
              <w:spacing w:line="240" w:lineRule="auto"/>
              <w:jc w:val="center"/>
              <w:rPr>
                <w:rFonts w:hint="default" w:ascii="Times New Roman" w:hAnsi="Times New Roman" w:cs="Times New Roman"/>
                <w:b/>
                <w:bCs/>
                <w:i w:val="0"/>
                <w:iCs w:val="0"/>
                <w:color w:val="auto"/>
                <w:sz w:val="24"/>
                <w:szCs w:val="24"/>
                <w:u w:val="none"/>
              </w:rPr>
            </w:pPr>
          </w:p>
        </w:tc>
        <w:tc>
          <w:tcPr>
            <w:tcW w:w="1134" w:type="dxa"/>
            <w:tcBorders>
              <w:top w:val="nil"/>
              <w:left w:val="nil"/>
              <w:bottom w:val="nil"/>
              <w:right w:val="nil"/>
            </w:tcBorders>
            <w:shd w:val="clear" w:color="auto" w:fill="D7D7D7"/>
            <w:noWrap/>
            <w:vAlign w:val="center"/>
          </w:tcPr>
          <w:p w14:paraId="42AEB595">
            <w:pPr>
              <w:spacing w:line="240" w:lineRule="auto"/>
              <w:jc w:val="center"/>
              <w:rPr>
                <w:rFonts w:hint="default" w:ascii="Times New Roman" w:hAnsi="Times New Roman" w:cs="Times New Roman"/>
                <w:b/>
                <w:bCs/>
                <w:i w:val="0"/>
                <w:iCs w:val="0"/>
                <w:color w:val="auto"/>
                <w:sz w:val="24"/>
                <w:szCs w:val="24"/>
                <w:u w:val="none"/>
              </w:rPr>
            </w:pPr>
          </w:p>
        </w:tc>
        <w:tc>
          <w:tcPr>
            <w:tcW w:w="1134" w:type="dxa"/>
            <w:tcBorders>
              <w:top w:val="nil"/>
              <w:left w:val="nil"/>
              <w:bottom w:val="nil"/>
              <w:right w:val="nil"/>
            </w:tcBorders>
            <w:shd w:val="clear" w:color="auto" w:fill="D7D7D7"/>
            <w:noWrap/>
            <w:vAlign w:val="center"/>
          </w:tcPr>
          <w:p w14:paraId="23700CE5">
            <w:pPr>
              <w:spacing w:line="240" w:lineRule="auto"/>
              <w:jc w:val="center"/>
              <w:rPr>
                <w:rFonts w:hint="default" w:ascii="Times New Roman" w:hAnsi="Times New Roman" w:cs="Times New Roman"/>
                <w:b/>
                <w:bCs/>
                <w:i w:val="0"/>
                <w:iCs w:val="0"/>
                <w:color w:val="auto"/>
                <w:sz w:val="24"/>
                <w:szCs w:val="24"/>
                <w:u w:val="none"/>
              </w:rPr>
            </w:pPr>
          </w:p>
        </w:tc>
        <w:tc>
          <w:tcPr>
            <w:tcW w:w="901" w:type="dxa"/>
            <w:tcBorders>
              <w:top w:val="nil"/>
              <w:left w:val="nil"/>
              <w:bottom w:val="nil"/>
              <w:right w:val="nil"/>
            </w:tcBorders>
            <w:shd w:val="clear" w:color="auto" w:fill="D7D7D7"/>
            <w:noWrap/>
            <w:vAlign w:val="center"/>
          </w:tcPr>
          <w:p w14:paraId="347AA058">
            <w:pPr>
              <w:spacing w:line="240" w:lineRule="auto"/>
              <w:jc w:val="center"/>
              <w:rPr>
                <w:rFonts w:hint="default" w:ascii="Times New Roman" w:hAnsi="Times New Roman" w:cs="Times New Roman"/>
                <w:b/>
                <w:bCs/>
                <w:i w:val="0"/>
                <w:iCs w:val="0"/>
                <w:color w:val="auto"/>
                <w:sz w:val="24"/>
                <w:szCs w:val="24"/>
                <w:u w:val="none"/>
              </w:rPr>
            </w:pPr>
          </w:p>
        </w:tc>
      </w:tr>
      <w:tr w14:paraId="24B20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4139" w:type="dxa"/>
            <w:tcBorders>
              <w:top w:val="nil"/>
              <w:left w:val="nil"/>
              <w:bottom w:val="nil"/>
              <w:right w:val="nil"/>
            </w:tcBorders>
            <w:shd w:val="clear" w:color="auto" w:fill="auto"/>
            <w:noWrap/>
            <w:vAlign w:val="bottom"/>
          </w:tcPr>
          <w:p w14:paraId="2DDB6105">
            <w:pPr>
              <w:keepNext w:val="0"/>
              <w:keepLines w:val="0"/>
              <w:widowControl/>
              <w:suppressLineNumbers w:val="0"/>
              <w:spacing w:line="240" w:lineRule="auto"/>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 xml:space="preserve">STD1: </w:t>
            </w:r>
            <w:r>
              <w:rPr>
                <w:rStyle w:val="42"/>
                <w:rFonts w:hint="default" w:ascii="Times New Roman" w:hAnsi="Times New Roman" w:eastAsia="宋体" w:cs="Times New Roman"/>
                <w:color w:val="auto"/>
                <w:lang w:val="en-US" w:eastAsia="zh-CN" w:bidi="ar"/>
                <w14:ligatures w14:val="standardContextual"/>
              </w:rPr>
              <w:t>≥130/85 mmHg</w:t>
            </w:r>
          </w:p>
        </w:tc>
        <w:tc>
          <w:tcPr>
            <w:tcW w:w="1134" w:type="dxa"/>
            <w:tcBorders>
              <w:top w:val="nil"/>
              <w:left w:val="nil"/>
              <w:bottom w:val="nil"/>
              <w:right w:val="nil"/>
            </w:tcBorders>
            <w:shd w:val="clear" w:color="auto" w:fill="auto"/>
            <w:noWrap/>
            <w:vAlign w:val="center"/>
          </w:tcPr>
          <w:p w14:paraId="502CA3F1">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3.09</w:t>
            </w:r>
          </w:p>
        </w:tc>
        <w:tc>
          <w:tcPr>
            <w:tcW w:w="1134" w:type="dxa"/>
            <w:tcBorders>
              <w:top w:val="nil"/>
              <w:left w:val="nil"/>
              <w:bottom w:val="nil"/>
              <w:right w:val="nil"/>
            </w:tcBorders>
            <w:shd w:val="clear" w:color="auto" w:fill="auto"/>
            <w:noWrap/>
            <w:vAlign w:val="center"/>
          </w:tcPr>
          <w:p w14:paraId="1238DFC2">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0.34</w:t>
            </w:r>
          </w:p>
        </w:tc>
        <w:tc>
          <w:tcPr>
            <w:tcW w:w="901" w:type="dxa"/>
            <w:tcBorders>
              <w:top w:val="nil"/>
              <w:left w:val="nil"/>
              <w:bottom w:val="nil"/>
              <w:right w:val="nil"/>
            </w:tcBorders>
            <w:shd w:val="clear" w:color="auto" w:fill="auto"/>
            <w:noWrap/>
            <w:vAlign w:val="center"/>
          </w:tcPr>
          <w:p w14:paraId="0872F962">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c>
          <w:tcPr>
            <w:tcW w:w="240" w:type="dxa"/>
            <w:tcBorders>
              <w:top w:val="nil"/>
              <w:left w:val="nil"/>
              <w:bottom w:val="nil"/>
              <w:right w:val="nil"/>
            </w:tcBorders>
            <w:shd w:val="clear" w:color="auto" w:fill="auto"/>
            <w:noWrap/>
            <w:vAlign w:val="center"/>
          </w:tcPr>
          <w:p w14:paraId="3F2A36A0">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21" w:type="dxa"/>
            <w:tcBorders>
              <w:top w:val="nil"/>
              <w:left w:val="nil"/>
              <w:bottom w:val="nil"/>
              <w:right w:val="nil"/>
            </w:tcBorders>
            <w:shd w:val="clear" w:color="auto" w:fill="auto"/>
            <w:noWrap/>
            <w:vAlign w:val="center"/>
          </w:tcPr>
          <w:p w14:paraId="318345AF">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6.84</w:t>
            </w:r>
          </w:p>
        </w:tc>
        <w:tc>
          <w:tcPr>
            <w:tcW w:w="1134" w:type="dxa"/>
            <w:tcBorders>
              <w:top w:val="nil"/>
              <w:left w:val="nil"/>
              <w:bottom w:val="nil"/>
              <w:right w:val="nil"/>
            </w:tcBorders>
            <w:shd w:val="clear" w:color="auto" w:fill="auto"/>
            <w:noWrap/>
            <w:vAlign w:val="center"/>
          </w:tcPr>
          <w:p w14:paraId="666374D3">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0.67</w:t>
            </w:r>
          </w:p>
        </w:tc>
        <w:tc>
          <w:tcPr>
            <w:tcW w:w="901" w:type="dxa"/>
            <w:tcBorders>
              <w:top w:val="nil"/>
              <w:left w:val="nil"/>
              <w:bottom w:val="nil"/>
              <w:right w:val="nil"/>
            </w:tcBorders>
            <w:shd w:val="clear" w:color="auto" w:fill="auto"/>
            <w:noWrap/>
            <w:vAlign w:val="center"/>
          </w:tcPr>
          <w:p w14:paraId="43B4ED7F">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c>
          <w:tcPr>
            <w:tcW w:w="227" w:type="dxa"/>
            <w:tcBorders>
              <w:top w:val="nil"/>
              <w:left w:val="nil"/>
              <w:bottom w:val="nil"/>
              <w:right w:val="nil"/>
            </w:tcBorders>
            <w:shd w:val="clear" w:color="auto" w:fill="auto"/>
            <w:noWrap/>
            <w:vAlign w:val="center"/>
          </w:tcPr>
          <w:p w14:paraId="25C715DD">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34" w:type="dxa"/>
            <w:tcBorders>
              <w:top w:val="nil"/>
              <w:left w:val="nil"/>
              <w:bottom w:val="nil"/>
              <w:right w:val="nil"/>
            </w:tcBorders>
            <w:shd w:val="clear" w:color="auto" w:fill="auto"/>
            <w:noWrap/>
            <w:vAlign w:val="center"/>
          </w:tcPr>
          <w:p w14:paraId="48B89197">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14.40</w:t>
            </w:r>
          </w:p>
        </w:tc>
        <w:tc>
          <w:tcPr>
            <w:tcW w:w="1134" w:type="dxa"/>
            <w:tcBorders>
              <w:top w:val="nil"/>
              <w:left w:val="nil"/>
              <w:bottom w:val="nil"/>
              <w:right w:val="nil"/>
            </w:tcBorders>
            <w:shd w:val="clear" w:color="auto" w:fill="auto"/>
            <w:noWrap/>
            <w:vAlign w:val="center"/>
          </w:tcPr>
          <w:p w14:paraId="09C6C480">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2.96</w:t>
            </w:r>
          </w:p>
        </w:tc>
        <w:tc>
          <w:tcPr>
            <w:tcW w:w="901" w:type="dxa"/>
            <w:tcBorders>
              <w:top w:val="nil"/>
              <w:left w:val="nil"/>
              <w:bottom w:val="nil"/>
              <w:right w:val="nil"/>
            </w:tcBorders>
            <w:shd w:val="clear" w:color="auto" w:fill="auto"/>
            <w:noWrap/>
            <w:vAlign w:val="center"/>
          </w:tcPr>
          <w:p w14:paraId="12718DF3">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r>
      <w:tr w14:paraId="7BD79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4139" w:type="dxa"/>
            <w:tcBorders>
              <w:top w:val="nil"/>
              <w:left w:val="nil"/>
              <w:bottom w:val="nil"/>
              <w:right w:val="nil"/>
            </w:tcBorders>
            <w:shd w:val="clear" w:color="auto" w:fill="auto"/>
            <w:vAlign w:val="bottom"/>
          </w:tcPr>
          <w:p w14:paraId="020DABB8">
            <w:pPr>
              <w:keepNext w:val="0"/>
              <w:keepLines w:val="0"/>
              <w:widowControl/>
              <w:suppressLineNumbers w:val="0"/>
              <w:spacing w:line="240" w:lineRule="auto"/>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STD2: ≤17 years: ≥90th percentile by age, sex, and height; &gt;17 years: ≥130/85 mmHg</w:t>
            </w:r>
          </w:p>
        </w:tc>
        <w:tc>
          <w:tcPr>
            <w:tcW w:w="1134" w:type="dxa"/>
            <w:tcBorders>
              <w:top w:val="nil"/>
              <w:left w:val="nil"/>
              <w:bottom w:val="nil"/>
              <w:right w:val="nil"/>
            </w:tcBorders>
            <w:shd w:val="clear" w:color="auto" w:fill="auto"/>
            <w:noWrap/>
            <w:vAlign w:val="center"/>
          </w:tcPr>
          <w:p w14:paraId="33277B85">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5.86</w:t>
            </w:r>
          </w:p>
        </w:tc>
        <w:tc>
          <w:tcPr>
            <w:tcW w:w="1134" w:type="dxa"/>
            <w:tcBorders>
              <w:top w:val="nil"/>
              <w:left w:val="nil"/>
              <w:bottom w:val="nil"/>
              <w:right w:val="nil"/>
            </w:tcBorders>
            <w:shd w:val="clear" w:color="auto" w:fill="auto"/>
            <w:noWrap/>
            <w:vAlign w:val="center"/>
          </w:tcPr>
          <w:p w14:paraId="36E7C2BD">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4.65</w:t>
            </w:r>
          </w:p>
        </w:tc>
        <w:tc>
          <w:tcPr>
            <w:tcW w:w="901" w:type="dxa"/>
            <w:tcBorders>
              <w:top w:val="nil"/>
              <w:left w:val="nil"/>
              <w:bottom w:val="nil"/>
              <w:right w:val="nil"/>
            </w:tcBorders>
            <w:shd w:val="clear" w:color="auto" w:fill="auto"/>
            <w:noWrap/>
            <w:vAlign w:val="center"/>
          </w:tcPr>
          <w:p w14:paraId="1AEF95FB">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0.215</w:t>
            </w:r>
          </w:p>
        </w:tc>
        <w:tc>
          <w:tcPr>
            <w:tcW w:w="240" w:type="dxa"/>
            <w:tcBorders>
              <w:top w:val="nil"/>
              <w:left w:val="nil"/>
              <w:bottom w:val="nil"/>
              <w:right w:val="nil"/>
            </w:tcBorders>
            <w:shd w:val="clear" w:color="auto" w:fill="auto"/>
            <w:noWrap/>
            <w:vAlign w:val="center"/>
          </w:tcPr>
          <w:p w14:paraId="29C44FBD">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21" w:type="dxa"/>
            <w:tcBorders>
              <w:top w:val="nil"/>
              <w:left w:val="nil"/>
              <w:bottom w:val="nil"/>
              <w:right w:val="nil"/>
            </w:tcBorders>
            <w:shd w:val="clear" w:color="auto" w:fill="auto"/>
            <w:noWrap/>
            <w:vAlign w:val="center"/>
          </w:tcPr>
          <w:p w14:paraId="723255E7">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14.39</w:t>
            </w:r>
          </w:p>
        </w:tc>
        <w:tc>
          <w:tcPr>
            <w:tcW w:w="1134" w:type="dxa"/>
            <w:tcBorders>
              <w:top w:val="nil"/>
              <w:left w:val="nil"/>
              <w:bottom w:val="nil"/>
              <w:right w:val="nil"/>
            </w:tcBorders>
            <w:shd w:val="clear" w:color="auto" w:fill="auto"/>
            <w:noWrap/>
            <w:vAlign w:val="center"/>
          </w:tcPr>
          <w:p w14:paraId="12090B5B">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8.67</w:t>
            </w:r>
          </w:p>
        </w:tc>
        <w:tc>
          <w:tcPr>
            <w:tcW w:w="901" w:type="dxa"/>
            <w:tcBorders>
              <w:top w:val="nil"/>
              <w:left w:val="nil"/>
              <w:bottom w:val="nil"/>
              <w:right w:val="nil"/>
            </w:tcBorders>
            <w:shd w:val="clear" w:color="auto" w:fill="auto"/>
            <w:noWrap/>
            <w:vAlign w:val="center"/>
          </w:tcPr>
          <w:p w14:paraId="09D434B2">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0.041</w:t>
            </w:r>
          </w:p>
        </w:tc>
        <w:tc>
          <w:tcPr>
            <w:tcW w:w="227" w:type="dxa"/>
            <w:tcBorders>
              <w:top w:val="nil"/>
              <w:left w:val="nil"/>
              <w:bottom w:val="nil"/>
              <w:right w:val="nil"/>
            </w:tcBorders>
            <w:shd w:val="clear" w:color="auto" w:fill="auto"/>
            <w:noWrap/>
            <w:vAlign w:val="center"/>
          </w:tcPr>
          <w:p w14:paraId="446C22A7">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34" w:type="dxa"/>
            <w:tcBorders>
              <w:top w:val="nil"/>
              <w:left w:val="nil"/>
              <w:bottom w:val="nil"/>
              <w:right w:val="nil"/>
            </w:tcBorders>
            <w:shd w:val="clear" w:color="auto" w:fill="auto"/>
            <w:noWrap/>
            <w:vAlign w:val="center"/>
          </w:tcPr>
          <w:p w14:paraId="0AB0F19F">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21.08</w:t>
            </w:r>
          </w:p>
        </w:tc>
        <w:tc>
          <w:tcPr>
            <w:tcW w:w="1134" w:type="dxa"/>
            <w:tcBorders>
              <w:top w:val="nil"/>
              <w:left w:val="nil"/>
              <w:bottom w:val="nil"/>
              <w:right w:val="nil"/>
            </w:tcBorders>
            <w:shd w:val="clear" w:color="auto" w:fill="auto"/>
            <w:noWrap/>
            <w:vAlign w:val="center"/>
          </w:tcPr>
          <w:p w14:paraId="5153C347">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12.20</w:t>
            </w:r>
          </w:p>
        </w:tc>
        <w:tc>
          <w:tcPr>
            <w:tcW w:w="901" w:type="dxa"/>
            <w:tcBorders>
              <w:top w:val="nil"/>
              <w:left w:val="nil"/>
              <w:bottom w:val="nil"/>
              <w:right w:val="nil"/>
            </w:tcBorders>
            <w:shd w:val="clear" w:color="auto" w:fill="auto"/>
            <w:noWrap/>
            <w:vAlign w:val="center"/>
          </w:tcPr>
          <w:p w14:paraId="0D02CA90">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0.001</w:t>
            </w:r>
          </w:p>
        </w:tc>
      </w:tr>
      <w:tr w14:paraId="322B6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4139" w:type="dxa"/>
            <w:tcBorders>
              <w:top w:val="nil"/>
              <w:left w:val="nil"/>
              <w:bottom w:val="nil"/>
              <w:right w:val="nil"/>
            </w:tcBorders>
            <w:shd w:val="clear" w:color="auto" w:fill="D7D7D7"/>
            <w:noWrap/>
            <w:vAlign w:val="bottom"/>
          </w:tcPr>
          <w:p w14:paraId="6262F85F">
            <w:pPr>
              <w:keepNext w:val="0"/>
              <w:keepLines w:val="0"/>
              <w:widowControl/>
              <w:suppressLineNumbers w:val="0"/>
              <w:spacing w:line="240" w:lineRule="auto"/>
              <w:jc w:val="left"/>
              <w:textAlignment w:val="bottom"/>
              <w:rPr>
                <w:rFonts w:hint="default" w:ascii="Times New Roman" w:hAnsi="Times New Roman" w:cs="Times New Roman"/>
                <w:b/>
                <w:bCs/>
                <w:i w:val="0"/>
                <w:iCs w:val="0"/>
                <w:color w:val="auto"/>
                <w:sz w:val="24"/>
                <w:szCs w:val="24"/>
                <w:u w:val="none"/>
                <w:lang w:val="en-US"/>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Fasting plasma glucose</w:t>
            </w:r>
          </w:p>
        </w:tc>
        <w:tc>
          <w:tcPr>
            <w:tcW w:w="1134" w:type="dxa"/>
            <w:tcBorders>
              <w:top w:val="nil"/>
              <w:left w:val="nil"/>
              <w:bottom w:val="nil"/>
              <w:right w:val="nil"/>
            </w:tcBorders>
            <w:shd w:val="clear" w:color="auto" w:fill="D7D7D7"/>
            <w:noWrap/>
            <w:vAlign w:val="center"/>
          </w:tcPr>
          <w:p w14:paraId="730BBC0B">
            <w:pPr>
              <w:spacing w:line="240" w:lineRule="auto"/>
              <w:jc w:val="center"/>
              <w:rPr>
                <w:rFonts w:hint="default" w:ascii="Times New Roman" w:hAnsi="Times New Roman" w:cs="Times New Roman"/>
                <w:b/>
                <w:bCs/>
                <w:i w:val="0"/>
                <w:iCs w:val="0"/>
                <w:color w:val="auto"/>
                <w:sz w:val="24"/>
                <w:szCs w:val="24"/>
                <w:u w:val="none"/>
              </w:rPr>
            </w:pPr>
          </w:p>
        </w:tc>
        <w:tc>
          <w:tcPr>
            <w:tcW w:w="1134" w:type="dxa"/>
            <w:tcBorders>
              <w:top w:val="nil"/>
              <w:left w:val="nil"/>
              <w:bottom w:val="nil"/>
              <w:right w:val="nil"/>
            </w:tcBorders>
            <w:shd w:val="clear" w:color="auto" w:fill="D7D7D7"/>
            <w:noWrap/>
            <w:vAlign w:val="center"/>
          </w:tcPr>
          <w:p w14:paraId="0150ED2C">
            <w:pPr>
              <w:spacing w:line="240" w:lineRule="auto"/>
              <w:jc w:val="center"/>
              <w:rPr>
                <w:rFonts w:hint="default" w:ascii="Times New Roman" w:hAnsi="Times New Roman" w:cs="Times New Roman"/>
                <w:b/>
                <w:bCs/>
                <w:i w:val="0"/>
                <w:iCs w:val="0"/>
                <w:color w:val="auto"/>
                <w:sz w:val="24"/>
                <w:szCs w:val="24"/>
                <w:u w:val="none"/>
              </w:rPr>
            </w:pPr>
          </w:p>
        </w:tc>
        <w:tc>
          <w:tcPr>
            <w:tcW w:w="901" w:type="dxa"/>
            <w:tcBorders>
              <w:top w:val="nil"/>
              <w:left w:val="nil"/>
              <w:bottom w:val="nil"/>
              <w:right w:val="nil"/>
            </w:tcBorders>
            <w:shd w:val="clear" w:color="auto" w:fill="D7D7D7"/>
            <w:noWrap/>
            <w:vAlign w:val="center"/>
          </w:tcPr>
          <w:p w14:paraId="381DA347">
            <w:pPr>
              <w:spacing w:line="240" w:lineRule="auto"/>
              <w:jc w:val="center"/>
              <w:rPr>
                <w:rFonts w:hint="default" w:ascii="Times New Roman" w:hAnsi="Times New Roman" w:cs="Times New Roman"/>
                <w:b/>
                <w:bCs/>
                <w:i w:val="0"/>
                <w:iCs w:val="0"/>
                <w:color w:val="auto"/>
                <w:sz w:val="24"/>
                <w:szCs w:val="24"/>
                <w:u w:val="none"/>
              </w:rPr>
            </w:pPr>
          </w:p>
        </w:tc>
        <w:tc>
          <w:tcPr>
            <w:tcW w:w="240" w:type="dxa"/>
            <w:tcBorders>
              <w:top w:val="nil"/>
              <w:left w:val="nil"/>
              <w:bottom w:val="nil"/>
              <w:right w:val="nil"/>
            </w:tcBorders>
            <w:shd w:val="clear" w:color="auto" w:fill="D7D7D7"/>
            <w:noWrap/>
            <w:vAlign w:val="center"/>
          </w:tcPr>
          <w:p w14:paraId="2CCE343E">
            <w:pPr>
              <w:spacing w:line="240" w:lineRule="auto"/>
              <w:jc w:val="center"/>
              <w:rPr>
                <w:rFonts w:hint="default" w:ascii="Times New Roman" w:hAnsi="Times New Roman" w:cs="Times New Roman"/>
                <w:b/>
                <w:bCs/>
                <w:i w:val="0"/>
                <w:iCs w:val="0"/>
                <w:color w:val="auto"/>
                <w:sz w:val="24"/>
                <w:szCs w:val="24"/>
                <w:u w:val="none"/>
              </w:rPr>
            </w:pPr>
          </w:p>
        </w:tc>
        <w:tc>
          <w:tcPr>
            <w:tcW w:w="1121" w:type="dxa"/>
            <w:tcBorders>
              <w:top w:val="nil"/>
              <w:left w:val="nil"/>
              <w:bottom w:val="nil"/>
              <w:right w:val="nil"/>
            </w:tcBorders>
            <w:shd w:val="clear" w:color="auto" w:fill="D7D7D7"/>
            <w:noWrap/>
            <w:vAlign w:val="center"/>
          </w:tcPr>
          <w:p w14:paraId="0C661AA8">
            <w:pPr>
              <w:spacing w:line="240" w:lineRule="auto"/>
              <w:jc w:val="center"/>
              <w:rPr>
                <w:rFonts w:hint="default" w:ascii="Times New Roman" w:hAnsi="Times New Roman" w:cs="Times New Roman"/>
                <w:b/>
                <w:bCs/>
                <w:i w:val="0"/>
                <w:iCs w:val="0"/>
                <w:color w:val="auto"/>
                <w:sz w:val="24"/>
                <w:szCs w:val="24"/>
                <w:u w:val="none"/>
              </w:rPr>
            </w:pPr>
          </w:p>
        </w:tc>
        <w:tc>
          <w:tcPr>
            <w:tcW w:w="1134" w:type="dxa"/>
            <w:tcBorders>
              <w:top w:val="nil"/>
              <w:left w:val="nil"/>
              <w:bottom w:val="nil"/>
              <w:right w:val="nil"/>
            </w:tcBorders>
            <w:shd w:val="clear" w:color="auto" w:fill="D7D7D7"/>
            <w:noWrap/>
            <w:vAlign w:val="center"/>
          </w:tcPr>
          <w:p w14:paraId="4BF56E0E">
            <w:pPr>
              <w:spacing w:line="240" w:lineRule="auto"/>
              <w:jc w:val="center"/>
              <w:rPr>
                <w:rFonts w:hint="default" w:ascii="Times New Roman" w:hAnsi="Times New Roman" w:cs="Times New Roman"/>
                <w:b/>
                <w:bCs/>
                <w:i w:val="0"/>
                <w:iCs w:val="0"/>
                <w:color w:val="auto"/>
                <w:sz w:val="24"/>
                <w:szCs w:val="24"/>
                <w:u w:val="none"/>
              </w:rPr>
            </w:pPr>
          </w:p>
        </w:tc>
        <w:tc>
          <w:tcPr>
            <w:tcW w:w="901" w:type="dxa"/>
            <w:tcBorders>
              <w:top w:val="nil"/>
              <w:left w:val="nil"/>
              <w:bottom w:val="nil"/>
              <w:right w:val="nil"/>
            </w:tcBorders>
            <w:shd w:val="clear" w:color="auto" w:fill="D7D7D7"/>
            <w:noWrap/>
            <w:vAlign w:val="center"/>
          </w:tcPr>
          <w:p w14:paraId="14F27456">
            <w:pPr>
              <w:spacing w:line="240" w:lineRule="auto"/>
              <w:jc w:val="center"/>
              <w:rPr>
                <w:rFonts w:hint="default" w:ascii="Times New Roman" w:hAnsi="Times New Roman" w:cs="Times New Roman"/>
                <w:b/>
                <w:bCs/>
                <w:i w:val="0"/>
                <w:iCs w:val="0"/>
                <w:color w:val="auto"/>
                <w:sz w:val="24"/>
                <w:szCs w:val="24"/>
                <w:u w:val="none"/>
              </w:rPr>
            </w:pPr>
          </w:p>
        </w:tc>
        <w:tc>
          <w:tcPr>
            <w:tcW w:w="227" w:type="dxa"/>
            <w:tcBorders>
              <w:top w:val="nil"/>
              <w:left w:val="nil"/>
              <w:bottom w:val="nil"/>
              <w:right w:val="nil"/>
            </w:tcBorders>
            <w:shd w:val="clear" w:color="auto" w:fill="D7D7D7"/>
            <w:noWrap/>
            <w:vAlign w:val="center"/>
          </w:tcPr>
          <w:p w14:paraId="7BB56ED2">
            <w:pPr>
              <w:spacing w:line="240" w:lineRule="auto"/>
              <w:jc w:val="center"/>
              <w:rPr>
                <w:rFonts w:hint="default" w:ascii="Times New Roman" w:hAnsi="Times New Roman" w:cs="Times New Roman"/>
                <w:b/>
                <w:bCs/>
                <w:i w:val="0"/>
                <w:iCs w:val="0"/>
                <w:color w:val="auto"/>
                <w:sz w:val="24"/>
                <w:szCs w:val="24"/>
                <w:u w:val="none"/>
              </w:rPr>
            </w:pPr>
          </w:p>
        </w:tc>
        <w:tc>
          <w:tcPr>
            <w:tcW w:w="1134" w:type="dxa"/>
            <w:tcBorders>
              <w:top w:val="nil"/>
              <w:left w:val="nil"/>
              <w:bottom w:val="nil"/>
              <w:right w:val="nil"/>
            </w:tcBorders>
            <w:shd w:val="clear" w:color="auto" w:fill="D7D7D7"/>
            <w:noWrap/>
            <w:vAlign w:val="center"/>
          </w:tcPr>
          <w:p w14:paraId="16952F41">
            <w:pPr>
              <w:spacing w:line="240" w:lineRule="auto"/>
              <w:jc w:val="center"/>
              <w:rPr>
                <w:rFonts w:hint="default" w:ascii="Times New Roman" w:hAnsi="Times New Roman" w:cs="Times New Roman"/>
                <w:b/>
                <w:bCs/>
                <w:i w:val="0"/>
                <w:iCs w:val="0"/>
                <w:color w:val="auto"/>
                <w:sz w:val="24"/>
                <w:szCs w:val="24"/>
                <w:u w:val="none"/>
              </w:rPr>
            </w:pPr>
          </w:p>
        </w:tc>
        <w:tc>
          <w:tcPr>
            <w:tcW w:w="1134" w:type="dxa"/>
            <w:tcBorders>
              <w:top w:val="nil"/>
              <w:left w:val="nil"/>
              <w:bottom w:val="nil"/>
              <w:right w:val="nil"/>
            </w:tcBorders>
            <w:shd w:val="clear" w:color="auto" w:fill="D7D7D7"/>
            <w:noWrap/>
            <w:vAlign w:val="center"/>
          </w:tcPr>
          <w:p w14:paraId="1231AAC2">
            <w:pPr>
              <w:spacing w:line="240" w:lineRule="auto"/>
              <w:jc w:val="center"/>
              <w:rPr>
                <w:rFonts w:hint="default" w:ascii="Times New Roman" w:hAnsi="Times New Roman" w:cs="Times New Roman"/>
                <w:b/>
                <w:bCs/>
                <w:i w:val="0"/>
                <w:iCs w:val="0"/>
                <w:color w:val="auto"/>
                <w:sz w:val="24"/>
                <w:szCs w:val="24"/>
                <w:u w:val="none"/>
              </w:rPr>
            </w:pPr>
          </w:p>
        </w:tc>
        <w:tc>
          <w:tcPr>
            <w:tcW w:w="901" w:type="dxa"/>
            <w:tcBorders>
              <w:top w:val="nil"/>
              <w:left w:val="nil"/>
              <w:bottom w:val="nil"/>
              <w:right w:val="nil"/>
            </w:tcBorders>
            <w:shd w:val="clear" w:color="auto" w:fill="D7D7D7"/>
            <w:noWrap/>
            <w:vAlign w:val="center"/>
          </w:tcPr>
          <w:p w14:paraId="7ACE62E9">
            <w:pPr>
              <w:spacing w:line="240" w:lineRule="auto"/>
              <w:jc w:val="center"/>
              <w:rPr>
                <w:rFonts w:hint="default" w:ascii="Times New Roman" w:hAnsi="Times New Roman" w:cs="Times New Roman"/>
                <w:b/>
                <w:bCs/>
                <w:i w:val="0"/>
                <w:iCs w:val="0"/>
                <w:color w:val="auto"/>
                <w:sz w:val="24"/>
                <w:szCs w:val="24"/>
                <w:u w:val="none"/>
              </w:rPr>
            </w:pPr>
          </w:p>
        </w:tc>
      </w:tr>
      <w:tr w14:paraId="5E484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4139" w:type="dxa"/>
            <w:tcBorders>
              <w:top w:val="nil"/>
              <w:left w:val="nil"/>
              <w:bottom w:val="nil"/>
              <w:right w:val="nil"/>
            </w:tcBorders>
            <w:shd w:val="clear" w:color="auto" w:fill="auto"/>
            <w:noWrap/>
            <w:vAlign w:val="bottom"/>
          </w:tcPr>
          <w:p w14:paraId="49E87487">
            <w:pPr>
              <w:keepNext w:val="0"/>
              <w:keepLines w:val="0"/>
              <w:widowControl/>
              <w:suppressLineNumbers w:val="0"/>
              <w:spacing w:line="240" w:lineRule="auto"/>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 xml:space="preserve">STD1: </w:t>
            </w:r>
            <w:r>
              <w:rPr>
                <w:rStyle w:val="42"/>
                <w:rFonts w:hint="default" w:ascii="Times New Roman" w:hAnsi="Times New Roman" w:eastAsia="宋体" w:cs="Times New Roman"/>
                <w:color w:val="auto"/>
                <w:lang w:val="en-US" w:eastAsia="zh-CN" w:bidi="ar"/>
                <w14:ligatures w14:val="standardContextual"/>
              </w:rPr>
              <w:t>≥100 mg/dL</w:t>
            </w:r>
          </w:p>
        </w:tc>
        <w:tc>
          <w:tcPr>
            <w:tcW w:w="1134" w:type="dxa"/>
            <w:tcBorders>
              <w:top w:val="nil"/>
              <w:left w:val="nil"/>
              <w:bottom w:val="nil"/>
              <w:right w:val="nil"/>
            </w:tcBorders>
            <w:shd w:val="clear" w:color="auto" w:fill="auto"/>
            <w:noWrap/>
            <w:vAlign w:val="center"/>
          </w:tcPr>
          <w:p w14:paraId="68F4D3A1">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20.16</w:t>
            </w:r>
          </w:p>
        </w:tc>
        <w:tc>
          <w:tcPr>
            <w:tcW w:w="1134" w:type="dxa"/>
            <w:tcBorders>
              <w:top w:val="nil"/>
              <w:left w:val="nil"/>
              <w:bottom w:val="nil"/>
              <w:right w:val="nil"/>
            </w:tcBorders>
            <w:shd w:val="clear" w:color="auto" w:fill="auto"/>
            <w:noWrap/>
            <w:vAlign w:val="center"/>
          </w:tcPr>
          <w:p w14:paraId="54CC70F4">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8.60</w:t>
            </w:r>
          </w:p>
        </w:tc>
        <w:tc>
          <w:tcPr>
            <w:tcW w:w="901" w:type="dxa"/>
            <w:tcBorders>
              <w:top w:val="nil"/>
              <w:left w:val="nil"/>
              <w:bottom w:val="nil"/>
              <w:right w:val="nil"/>
            </w:tcBorders>
            <w:shd w:val="clear" w:color="auto" w:fill="auto"/>
            <w:noWrap/>
            <w:vAlign w:val="center"/>
          </w:tcPr>
          <w:p w14:paraId="7E7B5E9A">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c>
          <w:tcPr>
            <w:tcW w:w="240" w:type="dxa"/>
            <w:tcBorders>
              <w:top w:val="nil"/>
              <w:left w:val="nil"/>
              <w:bottom w:val="nil"/>
              <w:right w:val="nil"/>
            </w:tcBorders>
            <w:shd w:val="clear" w:color="auto" w:fill="auto"/>
            <w:noWrap/>
            <w:vAlign w:val="center"/>
          </w:tcPr>
          <w:p w14:paraId="1A37EBB3">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21" w:type="dxa"/>
            <w:tcBorders>
              <w:top w:val="nil"/>
              <w:left w:val="nil"/>
              <w:bottom w:val="nil"/>
              <w:right w:val="nil"/>
            </w:tcBorders>
            <w:shd w:val="clear" w:color="auto" w:fill="auto"/>
            <w:noWrap/>
            <w:vAlign w:val="center"/>
          </w:tcPr>
          <w:p w14:paraId="38014095">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21.49</w:t>
            </w:r>
          </w:p>
        </w:tc>
        <w:tc>
          <w:tcPr>
            <w:tcW w:w="1134" w:type="dxa"/>
            <w:tcBorders>
              <w:top w:val="nil"/>
              <w:left w:val="nil"/>
              <w:bottom w:val="nil"/>
              <w:right w:val="nil"/>
            </w:tcBorders>
            <w:shd w:val="clear" w:color="auto" w:fill="auto"/>
            <w:noWrap/>
            <w:vAlign w:val="center"/>
          </w:tcPr>
          <w:p w14:paraId="6D78705E">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9.81</w:t>
            </w:r>
          </w:p>
        </w:tc>
        <w:tc>
          <w:tcPr>
            <w:tcW w:w="901" w:type="dxa"/>
            <w:tcBorders>
              <w:top w:val="nil"/>
              <w:left w:val="nil"/>
              <w:bottom w:val="nil"/>
              <w:right w:val="nil"/>
            </w:tcBorders>
            <w:shd w:val="clear" w:color="auto" w:fill="auto"/>
            <w:noWrap/>
            <w:vAlign w:val="center"/>
          </w:tcPr>
          <w:p w14:paraId="7BDC3E5F">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c>
          <w:tcPr>
            <w:tcW w:w="227" w:type="dxa"/>
            <w:tcBorders>
              <w:top w:val="nil"/>
              <w:left w:val="nil"/>
              <w:bottom w:val="nil"/>
              <w:right w:val="nil"/>
            </w:tcBorders>
            <w:shd w:val="clear" w:color="auto" w:fill="auto"/>
            <w:noWrap/>
            <w:vAlign w:val="center"/>
          </w:tcPr>
          <w:p w14:paraId="0D515290">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34" w:type="dxa"/>
            <w:tcBorders>
              <w:top w:val="nil"/>
              <w:left w:val="nil"/>
              <w:bottom w:val="nil"/>
              <w:right w:val="nil"/>
            </w:tcBorders>
            <w:shd w:val="clear" w:color="auto" w:fill="auto"/>
            <w:noWrap/>
            <w:vAlign w:val="center"/>
          </w:tcPr>
          <w:p w14:paraId="4F5AE396">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32.10</w:t>
            </w:r>
          </w:p>
        </w:tc>
        <w:tc>
          <w:tcPr>
            <w:tcW w:w="1134" w:type="dxa"/>
            <w:tcBorders>
              <w:top w:val="nil"/>
              <w:left w:val="nil"/>
              <w:bottom w:val="nil"/>
              <w:right w:val="nil"/>
            </w:tcBorders>
            <w:shd w:val="clear" w:color="auto" w:fill="auto"/>
            <w:noWrap/>
            <w:vAlign w:val="center"/>
          </w:tcPr>
          <w:p w14:paraId="628B3EB5">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16.81</w:t>
            </w:r>
          </w:p>
        </w:tc>
        <w:tc>
          <w:tcPr>
            <w:tcW w:w="901" w:type="dxa"/>
            <w:tcBorders>
              <w:top w:val="nil"/>
              <w:left w:val="nil"/>
              <w:bottom w:val="nil"/>
              <w:right w:val="nil"/>
            </w:tcBorders>
            <w:shd w:val="clear" w:color="auto" w:fill="auto"/>
            <w:noWrap/>
            <w:vAlign w:val="center"/>
          </w:tcPr>
          <w:p w14:paraId="37147D61">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r>
      <w:tr w14:paraId="5130C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4139" w:type="dxa"/>
            <w:tcBorders>
              <w:top w:val="nil"/>
              <w:left w:val="nil"/>
              <w:bottom w:val="nil"/>
              <w:right w:val="nil"/>
            </w:tcBorders>
            <w:shd w:val="clear" w:color="auto" w:fill="auto"/>
            <w:noWrap/>
            <w:vAlign w:val="bottom"/>
          </w:tcPr>
          <w:p w14:paraId="78F5B35A">
            <w:pPr>
              <w:keepNext w:val="0"/>
              <w:keepLines w:val="0"/>
              <w:widowControl/>
              <w:suppressLineNumbers w:val="0"/>
              <w:spacing w:line="240" w:lineRule="auto"/>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 xml:space="preserve">STD2: </w:t>
            </w:r>
            <w:r>
              <w:rPr>
                <w:rStyle w:val="42"/>
                <w:rFonts w:hint="default" w:ascii="Times New Roman" w:hAnsi="Times New Roman" w:eastAsia="宋体" w:cs="Times New Roman"/>
                <w:color w:val="auto"/>
                <w:lang w:val="en-US" w:eastAsia="zh-CN" w:bidi="ar"/>
                <w14:ligatures w14:val="standardContextual"/>
              </w:rPr>
              <w:t>≥110 mg/dL</w:t>
            </w:r>
          </w:p>
        </w:tc>
        <w:tc>
          <w:tcPr>
            <w:tcW w:w="1134" w:type="dxa"/>
            <w:tcBorders>
              <w:top w:val="nil"/>
              <w:left w:val="nil"/>
              <w:bottom w:val="nil"/>
              <w:right w:val="nil"/>
            </w:tcBorders>
            <w:shd w:val="clear" w:color="auto" w:fill="auto"/>
            <w:noWrap/>
            <w:vAlign w:val="center"/>
          </w:tcPr>
          <w:p w14:paraId="20B1AEFC">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2.20</w:t>
            </w:r>
          </w:p>
        </w:tc>
        <w:tc>
          <w:tcPr>
            <w:tcW w:w="1134" w:type="dxa"/>
            <w:tcBorders>
              <w:top w:val="nil"/>
              <w:left w:val="nil"/>
              <w:bottom w:val="nil"/>
              <w:right w:val="nil"/>
            </w:tcBorders>
            <w:shd w:val="clear" w:color="auto" w:fill="auto"/>
            <w:noWrap/>
            <w:vAlign w:val="center"/>
          </w:tcPr>
          <w:p w14:paraId="49B1786D">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1.12</w:t>
            </w:r>
          </w:p>
        </w:tc>
        <w:tc>
          <w:tcPr>
            <w:tcW w:w="901" w:type="dxa"/>
            <w:tcBorders>
              <w:top w:val="nil"/>
              <w:left w:val="nil"/>
              <w:bottom w:val="nil"/>
              <w:right w:val="nil"/>
            </w:tcBorders>
            <w:shd w:val="clear" w:color="auto" w:fill="auto"/>
            <w:noWrap/>
            <w:vAlign w:val="center"/>
          </w:tcPr>
          <w:p w14:paraId="67F55DE9">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0.067</w:t>
            </w:r>
          </w:p>
        </w:tc>
        <w:tc>
          <w:tcPr>
            <w:tcW w:w="240" w:type="dxa"/>
            <w:tcBorders>
              <w:top w:val="nil"/>
              <w:left w:val="nil"/>
              <w:bottom w:val="nil"/>
              <w:right w:val="nil"/>
            </w:tcBorders>
            <w:shd w:val="clear" w:color="auto" w:fill="auto"/>
            <w:noWrap/>
            <w:vAlign w:val="center"/>
          </w:tcPr>
          <w:p w14:paraId="7AB8A42D">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21" w:type="dxa"/>
            <w:tcBorders>
              <w:top w:val="nil"/>
              <w:left w:val="nil"/>
              <w:bottom w:val="nil"/>
              <w:right w:val="nil"/>
            </w:tcBorders>
            <w:shd w:val="clear" w:color="auto" w:fill="auto"/>
            <w:noWrap/>
            <w:vAlign w:val="center"/>
          </w:tcPr>
          <w:p w14:paraId="53C4F035">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3.54</w:t>
            </w:r>
          </w:p>
        </w:tc>
        <w:tc>
          <w:tcPr>
            <w:tcW w:w="1134" w:type="dxa"/>
            <w:tcBorders>
              <w:top w:val="nil"/>
              <w:left w:val="nil"/>
              <w:bottom w:val="nil"/>
              <w:right w:val="nil"/>
            </w:tcBorders>
            <w:shd w:val="clear" w:color="auto" w:fill="auto"/>
            <w:noWrap/>
            <w:vAlign w:val="center"/>
          </w:tcPr>
          <w:p w14:paraId="374A2125">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1.43</w:t>
            </w:r>
          </w:p>
        </w:tc>
        <w:tc>
          <w:tcPr>
            <w:tcW w:w="901" w:type="dxa"/>
            <w:tcBorders>
              <w:top w:val="nil"/>
              <w:left w:val="nil"/>
              <w:bottom w:val="nil"/>
              <w:right w:val="nil"/>
            </w:tcBorders>
            <w:shd w:val="clear" w:color="auto" w:fill="auto"/>
            <w:noWrap/>
            <w:vAlign w:val="center"/>
          </w:tcPr>
          <w:p w14:paraId="258C0B3D">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0.046</w:t>
            </w:r>
          </w:p>
        </w:tc>
        <w:tc>
          <w:tcPr>
            <w:tcW w:w="227" w:type="dxa"/>
            <w:tcBorders>
              <w:top w:val="nil"/>
              <w:left w:val="nil"/>
              <w:bottom w:val="nil"/>
              <w:right w:val="nil"/>
            </w:tcBorders>
            <w:shd w:val="clear" w:color="auto" w:fill="auto"/>
            <w:noWrap/>
            <w:vAlign w:val="center"/>
          </w:tcPr>
          <w:p w14:paraId="1948BD3A">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34" w:type="dxa"/>
            <w:tcBorders>
              <w:top w:val="nil"/>
              <w:left w:val="nil"/>
              <w:bottom w:val="nil"/>
              <w:right w:val="nil"/>
            </w:tcBorders>
            <w:shd w:val="clear" w:color="auto" w:fill="auto"/>
            <w:noWrap/>
            <w:vAlign w:val="center"/>
          </w:tcPr>
          <w:p w14:paraId="75A71E5C">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4.15</w:t>
            </w:r>
          </w:p>
        </w:tc>
        <w:tc>
          <w:tcPr>
            <w:tcW w:w="1134" w:type="dxa"/>
            <w:tcBorders>
              <w:top w:val="nil"/>
              <w:left w:val="nil"/>
              <w:bottom w:val="nil"/>
              <w:right w:val="nil"/>
            </w:tcBorders>
            <w:shd w:val="clear" w:color="auto" w:fill="auto"/>
            <w:noWrap/>
            <w:vAlign w:val="center"/>
          </w:tcPr>
          <w:p w14:paraId="12A1FF7F">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3.47</w:t>
            </w:r>
          </w:p>
        </w:tc>
        <w:tc>
          <w:tcPr>
            <w:tcW w:w="901" w:type="dxa"/>
            <w:tcBorders>
              <w:top w:val="nil"/>
              <w:left w:val="nil"/>
              <w:bottom w:val="nil"/>
              <w:right w:val="nil"/>
            </w:tcBorders>
            <w:shd w:val="clear" w:color="auto" w:fill="auto"/>
            <w:noWrap/>
            <w:vAlign w:val="center"/>
          </w:tcPr>
          <w:p w14:paraId="5DA8B423">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0.612</w:t>
            </w:r>
          </w:p>
        </w:tc>
      </w:tr>
      <w:tr w14:paraId="1ECB1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4139" w:type="dxa"/>
            <w:tcBorders>
              <w:top w:val="nil"/>
              <w:left w:val="nil"/>
              <w:bottom w:val="nil"/>
              <w:right w:val="nil"/>
            </w:tcBorders>
            <w:shd w:val="clear" w:color="auto" w:fill="D7D7D7"/>
            <w:noWrap/>
            <w:vAlign w:val="bottom"/>
          </w:tcPr>
          <w:p w14:paraId="4F867C23">
            <w:pPr>
              <w:keepNext w:val="0"/>
              <w:keepLines w:val="0"/>
              <w:widowControl/>
              <w:suppressLineNumbers w:val="0"/>
              <w:spacing w:line="240" w:lineRule="auto"/>
              <w:jc w:val="left"/>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Triglycerides</w:t>
            </w:r>
          </w:p>
        </w:tc>
        <w:tc>
          <w:tcPr>
            <w:tcW w:w="1134" w:type="dxa"/>
            <w:tcBorders>
              <w:top w:val="nil"/>
              <w:left w:val="nil"/>
              <w:bottom w:val="nil"/>
              <w:right w:val="nil"/>
            </w:tcBorders>
            <w:shd w:val="clear" w:color="auto" w:fill="D7D7D7"/>
            <w:noWrap/>
            <w:vAlign w:val="center"/>
          </w:tcPr>
          <w:p w14:paraId="4050E8AC">
            <w:pPr>
              <w:spacing w:line="240" w:lineRule="auto"/>
              <w:jc w:val="center"/>
              <w:rPr>
                <w:rFonts w:hint="default" w:ascii="Times New Roman" w:hAnsi="Times New Roman" w:cs="Times New Roman"/>
                <w:b/>
                <w:bCs/>
                <w:i w:val="0"/>
                <w:iCs w:val="0"/>
                <w:color w:val="auto"/>
                <w:sz w:val="24"/>
                <w:szCs w:val="24"/>
                <w:u w:val="none"/>
              </w:rPr>
            </w:pPr>
          </w:p>
        </w:tc>
        <w:tc>
          <w:tcPr>
            <w:tcW w:w="1134" w:type="dxa"/>
            <w:tcBorders>
              <w:top w:val="nil"/>
              <w:left w:val="nil"/>
              <w:bottom w:val="nil"/>
              <w:right w:val="nil"/>
            </w:tcBorders>
            <w:shd w:val="clear" w:color="auto" w:fill="D7D7D7"/>
            <w:noWrap/>
            <w:vAlign w:val="center"/>
          </w:tcPr>
          <w:p w14:paraId="323CD480">
            <w:pPr>
              <w:spacing w:line="240" w:lineRule="auto"/>
              <w:jc w:val="center"/>
              <w:rPr>
                <w:rFonts w:hint="default" w:ascii="Times New Roman" w:hAnsi="Times New Roman" w:cs="Times New Roman"/>
                <w:b/>
                <w:bCs/>
                <w:i w:val="0"/>
                <w:iCs w:val="0"/>
                <w:color w:val="auto"/>
                <w:sz w:val="24"/>
                <w:szCs w:val="24"/>
                <w:u w:val="none"/>
              </w:rPr>
            </w:pPr>
          </w:p>
        </w:tc>
        <w:tc>
          <w:tcPr>
            <w:tcW w:w="901" w:type="dxa"/>
            <w:tcBorders>
              <w:top w:val="nil"/>
              <w:left w:val="nil"/>
              <w:bottom w:val="nil"/>
              <w:right w:val="nil"/>
            </w:tcBorders>
            <w:shd w:val="clear" w:color="auto" w:fill="D7D7D7"/>
            <w:noWrap/>
            <w:vAlign w:val="center"/>
          </w:tcPr>
          <w:p w14:paraId="584E579D">
            <w:pPr>
              <w:spacing w:line="240" w:lineRule="auto"/>
              <w:jc w:val="center"/>
              <w:rPr>
                <w:rFonts w:hint="default" w:ascii="Times New Roman" w:hAnsi="Times New Roman" w:cs="Times New Roman"/>
                <w:b/>
                <w:bCs/>
                <w:i w:val="0"/>
                <w:iCs w:val="0"/>
                <w:color w:val="auto"/>
                <w:sz w:val="24"/>
                <w:szCs w:val="24"/>
                <w:u w:val="none"/>
              </w:rPr>
            </w:pPr>
          </w:p>
        </w:tc>
        <w:tc>
          <w:tcPr>
            <w:tcW w:w="240" w:type="dxa"/>
            <w:tcBorders>
              <w:top w:val="nil"/>
              <w:left w:val="nil"/>
              <w:bottom w:val="nil"/>
              <w:right w:val="nil"/>
            </w:tcBorders>
            <w:shd w:val="clear" w:color="auto" w:fill="D7D7D7"/>
            <w:noWrap/>
            <w:vAlign w:val="center"/>
          </w:tcPr>
          <w:p w14:paraId="5B455DC0">
            <w:pPr>
              <w:spacing w:line="240" w:lineRule="auto"/>
              <w:jc w:val="center"/>
              <w:rPr>
                <w:rFonts w:hint="default" w:ascii="Times New Roman" w:hAnsi="Times New Roman" w:cs="Times New Roman"/>
                <w:b/>
                <w:bCs/>
                <w:i w:val="0"/>
                <w:iCs w:val="0"/>
                <w:color w:val="auto"/>
                <w:sz w:val="24"/>
                <w:szCs w:val="24"/>
                <w:u w:val="none"/>
              </w:rPr>
            </w:pPr>
          </w:p>
        </w:tc>
        <w:tc>
          <w:tcPr>
            <w:tcW w:w="1121" w:type="dxa"/>
            <w:tcBorders>
              <w:top w:val="nil"/>
              <w:left w:val="nil"/>
              <w:bottom w:val="nil"/>
              <w:right w:val="nil"/>
            </w:tcBorders>
            <w:shd w:val="clear" w:color="auto" w:fill="D7D7D7"/>
            <w:noWrap/>
            <w:vAlign w:val="center"/>
          </w:tcPr>
          <w:p w14:paraId="7F651A15">
            <w:pPr>
              <w:spacing w:line="240" w:lineRule="auto"/>
              <w:jc w:val="center"/>
              <w:rPr>
                <w:rFonts w:hint="default" w:ascii="Times New Roman" w:hAnsi="Times New Roman" w:cs="Times New Roman"/>
                <w:b/>
                <w:bCs/>
                <w:i w:val="0"/>
                <w:iCs w:val="0"/>
                <w:color w:val="auto"/>
                <w:sz w:val="24"/>
                <w:szCs w:val="24"/>
                <w:u w:val="none"/>
              </w:rPr>
            </w:pPr>
          </w:p>
        </w:tc>
        <w:tc>
          <w:tcPr>
            <w:tcW w:w="1134" w:type="dxa"/>
            <w:tcBorders>
              <w:top w:val="nil"/>
              <w:left w:val="nil"/>
              <w:bottom w:val="nil"/>
              <w:right w:val="nil"/>
            </w:tcBorders>
            <w:shd w:val="clear" w:color="auto" w:fill="D7D7D7"/>
            <w:noWrap/>
            <w:vAlign w:val="center"/>
          </w:tcPr>
          <w:p w14:paraId="5B7825C5">
            <w:pPr>
              <w:spacing w:line="240" w:lineRule="auto"/>
              <w:jc w:val="center"/>
              <w:rPr>
                <w:rFonts w:hint="default" w:ascii="Times New Roman" w:hAnsi="Times New Roman" w:cs="Times New Roman"/>
                <w:b/>
                <w:bCs/>
                <w:i w:val="0"/>
                <w:iCs w:val="0"/>
                <w:color w:val="auto"/>
                <w:sz w:val="24"/>
                <w:szCs w:val="24"/>
                <w:u w:val="none"/>
              </w:rPr>
            </w:pPr>
          </w:p>
        </w:tc>
        <w:tc>
          <w:tcPr>
            <w:tcW w:w="901" w:type="dxa"/>
            <w:tcBorders>
              <w:top w:val="nil"/>
              <w:left w:val="nil"/>
              <w:bottom w:val="nil"/>
              <w:right w:val="nil"/>
            </w:tcBorders>
            <w:shd w:val="clear" w:color="auto" w:fill="D7D7D7"/>
            <w:noWrap/>
            <w:vAlign w:val="center"/>
          </w:tcPr>
          <w:p w14:paraId="1644E8FB">
            <w:pPr>
              <w:spacing w:line="240" w:lineRule="auto"/>
              <w:jc w:val="center"/>
              <w:rPr>
                <w:rFonts w:hint="default" w:ascii="Times New Roman" w:hAnsi="Times New Roman" w:cs="Times New Roman"/>
                <w:b/>
                <w:bCs/>
                <w:i w:val="0"/>
                <w:iCs w:val="0"/>
                <w:color w:val="auto"/>
                <w:sz w:val="24"/>
                <w:szCs w:val="24"/>
                <w:u w:val="none"/>
              </w:rPr>
            </w:pPr>
          </w:p>
        </w:tc>
        <w:tc>
          <w:tcPr>
            <w:tcW w:w="227" w:type="dxa"/>
            <w:tcBorders>
              <w:top w:val="nil"/>
              <w:left w:val="nil"/>
              <w:bottom w:val="nil"/>
              <w:right w:val="nil"/>
            </w:tcBorders>
            <w:shd w:val="clear" w:color="auto" w:fill="D7D7D7"/>
            <w:noWrap/>
            <w:vAlign w:val="center"/>
          </w:tcPr>
          <w:p w14:paraId="509FBBB1">
            <w:pPr>
              <w:spacing w:line="240" w:lineRule="auto"/>
              <w:jc w:val="center"/>
              <w:rPr>
                <w:rFonts w:hint="default" w:ascii="Times New Roman" w:hAnsi="Times New Roman" w:cs="Times New Roman"/>
                <w:b/>
                <w:bCs/>
                <w:i w:val="0"/>
                <w:iCs w:val="0"/>
                <w:color w:val="auto"/>
                <w:sz w:val="24"/>
                <w:szCs w:val="24"/>
                <w:u w:val="none"/>
              </w:rPr>
            </w:pPr>
          </w:p>
        </w:tc>
        <w:tc>
          <w:tcPr>
            <w:tcW w:w="1134" w:type="dxa"/>
            <w:tcBorders>
              <w:top w:val="nil"/>
              <w:left w:val="nil"/>
              <w:bottom w:val="nil"/>
              <w:right w:val="nil"/>
            </w:tcBorders>
            <w:shd w:val="clear" w:color="auto" w:fill="D7D7D7"/>
            <w:noWrap/>
            <w:vAlign w:val="center"/>
          </w:tcPr>
          <w:p w14:paraId="443FADCD">
            <w:pPr>
              <w:spacing w:line="240" w:lineRule="auto"/>
              <w:jc w:val="center"/>
              <w:rPr>
                <w:rFonts w:hint="default" w:ascii="Times New Roman" w:hAnsi="Times New Roman" w:cs="Times New Roman"/>
                <w:b/>
                <w:bCs/>
                <w:i w:val="0"/>
                <w:iCs w:val="0"/>
                <w:color w:val="auto"/>
                <w:sz w:val="24"/>
                <w:szCs w:val="24"/>
                <w:u w:val="none"/>
              </w:rPr>
            </w:pPr>
          </w:p>
        </w:tc>
        <w:tc>
          <w:tcPr>
            <w:tcW w:w="1134" w:type="dxa"/>
            <w:tcBorders>
              <w:top w:val="nil"/>
              <w:left w:val="nil"/>
              <w:bottom w:val="nil"/>
              <w:right w:val="nil"/>
            </w:tcBorders>
            <w:shd w:val="clear" w:color="auto" w:fill="D7D7D7"/>
            <w:noWrap/>
            <w:vAlign w:val="center"/>
          </w:tcPr>
          <w:p w14:paraId="0896617B">
            <w:pPr>
              <w:spacing w:line="240" w:lineRule="auto"/>
              <w:jc w:val="center"/>
              <w:rPr>
                <w:rFonts w:hint="default" w:ascii="Times New Roman" w:hAnsi="Times New Roman" w:cs="Times New Roman"/>
                <w:b/>
                <w:bCs/>
                <w:i w:val="0"/>
                <w:iCs w:val="0"/>
                <w:color w:val="auto"/>
                <w:sz w:val="24"/>
                <w:szCs w:val="24"/>
                <w:u w:val="none"/>
              </w:rPr>
            </w:pPr>
          </w:p>
        </w:tc>
        <w:tc>
          <w:tcPr>
            <w:tcW w:w="901" w:type="dxa"/>
            <w:tcBorders>
              <w:top w:val="nil"/>
              <w:left w:val="nil"/>
              <w:bottom w:val="nil"/>
              <w:right w:val="nil"/>
            </w:tcBorders>
            <w:shd w:val="clear" w:color="auto" w:fill="D7D7D7"/>
            <w:noWrap/>
            <w:vAlign w:val="center"/>
          </w:tcPr>
          <w:p w14:paraId="0D33CA9E">
            <w:pPr>
              <w:spacing w:line="240" w:lineRule="auto"/>
              <w:jc w:val="center"/>
              <w:rPr>
                <w:rFonts w:hint="default" w:ascii="Times New Roman" w:hAnsi="Times New Roman" w:cs="Times New Roman"/>
                <w:b/>
                <w:bCs/>
                <w:i w:val="0"/>
                <w:iCs w:val="0"/>
                <w:color w:val="auto"/>
                <w:sz w:val="24"/>
                <w:szCs w:val="24"/>
                <w:u w:val="none"/>
              </w:rPr>
            </w:pPr>
          </w:p>
        </w:tc>
      </w:tr>
      <w:tr w14:paraId="22550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139" w:type="dxa"/>
            <w:tcBorders>
              <w:top w:val="nil"/>
              <w:left w:val="nil"/>
              <w:bottom w:val="nil"/>
              <w:right w:val="nil"/>
            </w:tcBorders>
            <w:shd w:val="clear" w:color="auto" w:fill="auto"/>
            <w:noWrap/>
            <w:vAlign w:val="bottom"/>
          </w:tcPr>
          <w:p w14:paraId="60582F01">
            <w:pPr>
              <w:keepNext w:val="0"/>
              <w:keepLines w:val="0"/>
              <w:widowControl/>
              <w:suppressLineNumbers w:val="0"/>
              <w:spacing w:line="240" w:lineRule="auto"/>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 xml:space="preserve">STD1: </w:t>
            </w:r>
            <w:r>
              <w:rPr>
                <w:rStyle w:val="42"/>
                <w:rFonts w:hint="default" w:ascii="Times New Roman" w:hAnsi="Times New Roman" w:eastAsia="宋体" w:cs="Times New Roman"/>
                <w:color w:val="auto"/>
                <w:lang w:val="en-US" w:eastAsia="zh-CN" w:bidi="ar"/>
                <w14:ligatures w14:val="standardContextual"/>
              </w:rPr>
              <w:t>≥150 mg/dL</w:t>
            </w:r>
          </w:p>
        </w:tc>
        <w:tc>
          <w:tcPr>
            <w:tcW w:w="1134" w:type="dxa"/>
            <w:tcBorders>
              <w:top w:val="nil"/>
              <w:left w:val="nil"/>
              <w:bottom w:val="nil"/>
              <w:right w:val="nil"/>
            </w:tcBorders>
            <w:shd w:val="clear" w:color="auto" w:fill="auto"/>
            <w:noWrap/>
            <w:vAlign w:val="center"/>
          </w:tcPr>
          <w:p w14:paraId="6EC4A780">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3.95</w:t>
            </w:r>
          </w:p>
        </w:tc>
        <w:tc>
          <w:tcPr>
            <w:tcW w:w="1134" w:type="dxa"/>
            <w:tcBorders>
              <w:top w:val="nil"/>
              <w:left w:val="nil"/>
              <w:bottom w:val="nil"/>
              <w:right w:val="nil"/>
            </w:tcBorders>
            <w:shd w:val="clear" w:color="auto" w:fill="auto"/>
            <w:noWrap/>
            <w:vAlign w:val="center"/>
          </w:tcPr>
          <w:p w14:paraId="7697EC20">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4.31</w:t>
            </w:r>
          </w:p>
        </w:tc>
        <w:tc>
          <w:tcPr>
            <w:tcW w:w="901" w:type="dxa"/>
            <w:tcBorders>
              <w:top w:val="nil"/>
              <w:left w:val="nil"/>
              <w:bottom w:val="nil"/>
              <w:right w:val="nil"/>
            </w:tcBorders>
            <w:shd w:val="clear" w:color="auto" w:fill="auto"/>
            <w:noWrap/>
            <w:vAlign w:val="center"/>
          </w:tcPr>
          <w:p w14:paraId="4C41BC6C">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0.694</w:t>
            </w:r>
          </w:p>
        </w:tc>
        <w:tc>
          <w:tcPr>
            <w:tcW w:w="240" w:type="dxa"/>
            <w:tcBorders>
              <w:top w:val="nil"/>
              <w:left w:val="nil"/>
              <w:bottom w:val="nil"/>
              <w:right w:val="nil"/>
            </w:tcBorders>
            <w:shd w:val="clear" w:color="auto" w:fill="auto"/>
            <w:noWrap/>
            <w:vAlign w:val="center"/>
          </w:tcPr>
          <w:p w14:paraId="2629D1BB">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21" w:type="dxa"/>
            <w:tcBorders>
              <w:top w:val="nil"/>
              <w:left w:val="nil"/>
              <w:bottom w:val="nil"/>
              <w:right w:val="nil"/>
            </w:tcBorders>
            <w:shd w:val="clear" w:color="auto" w:fill="auto"/>
            <w:noWrap/>
            <w:vAlign w:val="center"/>
          </w:tcPr>
          <w:p w14:paraId="38FE393C">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11.18</w:t>
            </w:r>
          </w:p>
        </w:tc>
        <w:tc>
          <w:tcPr>
            <w:tcW w:w="1134" w:type="dxa"/>
            <w:tcBorders>
              <w:top w:val="nil"/>
              <w:left w:val="nil"/>
              <w:bottom w:val="nil"/>
              <w:right w:val="nil"/>
            </w:tcBorders>
            <w:shd w:val="clear" w:color="auto" w:fill="auto"/>
            <w:noWrap/>
            <w:vAlign w:val="center"/>
          </w:tcPr>
          <w:p w14:paraId="4ED0378D">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6.79</w:t>
            </w:r>
          </w:p>
        </w:tc>
        <w:tc>
          <w:tcPr>
            <w:tcW w:w="901" w:type="dxa"/>
            <w:tcBorders>
              <w:top w:val="nil"/>
              <w:left w:val="nil"/>
              <w:bottom w:val="nil"/>
              <w:right w:val="nil"/>
            </w:tcBorders>
            <w:shd w:val="clear" w:color="auto" w:fill="auto"/>
            <w:noWrap/>
            <w:vAlign w:val="center"/>
          </w:tcPr>
          <w:p w14:paraId="30B6B934">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0.048</w:t>
            </w:r>
          </w:p>
        </w:tc>
        <w:tc>
          <w:tcPr>
            <w:tcW w:w="227" w:type="dxa"/>
            <w:tcBorders>
              <w:top w:val="nil"/>
              <w:left w:val="nil"/>
              <w:bottom w:val="nil"/>
              <w:right w:val="nil"/>
            </w:tcBorders>
            <w:shd w:val="clear" w:color="auto" w:fill="auto"/>
            <w:noWrap/>
            <w:vAlign w:val="center"/>
          </w:tcPr>
          <w:p w14:paraId="2BCF0930">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34" w:type="dxa"/>
            <w:tcBorders>
              <w:top w:val="nil"/>
              <w:left w:val="nil"/>
              <w:bottom w:val="nil"/>
              <w:right w:val="nil"/>
            </w:tcBorders>
            <w:shd w:val="clear" w:color="auto" w:fill="auto"/>
            <w:noWrap/>
            <w:vAlign w:val="center"/>
          </w:tcPr>
          <w:p w14:paraId="7619D592">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22.98</w:t>
            </w:r>
          </w:p>
        </w:tc>
        <w:tc>
          <w:tcPr>
            <w:tcW w:w="1134" w:type="dxa"/>
            <w:tcBorders>
              <w:top w:val="nil"/>
              <w:left w:val="nil"/>
              <w:bottom w:val="nil"/>
              <w:right w:val="nil"/>
            </w:tcBorders>
            <w:shd w:val="clear" w:color="auto" w:fill="auto"/>
            <w:noWrap/>
            <w:vAlign w:val="center"/>
          </w:tcPr>
          <w:p w14:paraId="0B8CD3E9">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12.82</w:t>
            </w:r>
          </w:p>
        </w:tc>
        <w:tc>
          <w:tcPr>
            <w:tcW w:w="901" w:type="dxa"/>
            <w:tcBorders>
              <w:top w:val="nil"/>
              <w:left w:val="nil"/>
              <w:bottom w:val="nil"/>
              <w:right w:val="nil"/>
            </w:tcBorders>
            <w:shd w:val="clear" w:color="auto" w:fill="auto"/>
            <w:noWrap/>
            <w:vAlign w:val="center"/>
          </w:tcPr>
          <w:p w14:paraId="46BE4150">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0.001</w:t>
            </w:r>
          </w:p>
        </w:tc>
      </w:tr>
      <w:tr w14:paraId="4C91E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4139" w:type="dxa"/>
            <w:tcBorders>
              <w:top w:val="nil"/>
              <w:left w:val="nil"/>
              <w:bottom w:val="nil"/>
              <w:right w:val="nil"/>
            </w:tcBorders>
            <w:shd w:val="clear" w:color="auto" w:fill="auto"/>
            <w:noWrap/>
            <w:vAlign w:val="bottom"/>
          </w:tcPr>
          <w:p w14:paraId="581B2F03">
            <w:pPr>
              <w:keepNext w:val="0"/>
              <w:keepLines w:val="0"/>
              <w:widowControl/>
              <w:suppressLineNumbers w:val="0"/>
              <w:spacing w:line="240" w:lineRule="auto"/>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 xml:space="preserve">STD2: </w:t>
            </w:r>
            <w:r>
              <w:rPr>
                <w:rStyle w:val="42"/>
                <w:rFonts w:hint="default" w:ascii="Times New Roman" w:hAnsi="Times New Roman" w:eastAsia="宋体" w:cs="Times New Roman"/>
                <w:color w:val="auto"/>
                <w:lang w:val="en-US" w:eastAsia="zh-CN" w:bidi="ar"/>
                <w14:ligatures w14:val="standardContextual"/>
              </w:rPr>
              <w:t>≥110 mg/dL</w:t>
            </w:r>
          </w:p>
        </w:tc>
        <w:tc>
          <w:tcPr>
            <w:tcW w:w="1134" w:type="dxa"/>
            <w:tcBorders>
              <w:top w:val="nil"/>
              <w:left w:val="nil"/>
              <w:bottom w:val="nil"/>
              <w:right w:val="nil"/>
            </w:tcBorders>
            <w:shd w:val="clear" w:color="auto" w:fill="auto"/>
            <w:noWrap/>
            <w:vAlign w:val="center"/>
          </w:tcPr>
          <w:p w14:paraId="4E8A4681">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13.25</w:t>
            </w:r>
          </w:p>
        </w:tc>
        <w:tc>
          <w:tcPr>
            <w:tcW w:w="1134" w:type="dxa"/>
            <w:tcBorders>
              <w:top w:val="nil"/>
              <w:left w:val="nil"/>
              <w:bottom w:val="nil"/>
              <w:right w:val="nil"/>
            </w:tcBorders>
            <w:shd w:val="clear" w:color="auto" w:fill="auto"/>
            <w:noWrap/>
            <w:vAlign w:val="center"/>
          </w:tcPr>
          <w:p w14:paraId="5D269884">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12.18</w:t>
            </w:r>
          </w:p>
        </w:tc>
        <w:tc>
          <w:tcPr>
            <w:tcW w:w="901" w:type="dxa"/>
            <w:tcBorders>
              <w:top w:val="nil"/>
              <w:left w:val="nil"/>
              <w:bottom w:val="nil"/>
              <w:right w:val="nil"/>
            </w:tcBorders>
            <w:shd w:val="clear" w:color="auto" w:fill="auto"/>
            <w:noWrap/>
            <w:vAlign w:val="center"/>
          </w:tcPr>
          <w:p w14:paraId="28EA109B">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0.456</w:t>
            </w:r>
          </w:p>
        </w:tc>
        <w:tc>
          <w:tcPr>
            <w:tcW w:w="240" w:type="dxa"/>
            <w:tcBorders>
              <w:top w:val="nil"/>
              <w:left w:val="nil"/>
              <w:bottom w:val="nil"/>
              <w:right w:val="nil"/>
            </w:tcBorders>
            <w:shd w:val="clear" w:color="auto" w:fill="auto"/>
            <w:noWrap/>
            <w:vAlign w:val="center"/>
          </w:tcPr>
          <w:p w14:paraId="4B0E235C">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21" w:type="dxa"/>
            <w:tcBorders>
              <w:top w:val="nil"/>
              <w:left w:val="nil"/>
              <w:bottom w:val="nil"/>
              <w:right w:val="nil"/>
            </w:tcBorders>
            <w:shd w:val="clear" w:color="auto" w:fill="auto"/>
            <w:noWrap/>
            <w:vAlign w:val="center"/>
          </w:tcPr>
          <w:p w14:paraId="1FDFC2EF">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21.18</w:t>
            </w:r>
          </w:p>
        </w:tc>
        <w:tc>
          <w:tcPr>
            <w:tcW w:w="1134" w:type="dxa"/>
            <w:tcBorders>
              <w:top w:val="nil"/>
              <w:left w:val="nil"/>
              <w:bottom w:val="nil"/>
              <w:right w:val="nil"/>
            </w:tcBorders>
            <w:shd w:val="clear" w:color="auto" w:fill="auto"/>
            <w:noWrap/>
            <w:vAlign w:val="center"/>
          </w:tcPr>
          <w:p w14:paraId="539AD04D">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18.96</w:t>
            </w:r>
          </w:p>
        </w:tc>
        <w:tc>
          <w:tcPr>
            <w:tcW w:w="901" w:type="dxa"/>
            <w:tcBorders>
              <w:top w:val="nil"/>
              <w:left w:val="nil"/>
              <w:bottom w:val="nil"/>
              <w:right w:val="nil"/>
            </w:tcBorders>
            <w:shd w:val="clear" w:color="auto" w:fill="auto"/>
            <w:noWrap/>
            <w:vAlign w:val="center"/>
          </w:tcPr>
          <w:p w14:paraId="5E3D5BB0">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0.465</w:t>
            </w:r>
          </w:p>
        </w:tc>
        <w:tc>
          <w:tcPr>
            <w:tcW w:w="227" w:type="dxa"/>
            <w:tcBorders>
              <w:top w:val="nil"/>
              <w:left w:val="nil"/>
              <w:bottom w:val="nil"/>
              <w:right w:val="nil"/>
            </w:tcBorders>
            <w:shd w:val="clear" w:color="auto" w:fill="auto"/>
            <w:noWrap/>
            <w:vAlign w:val="center"/>
          </w:tcPr>
          <w:p w14:paraId="08FF10B8">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34" w:type="dxa"/>
            <w:tcBorders>
              <w:top w:val="nil"/>
              <w:left w:val="nil"/>
              <w:bottom w:val="nil"/>
              <w:right w:val="nil"/>
            </w:tcBorders>
            <w:shd w:val="clear" w:color="auto" w:fill="auto"/>
            <w:noWrap/>
            <w:vAlign w:val="center"/>
          </w:tcPr>
          <w:p w14:paraId="13110FF7">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40.08</w:t>
            </w:r>
          </w:p>
        </w:tc>
        <w:tc>
          <w:tcPr>
            <w:tcW w:w="1134" w:type="dxa"/>
            <w:tcBorders>
              <w:top w:val="nil"/>
              <w:left w:val="nil"/>
              <w:bottom w:val="nil"/>
              <w:right w:val="nil"/>
            </w:tcBorders>
            <w:shd w:val="clear" w:color="auto" w:fill="auto"/>
            <w:noWrap/>
            <w:vAlign w:val="center"/>
          </w:tcPr>
          <w:p w14:paraId="4608FD89">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27.91</w:t>
            </w:r>
          </w:p>
        </w:tc>
        <w:tc>
          <w:tcPr>
            <w:tcW w:w="901" w:type="dxa"/>
            <w:tcBorders>
              <w:top w:val="nil"/>
              <w:left w:val="nil"/>
              <w:bottom w:val="nil"/>
              <w:right w:val="nil"/>
            </w:tcBorders>
            <w:shd w:val="clear" w:color="auto" w:fill="auto"/>
            <w:noWrap/>
            <w:vAlign w:val="center"/>
          </w:tcPr>
          <w:p w14:paraId="3A11E0B0">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0.002</w:t>
            </w:r>
          </w:p>
        </w:tc>
      </w:tr>
      <w:tr w14:paraId="22E40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4139" w:type="dxa"/>
            <w:tcBorders>
              <w:top w:val="nil"/>
              <w:left w:val="nil"/>
              <w:bottom w:val="nil"/>
              <w:right w:val="nil"/>
            </w:tcBorders>
            <w:shd w:val="clear" w:color="auto" w:fill="D7D7D7"/>
            <w:vAlign w:val="bottom"/>
          </w:tcPr>
          <w:p w14:paraId="3A78A9FF">
            <w:pPr>
              <w:keepNext w:val="0"/>
              <w:keepLines w:val="0"/>
              <w:widowControl/>
              <w:suppressLineNumbers w:val="0"/>
              <w:spacing w:line="240" w:lineRule="auto"/>
              <w:jc w:val="left"/>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High-density lipoprotein cholesterol</w:t>
            </w:r>
          </w:p>
        </w:tc>
        <w:tc>
          <w:tcPr>
            <w:tcW w:w="1134" w:type="dxa"/>
            <w:tcBorders>
              <w:top w:val="nil"/>
              <w:left w:val="nil"/>
              <w:bottom w:val="nil"/>
              <w:right w:val="nil"/>
            </w:tcBorders>
            <w:shd w:val="clear" w:color="auto" w:fill="D7D7D7"/>
            <w:noWrap/>
            <w:vAlign w:val="center"/>
          </w:tcPr>
          <w:p w14:paraId="3CB6EB4F">
            <w:pPr>
              <w:spacing w:line="240" w:lineRule="auto"/>
              <w:jc w:val="both"/>
              <w:rPr>
                <w:rFonts w:hint="default" w:ascii="Times New Roman" w:hAnsi="Times New Roman" w:cs="Times New Roman"/>
                <w:b/>
                <w:bCs/>
                <w:i w:val="0"/>
                <w:iCs w:val="0"/>
                <w:color w:val="auto"/>
                <w:sz w:val="24"/>
                <w:szCs w:val="24"/>
                <w:u w:val="none"/>
              </w:rPr>
            </w:pPr>
          </w:p>
        </w:tc>
        <w:tc>
          <w:tcPr>
            <w:tcW w:w="1134" w:type="dxa"/>
            <w:tcBorders>
              <w:top w:val="nil"/>
              <w:left w:val="nil"/>
              <w:bottom w:val="nil"/>
              <w:right w:val="nil"/>
            </w:tcBorders>
            <w:shd w:val="clear" w:color="auto" w:fill="D7D7D7"/>
            <w:noWrap/>
            <w:vAlign w:val="center"/>
          </w:tcPr>
          <w:p w14:paraId="4F78E3E5">
            <w:pPr>
              <w:spacing w:line="240" w:lineRule="auto"/>
              <w:jc w:val="center"/>
              <w:rPr>
                <w:rFonts w:hint="default" w:ascii="Times New Roman" w:hAnsi="Times New Roman" w:cs="Times New Roman"/>
                <w:b/>
                <w:bCs/>
                <w:i w:val="0"/>
                <w:iCs w:val="0"/>
                <w:color w:val="auto"/>
                <w:sz w:val="24"/>
                <w:szCs w:val="24"/>
                <w:u w:val="none"/>
              </w:rPr>
            </w:pPr>
          </w:p>
        </w:tc>
        <w:tc>
          <w:tcPr>
            <w:tcW w:w="901" w:type="dxa"/>
            <w:tcBorders>
              <w:top w:val="nil"/>
              <w:left w:val="nil"/>
              <w:bottom w:val="nil"/>
              <w:right w:val="nil"/>
            </w:tcBorders>
            <w:shd w:val="clear" w:color="auto" w:fill="D7D7D7"/>
            <w:noWrap/>
            <w:vAlign w:val="center"/>
          </w:tcPr>
          <w:p w14:paraId="1F6759F2">
            <w:pPr>
              <w:spacing w:line="240" w:lineRule="auto"/>
              <w:jc w:val="center"/>
              <w:rPr>
                <w:rFonts w:hint="default" w:ascii="Times New Roman" w:hAnsi="Times New Roman" w:cs="Times New Roman"/>
                <w:b/>
                <w:bCs/>
                <w:i w:val="0"/>
                <w:iCs w:val="0"/>
                <w:color w:val="auto"/>
                <w:sz w:val="24"/>
                <w:szCs w:val="24"/>
                <w:u w:val="none"/>
              </w:rPr>
            </w:pPr>
          </w:p>
        </w:tc>
        <w:tc>
          <w:tcPr>
            <w:tcW w:w="240" w:type="dxa"/>
            <w:tcBorders>
              <w:top w:val="nil"/>
              <w:left w:val="nil"/>
              <w:bottom w:val="nil"/>
              <w:right w:val="nil"/>
            </w:tcBorders>
            <w:shd w:val="clear" w:color="auto" w:fill="D7D7D7"/>
            <w:noWrap/>
            <w:vAlign w:val="center"/>
          </w:tcPr>
          <w:p w14:paraId="494DD93B">
            <w:pPr>
              <w:spacing w:line="240" w:lineRule="auto"/>
              <w:jc w:val="center"/>
              <w:rPr>
                <w:rFonts w:hint="default" w:ascii="Times New Roman" w:hAnsi="Times New Roman" w:cs="Times New Roman"/>
                <w:b/>
                <w:bCs/>
                <w:i w:val="0"/>
                <w:iCs w:val="0"/>
                <w:color w:val="auto"/>
                <w:sz w:val="24"/>
                <w:szCs w:val="24"/>
                <w:u w:val="none"/>
              </w:rPr>
            </w:pPr>
          </w:p>
        </w:tc>
        <w:tc>
          <w:tcPr>
            <w:tcW w:w="1121" w:type="dxa"/>
            <w:tcBorders>
              <w:top w:val="nil"/>
              <w:left w:val="nil"/>
              <w:bottom w:val="nil"/>
              <w:right w:val="nil"/>
            </w:tcBorders>
            <w:shd w:val="clear" w:color="auto" w:fill="D7D7D7"/>
            <w:noWrap/>
            <w:vAlign w:val="center"/>
          </w:tcPr>
          <w:p w14:paraId="1C340ABB">
            <w:pPr>
              <w:spacing w:line="240" w:lineRule="auto"/>
              <w:jc w:val="center"/>
              <w:rPr>
                <w:rFonts w:hint="default" w:ascii="Times New Roman" w:hAnsi="Times New Roman" w:cs="Times New Roman"/>
                <w:b/>
                <w:bCs/>
                <w:i w:val="0"/>
                <w:iCs w:val="0"/>
                <w:color w:val="auto"/>
                <w:sz w:val="24"/>
                <w:szCs w:val="24"/>
                <w:u w:val="none"/>
              </w:rPr>
            </w:pPr>
          </w:p>
        </w:tc>
        <w:tc>
          <w:tcPr>
            <w:tcW w:w="1134" w:type="dxa"/>
            <w:tcBorders>
              <w:top w:val="nil"/>
              <w:left w:val="nil"/>
              <w:bottom w:val="nil"/>
              <w:right w:val="nil"/>
            </w:tcBorders>
            <w:shd w:val="clear" w:color="auto" w:fill="D7D7D7"/>
            <w:noWrap/>
            <w:vAlign w:val="center"/>
          </w:tcPr>
          <w:p w14:paraId="7F8AFE04">
            <w:pPr>
              <w:spacing w:line="240" w:lineRule="auto"/>
              <w:jc w:val="center"/>
              <w:rPr>
                <w:rFonts w:hint="default" w:ascii="Times New Roman" w:hAnsi="Times New Roman" w:cs="Times New Roman"/>
                <w:b/>
                <w:bCs/>
                <w:i w:val="0"/>
                <w:iCs w:val="0"/>
                <w:color w:val="auto"/>
                <w:sz w:val="24"/>
                <w:szCs w:val="24"/>
                <w:u w:val="none"/>
              </w:rPr>
            </w:pPr>
          </w:p>
        </w:tc>
        <w:tc>
          <w:tcPr>
            <w:tcW w:w="901" w:type="dxa"/>
            <w:tcBorders>
              <w:top w:val="nil"/>
              <w:left w:val="nil"/>
              <w:bottom w:val="nil"/>
              <w:right w:val="nil"/>
            </w:tcBorders>
            <w:shd w:val="clear" w:color="auto" w:fill="D7D7D7"/>
            <w:noWrap/>
            <w:vAlign w:val="center"/>
          </w:tcPr>
          <w:p w14:paraId="1CDE23D4">
            <w:pPr>
              <w:spacing w:line="240" w:lineRule="auto"/>
              <w:jc w:val="center"/>
              <w:rPr>
                <w:rFonts w:hint="default" w:ascii="Times New Roman" w:hAnsi="Times New Roman" w:cs="Times New Roman"/>
                <w:b/>
                <w:bCs/>
                <w:i w:val="0"/>
                <w:iCs w:val="0"/>
                <w:color w:val="auto"/>
                <w:sz w:val="24"/>
                <w:szCs w:val="24"/>
                <w:u w:val="none"/>
              </w:rPr>
            </w:pPr>
          </w:p>
        </w:tc>
        <w:tc>
          <w:tcPr>
            <w:tcW w:w="227" w:type="dxa"/>
            <w:tcBorders>
              <w:top w:val="nil"/>
              <w:left w:val="nil"/>
              <w:bottom w:val="nil"/>
              <w:right w:val="nil"/>
            </w:tcBorders>
            <w:shd w:val="clear" w:color="auto" w:fill="D7D7D7"/>
            <w:noWrap/>
            <w:vAlign w:val="center"/>
          </w:tcPr>
          <w:p w14:paraId="298C3039">
            <w:pPr>
              <w:spacing w:line="240" w:lineRule="auto"/>
              <w:jc w:val="center"/>
              <w:rPr>
                <w:rFonts w:hint="default" w:ascii="Times New Roman" w:hAnsi="Times New Roman" w:cs="Times New Roman"/>
                <w:b/>
                <w:bCs/>
                <w:i w:val="0"/>
                <w:iCs w:val="0"/>
                <w:color w:val="auto"/>
                <w:sz w:val="24"/>
                <w:szCs w:val="24"/>
                <w:u w:val="none"/>
              </w:rPr>
            </w:pPr>
          </w:p>
        </w:tc>
        <w:tc>
          <w:tcPr>
            <w:tcW w:w="1134" w:type="dxa"/>
            <w:tcBorders>
              <w:top w:val="nil"/>
              <w:left w:val="nil"/>
              <w:bottom w:val="nil"/>
              <w:right w:val="nil"/>
            </w:tcBorders>
            <w:shd w:val="clear" w:color="auto" w:fill="D7D7D7"/>
            <w:noWrap/>
            <w:vAlign w:val="center"/>
          </w:tcPr>
          <w:p w14:paraId="27DAD23A">
            <w:pPr>
              <w:spacing w:line="240" w:lineRule="auto"/>
              <w:jc w:val="center"/>
              <w:rPr>
                <w:rFonts w:hint="default" w:ascii="Times New Roman" w:hAnsi="Times New Roman" w:cs="Times New Roman"/>
                <w:b/>
                <w:bCs/>
                <w:i w:val="0"/>
                <w:iCs w:val="0"/>
                <w:color w:val="auto"/>
                <w:sz w:val="24"/>
                <w:szCs w:val="24"/>
                <w:u w:val="none"/>
              </w:rPr>
            </w:pPr>
          </w:p>
        </w:tc>
        <w:tc>
          <w:tcPr>
            <w:tcW w:w="1134" w:type="dxa"/>
            <w:tcBorders>
              <w:top w:val="nil"/>
              <w:left w:val="nil"/>
              <w:bottom w:val="nil"/>
              <w:right w:val="nil"/>
            </w:tcBorders>
            <w:shd w:val="clear" w:color="auto" w:fill="D7D7D7"/>
            <w:noWrap/>
            <w:vAlign w:val="center"/>
          </w:tcPr>
          <w:p w14:paraId="22005D23">
            <w:pPr>
              <w:spacing w:line="240" w:lineRule="auto"/>
              <w:jc w:val="center"/>
              <w:rPr>
                <w:rFonts w:hint="default" w:ascii="Times New Roman" w:hAnsi="Times New Roman" w:cs="Times New Roman"/>
                <w:b/>
                <w:bCs/>
                <w:i w:val="0"/>
                <w:iCs w:val="0"/>
                <w:color w:val="auto"/>
                <w:sz w:val="24"/>
                <w:szCs w:val="24"/>
                <w:u w:val="none"/>
              </w:rPr>
            </w:pPr>
          </w:p>
        </w:tc>
        <w:tc>
          <w:tcPr>
            <w:tcW w:w="901" w:type="dxa"/>
            <w:tcBorders>
              <w:top w:val="nil"/>
              <w:left w:val="nil"/>
              <w:bottom w:val="nil"/>
              <w:right w:val="nil"/>
            </w:tcBorders>
            <w:shd w:val="clear" w:color="auto" w:fill="D7D7D7"/>
            <w:noWrap/>
            <w:vAlign w:val="center"/>
          </w:tcPr>
          <w:p w14:paraId="19E4F99D">
            <w:pPr>
              <w:spacing w:line="240" w:lineRule="auto"/>
              <w:jc w:val="center"/>
              <w:rPr>
                <w:rFonts w:hint="default" w:ascii="Times New Roman" w:hAnsi="Times New Roman" w:cs="Times New Roman"/>
                <w:b/>
                <w:bCs/>
                <w:i w:val="0"/>
                <w:iCs w:val="0"/>
                <w:color w:val="auto"/>
                <w:sz w:val="24"/>
                <w:szCs w:val="24"/>
                <w:u w:val="none"/>
              </w:rPr>
            </w:pPr>
          </w:p>
        </w:tc>
      </w:tr>
      <w:tr w14:paraId="62913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4139" w:type="dxa"/>
            <w:tcBorders>
              <w:top w:val="nil"/>
              <w:left w:val="nil"/>
              <w:bottom w:val="nil"/>
              <w:right w:val="nil"/>
            </w:tcBorders>
            <w:shd w:val="clear" w:color="auto" w:fill="auto"/>
            <w:vAlign w:val="bottom"/>
          </w:tcPr>
          <w:p w14:paraId="09AA2F37">
            <w:pPr>
              <w:keepNext w:val="0"/>
              <w:keepLines w:val="0"/>
              <w:widowControl/>
              <w:suppressLineNumbers w:val="0"/>
              <w:spacing w:line="240" w:lineRule="auto"/>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 xml:space="preserve">STD1: </w:t>
            </w:r>
            <w:r>
              <w:rPr>
                <w:rStyle w:val="42"/>
                <w:rFonts w:hint="default" w:ascii="Times New Roman" w:hAnsi="Times New Roman" w:eastAsia="宋体" w:cs="Times New Roman"/>
                <w:color w:val="auto"/>
                <w:lang w:val="en-US" w:eastAsia="zh-CN" w:bidi="ar"/>
                <w14:ligatures w14:val="standardContextual"/>
              </w:rPr>
              <w:t>&lt;16 years: &lt;40 mg/dL; ≥16 years: &lt;40 mg/dL in males and &lt;50 mg/dL in females</w:t>
            </w:r>
          </w:p>
        </w:tc>
        <w:tc>
          <w:tcPr>
            <w:tcW w:w="1134" w:type="dxa"/>
            <w:tcBorders>
              <w:top w:val="nil"/>
              <w:left w:val="nil"/>
              <w:bottom w:val="nil"/>
              <w:right w:val="nil"/>
            </w:tcBorders>
            <w:shd w:val="clear" w:color="auto" w:fill="auto"/>
            <w:noWrap/>
            <w:vAlign w:val="center"/>
          </w:tcPr>
          <w:p w14:paraId="79964E38">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11.57</w:t>
            </w:r>
          </w:p>
        </w:tc>
        <w:tc>
          <w:tcPr>
            <w:tcW w:w="1134" w:type="dxa"/>
            <w:tcBorders>
              <w:top w:val="nil"/>
              <w:left w:val="nil"/>
              <w:bottom w:val="nil"/>
              <w:right w:val="nil"/>
            </w:tcBorders>
            <w:shd w:val="clear" w:color="auto" w:fill="auto"/>
            <w:noWrap/>
            <w:vAlign w:val="center"/>
          </w:tcPr>
          <w:p w14:paraId="2D9BA878">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16.70</w:t>
            </w:r>
          </w:p>
        </w:tc>
        <w:tc>
          <w:tcPr>
            <w:tcW w:w="901" w:type="dxa"/>
            <w:tcBorders>
              <w:top w:val="nil"/>
              <w:left w:val="nil"/>
              <w:bottom w:val="nil"/>
              <w:right w:val="nil"/>
            </w:tcBorders>
            <w:shd w:val="clear" w:color="auto" w:fill="auto"/>
            <w:noWrap/>
            <w:vAlign w:val="center"/>
          </w:tcPr>
          <w:p w14:paraId="2CF96097">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0.002</w:t>
            </w:r>
          </w:p>
        </w:tc>
        <w:tc>
          <w:tcPr>
            <w:tcW w:w="240" w:type="dxa"/>
            <w:tcBorders>
              <w:top w:val="nil"/>
              <w:left w:val="nil"/>
              <w:bottom w:val="nil"/>
              <w:right w:val="nil"/>
            </w:tcBorders>
            <w:shd w:val="clear" w:color="auto" w:fill="auto"/>
            <w:noWrap/>
            <w:vAlign w:val="center"/>
          </w:tcPr>
          <w:p w14:paraId="44F6F050">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21" w:type="dxa"/>
            <w:tcBorders>
              <w:top w:val="nil"/>
              <w:left w:val="nil"/>
              <w:bottom w:val="nil"/>
              <w:right w:val="nil"/>
            </w:tcBorders>
            <w:shd w:val="clear" w:color="auto" w:fill="auto"/>
            <w:noWrap/>
            <w:vAlign w:val="center"/>
          </w:tcPr>
          <w:p w14:paraId="0A0B42CE">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19.68</w:t>
            </w:r>
          </w:p>
        </w:tc>
        <w:tc>
          <w:tcPr>
            <w:tcW w:w="1134" w:type="dxa"/>
            <w:tcBorders>
              <w:top w:val="nil"/>
              <w:left w:val="nil"/>
              <w:bottom w:val="nil"/>
              <w:right w:val="nil"/>
            </w:tcBorders>
            <w:shd w:val="clear" w:color="auto" w:fill="auto"/>
            <w:noWrap/>
            <w:vAlign w:val="center"/>
          </w:tcPr>
          <w:p w14:paraId="16575D4C">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28.17</w:t>
            </w:r>
          </w:p>
        </w:tc>
        <w:tc>
          <w:tcPr>
            <w:tcW w:w="901" w:type="dxa"/>
            <w:tcBorders>
              <w:top w:val="nil"/>
              <w:left w:val="nil"/>
              <w:bottom w:val="nil"/>
              <w:right w:val="nil"/>
            </w:tcBorders>
            <w:shd w:val="clear" w:color="auto" w:fill="auto"/>
            <w:noWrap/>
            <w:vAlign w:val="center"/>
          </w:tcPr>
          <w:p w14:paraId="75F12E17">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0.031</w:t>
            </w:r>
          </w:p>
        </w:tc>
        <w:tc>
          <w:tcPr>
            <w:tcW w:w="227" w:type="dxa"/>
            <w:tcBorders>
              <w:top w:val="nil"/>
              <w:left w:val="nil"/>
              <w:bottom w:val="nil"/>
              <w:right w:val="nil"/>
            </w:tcBorders>
            <w:shd w:val="clear" w:color="auto" w:fill="auto"/>
            <w:noWrap/>
            <w:vAlign w:val="center"/>
          </w:tcPr>
          <w:p w14:paraId="531DF99E">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34" w:type="dxa"/>
            <w:tcBorders>
              <w:top w:val="nil"/>
              <w:left w:val="nil"/>
              <w:bottom w:val="nil"/>
              <w:right w:val="nil"/>
            </w:tcBorders>
            <w:shd w:val="clear" w:color="auto" w:fill="auto"/>
            <w:noWrap/>
            <w:vAlign w:val="center"/>
          </w:tcPr>
          <w:p w14:paraId="2E5519F5">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41.51</w:t>
            </w:r>
          </w:p>
        </w:tc>
        <w:tc>
          <w:tcPr>
            <w:tcW w:w="1134" w:type="dxa"/>
            <w:tcBorders>
              <w:top w:val="nil"/>
              <w:left w:val="nil"/>
              <w:bottom w:val="nil"/>
              <w:right w:val="nil"/>
            </w:tcBorders>
            <w:shd w:val="clear" w:color="auto" w:fill="auto"/>
            <w:noWrap/>
            <w:vAlign w:val="center"/>
          </w:tcPr>
          <w:p w14:paraId="4EB3AF85">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38.16</w:t>
            </w:r>
          </w:p>
        </w:tc>
        <w:tc>
          <w:tcPr>
            <w:tcW w:w="901" w:type="dxa"/>
            <w:tcBorders>
              <w:top w:val="nil"/>
              <w:left w:val="nil"/>
              <w:bottom w:val="nil"/>
              <w:right w:val="nil"/>
            </w:tcBorders>
            <w:shd w:val="clear" w:color="auto" w:fill="auto"/>
            <w:noWrap/>
            <w:vAlign w:val="center"/>
          </w:tcPr>
          <w:p w14:paraId="31F12F7B">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0.388</w:t>
            </w:r>
          </w:p>
        </w:tc>
      </w:tr>
      <w:tr w14:paraId="36D9B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4139" w:type="dxa"/>
            <w:tcBorders>
              <w:top w:val="nil"/>
              <w:left w:val="nil"/>
              <w:bottom w:val="single" w:color="000000" w:sz="8" w:space="0"/>
              <w:right w:val="nil"/>
            </w:tcBorders>
            <w:shd w:val="clear" w:color="auto" w:fill="auto"/>
            <w:noWrap/>
            <w:vAlign w:val="bottom"/>
          </w:tcPr>
          <w:p w14:paraId="13167DD9">
            <w:pPr>
              <w:keepNext w:val="0"/>
              <w:keepLines w:val="0"/>
              <w:widowControl/>
              <w:suppressLineNumbers w:val="0"/>
              <w:spacing w:line="240" w:lineRule="auto"/>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 xml:space="preserve">STD2: </w:t>
            </w:r>
            <w:r>
              <w:rPr>
                <w:rStyle w:val="42"/>
                <w:rFonts w:hint="default" w:ascii="Times New Roman" w:hAnsi="Times New Roman" w:eastAsia="宋体" w:cs="Times New Roman"/>
                <w:color w:val="auto"/>
                <w:lang w:val="en-US" w:eastAsia="zh-CN" w:bidi="ar"/>
                <w14:ligatures w14:val="standardContextual"/>
              </w:rPr>
              <w:t>≤40 mg/dL</w:t>
            </w:r>
          </w:p>
        </w:tc>
        <w:tc>
          <w:tcPr>
            <w:tcW w:w="1134" w:type="dxa"/>
            <w:tcBorders>
              <w:top w:val="nil"/>
              <w:left w:val="nil"/>
              <w:bottom w:val="single" w:color="000000" w:sz="8" w:space="0"/>
              <w:right w:val="nil"/>
            </w:tcBorders>
            <w:shd w:val="clear" w:color="auto" w:fill="auto"/>
            <w:noWrap/>
            <w:vAlign w:val="center"/>
          </w:tcPr>
          <w:p w14:paraId="48EF0356">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13.61</w:t>
            </w:r>
          </w:p>
        </w:tc>
        <w:tc>
          <w:tcPr>
            <w:tcW w:w="1134" w:type="dxa"/>
            <w:tcBorders>
              <w:top w:val="nil"/>
              <w:left w:val="nil"/>
              <w:bottom w:val="single" w:color="000000" w:sz="8" w:space="0"/>
              <w:right w:val="nil"/>
            </w:tcBorders>
            <w:shd w:val="clear" w:color="auto" w:fill="auto"/>
            <w:noWrap/>
            <w:vAlign w:val="center"/>
          </w:tcPr>
          <w:p w14:paraId="2EC7A0A3">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7.17</w:t>
            </w:r>
          </w:p>
        </w:tc>
        <w:tc>
          <w:tcPr>
            <w:tcW w:w="901" w:type="dxa"/>
            <w:tcBorders>
              <w:top w:val="nil"/>
              <w:left w:val="nil"/>
              <w:bottom w:val="single" w:color="000000" w:sz="8" w:space="0"/>
              <w:right w:val="nil"/>
            </w:tcBorders>
            <w:shd w:val="clear" w:color="auto" w:fill="auto"/>
            <w:noWrap/>
            <w:vAlign w:val="center"/>
          </w:tcPr>
          <w:p w14:paraId="21BD08FF">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c>
          <w:tcPr>
            <w:tcW w:w="240" w:type="dxa"/>
            <w:tcBorders>
              <w:top w:val="nil"/>
              <w:left w:val="nil"/>
              <w:bottom w:val="single" w:color="000000" w:sz="8" w:space="0"/>
              <w:right w:val="nil"/>
            </w:tcBorders>
            <w:shd w:val="clear" w:color="auto" w:fill="auto"/>
            <w:noWrap/>
            <w:vAlign w:val="center"/>
          </w:tcPr>
          <w:p w14:paraId="54B768D0">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21" w:type="dxa"/>
            <w:tcBorders>
              <w:top w:val="nil"/>
              <w:left w:val="nil"/>
              <w:bottom w:val="single" w:color="000000" w:sz="8" w:space="0"/>
              <w:right w:val="nil"/>
            </w:tcBorders>
            <w:shd w:val="clear" w:color="auto" w:fill="auto"/>
            <w:noWrap/>
            <w:vAlign w:val="center"/>
          </w:tcPr>
          <w:p w14:paraId="53B1DD16">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22.05</w:t>
            </w:r>
          </w:p>
        </w:tc>
        <w:tc>
          <w:tcPr>
            <w:tcW w:w="1134" w:type="dxa"/>
            <w:tcBorders>
              <w:top w:val="nil"/>
              <w:left w:val="nil"/>
              <w:bottom w:val="single" w:color="000000" w:sz="8" w:space="0"/>
              <w:right w:val="nil"/>
            </w:tcBorders>
            <w:shd w:val="clear" w:color="auto" w:fill="auto"/>
            <w:noWrap/>
            <w:vAlign w:val="center"/>
          </w:tcPr>
          <w:p w14:paraId="0AA60E19">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13.15</w:t>
            </w:r>
          </w:p>
        </w:tc>
        <w:tc>
          <w:tcPr>
            <w:tcW w:w="901" w:type="dxa"/>
            <w:tcBorders>
              <w:top w:val="nil"/>
              <w:left w:val="nil"/>
              <w:bottom w:val="single" w:color="000000" w:sz="8" w:space="0"/>
              <w:right w:val="nil"/>
            </w:tcBorders>
            <w:shd w:val="clear" w:color="auto" w:fill="auto"/>
            <w:noWrap/>
            <w:vAlign w:val="center"/>
          </w:tcPr>
          <w:p w14:paraId="6C29600E">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0.007</w:t>
            </w:r>
          </w:p>
        </w:tc>
        <w:tc>
          <w:tcPr>
            <w:tcW w:w="227" w:type="dxa"/>
            <w:tcBorders>
              <w:top w:val="nil"/>
              <w:left w:val="nil"/>
              <w:bottom w:val="single" w:color="000000" w:sz="8" w:space="0"/>
              <w:right w:val="nil"/>
            </w:tcBorders>
            <w:shd w:val="clear" w:color="auto" w:fill="auto"/>
            <w:noWrap/>
            <w:vAlign w:val="center"/>
          </w:tcPr>
          <w:p w14:paraId="5084DD28">
            <w:pPr>
              <w:keepNext w:val="0"/>
              <w:keepLines w:val="0"/>
              <w:widowControl/>
              <w:suppressLineNumbers w:val="0"/>
              <w:spacing w:line="240" w:lineRule="auto"/>
              <w:jc w:val="center"/>
              <w:textAlignment w:val="bottom"/>
              <w:rPr>
                <w:rFonts w:hint="default" w:ascii="Times New Roman" w:hAnsi="Times New Roman" w:eastAsia="宋体" w:cs="Times New Roman"/>
                <w:i w:val="0"/>
                <w:iCs w:val="0"/>
                <w:color w:val="auto"/>
                <w:kern w:val="0"/>
                <w:sz w:val="24"/>
                <w:szCs w:val="24"/>
                <w:u w:val="none"/>
                <w:lang w:val="en-US" w:eastAsia="zh-CN" w:bidi="ar"/>
                <w14:ligatures w14:val="standardContextual"/>
              </w:rPr>
            </w:pPr>
          </w:p>
        </w:tc>
        <w:tc>
          <w:tcPr>
            <w:tcW w:w="1134" w:type="dxa"/>
            <w:tcBorders>
              <w:top w:val="nil"/>
              <w:left w:val="nil"/>
              <w:bottom w:val="single" w:color="000000" w:sz="8" w:space="0"/>
              <w:right w:val="nil"/>
            </w:tcBorders>
            <w:shd w:val="clear" w:color="auto" w:fill="auto"/>
            <w:noWrap/>
            <w:vAlign w:val="center"/>
          </w:tcPr>
          <w:p w14:paraId="5CB47C97">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47.23</w:t>
            </w:r>
          </w:p>
        </w:tc>
        <w:tc>
          <w:tcPr>
            <w:tcW w:w="1134" w:type="dxa"/>
            <w:tcBorders>
              <w:top w:val="nil"/>
              <w:left w:val="nil"/>
              <w:bottom w:val="single" w:color="000000" w:sz="8" w:space="0"/>
              <w:right w:val="nil"/>
            </w:tcBorders>
            <w:shd w:val="clear" w:color="auto" w:fill="auto"/>
            <w:noWrap/>
            <w:vAlign w:val="center"/>
          </w:tcPr>
          <w:p w14:paraId="536C2A6B">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24.25</w:t>
            </w:r>
          </w:p>
        </w:tc>
        <w:tc>
          <w:tcPr>
            <w:tcW w:w="901" w:type="dxa"/>
            <w:tcBorders>
              <w:top w:val="nil"/>
              <w:left w:val="nil"/>
              <w:bottom w:val="single" w:color="000000" w:sz="8" w:space="0"/>
              <w:right w:val="nil"/>
            </w:tcBorders>
            <w:shd w:val="clear" w:color="auto" w:fill="auto"/>
            <w:noWrap/>
            <w:vAlign w:val="center"/>
          </w:tcPr>
          <w:p w14:paraId="39EDCE6F">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r>
    </w:tbl>
    <w:p w14:paraId="30C99DAC">
      <w:pPr>
        <w:spacing w:line="240" w:lineRule="auto"/>
        <w:jc w:val="left"/>
        <w:rPr>
          <w:rFonts w:hint="default" w:ascii="Times New Roman" w:hAnsi="Times New Roman" w:cs="Times New Roman"/>
          <w:b w:val="0"/>
          <w:bCs w:val="0"/>
          <w:color w:val="auto"/>
          <w:sz w:val="21"/>
          <w:szCs w:val="24"/>
          <w:lang w:val="en-US" w:eastAsia="zh-CN"/>
        </w:rPr>
      </w:pPr>
      <w:r>
        <w:rPr>
          <w:rFonts w:hint="default" w:ascii="Times New Roman" w:hAnsi="Times New Roman" w:cs="Times New Roman"/>
          <w:b w:val="0"/>
          <w:bCs w:val="0"/>
          <w:color w:val="auto"/>
          <w:sz w:val="21"/>
          <w:szCs w:val="24"/>
        </w:rPr>
        <w:t xml:space="preserve">Data are </w:t>
      </w:r>
      <w:r>
        <w:rPr>
          <w:rFonts w:hint="default" w:ascii="Times New Roman" w:hAnsi="Times New Roman" w:eastAsia="等线" w:cs="Times New Roman"/>
          <w:color w:val="auto"/>
          <w:lang w:val="en-US"/>
        </w:rPr>
        <w:t>presented as</w:t>
      </w:r>
      <w:r>
        <w:rPr>
          <w:rFonts w:hint="default" w:ascii="Times New Roman" w:hAnsi="Times New Roman" w:eastAsia="等线" w:cs="Times New Roman"/>
          <w:color w:val="auto"/>
          <w:lang w:val="en-US" w:eastAsia="zh-CN"/>
        </w:rPr>
        <w:t xml:space="preserve"> </w:t>
      </w:r>
      <w:r>
        <w:rPr>
          <w:rFonts w:hint="default" w:ascii="Times New Roman" w:hAnsi="Times New Roman" w:cs="Times New Roman"/>
          <w:b w:val="0"/>
          <w:bCs w:val="0"/>
          <w:color w:val="auto"/>
          <w:sz w:val="21"/>
          <w:szCs w:val="24"/>
        </w:rPr>
        <w:t>percentage (</w:t>
      </w:r>
      <w:r>
        <w:rPr>
          <w:rFonts w:hint="default" w:ascii="Times New Roman" w:hAnsi="Times New Roman" w:cs="Times New Roman"/>
          <w:b w:val="0"/>
          <w:bCs w:val="0"/>
          <w:color w:val="auto"/>
          <w:sz w:val="21"/>
          <w:szCs w:val="24"/>
          <w:lang w:val="en-US" w:eastAsia="zh-CN"/>
        </w:rPr>
        <w:t>%), adjusted for NHANES fasting sample weight.</w:t>
      </w:r>
    </w:p>
    <w:p w14:paraId="41A6B836">
      <w:pPr>
        <w:spacing w:line="240" w:lineRule="auto"/>
        <w:jc w:val="left"/>
        <w:rPr>
          <w:rFonts w:hint="default" w:ascii="Times New Roman" w:hAnsi="Times New Roman" w:eastAsia="Times New Roman Uni" w:cs="Times New Roman"/>
          <w:color w:val="auto"/>
        </w:rPr>
      </w:pPr>
      <w:r>
        <w:rPr>
          <w:rFonts w:hint="default" w:ascii="Times New Roman" w:hAnsi="Times New Roman" w:cs="Times New Roman"/>
          <w:b w:val="0"/>
          <w:bCs w:val="0"/>
          <w:color w:val="auto"/>
          <w:sz w:val="21"/>
          <w:szCs w:val="24"/>
          <w:lang w:val="en-US" w:eastAsia="zh-CN"/>
        </w:rPr>
        <w:t xml:space="preserve">BMI=body mass index; NHANES=National Health and Nutrition Examination Survey; </w:t>
      </w:r>
      <w:r>
        <w:rPr>
          <w:rFonts w:hint="default" w:ascii="Times New Roman" w:hAnsi="Times New Roman" w:cs="Times New Roman"/>
          <w:b w:val="0"/>
          <w:bCs w:val="0"/>
          <w:color w:val="auto"/>
          <w:sz w:val="21"/>
          <w:szCs w:val="24"/>
        </w:rPr>
        <w:t>STD=</w:t>
      </w:r>
      <w:r>
        <w:rPr>
          <w:rFonts w:hint="default" w:ascii="Times New Roman" w:hAnsi="Times New Roman" w:cs="Times New Roman"/>
          <w:b w:val="0"/>
          <w:bCs w:val="0"/>
          <w:color w:val="auto"/>
          <w:sz w:val="21"/>
          <w:szCs w:val="24"/>
          <w:lang w:val="en-US" w:eastAsia="zh-CN"/>
        </w:rPr>
        <w:t>s</w:t>
      </w:r>
      <w:r>
        <w:rPr>
          <w:rFonts w:hint="default" w:ascii="Times New Roman" w:hAnsi="Times New Roman" w:cs="Times New Roman"/>
          <w:b w:val="0"/>
          <w:bCs w:val="0"/>
          <w:color w:val="auto"/>
          <w:sz w:val="21"/>
          <w:szCs w:val="24"/>
        </w:rPr>
        <w:t>tandard</w:t>
      </w:r>
      <w:r>
        <w:rPr>
          <w:rFonts w:hint="default" w:ascii="Times New Roman" w:hAnsi="Times New Roman" w:cs="Times New Roman"/>
          <w:b w:val="0"/>
          <w:bCs w:val="0"/>
          <w:color w:val="auto"/>
          <w:sz w:val="21"/>
          <w:szCs w:val="24"/>
          <w:lang w:val="en-US" w:eastAsia="zh-CN"/>
        </w:rPr>
        <w:t>.</w:t>
      </w:r>
    </w:p>
    <w:p w14:paraId="61FE6ECC">
      <w:pPr>
        <w:pStyle w:val="2"/>
        <w:keepNext/>
        <w:keepLines/>
        <w:pageBreakBefore/>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bCs/>
          <w:color w:val="auto"/>
          <w:sz w:val="24"/>
          <w:szCs w:val="24"/>
          <w:lang w:val="en-US" w:eastAsia="zh-CN"/>
        </w:rPr>
      </w:pPr>
      <w:bookmarkStart w:id="6" w:name="_Toc28455"/>
      <w:bookmarkStart w:id="7" w:name="_Toc3380"/>
      <w:r>
        <w:rPr>
          <w:rFonts w:hint="default" w:ascii="Times New Roman" w:hAnsi="Times New Roman" w:cs="Times New Roman"/>
          <w:b/>
          <w:bCs/>
          <w:color w:val="auto"/>
          <w:sz w:val="24"/>
          <w:szCs w:val="24"/>
          <w:lang w:val="en-US" w:eastAsia="zh-CN"/>
        </w:rPr>
        <w:t>Table S3. Prevalence and Sex Disparities of Metabolic Syndrome in Adolescents across Different Definition Criteria</w:t>
      </w:r>
      <w:bookmarkEnd w:id="6"/>
      <w:bookmarkEnd w:id="7"/>
    </w:p>
    <w:tbl>
      <w:tblPr>
        <w:tblStyle w:val="16"/>
        <w:tblW w:w="5000" w:type="pct"/>
        <w:tblInd w:w="0" w:type="dxa"/>
        <w:tblLayout w:type="autofit"/>
        <w:tblCellMar>
          <w:top w:w="0" w:type="dxa"/>
          <w:left w:w="108" w:type="dxa"/>
          <w:bottom w:w="0" w:type="dxa"/>
          <w:right w:w="108" w:type="dxa"/>
        </w:tblCellMar>
      </w:tblPr>
      <w:tblGrid>
        <w:gridCol w:w="3401"/>
        <w:gridCol w:w="2685"/>
        <w:gridCol w:w="2685"/>
        <w:gridCol w:w="2685"/>
        <w:gridCol w:w="2687"/>
        <w:gridCol w:w="32"/>
      </w:tblGrid>
      <w:tr w14:paraId="009F474A">
        <w:tblPrEx>
          <w:tblCellMar>
            <w:top w:w="0" w:type="dxa"/>
            <w:left w:w="108" w:type="dxa"/>
            <w:bottom w:w="0" w:type="dxa"/>
            <w:right w:w="108" w:type="dxa"/>
          </w:tblCellMar>
        </w:tblPrEx>
        <w:trPr>
          <w:gridAfter w:val="1"/>
          <w:wAfter w:w="10" w:type="pct"/>
          <w:trHeight w:val="300" w:hRule="atLeast"/>
        </w:trPr>
        <w:tc>
          <w:tcPr>
            <w:tcW w:w="1199" w:type="pct"/>
            <w:tcBorders>
              <w:top w:val="single" w:color="000000" w:sz="4" w:space="0"/>
              <w:left w:val="nil"/>
              <w:bottom w:val="single" w:color="000000" w:sz="4" w:space="0"/>
              <w:right w:val="nil"/>
            </w:tcBorders>
            <w:shd w:val="clear" w:color="auto" w:fill="AEAAAA" w:themeFill="background2" w:themeFillShade="BF"/>
            <w:noWrap/>
            <w:vAlign w:val="center"/>
          </w:tcPr>
          <w:p w14:paraId="61BAC147">
            <w:pPr>
              <w:spacing w:line="240" w:lineRule="auto"/>
              <w:rPr>
                <w:rFonts w:hint="default" w:ascii="Times New Roman" w:hAnsi="Times New Roman" w:eastAsia="宋体" w:cs="Times New Roman"/>
                <w:color w:val="auto"/>
                <w:sz w:val="24"/>
                <w:szCs w:val="24"/>
              </w:rPr>
            </w:pPr>
          </w:p>
        </w:tc>
        <w:tc>
          <w:tcPr>
            <w:tcW w:w="2685" w:type="dxa"/>
            <w:tcBorders>
              <w:top w:val="single" w:color="000000" w:sz="4" w:space="0"/>
              <w:left w:val="nil"/>
              <w:bottom w:val="single" w:color="000000" w:sz="4" w:space="0"/>
              <w:right w:val="nil"/>
            </w:tcBorders>
            <w:shd w:val="clear" w:color="auto" w:fill="AEAAAA" w:themeFill="background2" w:themeFillShade="BF"/>
            <w:noWrap/>
            <w:vAlign w:val="bottom"/>
          </w:tcPr>
          <w:p w14:paraId="2FD6DB70">
            <w:pPr>
              <w:widowControl/>
              <w:spacing w:line="240" w:lineRule="auto"/>
              <w:jc w:val="center"/>
              <w:textAlignment w:val="bottom"/>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kern w:val="0"/>
                <w:sz w:val="22"/>
                <w:szCs w:val="22"/>
                <w:lang w:bidi="ar"/>
              </w:rPr>
              <w:t>Overall (n=6989)</w:t>
            </w:r>
          </w:p>
        </w:tc>
        <w:tc>
          <w:tcPr>
            <w:tcW w:w="2685" w:type="dxa"/>
            <w:tcBorders>
              <w:top w:val="single" w:color="000000" w:sz="4" w:space="0"/>
              <w:left w:val="nil"/>
              <w:bottom w:val="single" w:color="000000" w:sz="4" w:space="0"/>
              <w:right w:val="nil"/>
            </w:tcBorders>
            <w:shd w:val="clear" w:color="auto" w:fill="AEAAAA" w:themeFill="background2" w:themeFillShade="BF"/>
            <w:noWrap/>
            <w:vAlign w:val="bottom"/>
          </w:tcPr>
          <w:p w14:paraId="590E1F4B">
            <w:pPr>
              <w:widowControl/>
              <w:spacing w:line="240" w:lineRule="auto"/>
              <w:jc w:val="center"/>
              <w:textAlignment w:val="bottom"/>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kern w:val="0"/>
                <w:sz w:val="22"/>
                <w:szCs w:val="22"/>
                <w:lang w:bidi="ar"/>
              </w:rPr>
              <w:t>Male (n=3644)</w:t>
            </w:r>
          </w:p>
        </w:tc>
        <w:tc>
          <w:tcPr>
            <w:tcW w:w="2685" w:type="dxa"/>
            <w:tcBorders>
              <w:top w:val="single" w:color="000000" w:sz="4" w:space="0"/>
              <w:left w:val="nil"/>
              <w:bottom w:val="single" w:color="000000" w:sz="4" w:space="0"/>
              <w:right w:val="nil"/>
            </w:tcBorders>
            <w:shd w:val="clear" w:color="auto" w:fill="AEAAAA" w:themeFill="background2" w:themeFillShade="BF"/>
            <w:noWrap/>
            <w:vAlign w:val="bottom"/>
          </w:tcPr>
          <w:p w14:paraId="18D310EF">
            <w:pPr>
              <w:widowControl/>
              <w:spacing w:line="240" w:lineRule="auto"/>
              <w:jc w:val="center"/>
              <w:textAlignment w:val="bottom"/>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kern w:val="0"/>
                <w:sz w:val="22"/>
                <w:szCs w:val="22"/>
                <w:lang w:bidi="ar"/>
              </w:rPr>
              <w:t>Female (n=3345)</w:t>
            </w:r>
          </w:p>
        </w:tc>
        <w:tc>
          <w:tcPr>
            <w:tcW w:w="947" w:type="pct"/>
            <w:tcBorders>
              <w:top w:val="single" w:color="000000" w:sz="4" w:space="0"/>
              <w:left w:val="nil"/>
              <w:bottom w:val="single" w:color="000000" w:sz="4" w:space="0"/>
              <w:right w:val="nil"/>
            </w:tcBorders>
            <w:shd w:val="clear" w:color="auto" w:fill="AEAAAA" w:themeFill="background2" w:themeFillShade="BF"/>
            <w:noWrap/>
            <w:vAlign w:val="bottom"/>
          </w:tcPr>
          <w:p w14:paraId="639DFD62">
            <w:pPr>
              <w:widowControl/>
              <w:spacing w:line="240" w:lineRule="auto"/>
              <w:jc w:val="center"/>
              <w:textAlignment w:val="bottom"/>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kern w:val="0"/>
                <w:sz w:val="24"/>
                <w:szCs w:val="24"/>
                <w:lang w:bidi="ar"/>
              </w:rPr>
              <w:t>P value</w:t>
            </w:r>
          </w:p>
        </w:tc>
      </w:tr>
      <w:tr w14:paraId="0B6A7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5000" w:type="pct"/>
            <w:gridSpan w:val="6"/>
            <w:tcBorders>
              <w:top w:val="nil"/>
              <w:left w:val="nil"/>
              <w:bottom w:val="nil"/>
              <w:right w:val="nil"/>
            </w:tcBorders>
            <w:shd w:val="clear" w:color="auto" w:fill="D7D7D7" w:themeFill="background1" w:themeFillShade="D8"/>
            <w:noWrap/>
            <w:vAlign w:val="bottom"/>
          </w:tcPr>
          <w:p w14:paraId="51898A4D">
            <w:pPr>
              <w:spacing w:line="240" w:lineRule="auto"/>
              <w:jc w:val="both"/>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 xml:space="preserve">MS in </w:t>
            </w:r>
            <w:r>
              <w:rPr>
                <w:rFonts w:hint="default" w:ascii="Times New Roman" w:hAnsi="Times New Roman" w:cs="Times New Roman"/>
                <w:b/>
                <w:bCs/>
                <w:i w:val="0"/>
                <w:iCs w:val="0"/>
                <w:color w:val="auto"/>
                <w:sz w:val="24"/>
              </w:rPr>
              <w:t xml:space="preserve">classification </w:t>
            </w:r>
            <w:r>
              <w:rPr>
                <w:rFonts w:hint="default" w:ascii="Times New Roman" w:hAnsi="Times New Roman" w:cs="Times New Roman"/>
                <w:b/>
                <w:bCs/>
                <w:i w:val="0"/>
                <w:iCs w:val="0"/>
                <w:color w:val="auto"/>
                <w:sz w:val="24"/>
                <w:lang w:val="en-US" w:eastAsia="zh-CN"/>
              </w:rPr>
              <w:t>system 1</w:t>
            </w: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 defined as ≥3 of 5 risk factors</w:t>
            </w:r>
          </w:p>
        </w:tc>
      </w:tr>
      <w:tr w14:paraId="171466BE">
        <w:tblPrEx>
          <w:tblCellMar>
            <w:top w:w="0" w:type="dxa"/>
            <w:left w:w="108" w:type="dxa"/>
            <w:bottom w:w="0" w:type="dxa"/>
            <w:right w:w="108" w:type="dxa"/>
          </w:tblCellMar>
        </w:tblPrEx>
        <w:trPr>
          <w:gridAfter w:val="1"/>
          <w:wAfter w:w="10" w:type="pct"/>
          <w:trHeight w:val="300" w:hRule="atLeast"/>
        </w:trPr>
        <w:tc>
          <w:tcPr>
            <w:tcW w:w="3401" w:type="dxa"/>
            <w:tcBorders>
              <w:top w:val="nil"/>
              <w:left w:val="nil"/>
              <w:bottom w:val="nil"/>
              <w:right w:val="nil"/>
            </w:tcBorders>
            <w:shd w:val="clear" w:color="auto" w:fill="auto"/>
            <w:noWrap/>
            <w:vAlign w:val="bottom"/>
          </w:tcPr>
          <w:p w14:paraId="61E75C9D">
            <w:pPr>
              <w:widowControl/>
              <w:spacing w:line="240" w:lineRule="auto"/>
              <w:jc w:val="left"/>
              <w:textAlignment w:val="bottom"/>
              <w:rPr>
                <w:rFonts w:hint="default" w:ascii="Times New Roman" w:hAnsi="Times New Roman" w:eastAsia="宋体" w:cs="Times New Roman"/>
                <w:color w:val="auto"/>
                <w:kern w:val="0"/>
                <w:sz w:val="24"/>
                <w:szCs w:val="24"/>
                <w:lang w:bidi="ar"/>
              </w:rPr>
            </w:pPr>
            <w:r>
              <w:rPr>
                <w:rFonts w:hint="eastAsia" w:ascii="Times New Roman" w:hAnsi="Times New Roman" w:cs="Times New Roman"/>
                <w:b/>
                <w:bCs/>
                <w:i w:val="0"/>
                <w:iCs w:val="0"/>
                <w:color w:val="auto"/>
                <w:sz w:val="24"/>
                <w:highlight w:val="none"/>
                <w:lang w:val="en-US" w:eastAsia="zh-CN"/>
              </w:rPr>
              <w:t xml:space="preserve">Criterion </w:t>
            </w:r>
            <w:r>
              <w:rPr>
                <w:rFonts w:hint="default" w:ascii="Times New Roman" w:hAnsi="Times New Roman" w:eastAsia="宋体" w:cs="Times New Roman"/>
                <w:b/>
                <w:bCs/>
                <w:color w:val="auto"/>
                <w:kern w:val="0"/>
                <w:sz w:val="24"/>
                <w:szCs w:val="24"/>
                <w:lang w:bidi="ar"/>
              </w:rPr>
              <w:t>1</w:t>
            </w:r>
          </w:p>
        </w:tc>
        <w:tc>
          <w:tcPr>
            <w:tcW w:w="2685" w:type="dxa"/>
            <w:tcBorders>
              <w:top w:val="nil"/>
              <w:left w:val="nil"/>
              <w:bottom w:val="nil"/>
              <w:right w:val="nil"/>
            </w:tcBorders>
            <w:shd w:val="clear" w:color="auto" w:fill="auto"/>
            <w:noWrap/>
            <w:vAlign w:val="bottom"/>
          </w:tcPr>
          <w:p w14:paraId="713AC667">
            <w:pPr>
              <w:widowControl/>
              <w:spacing w:line="240" w:lineRule="auto"/>
              <w:jc w:val="center"/>
              <w:textAlignment w:val="bottom"/>
              <w:rPr>
                <w:rFonts w:hint="default" w:ascii="Times New Roman" w:hAnsi="Times New Roman" w:eastAsia="宋体" w:cs="Times New Roman"/>
                <w:b/>
                <w:bCs/>
                <w:color w:val="auto"/>
                <w:kern w:val="0"/>
                <w:sz w:val="24"/>
                <w:szCs w:val="24"/>
                <w:lang w:bidi="ar"/>
              </w:rPr>
            </w:pPr>
            <w:r>
              <w:rPr>
                <w:rFonts w:hint="default" w:ascii="Times New Roman" w:hAnsi="Times New Roman" w:eastAsia="宋体" w:cs="Times New Roman"/>
                <w:b/>
                <w:bCs/>
                <w:color w:val="auto"/>
                <w:kern w:val="0"/>
                <w:sz w:val="24"/>
                <w:szCs w:val="24"/>
                <w:lang w:val="en-US" w:eastAsia="zh-CN" w:bidi="ar"/>
              </w:rPr>
              <w:t>5.13 (4.31, 5.94)</w:t>
            </w:r>
          </w:p>
        </w:tc>
        <w:tc>
          <w:tcPr>
            <w:tcW w:w="2685" w:type="dxa"/>
            <w:tcBorders>
              <w:top w:val="nil"/>
              <w:left w:val="nil"/>
              <w:bottom w:val="nil"/>
              <w:right w:val="nil"/>
            </w:tcBorders>
            <w:shd w:val="clear" w:color="auto" w:fill="auto"/>
            <w:noWrap/>
            <w:vAlign w:val="bottom"/>
          </w:tcPr>
          <w:p w14:paraId="606DCD01">
            <w:pPr>
              <w:widowControl/>
              <w:spacing w:line="240" w:lineRule="auto"/>
              <w:jc w:val="center"/>
              <w:textAlignment w:val="bottom"/>
              <w:rPr>
                <w:rFonts w:hint="default" w:ascii="Times New Roman" w:hAnsi="Times New Roman" w:eastAsia="宋体" w:cs="Times New Roman"/>
                <w:b/>
                <w:bCs/>
                <w:color w:val="auto"/>
                <w:kern w:val="0"/>
                <w:sz w:val="24"/>
                <w:szCs w:val="24"/>
                <w:lang w:bidi="ar"/>
              </w:rPr>
            </w:pPr>
            <w:r>
              <w:rPr>
                <w:rFonts w:hint="default" w:ascii="Times New Roman" w:hAnsi="Times New Roman" w:eastAsia="宋体" w:cs="Times New Roman"/>
                <w:b/>
                <w:bCs/>
                <w:color w:val="auto"/>
                <w:kern w:val="0"/>
                <w:sz w:val="24"/>
                <w:szCs w:val="24"/>
                <w:lang w:val="en-US" w:eastAsia="zh-CN" w:bidi="ar"/>
              </w:rPr>
              <w:t>6.11 (4.86, 7.37)</w:t>
            </w:r>
          </w:p>
        </w:tc>
        <w:tc>
          <w:tcPr>
            <w:tcW w:w="2685" w:type="dxa"/>
            <w:tcBorders>
              <w:top w:val="nil"/>
              <w:left w:val="nil"/>
              <w:bottom w:val="nil"/>
              <w:right w:val="nil"/>
            </w:tcBorders>
            <w:shd w:val="clear" w:color="auto" w:fill="auto"/>
            <w:noWrap/>
            <w:vAlign w:val="bottom"/>
          </w:tcPr>
          <w:p w14:paraId="6FFE8C6A">
            <w:pPr>
              <w:widowControl/>
              <w:spacing w:line="240" w:lineRule="auto"/>
              <w:jc w:val="center"/>
              <w:textAlignment w:val="bottom"/>
              <w:rPr>
                <w:rFonts w:hint="default" w:ascii="Times New Roman" w:hAnsi="Times New Roman" w:eastAsia="宋体" w:cs="Times New Roman"/>
                <w:b/>
                <w:bCs/>
                <w:color w:val="auto"/>
                <w:kern w:val="0"/>
                <w:sz w:val="24"/>
                <w:szCs w:val="24"/>
                <w:lang w:bidi="ar"/>
              </w:rPr>
            </w:pPr>
            <w:r>
              <w:rPr>
                <w:rFonts w:hint="default" w:ascii="Times New Roman" w:hAnsi="Times New Roman" w:eastAsia="宋体" w:cs="Times New Roman"/>
                <w:b/>
                <w:bCs/>
                <w:color w:val="auto"/>
                <w:kern w:val="0"/>
                <w:sz w:val="24"/>
                <w:szCs w:val="24"/>
                <w:lang w:val="en-US" w:eastAsia="zh-CN" w:bidi="ar"/>
              </w:rPr>
              <w:t>4.07 (3.02, 5.11)</w:t>
            </w:r>
          </w:p>
        </w:tc>
        <w:tc>
          <w:tcPr>
            <w:tcW w:w="2687" w:type="dxa"/>
            <w:tcBorders>
              <w:top w:val="nil"/>
              <w:left w:val="nil"/>
              <w:bottom w:val="nil"/>
              <w:right w:val="nil"/>
            </w:tcBorders>
            <w:shd w:val="clear" w:color="auto" w:fill="auto"/>
            <w:noWrap/>
            <w:vAlign w:val="bottom"/>
          </w:tcPr>
          <w:p w14:paraId="4209BC85">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0.017</w:t>
            </w:r>
          </w:p>
        </w:tc>
      </w:tr>
      <w:tr w14:paraId="3473761B">
        <w:tblPrEx>
          <w:tblCellMar>
            <w:top w:w="0" w:type="dxa"/>
            <w:left w:w="108" w:type="dxa"/>
            <w:bottom w:w="0" w:type="dxa"/>
            <w:right w:w="108" w:type="dxa"/>
          </w:tblCellMar>
        </w:tblPrEx>
        <w:trPr>
          <w:gridAfter w:val="1"/>
          <w:wAfter w:w="10" w:type="pct"/>
          <w:trHeight w:val="300" w:hRule="atLeast"/>
        </w:trPr>
        <w:tc>
          <w:tcPr>
            <w:tcW w:w="3401" w:type="dxa"/>
            <w:tcBorders>
              <w:top w:val="nil"/>
              <w:left w:val="nil"/>
              <w:bottom w:val="nil"/>
              <w:right w:val="nil"/>
            </w:tcBorders>
            <w:shd w:val="clear" w:color="auto" w:fill="auto"/>
            <w:noWrap/>
            <w:vAlign w:val="bottom"/>
          </w:tcPr>
          <w:p w14:paraId="1344E4E1">
            <w:pPr>
              <w:widowControl/>
              <w:spacing w:line="240" w:lineRule="auto"/>
              <w:jc w:val="left"/>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bidi="ar"/>
              </w:rPr>
              <w:t>number of other risk factors</w:t>
            </w:r>
          </w:p>
        </w:tc>
        <w:tc>
          <w:tcPr>
            <w:tcW w:w="2685" w:type="dxa"/>
            <w:tcBorders>
              <w:top w:val="nil"/>
              <w:left w:val="nil"/>
              <w:bottom w:val="nil"/>
              <w:right w:val="nil"/>
            </w:tcBorders>
            <w:shd w:val="clear" w:color="auto" w:fill="auto"/>
            <w:noWrap/>
            <w:vAlign w:val="bottom"/>
          </w:tcPr>
          <w:p w14:paraId="545D2C33">
            <w:pPr>
              <w:widowControl/>
              <w:spacing w:line="240" w:lineRule="auto"/>
              <w:jc w:val="center"/>
              <w:textAlignment w:val="bottom"/>
              <w:rPr>
                <w:rFonts w:hint="default" w:ascii="Times New Roman" w:hAnsi="Times New Roman" w:eastAsia="宋体" w:cs="Times New Roman"/>
                <w:color w:val="auto"/>
                <w:kern w:val="0"/>
                <w:sz w:val="24"/>
                <w:szCs w:val="24"/>
                <w:lang w:bidi="ar"/>
              </w:rPr>
            </w:pPr>
          </w:p>
        </w:tc>
        <w:tc>
          <w:tcPr>
            <w:tcW w:w="2685" w:type="dxa"/>
            <w:tcBorders>
              <w:top w:val="nil"/>
              <w:left w:val="nil"/>
              <w:bottom w:val="nil"/>
              <w:right w:val="nil"/>
            </w:tcBorders>
            <w:shd w:val="clear" w:color="auto" w:fill="auto"/>
            <w:noWrap/>
            <w:vAlign w:val="bottom"/>
          </w:tcPr>
          <w:p w14:paraId="07AE376B">
            <w:pPr>
              <w:widowControl/>
              <w:spacing w:line="240" w:lineRule="auto"/>
              <w:jc w:val="center"/>
              <w:textAlignment w:val="bottom"/>
              <w:rPr>
                <w:rFonts w:hint="default" w:ascii="Times New Roman" w:hAnsi="Times New Roman" w:eastAsia="宋体" w:cs="Times New Roman"/>
                <w:color w:val="auto"/>
                <w:kern w:val="0"/>
                <w:sz w:val="24"/>
                <w:szCs w:val="24"/>
                <w:lang w:bidi="ar"/>
              </w:rPr>
            </w:pPr>
          </w:p>
        </w:tc>
        <w:tc>
          <w:tcPr>
            <w:tcW w:w="2685" w:type="dxa"/>
            <w:tcBorders>
              <w:top w:val="nil"/>
              <w:left w:val="nil"/>
              <w:bottom w:val="nil"/>
              <w:right w:val="nil"/>
            </w:tcBorders>
            <w:shd w:val="clear" w:color="auto" w:fill="auto"/>
            <w:noWrap/>
            <w:vAlign w:val="bottom"/>
          </w:tcPr>
          <w:p w14:paraId="4CDD22C8">
            <w:pPr>
              <w:widowControl/>
              <w:spacing w:line="240" w:lineRule="auto"/>
              <w:jc w:val="center"/>
              <w:textAlignment w:val="bottom"/>
              <w:rPr>
                <w:rFonts w:hint="default" w:ascii="Times New Roman" w:hAnsi="Times New Roman" w:eastAsia="宋体" w:cs="Times New Roman"/>
                <w:color w:val="auto"/>
                <w:kern w:val="0"/>
                <w:sz w:val="24"/>
                <w:szCs w:val="24"/>
                <w:lang w:bidi="ar"/>
              </w:rPr>
            </w:pPr>
          </w:p>
        </w:tc>
        <w:tc>
          <w:tcPr>
            <w:tcW w:w="2687" w:type="dxa"/>
            <w:tcBorders>
              <w:top w:val="nil"/>
              <w:left w:val="nil"/>
              <w:bottom w:val="nil"/>
              <w:right w:val="nil"/>
            </w:tcBorders>
            <w:shd w:val="clear" w:color="auto" w:fill="auto"/>
            <w:noWrap/>
            <w:vAlign w:val="bottom"/>
          </w:tcPr>
          <w:p w14:paraId="07B2B28F">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0.005</w:t>
            </w:r>
          </w:p>
        </w:tc>
      </w:tr>
      <w:tr w14:paraId="15BA7018">
        <w:tblPrEx>
          <w:tblCellMar>
            <w:top w:w="0" w:type="dxa"/>
            <w:left w:w="108" w:type="dxa"/>
            <w:bottom w:w="0" w:type="dxa"/>
            <w:right w:w="108" w:type="dxa"/>
          </w:tblCellMar>
        </w:tblPrEx>
        <w:trPr>
          <w:gridAfter w:val="1"/>
          <w:wAfter w:w="10" w:type="pct"/>
          <w:trHeight w:val="300" w:hRule="atLeast"/>
        </w:trPr>
        <w:tc>
          <w:tcPr>
            <w:tcW w:w="3401" w:type="dxa"/>
            <w:tcBorders>
              <w:top w:val="nil"/>
              <w:left w:val="nil"/>
              <w:bottom w:val="nil"/>
              <w:right w:val="nil"/>
            </w:tcBorders>
            <w:shd w:val="clear" w:color="auto" w:fill="auto"/>
            <w:noWrap/>
            <w:vAlign w:val="bottom"/>
          </w:tcPr>
          <w:p w14:paraId="1CE349A1">
            <w:pPr>
              <w:widowControl/>
              <w:spacing w:line="240" w:lineRule="auto"/>
              <w:ind w:firstLine="240" w:firstLineChars="100"/>
              <w:jc w:val="both"/>
              <w:textAlignment w:val="bottom"/>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3</w:t>
            </w:r>
          </w:p>
        </w:tc>
        <w:tc>
          <w:tcPr>
            <w:tcW w:w="2685" w:type="dxa"/>
            <w:tcBorders>
              <w:top w:val="nil"/>
              <w:left w:val="nil"/>
              <w:bottom w:val="nil"/>
              <w:right w:val="nil"/>
            </w:tcBorders>
            <w:shd w:val="clear" w:color="auto" w:fill="auto"/>
            <w:noWrap/>
            <w:vAlign w:val="bottom"/>
          </w:tcPr>
          <w:p w14:paraId="0B438E06">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4.11 (3.37, 4.85)</w:t>
            </w:r>
          </w:p>
        </w:tc>
        <w:tc>
          <w:tcPr>
            <w:tcW w:w="2685" w:type="dxa"/>
            <w:tcBorders>
              <w:top w:val="nil"/>
              <w:left w:val="nil"/>
              <w:bottom w:val="nil"/>
              <w:right w:val="nil"/>
            </w:tcBorders>
            <w:shd w:val="clear" w:color="auto" w:fill="auto"/>
            <w:noWrap/>
            <w:vAlign w:val="bottom"/>
          </w:tcPr>
          <w:p w14:paraId="35479823">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4.84 (3.68, 5.99)</w:t>
            </w:r>
          </w:p>
        </w:tc>
        <w:tc>
          <w:tcPr>
            <w:tcW w:w="2685" w:type="dxa"/>
            <w:tcBorders>
              <w:top w:val="nil"/>
              <w:left w:val="nil"/>
              <w:bottom w:val="nil"/>
              <w:right w:val="nil"/>
            </w:tcBorders>
            <w:shd w:val="clear" w:color="auto" w:fill="auto"/>
            <w:noWrap/>
            <w:vAlign w:val="bottom"/>
          </w:tcPr>
          <w:p w14:paraId="42D941EB">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3.33 (2.44, 4.22)</w:t>
            </w:r>
          </w:p>
        </w:tc>
        <w:tc>
          <w:tcPr>
            <w:tcW w:w="2687" w:type="dxa"/>
            <w:tcBorders>
              <w:top w:val="nil"/>
              <w:left w:val="nil"/>
              <w:bottom w:val="nil"/>
              <w:right w:val="nil"/>
            </w:tcBorders>
            <w:shd w:val="clear" w:color="auto" w:fill="auto"/>
            <w:noWrap/>
            <w:vAlign w:val="bottom"/>
          </w:tcPr>
          <w:p w14:paraId="6E04B948">
            <w:pPr>
              <w:widowControl/>
              <w:spacing w:line="240" w:lineRule="auto"/>
              <w:jc w:val="center"/>
              <w:textAlignment w:val="bottom"/>
              <w:rPr>
                <w:rFonts w:hint="default" w:ascii="Times New Roman" w:hAnsi="Times New Roman" w:eastAsia="宋体" w:cs="Times New Roman"/>
                <w:color w:val="auto"/>
                <w:kern w:val="0"/>
                <w:sz w:val="24"/>
                <w:szCs w:val="24"/>
                <w:lang w:bidi="ar"/>
              </w:rPr>
            </w:pPr>
          </w:p>
        </w:tc>
      </w:tr>
      <w:tr w14:paraId="37FDE055">
        <w:tblPrEx>
          <w:tblCellMar>
            <w:top w:w="0" w:type="dxa"/>
            <w:left w:w="108" w:type="dxa"/>
            <w:bottom w:w="0" w:type="dxa"/>
            <w:right w:w="108" w:type="dxa"/>
          </w:tblCellMar>
        </w:tblPrEx>
        <w:trPr>
          <w:gridAfter w:val="1"/>
          <w:wAfter w:w="10" w:type="pct"/>
          <w:trHeight w:val="300" w:hRule="atLeast"/>
        </w:trPr>
        <w:tc>
          <w:tcPr>
            <w:tcW w:w="3401" w:type="dxa"/>
            <w:tcBorders>
              <w:top w:val="nil"/>
              <w:left w:val="nil"/>
              <w:bottom w:val="nil"/>
              <w:right w:val="nil"/>
            </w:tcBorders>
            <w:shd w:val="clear" w:color="auto" w:fill="auto"/>
            <w:noWrap/>
            <w:vAlign w:val="bottom"/>
          </w:tcPr>
          <w:p w14:paraId="2CA4B2A9">
            <w:pPr>
              <w:widowControl/>
              <w:spacing w:line="240" w:lineRule="auto"/>
              <w:ind w:firstLine="240" w:firstLineChars="100"/>
              <w:jc w:val="both"/>
              <w:textAlignment w:val="bottom"/>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4</w:t>
            </w:r>
          </w:p>
        </w:tc>
        <w:tc>
          <w:tcPr>
            <w:tcW w:w="2685" w:type="dxa"/>
            <w:tcBorders>
              <w:top w:val="nil"/>
              <w:left w:val="nil"/>
              <w:bottom w:val="nil"/>
              <w:right w:val="nil"/>
            </w:tcBorders>
            <w:shd w:val="clear" w:color="auto" w:fill="auto"/>
            <w:noWrap/>
            <w:vAlign w:val="bottom"/>
          </w:tcPr>
          <w:p w14:paraId="35C058BF">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0.8 (0.48, 1.12)</w:t>
            </w:r>
          </w:p>
        </w:tc>
        <w:tc>
          <w:tcPr>
            <w:tcW w:w="2685" w:type="dxa"/>
            <w:tcBorders>
              <w:top w:val="nil"/>
              <w:left w:val="nil"/>
              <w:bottom w:val="nil"/>
              <w:right w:val="nil"/>
            </w:tcBorders>
            <w:shd w:val="clear" w:color="auto" w:fill="auto"/>
            <w:noWrap/>
            <w:vAlign w:val="bottom"/>
          </w:tcPr>
          <w:p w14:paraId="39B05F0F">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0.86 (0.43, 1.29)</w:t>
            </w:r>
          </w:p>
        </w:tc>
        <w:tc>
          <w:tcPr>
            <w:tcW w:w="2685" w:type="dxa"/>
            <w:tcBorders>
              <w:top w:val="nil"/>
              <w:left w:val="nil"/>
              <w:bottom w:val="nil"/>
              <w:right w:val="nil"/>
            </w:tcBorders>
            <w:shd w:val="clear" w:color="auto" w:fill="auto"/>
            <w:noWrap/>
            <w:vAlign w:val="bottom"/>
          </w:tcPr>
          <w:p w14:paraId="247C2D42">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0.73 (0.26, 1.2)</w:t>
            </w:r>
          </w:p>
        </w:tc>
        <w:tc>
          <w:tcPr>
            <w:tcW w:w="2687" w:type="dxa"/>
            <w:tcBorders>
              <w:top w:val="nil"/>
              <w:left w:val="nil"/>
              <w:bottom w:val="nil"/>
              <w:right w:val="nil"/>
            </w:tcBorders>
            <w:shd w:val="clear" w:color="auto" w:fill="auto"/>
            <w:noWrap/>
            <w:vAlign w:val="bottom"/>
          </w:tcPr>
          <w:p w14:paraId="36921B65">
            <w:pPr>
              <w:widowControl/>
              <w:spacing w:line="240" w:lineRule="auto"/>
              <w:jc w:val="center"/>
              <w:textAlignment w:val="bottom"/>
              <w:rPr>
                <w:rFonts w:hint="default" w:ascii="Times New Roman" w:hAnsi="Times New Roman" w:eastAsia="宋体" w:cs="Times New Roman"/>
                <w:color w:val="auto"/>
                <w:kern w:val="0"/>
                <w:sz w:val="24"/>
                <w:szCs w:val="24"/>
                <w:lang w:bidi="ar"/>
              </w:rPr>
            </w:pPr>
          </w:p>
        </w:tc>
      </w:tr>
      <w:tr w14:paraId="4208C992">
        <w:tblPrEx>
          <w:tblCellMar>
            <w:top w:w="0" w:type="dxa"/>
            <w:left w:w="108" w:type="dxa"/>
            <w:bottom w:w="0" w:type="dxa"/>
            <w:right w:w="108" w:type="dxa"/>
          </w:tblCellMar>
        </w:tblPrEx>
        <w:trPr>
          <w:gridAfter w:val="1"/>
          <w:wAfter w:w="10" w:type="pct"/>
          <w:trHeight w:val="300" w:hRule="atLeast"/>
        </w:trPr>
        <w:tc>
          <w:tcPr>
            <w:tcW w:w="3401" w:type="dxa"/>
            <w:tcBorders>
              <w:top w:val="nil"/>
              <w:left w:val="nil"/>
              <w:bottom w:val="nil"/>
              <w:right w:val="nil"/>
            </w:tcBorders>
            <w:shd w:val="clear" w:color="auto" w:fill="auto"/>
            <w:noWrap/>
            <w:vAlign w:val="bottom"/>
          </w:tcPr>
          <w:p w14:paraId="0C476E61">
            <w:pPr>
              <w:widowControl/>
              <w:spacing w:line="240" w:lineRule="auto"/>
              <w:ind w:firstLine="240" w:firstLineChars="100"/>
              <w:jc w:val="both"/>
              <w:textAlignment w:val="bottom"/>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5</w:t>
            </w:r>
          </w:p>
        </w:tc>
        <w:tc>
          <w:tcPr>
            <w:tcW w:w="2685" w:type="dxa"/>
            <w:tcBorders>
              <w:top w:val="nil"/>
              <w:left w:val="nil"/>
              <w:bottom w:val="nil"/>
              <w:right w:val="nil"/>
            </w:tcBorders>
            <w:shd w:val="clear" w:color="auto" w:fill="auto"/>
            <w:noWrap/>
            <w:vAlign w:val="bottom"/>
          </w:tcPr>
          <w:p w14:paraId="69EE9C1D">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0.22 (0.08, 0.36)</w:t>
            </w:r>
          </w:p>
        </w:tc>
        <w:tc>
          <w:tcPr>
            <w:tcW w:w="2685" w:type="dxa"/>
            <w:tcBorders>
              <w:top w:val="nil"/>
              <w:left w:val="nil"/>
              <w:bottom w:val="nil"/>
              <w:right w:val="nil"/>
            </w:tcBorders>
            <w:shd w:val="clear" w:color="auto" w:fill="auto"/>
            <w:noWrap/>
            <w:vAlign w:val="bottom"/>
          </w:tcPr>
          <w:p w14:paraId="52DE76E3">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0.42 (0.15, 0.68)</w:t>
            </w:r>
          </w:p>
        </w:tc>
        <w:tc>
          <w:tcPr>
            <w:tcW w:w="2685" w:type="dxa"/>
            <w:tcBorders>
              <w:top w:val="nil"/>
              <w:left w:val="nil"/>
              <w:bottom w:val="nil"/>
              <w:right w:val="nil"/>
            </w:tcBorders>
            <w:shd w:val="clear" w:color="auto" w:fill="auto"/>
            <w:noWrap/>
            <w:vAlign w:val="bottom"/>
          </w:tcPr>
          <w:p w14:paraId="6B5073DD">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0.01 (-0.01, 0.03)</w:t>
            </w:r>
          </w:p>
        </w:tc>
        <w:tc>
          <w:tcPr>
            <w:tcW w:w="2687" w:type="dxa"/>
            <w:tcBorders>
              <w:top w:val="nil"/>
              <w:left w:val="nil"/>
              <w:bottom w:val="nil"/>
              <w:right w:val="nil"/>
            </w:tcBorders>
            <w:shd w:val="clear" w:color="auto" w:fill="auto"/>
            <w:noWrap/>
            <w:vAlign w:val="bottom"/>
          </w:tcPr>
          <w:p w14:paraId="350FC54C">
            <w:pPr>
              <w:widowControl/>
              <w:spacing w:line="240" w:lineRule="auto"/>
              <w:jc w:val="center"/>
              <w:textAlignment w:val="bottom"/>
              <w:rPr>
                <w:rFonts w:hint="default" w:ascii="Times New Roman" w:hAnsi="Times New Roman" w:eastAsia="宋体" w:cs="Times New Roman"/>
                <w:color w:val="auto"/>
                <w:kern w:val="0"/>
                <w:sz w:val="24"/>
                <w:szCs w:val="24"/>
                <w:lang w:bidi="ar"/>
              </w:rPr>
            </w:pPr>
          </w:p>
        </w:tc>
      </w:tr>
      <w:tr w14:paraId="3E0F2E7A">
        <w:tblPrEx>
          <w:tblCellMar>
            <w:top w:w="0" w:type="dxa"/>
            <w:left w:w="108" w:type="dxa"/>
            <w:bottom w:w="0" w:type="dxa"/>
            <w:right w:w="108" w:type="dxa"/>
          </w:tblCellMar>
        </w:tblPrEx>
        <w:trPr>
          <w:gridAfter w:val="1"/>
          <w:wAfter w:w="10" w:type="pct"/>
          <w:trHeight w:val="300" w:hRule="atLeast"/>
        </w:trPr>
        <w:tc>
          <w:tcPr>
            <w:tcW w:w="3401" w:type="dxa"/>
            <w:tcBorders>
              <w:top w:val="nil"/>
              <w:left w:val="nil"/>
              <w:bottom w:val="nil"/>
              <w:right w:val="nil"/>
            </w:tcBorders>
            <w:shd w:val="clear" w:color="auto" w:fill="auto"/>
            <w:noWrap/>
            <w:vAlign w:val="bottom"/>
          </w:tcPr>
          <w:p w14:paraId="070AF932">
            <w:pPr>
              <w:widowControl/>
              <w:spacing w:line="240" w:lineRule="auto"/>
              <w:jc w:val="left"/>
              <w:textAlignment w:val="bottom"/>
              <w:rPr>
                <w:rFonts w:hint="default" w:ascii="Times New Roman" w:hAnsi="Times New Roman" w:eastAsia="宋体" w:cs="Times New Roman"/>
                <w:color w:val="auto"/>
                <w:kern w:val="0"/>
                <w:sz w:val="24"/>
                <w:szCs w:val="24"/>
                <w:lang w:bidi="ar"/>
              </w:rPr>
            </w:pPr>
            <w:r>
              <w:rPr>
                <w:rFonts w:hint="eastAsia" w:ascii="Times New Roman" w:hAnsi="Times New Roman" w:cs="Times New Roman"/>
                <w:b/>
                <w:bCs/>
                <w:i w:val="0"/>
                <w:iCs w:val="0"/>
                <w:color w:val="auto"/>
                <w:sz w:val="24"/>
                <w:highlight w:val="none"/>
                <w:lang w:val="en-US" w:eastAsia="zh-CN"/>
              </w:rPr>
              <w:t xml:space="preserve">Criterion </w:t>
            </w:r>
            <w:r>
              <w:rPr>
                <w:rFonts w:hint="default" w:ascii="Times New Roman" w:hAnsi="Times New Roman" w:eastAsia="宋体" w:cs="Times New Roman"/>
                <w:b/>
                <w:bCs/>
                <w:color w:val="auto"/>
                <w:kern w:val="0"/>
                <w:sz w:val="24"/>
                <w:szCs w:val="24"/>
                <w:lang w:bidi="ar"/>
              </w:rPr>
              <w:t>2</w:t>
            </w:r>
          </w:p>
        </w:tc>
        <w:tc>
          <w:tcPr>
            <w:tcW w:w="2685" w:type="dxa"/>
            <w:tcBorders>
              <w:top w:val="nil"/>
              <w:left w:val="nil"/>
              <w:bottom w:val="nil"/>
              <w:right w:val="nil"/>
            </w:tcBorders>
            <w:shd w:val="clear" w:color="auto" w:fill="auto"/>
            <w:noWrap/>
            <w:vAlign w:val="bottom"/>
          </w:tcPr>
          <w:p w14:paraId="4A92C547">
            <w:pPr>
              <w:widowControl/>
              <w:spacing w:line="240" w:lineRule="auto"/>
              <w:jc w:val="center"/>
              <w:textAlignment w:val="bottom"/>
              <w:rPr>
                <w:rFonts w:hint="default" w:ascii="Times New Roman" w:hAnsi="Times New Roman" w:eastAsia="宋体" w:cs="Times New Roman"/>
                <w:b/>
                <w:bCs/>
                <w:color w:val="auto"/>
                <w:kern w:val="0"/>
                <w:sz w:val="24"/>
                <w:szCs w:val="24"/>
                <w:lang w:bidi="ar"/>
              </w:rPr>
            </w:pPr>
            <w:r>
              <w:rPr>
                <w:rFonts w:hint="default" w:ascii="Times New Roman" w:hAnsi="Times New Roman" w:eastAsia="宋体" w:cs="Times New Roman"/>
                <w:b/>
                <w:bCs/>
                <w:color w:val="auto"/>
                <w:kern w:val="0"/>
                <w:sz w:val="24"/>
                <w:szCs w:val="24"/>
                <w:lang w:val="en-US" w:eastAsia="zh-CN" w:bidi="ar"/>
              </w:rPr>
              <w:t>5.72 (4.86, 6.59)</w:t>
            </w:r>
          </w:p>
        </w:tc>
        <w:tc>
          <w:tcPr>
            <w:tcW w:w="2685" w:type="dxa"/>
            <w:tcBorders>
              <w:top w:val="nil"/>
              <w:left w:val="nil"/>
              <w:bottom w:val="nil"/>
              <w:right w:val="nil"/>
            </w:tcBorders>
            <w:shd w:val="clear" w:color="auto" w:fill="auto"/>
            <w:noWrap/>
            <w:vAlign w:val="bottom"/>
          </w:tcPr>
          <w:p w14:paraId="1B4F1B9C">
            <w:pPr>
              <w:widowControl/>
              <w:spacing w:line="240" w:lineRule="auto"/>
              <w:jc w:val="center"/>
              <w:textAlignment w:val="bottom"/>
              <w:rPr>
                <w:rFonts w:hint="default" w:ascii="Times New Roman" w:hAnsi="Times New Roman" w:eastAsia="宋体" w:cs="Times New Roman"/>
                <w:b/>
                <w:bCs/>
                <w:color w:val="auto"/>
                <w:kern w:val="0"/>
                <w:sz w:val="24"/>
                <w:szCs w:val="24"/>
                <w:lang w:bidi="ar"/>
              </w:rPr>
            </w:pPr>
            <w:r>
              <w:rPr>
                <w:rFonts w:hint="default" w:ascii="Times New Roman" w:hAnsi="Times New Roman" w:eastAsia="宋体" w:cs="Times New Roman"/>
                <w:b/>
                <w:bCs/>
                <w:color w:val="auto"/>
                <w:kern w:val="0"/>
                <w:sz w:val="24"/>
                <w:szCs w:val="24"/>
                <w:lang w:val="en-US" w:eastAsia="zh-CN" w:bidi="ar"/>
              </w:rPr>
              <w:t>6.54 (5.25, 7.83)</w:t>
            </w:r>
          </w:p>
        </w:tc>
        <w:tc>
          <w:tcPr>
            <w:tcW w:w="2685" w:type="dxa"/>
            <w:tcBorders>
              <w:top w:val="nil"/>
              <w:left w:val="nil"/>
              <w:bottom w:val="nil"/>
              <w:right w:val="nil"/>
            </w:tcBorders>
            <w:shd w:val="clear" w:color="auto" w:fill="auto"/>
            <w:noWrap/>
            <w:vAlign w:val="bottom"/>
          </w:tcPr>
          <w:p w14:paraId="6D138698">
            <w:pPr>
              <w:widowControl/>
              <w:spacing w:line="240" w:lineRule="auto"/>
              <w:jc w:val="center"/>
              <w:textAlignment w:val="bottom"/>
              <w:rPr>
                <w:rFonts w:hint="default" w:ascii="Times New Roman" w:hAnsi="Times New Roman" w:eastAsia="宋体" w:cs="Times New Roman"/>
                <w:b/>
                <w:bCs/>
                <w:color w:val="auto"/>
                <w:kern w:val="0"/>
                <w:sz w:val="24"/>
                <w:szCs w:val="24"/>
                <w:lang w:bidi="ar"/>
              </w:rPr>
            </w:pPr>
            <w:r>
              <w:rPr>
                <w:rFonts w:hint="default" w:ascii="Times New Roman" w:hAnsi="Times New Roman" w:eastAsia="宋体" w:cs="Times New Roman"/>
                <w:b/>
                <w:bCs/>
                <w:color w:val="auto"/>
                <w:kern w:val="0"/>
                <w:sz w:val="24"/>
                <w:szCs w:val="24"/>
                <w:lang w:val="en-US" w:eastAsia="zh-CN" w:bidi="ar"/>
              </w:rPr>
              <w:t>4.85 (3.73, 5.97)</w:t>
            </w:r>
          </w:p>
        </w:tc>
        <w:tc>
          <w:tcPr>
            <w:tcW w:w="2687" w:type="dxa"/>
            <w:tcBorders>
              <w:top w:val="nil"/>
              <w:left w:val="nil"/>
              <w:bottom w:val="nil"/>
              <w:right w:val="nil"/>
            </w:tcBorders>
            <w:shd w:val="clear" w:color="auto" w:fill="auto"/>
            <w:noWrap/>
            <w:vAlign w:val="bottom"/>
          </w:tcPr>
          <w:p w14:paraId="691D5E3F">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0.055</w:t>
            </w:r>
          </w:p>
        </w:tc>
      </w:tr>
      <w:tr w14:paraId="4298B0C6">
        <w:tblPrEx>
          <w:tblCellMar>
            <w:top w:w="0" w:type="dxa"/>
            <w:left w:w="108" w:type="dxa"/>
            <w:bottom w:w="0" w:type="dxa"/>
            <w:right w:w="108" w:type="dxa"/>
          </w:tblCellMar>
        </w:tblPrEx>
        <w:trPr>
          <w:gridAfter w:val="1"/>
          <w:wAfter w:w="10" w:type="pct"/>
          <w:trHeight w:val="300" w:hRule="atLeast"/>
        </w:trPr>
        <w:tc>
          <w:tcPr>
            <w:tcW w:w="3401" w:type="dxa"/>
            <w:tcBorders>
              <w:top w:val="nil"/>
              <w:left w:val="nil"/>
              <w:bottom w:val="nil"/>
              <w:right w:val="nil"/>
            </w:tcBorders>
            <w:shd w:val="clear" w:color="auto" w:fill="auto"/>
            <w:noWrap/>
            <w:vAlign w:val="bottom"/>
          </w:tcPr>
          <w:p w14:paraId="13CA2860">
            <w:pPr>
              <w:widowControl/>
              <w:spacing w:line="240" w:lineRule="auto"/>
              <w:jc w:val="left"/>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bidi="ar"/>
              </w:rPr>
              <w:t>number of other risk factors</w:t>
            </w:r>
          </w:p>
        </w:tc>
        <w:tc>
          <w:tcPr>
            <w:tcW w:w="2685" w:type="dxa"/>
            <w:tcBorders>
              <w:top w:val="nil"/>
              <w:left w:val="nil"/>
              <w:bottom w:val="nil"/>
              <w:right w:val="nil"/>
            </w:tcBorders>
            <w:shd w:val="clear" w:color="auto" w:fill="auto"/>
            <w:noWrap/>
            <w:vAlign w:val="bottom"/>
          </w:tcPr>
          <w:p w14:paraId="129F0E6E">
            <w:pPr>
              <w:widowControl/>
              <w:spacing w:line="240" w:lineRule="auto"/>
              <w:jc w:val="center"/>
              <w:textAlignment w:val="bottom"/>
              <w:rPr>
                <w:rFonts w:hint="default" w:ascii="Times New Roman" w:hAnsi="Times New Roman" w:eastAsia="宋体" w:cs="Times New Roman"/>
                <w:color w:val="auto"/>
                <w:kern w:val="0"/>
                <w:sz w:val="24"/>
                <w:szCs w:val="24"/>
                <w:lang w:bidi="ar"/>
              </w:rPr>
            </w:pPr>
          </w:p>
        </w:tc>
        <w:tc>
          <w:tcPr>
            <w:tcW w:w="2685" w:type="dxa"/>
            <w:tcBorders>
              <w:top w:val="nil"/>
              <w:left w:val="nil"/>
              <w:bottom w:val="nil"/>
              <w:right w:val="nil"/>
            </w:tcBorders>
            <w:shd w:val="clear" w:color="auto" w:fill="auto"/>
            <w:noWrap/>
            <w:vAlign w:val="bottom"/>
          </w:tcPr>
          <w:p w14:paraId="316268EE">
            <w:pPr>
              <w:widowControl/>
              <w:spacing w:line="240" w:lineRule="auto"/>
              <w:jc w:val="center"/>
              <w:textAlignment w:val="bottom"/>
              <w:rPr>
                <w:rFonts w:hint="default" w:ascii="Times New Roman" w:hAnsi="Times New Roman" w:eastAsia="宋体" w:cs="Times New Roman"/>
                <w:color w:val="auto"/>
                <w:kern w:val="0"/>
                <w:sz w:val="24"/>
                <w:szCs w:val="24"/>
                <w:lang w:bidi="ar"/>
              </w:rPr>
            </w:pPr>
          </w:p>
        </w:tc>
        <w:tc>
          <w:tcPr>
            <w:tcW w:w="2685" w:type="dxa"/>
            <w:tcBorders>
              <w:top w:val="nil"/>
              <w:left w:val="nil"/>
              <w:bottom w:val="nil"/>
              <w:right w:val="nil"/>
            </w:tcBorders>
            <w:shd w:val="clear" w:color="auto" w:fill="auto"/>
            <w:noWrap/>
            <w:vAlign w:val="bottom"/>
          </w:tcPr>
          <w:p w14:paraId="39FEA2FE">
            <w:pPr>
              <w:widowControl/>
              <w:spacing w:line="240" w:lineRule="auto"/>
              <w:jc w:val="center"/>
              <w:textAlignment w:val="bottom"/>
              <w:rPr>
                <w:rFonts w:hint="default" w:ascii="Times New Roman" w:hAnsi="Times New Roman" w:eastAsia="宋体" w:cs="Times New Roman"/>
                <w:color w:val="auto"/>
                <w:kern w:val="0"/>
                <w:sz w:val="24"/>
                <w:szCs w:val="24"/>
                <w:lang w:bidi="ar"/>
              </w:rPr>
            </w:pPr>
          </w:p>
        </w:tc>
        <w:tc>
          <w:tcPr>
            <w:tcW w:w="2687" w:type="dxa"/>
            <w:tcBorders>
              <w:top w:val="nil"/>
              <w:left w:val="nil"/>
              <w:bottom w:val="nil"/>
              <w:right w:val="nil"/>
            </w:tcBorders>
            <w:shd w:val="clear" w:color="auto" w:fill="auto"/>
            <w:noWrap/>
            <w:vAlign w:val="bottom"/>
          </w:tcPr>
          <w:p w14:paraId="125D61C5">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0.039</w:t>
            </w:r>
          </w:p>
        </w:tc>
      </w:tr>
      <w:tr w14:paraId="67553170">
        <w:tblPrEx>
          <w:tblCellMar>
            <w:top w:w="0" w:type="dxa"/>
            <w:left w:w="108" w:type="dxa"/>
            <w:bottom w:w="0" w:type="dxa"/>
            <w:right w:w="108" w:type="dxa"/>
          </w:tblCellMar>
        </w:tblPrEx>
        <w:trPr>
          <w:gridAfter w:val="1"/>
          <w:wAfter w:w="10" w:type="pct"/>
          <w:trHeight w:val="300" w:hRule="atLeast"/>
        </w:trPr>
        <w:tc>
          <w:tcPr>
            <w:tcW w:w="3401" w:type="dxa"/>
            <w:tcBorders>
              <w:top w:val="nil"/>
              <w:left w:val="nil"/>
              <w:bottom w:val="nil"/>
              <w:right w:val="nil"/>
            </w:tcBorders>
            <w:shd w:val="clear" w:color="auto" w:fill="auto"/>
            <w:noWrap/>
            <w:vAlign w:val="bottom"/>
          </w:tcPr>
          <w:p w14:paraId="229F9E7D">
            <w:pPr>
              <w:widowControl/>
              <w:spacing w:line="240" w:lineRule="auto"/>
              <w:ind w:firstLine="240" w:firstLineChars="100"/>
              <w:jc w:val="both"/>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3</w:t>
            </w:r>
          </w:p>
        </w:tc>
        <w:tc>
          <w:tcPr>
            <w:tcW w:w="2685" w:type="dxa"/>
            <w:tcBorders>
              <w:top w:val="nil"/>
              <w:left w:val="nil"/>
              <w:bottom w:val="nil"/>
              <w:right w:val="nil"/>
            </w:tcBorders>
            <w:shd w:val="clear" w:color="auto" w:fill="auto"/>
            <w:noWrap/>
            <w:vAlign w:val="bottom"/>
          </w:tcPr>
          <w:p w14:paraId="5F121756">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4.44 (3.68, 5.21)</w:t>
            </w:r>
          </w:p>
        </w:tc>
        <w:tc>
          <w:tcPr>
            <w:tcW w:w="2685" w:type="dxa"/>
            <w:tcBorders>
              <w:top w:val="nil"/>
              <w:left w:val="nil"/>
              <w:bottom w:val="nil"/>
              <w:right w:val="nil"/>
            </w:tcBorders>
            <w:shd w:val="clear" w:color="auto" w:fill="auto"/>
            <w:noWrap/>
            <w:vAlign w:val="bottom"/>
          </w:tcPr>
          <w:p w14:paraId="4194D724">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5.05 (3.91, 6.19)</w:t>
            </w:r>
          </w:p>
        </w:tc>
        <w:tc>
          <w:tcPr>
            <w:tcW w:w="2685" w:type="dxa"/>
            <w:tcBorders>
              <w:top w:val="nil"/>
              <w:left w:val="nil"/>
              <w:bottom w:val="nil"/>
              <w:right w:val="nil"/>
            </w:tcBorders>
            <w:shd w:val="clear" w:color="auto" w:fill="auto"/>
            <w:noWrap/>
            <w:vAlign w:val="bottom"/>
          </w:tcPr>
          <w:p w14:paraId="1ABE843C">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3.79 (2.82, 4.77)</w:t>
            </w:r>
          </w:p>
        </w:tc>
        <w:tc>
          <w:tcPr>
            <w:tcW w:w="2687" w:type="dxa"/>
            <w:tcBorders>
              <w:top w:val="nil"/>
              <w:left w:val="nil"/>
              <w:bottom w:val="nil"/>
              <w:right w:val="nil"/>
            </w:tcBorders>
            <w:shd w:val="clear" w:color="auto" w:fill="auto"/>
            <w:noWrap/>
            <w:vAlign w:val="bottom"/>
          </w:tcPr>
          <w:p w14:paraId="1B740707">
            <w:pPr>
              <w:widowControl/>
              <w:spacing w:line="240" w:lineRule="auto"/>
              <w:jc w:val="center"/>
              <w:textAlignment w:val="bottom"/>
              <w:rPr>
                <w:rFonts w:hint="default" w:ascii="Times New Roman" w:hAnsi="Times New Roman" w:eastAsia="宋体" w:cs="Times New Roman"/>
                <w:color w:val="auto"/>
                <w:kern w:val="0"/>
                <w:sz w:val="24"/>
                <w:szCs w:val="24"/>
                <w:lang w:bidi="ar"/>
              </w:rPr>
            </w:pPr>
          </w:p>
        </w:tc>
      </w:tr>
      <w:tr w14:paraId="57F649ED">
        <w:tblPrEx>
          <w:tblCellMar>
            <w:top w:w="0" w:type="dxa"/>
            <w:left w:w="108" w:type="dxa"/>
            <w:bottom w:w="0" w:type="dxa"/>
            <w:right w:w="108" w:type="dxa"/>
          </w:tblCellMar>
        </w:tblPrEx>
        <w:trPr>
          <w:gridAfter w:val="1"/>
          <w:wAfter w:w="10" w:type="pct"/>
          <w:trHeight w:val="300" w:hRule="atLeast"/>
        </w:trPr>
        <w:tc>
          <w:tcPr>
            <w:tcW w:w="3401" w:type="dxa"/>
            <w:tcBorders>
              <w:top w:val="nil"/>
              <w:left w:val="nil"/>
              <w:bottom w:val="nil"/>
              <w:right w:val="nil"/>
            </w:tcBorders>
            <w:shd w:val="clear" w:color="auto" w:fill="auto"/>
            <w:noWrap/>
            <w:vAlign w:val="bottom"/>
          </w:tcPr>
          <w:p w14:paraId="353AEA29">
            <w:pPr>
              <w:widowControl/>
              <w:spacing w:line="240" w:lineRule="auto"/>
              <w:ind w:firstLine="240" w:firstLineChars="100"/>
              <w:jc w:val="both"/>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4</w:t>
            </w:r>
          </w:p>
        </w:tc>
        <w:tc>
          <w:tcPr>
            <w:tcW w:w="2685" w:type="dxa"/>
            <w:tcBorders>
              <w:top w:val="nil"/>
              <w:left w:val="nil"/>
              <w:bottom w:val="nil"/>
              <w:right w:val="nil"/>
            </w:tcBorders>
            <w:shd w:val="clear" w:color="auto" w:fill="auto"/>
            <w:noWrap/>
            <w:vAlign w:val="bottom"/>
          </w:tcPr>
          <w:p w14:paraId="0C81688B">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0.99 (0.67, 1.31)</w:t>
            </w:r>
          </w:p>
        </w:tc>
        <w:tc>
          <w:tcPr>
            <w:tcW w:w="2685" w:type="dxa"/>
            <w:tcBorders>
              <w:top w:val="nil"/>
              <w:left w:val="nil"/>
              <w:bottom w:val="nil"/>
              <w:right w:val="nil"/>
            </w:tcBorders>
            <w:shd w:val="clear" w:color="auto" w:fill="auto"/>
            <w:noWrap/>
            <w:vAlign w:val="bottom"/>
          </w:tcPr>
          <w:p w14:paraId="73A96911">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1.05 (0.58, 1.51)</w:t>
            </w:r>
          </w:p>
        </w:tc>
        <w:tc>
          <w:tcPr>
            <w:tcW w:w="2685" w:type="dxa"/>
            <w:tcBorders>
              <w:top w:val="nil"/>
              <w:left w:val="nil"/>
              <w:bottom w:val="nil"/>
              <w:right w:val="nil"/>
            </w:tcBorders>
            <w:shd w:val="clear" w:color="auto" w:fill="auto"/>
            <w:noWrap/>
            <w:vAlign w:val="bottom"/>
          </w:tcPr>
          <w:p w14:paraId="00A5EC36">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0.92 (0.47, 1.38)</w:t>
            </w:r>
          </w:p>
        </w:tc>
        <w:tc>
          <w:tcPr>
            <w:tcW w:w="2687" w:type="dxa"/>
            <w:tcBorders>
              <w:top w:val="nil"/>
              <w:left w:val="nil"/>
              <w:bottom w:val="nil"/>
              <w:right w:val="nil"/>
            </w:tcBorders>
            <w:shd w:val="clear" w:color="auto" w:fill="auto"/>
            <w:noWrap/>
            <w:vAlign w:val="bottom"/>
          </w:tcPr>
          <w:p w14:paraId="597AFD87">
            <w:pPr>
              <w:widowControl/>
              <w:spacing w:line="240" w:lineRule="auto"/>
              <w:jc w:val="center"/>
              <w:textAlignment w:val="bottom"/>
              <w:rPr>
                <w:rFonts w:hint="default" w:ascii="Times New Roman" w:hAnsi="Times New Roman" w:eastAsia="宋体" w:cs="Times New Roman"/>
                <w:color w:val="auto"/>
                <w:kern w:val="0"/>
                <w:sz w:val="24"/>
                <w:szCs w:val="24"/>
                <w:lang w:bidi="ar"/>
              </w:rPr>
            </w:pPr>
          </w:p>
        </w:tc>
      </w:tr>
      <w:tr w14:paraId="185D0C54">
        <w:tblPrEx>
          <w:tblCellMar>
            <w:top w:w="0" w:type="dxa"/>
            <w:left w:w="108" w:type="dxa"/>
            <w:bottom w:w="0" w:type="dxa"/>
            <w:right w:w="108" w:type="dxa"/>
          </w:tblCellMar>
        </w:tblPrEx>
        <w:trPr>
          <w:gridAfter w:val="1"/>
          <w:wAfter w:w="10" w:type="pct"/>
          <w:trHeight w:val="300" w:hRule="atLeast"/>
        </w:trPr>
        <w:tc>
          <w:tcPr>
            <w:tcW w:w="3401" w:type="dxa"/>
            <w:tcBorders>
              <w:top w:val="nil"/>
              <w:left w:val="nil"/>
              <w:bottom w:val="nil"/>
              <w:right w:val="nil"/>
            </w:tcBorders>
            <w:shd w:val="clear" w:color="auto" w:fill="auto"/>
            <w:noWrap/>
            <w:vAlign w:val="bottom"/>
          </w:tcPr>
          <w:p w14:paraId="3DABE861">
            <w:pPr>
              <w:widowControl/>
              <w:spacing w:line="240" w:lineRule="auto"/>
              <w:ind w:firstLine="240" w:firstLineChars="100"/>
              <w:jc w:val="both"/>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5</w:t>
            </w:r>
          </w:p>
        </w:tc>
        <w:tc>
          <w:tcPr>
            <w:tcW w:w="2685" w:type="dxa"/>
            <w:tcBorders>
              <w:top w:val="nil"/>
              <w:left w:val="nil"/>
              <w:bottom w:val="nil"/>
              <w:right w:val="nil"/>
            </w:tcBorders>
            <w:shd w:val="clear" w:color="auto" w:fill="auto"/>
            <w:noWrap/>
            <w:vAlign w:val="bottom"/>
          </w:tcPr>
          <w:p w14:paraId="659462FC">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0.29 (0.12, 0.47)</w:t>
            </w:r>
          </w:p>
        </w:tc>
        <w:tc>
          <w:tcPr>
            <w:tcW w:w="2685" w:type="dxa"/>
            <w:tcBorders>
              <w:top w:val="nil"/>
              <w:left w:val="nil"/>
              <w:bottom w:val="nil"/>
              <w:right w:val="nil"/>
            </w:tcBorders>
            <w:shd w:val="clear" w:color="auto" w:fill="auto"/>
            <w:noWrap/>
            <w:vAlign w:val="bottom"/>
          </w:tcPr>
          <w:p w14:paraId="53A764BC">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0.44 (0.17, 0.71)</w:t>
            </w:r>
          </w:p>
        </w:tc>
        <w:tc>
          <w:tcPr>
            <w:tcW w:w="2685" w:type="dxa"/>
            <w:tcBorders>
              <w:top w:val="nil"/>
              <w:left w:val="nil"/>
              <w:bottom w:val="nil"/>
              <w:right w:val="nil"/>
            </w:tcBorders>
            <w:shd w:val="clear" w:color="auto" w:fill="auto"/>
            <w:noWrap/>
            <w:vAlign w:val="bottom"/>
          </w:tcPr>
          <w:p w14:paraId="2D5E1F7D">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0.13 (-0.02, 0.29)</w:t>
            </w:r>
          </w:p>
        </w:tc>
        <w:tc>
          <w:tcPr>
            <w:tcW w:w="2687" w:type="dxa"/>
            <w:tcBorders>
              <w:top w:val="nil"/>
              <w:left w:val="nil"/>
              <w:bottom w:val="nil"/>
              <w:right w:val="nil"/>
            </w:tcBorders>
            <w:shd w:val="clear" w:color="auto" w:fill="auto"/>
            <w:noWrap/>
            <w:vAlign w:val="bottom"/>
          </w:tcPr>
          <w:p w14:paraId="3EDEE401">
            <w:pPr>
              <w:widowControl/>
              <w:spacing w:line="240" w:lineRule="auto"/>
              <w:jc w:val="center"/>
              <w:textAlignment w:val="bottom"/>
              <w:rPr>
                <w:rFonts w:hint="default" w:ascii="Times New Roman" w:hAnsi="Times New Roman" w:eastAsia="宋体" w:cs="Times New Roman"/>
                <w:color w:val="auto"/>
                <w:kern w:val="0"/>
                <w:sz w:val="24"/>
                <w:szCs w:val="24"/>
                <w:lang w:bidi="ar"/>
              </w:rPr>
            </w:pPr>
          </w:p>
        </w:tc>
      </w:tr>
      <w:tr w14:paraId="67945D1F">
        <w:tblPrEx>
          <w:tblCellMar>
            <w:top w:w="0" w:type="dxa"/>
            <w:left w:w="108" w:type="dxa"/>
            <w:bottom w:w="0" w:type="dxa"/>
            <w:right w:w="108" w:type="dxa"/>
          </w:tblCellMar>
        </w:tblPrEx>
        <w:trPr>
          <w:gridAfter w:val="1"/>
          <w:wAfter w:w="10" w:type="pct"/>
          <w:trHeight w:val="300" w:hRule="atLeast"/>
        </w:trPr>
        <w:tc>
          <w:tcPr>
            <w:tcW w:w="3401" w:type="dxa"/>
            <w:tcBorders>
              <w:top w:val="nil"/>
              <w:left w:val="nil"/>
              <w:bottom w:val="nil"/>
              <w:right w:val="nil"/>
            </w:tcBorders>
            <w:shd w:val="clear" w:color="auto" w:fill="auto"/>
            <w:noWrap/>
            <w:vAlign w:val="bottom"/>
          </w:tcPr>
          <w:p w14:paraId="3AEC4624">
            <w:pPr>
              <w:widowControl/>
              <w:spacing w:line="240" w:lineRule="auto"/>
              <w:jc w:val="left"/>
              <w:textAlignment w:val="bottom"/>
              <w:rPr>
                <w:rFonts w:hint="default" w:ascii="Times New Roman" w:hAnsi="Times New Roman" w:eastAsia="宋体" w:cs="Times New Roman"/>
                <w:b/>
                <w:bCs/>
                <w:color w:val="auto"/>
                <w:kern w:val="0"/>
                <w:sz w:val="24"/>
                <w:szCs w:val="24"/>
                <w:lang w:bidi="ar"/>
              </w:rPr>
            </w:pPr>
            <w:r>
              <w:rPr>
                <w:rFonts w:hint="eastAsia" w:ascii="Times New Roman" w:hAnsi="Times New Roman" w:cs="Times New Roman"/>
                <w:b/>
                <w:bCs/>
                <w:i w:val="0"/>
                <w:iCs w:val="0"/>
                <w:color w:val="auto"/>
                <w:sz w:val="24"/>
                <w:highlight w:val="none"/>
                <w:lang w:val="en-US" w:eastAsia="zh-CN"/>
              </w:rPr>
              <w:t xml:space="preserve">Criterion </w:t>
            </w:r>
            <w:r>
              <w:rPr>
                <w:rFonts w:hint="default" w:ascii="Times New Roman" w:hAnsi="Times New Roman" w:eastAsia="宋体" w:cs="Times New Roman"/>
                <w:b/>
                <w:bCs/>
                <w:color w:val="auto"/>
                <w:kern w:val="0"/>
                <w:sz w:val="24"/>
                <w:szCs w:val="24"/>
                <w:lang w:bidi="ar"/>
              </w:rPr>
              <w:t>3</w:t>
            </w:r>
          </w:p>
        </w:tc>
        <w:tc>
          <w:tcPr>
            <w:tcW w:w="2685" w:type="dxa"/>
            <w:tcBorders>
              <w:top w:val="nil"/>
              <w:left w:val="nil"/>
              <w:bottom w:val="nil"/>
              <w:right w:val="nil"/>
            </w:tcBorders>
            <w:shd w:val="clear" w:color="auto" w:fill="auto"/>
            <w:noWrap/>
            <w:vAlign w:val="bottom"/>
          </w:tcPr>
          <w:p w14:paraId="1678A123">
            <w:pPr>
              <w:widowControl/>
              <w:spacing w:line="240" w:lineRule="auto"/>
              <w:jc w:val="center"/>
              <w:textAlignment w:val="bottom"/>
              <w:rPr>
                <w:rFonts w:hint="default" w:ascii="Times New Roman" w:hAnsi="Times New Roman" w:eastAsia="宋体" w:cs="Times New Roman"/>
                <w:b/>
                <w:bCs/>
                <w:color w:val="auto"/>
                <w:kern w:val="0"/>
                <w:sz w:val="24"/>
                <w:szCs w:val="24"/>
                <w:lang w:bidi="ar"/>
              </w:rPr>
            </w:pPr>
            <w:r>
              <w:rPr>
                <w:rFonts w:hint="default" w:ascii="Times New Roman" w:hAnsi="Times New Roman" w:eastAsia="宋体" w:cs="Times New Roman"/>
                <w:b/>
                <w:bCs/>
                <w:color w:val="auto"/>
                <w:kern w:val="0"/>
                <w:sz w:val="24"/>
                <w:szCs w:val="24"/>
                <w:lang w:val="en-US" w:eastAsia="zh-CN" w:bidi="ar"/>
              </w:rPr>
              <w:t>7.33 (6.35, 8.3)</w:t>
            </w:r>
          </w:p>
        </w:tc>
        <w:tc>
          <w:tcPr>
            <w:tcW w:w="2685" w:type="dxa"/>
            <w:tcBorders>
              <w:top w:val="nil"/>
              <w:left w:val="nil"/>
              <w:bottom w:val="nil"/>
              <w:right w:val="nil"/>
            </w:tcBorders>
            <w:shd w:val="clear" w:color="auto" w:fill="auto"/>
            <w:noWrap/>
            <w:vAlign w:val="bottom"/>
          </w:tcPr>
          <w:p w14:paraId="0EB8E450">
            <w:pPr>
              <w:widowControl/>
              <w:spacing w:line="240" w:lineRule="auto"/>
              <w:jc w:val="center"/>
              <w:textAlignment w:val="bottom"/>
              <w:rPr>
                <w:rFonts w:hint="default" w:ascii="Times New Roman" w:hAnsi="Times New Roman" w:eastAsia="宋体" w:cs="Times New Roman"/>
                <w:b/>
                <w:bCs/>
                <w:color w:val="auto"/>
                <w:kern w:val="0"/>
                <w:sz w:val="24"/>
                <w:szCs w:val="24"/>
                <w:lang w:bidi="ar"/>
              </w:rPr>
            </w:pPr>
            <w:r>
              <w:rPr>
                <w:rFonts w:hint="default" w:ascii="Times New Roman" w:hAnsi="Times New Roman" w:eastAsia="宋体" w:cs="Times New Roman"/>
                <w:b/>
                <w:bCs/>
                <w:color w:val="auto"/>
                <w:kern w:val="0"/>
                <w:sz w:val="24"/>
                <w:szCs w:val="24"/>
                <w:lang w:val="en-US" w:eastAsia="zh-CN" w:bidi="ar"/>
              </w:rPr>
              <w:t>8.98 (7.51, 10.45)</w:t>
            </w:r>
          </w:p>
        </w:tc>
        <w:tc>
          <w:tcPr>
            <w:tcW w:w="2685" w:type="dxa"/>
            <w:tcBorders>
              <w:top w:val="nil"/>
              <w:left w:val="nil"/>
              <w:bottom w:val="nil"/>
              <w:right w:val="nil"/>
            </w:tcBorders>
            <w:shd w:val="clear" w:color="auto" w:fill="auto"/>
            <w:noWrap/>
            <w:vAlign w:val="bottom"/>
          </w:tcPr>
          <w:p w14:paraId="3726952D">
            <w:pPr>
              <w:widowControl/>
              <w:spacing w:line="240" w:lineRule="auto"/>
              <w:jc w:val="center"/>
              <w:textAlignment w:val="bottom"/>
              <w:rPr>
                <w:rFonts w:hint="default" w:ascii="Times New Roman" w:hAnsi="Times New Roman" w:eastAsia="宋体" w:cs="Times New Roman"/>
                <w:b/>
                <w:bCs/>
                <w:color w:val="auto"/>
                <w:kern w:val="0"/>
                <w:sz w:val="24"/>
                <w:szCs w:val="24"/>
                <w:lang w:bidi="ar"/>
              </w:rPr>
            </w:pPr>
            <w:r>
              <w:rPr>
                <w:rFonts w:hint="default" w:ascii="Times New Roman" w:hAnsi="Times New Roman" w:eastAsia="宋体" w:cs="Times New Roman"/>
                <w:b/>
                <w:bCs/>
                <w:color w:val="auto"/>
                <w:kern w:val="0"/>
                <w:sz w:val="24"/>
                <w:szCs w:val="24"/>
                <w:lang w:val="en-US" w:eastAsia="zh-CN" w:bidi="ar"/>
              </w:rPr>
              <w:t>5.56 (4.39, 6.72)</w:t>
            </w:r>
          </w:p>
        </w:tc>
        <w:tc>
          <w:tcPr>
            <w:tcW w:w="2687" w:type="dxa"/>
            <w:tcBorders>
              <w:top w:val="nil"/>
              <w:left w:val="nil"/>
              <w:bottom w:val="nil"/>
              <w:right w:val="nil"/>
            </w:tcBorders>
            <w:shd w:val="clear" w:color="auto" w:fill="auto"/>
            <w:noWrap/>
            <w:vAlign w:val="bottom"/>
          </w:tcPr>
          <w:p w14:paraId="03D65D97">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&lt;0.001</w:t>
            </w:r>
          </w:p>
        </w:tc>
      </w:tr>
      <w:tr w14:paraId="29BD027E">
        <w:tblPrEx>
          <w:tblCellMar>
            <w:top w:w="0" w:type="dxa"/>
            <w:left w:w="108" w:type="dxa"/>
            <w:bottom w:w="0" w:type="dxa"/>
            <w:right w:w="108" w:type="dxa"/>
          </w:tblCellMar>
        </w:tblPrEx>
        <w:trPr>
          <w:gridAfter w:val="1"/>
          <w:wAfter w:w="10" w:type="pct"/>
          <w:trHeight w:val="300" w:hRule="atLeast"/>
        </w:trPr>
        <w:tc>
          <w:tcPr>
            <w:tcW w:w="3401" w:type="dxa"/>
            <w:tcBorders>
              <w:top w:val="nil"/>
              <w:left w:val="nil"/>
              <w:bottom w:val="nil"/>
              <w:right w:val="nil"/>
            </w:tcBorders>
            <w:shd w:val="clear" w:color="auto" w:fill="auto"/>
            <w:noWrap/>
            <w:vAlign w:val="bottom"/>
          </w:tcPr>
          <w:p w14:paraId="61672E9F">
            <w:pPr>
              <w:widowControl/>
              <w:spacing w:line="240" w:lineRule="auto"/>
              <w:jc w:val="left"/>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bidi="ar"/>
              </w:rPr>
              <w:t>number of other risk factors</w:t>
            </w:r>
          </w:p>
        </w:tc>
        <w:tc>
          <w:tcPr>
            <w:tcW w:w="2685" w:type="dxa"/>
            <w:tcBorders>
              <w:top w:val="nil"/>
              <w:left w:val="nil"/>
              <w:bottom w:val="nil"/>
              <w:right w:val="nil"/>
            </w:tcBorders>
            <w:shd w:val="clear" w:color="auto" w:fill="auto"/>
            <w:noWrap/>
            <w:vAlign w:val="bottom"/>
          </w:tcPr>
          <w:p w14:paraId="5F688FFA">
            <w:pPr>
              <w:widowControl/>
              <w:spacing w:line="240" w:lineRule="auto"/>
              <w:jc w:val="center"/>
              <w:textAlignment w:val="bottom"/>
              <w:rPr>
                <w:rFonts w:hint="default" w:ascii="Times New Roman" w:hAnsi="Times New Roman" w:eastAsia="宋体" w:cs="Times New Roman"/>
                <w:color w:val="auto"/>
                <w:kern w:val="0"/>
                <w:sz w:val="24"/>
                <w:szCs w:val="24"/>
                <w:lang w:bidi="ar"/>
              </w:rPr>
            </w:pPr>
          </w:p>
        </w:tc>
        <w:tc>
          <w:tcPr>
            <w:tcW w:w="2685" w:type="dxa"/>
            <w:tcBorders>
              <w:top w:val="nil"/>
              <w:left w:val="nil"/>
              <w:bottom w:val="nil"/>
              <w:right w:val="nil"/>
            </w:tcBorders>
            <w:shd w:val="clear" w:color="auto" w:fill="auto"/>
            <w:noWrap/>
            <w:vAlign w:val="bottom"/>
          </w:tcPr>
          <w:p w14:paraId="5513DAED">
            <w:pPr>
              <w:widowControl/>
              <w:spacing w:line="240" w:lineRule="auto"/>
              <w:jc w:val="center"/>
              <w:textAlignment w:val="bottom"/>
              <w:rPr>
                <w:rFonts w:hint="default" w:ascii="Times New Roman" w:hAnsi="Times New Roman" w:eastAsia="宋体" w:cs="Times New Roman"/>
                <w:color w:val="auto"/>
                <w:kern w:val="0"/>
                <w:sz w:val="24"/>
                <w:szCs w:val="24"/>
                <w:lang w:bidi="ar"/>
              </w:rPr>
            </w:pPr>
          </w:p>
        </w:tc>
        <w:tc>
          <w:tcPr>
            <w:tcW w:w="2685" w:type="dxa"/>
            <w:tcBorders>
              <w:top w:val="nil"/>
              <w:left w:val="nil"/>
              <w:bottom w:val="nil"/>
              <w:right w:val="nil"/>
            </w:tcBorders>
            <w:shd w:val="clear" w:color="auto" w:fill="auto"/>
            <w:noWrap/>
            <w:vAlign w:val="bottom"/>
          </w:tcPr>
          <w:p w14:paraId="0D61E416">
            <w:pPr>
              <w:widowControl/>
              <w:spacing w:line="240" w:lineRule="auto"/>
              <w:jc w:val="center"/>
              <w:textAlignment w:val="bottom"/>
              <w:rPr>
                <w:rFonts w:hint="default" w:ascii="Times New Roman" w:hAnsi="Times New Roman" w:eastAsia="宋体" w:cs="Times New Roman"/>
                <w:color w:val="auto"/>
                <w:kern w:val="0"/>
                <w:sz w:val="24"/>
                <w:szCs w:val="24"/>
                <w:lang w:bidi="ar"/>
              </w:rPr>
            </w:pPr>
          </w:p>
        </w:tc>
        <w:tc>
          <w:tcPr>
            <w:tcW w:w="2687" w:type="dxa"/>
            <w:tcBorders>
              <w:top w:val="nil"/>
              <w:left w:val="nil"/>
              <w:bottom w:val="nil"/>
              <w:right w:val="nil"/>
            </w:tcBorders>
            <w:shd w:val="clear" w:color="auto" w:fill="auto"/>
            <w:noWrap/>
            <w:vAlign w:val="bottom"/>
          </w:tcPr>
          <w:p w14:paraId="680D5CDA">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&lt;0.001</w:t>
            </w:r>
          </w:p>
        </w:tc>
      </w:tr>
      <w:tr w14:paraId="0DB6429D">
        <w:tblPrEx>
          <w:tblCellMar>
            <w:top w:w="0" w:type="dxa"/>
            <w:left w:w="108" w:type="dxa"/>
            <w:bottom w:w="0" w:type="dxa"/>
            <w:right w:w="108" w:type="dxa"/>
          </w:tblCellMar>
        </w:tblPrEx>
        <w:trPr>
          <w:gridAfter w:val="1"/>
          <w:wAfter w:w="10" w:type="pct"/>
          <w:trHeight w:val="300" w:hRule="atLeast"/>
        </w:trPr>
        <w:tc>
          <w:tcPr>
            <w:tcW w:w="3401" w:type="dxa"/>
            <w:tcBorders>
              <w:top w:val="nil"/>
              <w:left w:val="nil"/>
              <w:bottom w:val="nil"/>
              <w:right w:val="nil"/>
            </w:tcBorders>
            <w:shd w:val="clear" w:color="auto" w:fill="auto"/>
            <w:noWrap/>
            <w:vAlign w:val="bottom"/>
          </w:tcPr>
          <w:p w14:paraId="2C9B3FED">
            <w:pPr>
              <w:widowControl/>
              <w:spacing w:line="240" w:lineRule="auto"/>
              <w:ind w:firstLine="240" w:firstLineChars="100"/>
              <w:jc w:val="both"/>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3</w:t>
            </w:r>
          </w:p>
        </w:tc>
        <w:tc>
          <w:tcPr>
            <w:tcW w:w="2685" w:type="dxa"/>
            <w:tcBorders>
              <w:top w:val="nil"/>
              <w:left w:val="nil"/>
              <w:bottom w:val="nil"/>
              <w:right w:val="nil"/>
            </w:tcBorders>
            <w:shd w:val="clear" w:color="auto" w:fill="auto"/>
            <w:noWrap/>
            <w:vAlign w:val="bottom"/>
          </w:tcPr>
          <w:p w14:paraId="615D211B">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5.43 (4.69, 6.17)</w:t>
            </w:r>
          </w:p>
        </w:tc>
        <w:tc>
          <w:tcPr>
            <w:tcW w:w="2685" w:type="dxa"/>
            <w:tcBorders>
              <w:top w:val="nil"/>
              <w:left w:val="nil"/>
              <w:bottom w:val="nil"/>
              <w:right w:val="nil"/>
            </w:tcBorders>
            <w:shd w:val="clear" w:color="auto" w:fill="auto"/>
            <w:noWrap/>
            <w:vAlign w:val="bottom"/>
          </w:tcPr>
          <w:p w14:paraId="56F1C1B4">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6.52 (5.4, 7.64)</w:t>
            </w:r>
          </w:p>
        </w:tc>
        <w:tc>
          <w:tcPr>
            <w:tcW w:w="2685" w:type="dxa"/>
            <w:tcBorders>
              <w:top w:val="nil"/>
              <w:left w:val="nil"/>
              <w:bottom w:val="nil"/>
              <w:right w:val="nil"/>
            </w:tcBorders>
            <w:shd w:val="clear" w:color="auto" w:fill="auto"/>
            <w:noWrap/>
            <w:vAlign w:val="bottom"/>
          </w:tcPr>
          <w:p w14:paraId="732A52F6">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4.27 (3.3, 5.24)</w:t>
            </w:r>
          </w:p>
        </w:tc>
        <w:tc>
          <w:tcPr>
            <w:tcW w:w="2687" w:type="dxa"/>
            <w:tcBorders>
              <w:top w:val="nil"/>
              <w:left w:val="nil"/>
              <w:bottom w:val="nil"/>
              <w:right w:val="nil"/>
            </w:tcBorders>
            <w:shd w:val="clear" w:color="auto" w:fill="auto"/>
            <w:noWrap/>
            <w:vAlign w:val="bottom"/>
          </w:tcPr>
          <w:p w14:paraId="03436BDE">
            <w:pPr>
              <w:widowControl/>
              <w:spacing w:line="240" w:lineRule="auto"/>
              <w:jc w:val="center"/>
              <w:textAlignment w:val="bottom"/>
              <w:rPr>
                <w:rFonts w:hint="default" w:ascii="Times New Roman" w:hAnsi="Times New Roman" w:eastAsia="宋体" w:cs="Times New Roman"/>
                <w:color w:val="auto"/>
                <w:kern w:val="0"/>
                <w:sz w:val="24"/>
                <w:szCs w:val="24"/>
                <w:lang w:bidi="ar"/>
              </w:rPr>
            </w:pPr>
          </w:p>
        </w:tc>
      </w:tr>
      <w:tr w14:paraId="045B25E1">
        <w:tblPrEx>
          <w:tblCellMar>
            <w:top w:w="0" w:type="dxa"/>
            <w:left w:w="108" w:type="dxa"/>
            <w:bottom w:w="0" w:type="dxa"/>
            <w:right w:w="108" w:type="dxa"/>
          </w:tblCellMar>
        </w:tblPrEx>
        <w:trPr>
          <w:gridAfter w:val="1"/>
          <w:wAfter w:w="10" w:type="pct"/>
          <w:trHeight w:val="300" w:hRule="atLeast"/>
        </w:trPr>
        <w:tc>
          <w:tcPr>
            <w:tcW w:w="3401" w:type="dxa"/>
            <w:tcBorders>
              <w:top w:val="nil"/>
              <w:left w:val="nil"/>
              <w:bottom w:val="nil"/>
              <w:right w:val="nil"/>
            </w:tcBorders>
            <w:shd w:val="clear" w:color="auto" w:fill="auto"/>
            <w:noWrap/>
            <w:vAlign w:val="bottom"/>
          </w:tcPr>
          <w:p w14:paraId="66EBFD48">
            <w:pPr>
              <w:widowControl/>
              <w:spacing w:line="240" w:lineRule="auto"/>
              <w:ind w:firstLine="240" w:firstLineChars="100"/>
              <w:jc w:val="both"/>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4</w:t>
            </w:r>
          </w:p>
        </w:tc>
        <w:tc>
          <w:tcPr>
            <w:tcW w:w="2685" w:type="dxa"/>
            <w:tcBorders>
              <w:top w:val="nil"/>
              <w:left w:val="nil"/>
              <w:bottom w:val="nil"/>
              <w:right w:val="nil"/>
            </w:tcBorders>
            <w:shd w:val="clear" w:color="auto" w:fill="auto"/>
            <w:noWrap/>
            <w:vAlign w:val="bottom"/>
          </w:tcPr>
          <w:p w14:paraId="4AA2D8A8">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1.5 (1.09, 1.91)</w:t>
            </w:r>
          </w:p>
        </w:tc>
        <w:tc>
          <w:tcPr>
            <w:tcW w:w="2685" w:type="dxa"/>
            <w:tcBorders>
              <w:top w:val="nil"/>
              <w:left w:val="nil"/>
              <w:bottom w:val="nil"/>
              <w:right w:val="nil"/>
            </w:tcBorders>
            <w:shd w:val="clear" w:color="auto" w:fill="auto"/>
            <w:noWrap/>
            <w:vAlign w:val="bottom"/>
          </w:tcPr>
          <w:p w14:paraId="109BE412">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1.91 (1.27, 2.55)</w:t>
            </w:r>
          </w:p>
        </w:tc>
        <w:tc>
          <w:tcPr>
            <w:tcW w:w="2685" w:type="dxa"/>
            <w:tcBorders>
              <w:top w:val="nil"/>
              <w:left w:val="nil"/>
              <w:bottom w:val="nil"/>
              <w:right w:val="nil"/>
            </w:tcBorders>
            <w:shd w:val="clear" w:color="auto" w:fill="auto"/>
            <w:noWrap/>
            <w:vAlign w:val="bottom"/>
          </w:tcPr>
          <w:p w14:paraId="1236C5F8">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1.06 (0.61, 1.51)</w:t>
            </w:r>
          </w:p>
        </w:tc>
        <w:tc>
          <w:tcPr>
            <w:tcW w:w="2687" w:type="dxa"/>
            <w:tcBorders>
              <w:top w:val="nil"/>
              <w:left w:val="nil"/>
              <w:bottom w:val="nil"/>
              <w:right w:val="nil"/>
            </w:tcBorders>
            <w:shd w:val="clear" w:color="auto" w:fill="auto"/>
            <w:noWrap/>
            <w:vAlign w:val="bottom"/>
          </w:tcPr>
          <w:p w14:paraId="45D1FA1F">
            <w:pPr>
              <w:widowControl/>
              <w:spacing w:line="240" w:lineRule="auto"/>
              <w:jc w:val="center"/>
              <w:textAlignment w:val="bottom"/>
              <w:rPr>
                <w:rFonts w:hint="default" w:ascii="Times New Roman" w:hAnsi="Times New Roman" w:eastAsia="宋体" w:cs="Times New Roman"/>
                <w:color w:val="auto"/>
                <w:kern w:val="0"/>
                <w:sz w:val="24"/>
                <w:szCs w:val="24"/>
                <w:lang w:bidi="ar"/>
              </w:rPr>
            </w:pPr>
          </w:p>
        </w:tc>
      </w:tr>
      <w:tr w14:paraId="49A992E1">
        <w:tblPrEx>
          <w:tblCellMar>
            <w:top w:w="0" w:type="dxa"/>
            <w:left w:w="108" w:type="dxa"/>
            <w:bottom w:w="0" w:type="dxa"/>
            <w:right w:w="108" w:type="dxa"/>
          </w:tblCellMar>
        </w:tblPrEx>
        <w:trPr>
          <w:gridAfter w:val="1"/>
          <w:wAfter w:w="10" w:type="pct"/>
          <w:trHeight w:val="300" w:hRule="atLeast"/>
        </w:trPr>
        <w:tc>
          <w:tcPr>
            <w:tcW w:w="3401" w:type="dxa"/>
            <w:tcBorders>
              <w:top w:val="nil"/>
              <w:left w:val="nil"/>
              <w:bottom w:val="nil"/>
              <w:right w:val="nil"/>
            </w:tcBorders>
            <w:shd w:val="clear" w:color="auto" w:fill="auto"/>
            <w:noWrap/>
            <w:vAlign w:val="bottom"/>
          </w:tcPr>
          <w:p w14:paraId="53BFF1D1">
            <w:pPr>
              <w:widowControl/>
              <w:spacing w:line="240" w:lineRule="auto"/>
              <w:ind w:firstLine="240" w:firstLineChars="100"/>
              <w:jc w:val="both"/>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5</w:t>
            </w:r>
          </w:p>
        </w:tc>
        <w:tc>
          <w:tcPr>
            <w:tcW w:w="2685" w:type="dxa"/>
            <w:tcBorders>
              <w:top w:val="nil"/>
              <w:left w:val="nil"/>
              <w:bottom w:val="nil"/>
              <w:right w:val="nil"/>
            </w:tcBorders>
            <w:shd w:val="clear" w:color="auto" w:fill="auto"/>
            <w:noWrap/>
            <w:vAlign w:val="bottom"/>
          </w:tcPr>
          <w:p w14:paraId="17B85342">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0.4 (0.16, 0.63)</w:t>
            </w:r>
          </w:p>
        </w:tc>
        <w:tc>
          <w:tcPr>
            <w:tcW w:w="2685" w:type="dxa"/>
            <w:tcBorders>
              <w:top w:val="nil"/>
              <w:left w:val="nil"/>
              <w:bottom w:val="nil"/>
              <w:right w:val="nil"/>
            </w:tcBorders>
            <w:shd w:val="clear" w:color="auto" w:fill="auto"/>
            <w:noWrap/>
            <w:vAlign w:val="bottom"/>
          </w:tcPr>
          <w:p w14:paraId="606AEEA0">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0.55 (0.25, 0.85)</w:t>
            </w:r>
          </w:p>
        </w:tc>
        <w:tc>
          <w:tcPr>
            <w:tcW w:w="2685" w:type="dxa"/>
            <w:tcBorders>
              <w:top w:val="nil"/>
              <w:left w:val="nil"/>
              <w:bottom w:val="nil"/>
              <w:right w:val="nil"/>
            </w:tcBorders>
            <w:shd w:val="clear" w:color="auto" w:fill="auto"/>
            <w:noWrap/>
            <w:vAlign w:val="bottom"/>
          </w:tcPr>
          <w:p w14:paraId="70481618">
            <w:pPr>
              <w:widowControl/>
              <w:spacing w:line="240" w:lineRule="auto"/>
              <w:jc w:val="center"/>
              <w:textAlignment w:val="bottom"/>
              <w:rPr>
                <w:rFonts w:hint="default" w:ascii="Times New Roman" w:hAnsi="Times New Roman" w:eastAsia="宋体"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0.23 (-0.04, 0.5)</w:t>
            </w:r>
          </w:p>
        </w:tc>
        <w:tc>
          <w:tcPr>
            <w:tcW w:w="2687" w:type="dxa"/>
            <w:tcBorders>
              <w:top w:val="nil"/>
              <w:left w:val="nil"/>
              <w:bottom w:val="nil"/>
              <w:right w:val="nil"/>
            </w:tcBorders>
            <w:shd w:val="clear" w:color="auto" w:fill="auto"/>
            <w:noWrap/>
            <w:vAlign w:val="bottom"/>
          </w:tcPr>
          <w:p w14:paraId="28C3B7B6">
            <w:pPr>
              <w:widowControl/>
              <w:spacing w:line="240" w:lineRule="auto"/>
              <w:jc w:val="center"/>
              <w:textAlignment w:val="bottom"/>
              <w:rPr>
                <w:rFonts w:hint="default" w:ascii="Times New Roman" w:hAnsi="Times New Roman" w:eastAsia="宋体" w:cs="Times New Roman"/>
                <w:color w:val="auto"/>
                <w:kern w:val="0"/>
                <w:sz w:val="24"/>
                <w:szCs w:val="24"/>
                <w:lang w:bidi="ar"/>
              </w:rPr>
            </w:pPr>
          </w:p>
        </w:tc>
      </w:tr>
      <w:tr w14:paraId="624D1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5000" w:type="pct"/>
            <w:gridSpan w:val="6"/>
            <w:tcBorders>
              <w:top w:val="nil"/>
              <w:left w:val="nil"/>
              <w:bottom w:val="nil"/>
              <w:right w:val="nil"/>
            </w:tcBorders>
            <w:shd w:val="clear" w:color="auto" w:fill="D7D7D7" w:themeFill="background1" w:themeFillShade="D8"/>
            <w:noWrap/>
            <w:vAlign w:val="bottom"/>
          </w:tcPr>
          <w:p w14:paraId="397FFB3F">
            <w:pPr>
              <w:keepNext w:val="0"/>
              <w:keepLines w:val="0"/>
              <w:widowControl/>
              <w:suppressLineNumbers w:val="0"/>
              <w:spacing w:line="240" w:lineRule="auto"/>
              <w:jc w:val="left"/>
              <w:textAlignment w:val="bottom"/>
              <w:rPr>
                <w:rFonts w:hint="default" w:ascii="Times New Roman" w:hAnsi="Times New Roman" w:cs="Times New Roman"/>
                <w:i w:val="0"/>
                <w:iCs w:val="0"/>
                <w:color w:val="auto"/>
                <w:sz w:val="22"/>
                <w:szCs w:val="22"/>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 xml:space="preserve">MS in </w:t>
            </w:r>
            <w:r>
              <w:rPr>
                <w:rFonts w:hint="default" w:ascii="Times New Roman" w:hAnsi="Times New Roman" w:cs="Times New Roman"/>
                <w:b/>
                <w:bCs/>
                <w:i w:val="0"/>
                <w:iCs w:val="0"/>
                <w:color w:val="auto"/>
                <w:sz w:val="24"/>
              </w:rPr>
              <w:t xml:space="preserve">classification </w:t>
            </w:r>
            <w:r>
              <w:rPr>
                <w:rFonts w:hint="default" w:ascii="Times New Roman" w:hAnsi="Times New Roman" w:cs="Times New Roman"/>
                <w:b/>
                <w:bCs/>
                <w:i w:val="0"/>
                <w:iCs w:val="0"/>
                <w:color w:val="auto"/>
                <w:sz w:val="24"/>
                <w:lang w:val="en-US" w:eastAsia="zh-CN"/>
              </w:rPr>
              <w:t>system 2</w:t>
            </w: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 defined as AO and ≥2 of 4 risk factors</w:t>
            </w:r>
          </w:p>
        </w:tc>
      </w:tr>
      <w:tr w14:paraId="7C666DC7">
        <w:tblPrEx>
          <w:tblCellMar>
            <w:top w:w="0" w:type="dxa"/>
            <w:left w:w="108" w:type="dxa"/>
            <w:bottom w:w="0" w:type="dxa"/>
            <w:right w:w="108" w:type="dxa"/>
          </w:tblCellMar>
        </w:tblPrEx>
        <w:trPr>
          <w:gridAfter w:val="1"/>
          <w:wAfter w:w="10" w:type="pct"/>
          <w:trHeight w:val="300" w:hRule="atLeast"/>
        </w:trPr>
        <w:tc>
          <w:tcPr>
            <w:tcW w:w="1199" w:type="pct"/>
            <w:tcBorders>
              <w:top w:val="nil"/>
              <w:left w:val="nil"/>
              <w:bottom w:val="nil"/>
              <w:right w:val="nil"/>
            </w:tcBorders>
            <w:shd w:val="clear" w:color="auto" w:fill="auto"/>
            <w:noWrap/>
            <w:vAlign w:val="bottom"/>
          </w:tcPr>
          <w:p w14:paraId="516C342F">
            <w:pPr>
              <w:widowControl/>
              <w:spacing w:line="240" w:lineRule="auto"/>
              <w:jc w:val="left"/>
              <w:textAlignment w:val="bottom"/>
              <w:rPr>
                <w:rFonts w:hint="default" w:ascii="Times New Roman" w:hAnsi="Times New Roman" w:eastAsia="宋体" w:cs="Times New Roman"/>
                <w:b/>
                <w:bCs/>
                <w:color w:val="auto"/>
                <w:sz w:val="24"/>
                <w:szCs w:val="24"/>
              </w:rPr>
            </w:pPr>
            <w:r>
              <w:rPr>
                <w:rFonts w:hint="eastAsia" w:ascii="Times New Roman" w:hAnsi="Times New Roman" w:cs="Times New Roman"/>
                <w:b/>
                <w:bCs/>
                <w:i w:val="0"/>
                <w:iCs w:val="0"/>
                <w:color w:val="auto"/>
                <w:sz w:val="24"/>
                <w:highlight w:val="none"/>
                <w:lang w:val="en-US" w:eastAsia="zh-CN"/>
              </w:rPr>
              <w:t xml:space="preserve">Criterion </w:t>
            </w:r>
            <w:r>
              <w:rPr>
                <w:rFonts w:hint="default" w:ascii="Times New Roman" w:hAnsi="Times New Roman" w:eastAsia="宋体" w:cs="Times New Roman"/>
                <w:b/>
                <w:bCs/>
                <w:color w:val="auto"/>
                <w:kern w:val="0"/>
                <w:sz w:val="24"/>
                <w:szCs w:val="24"/>
                <w:lang w:bidi="ar"/>
              </w:rPr>
              <w:t>1</w:t>
            </w:r>
          </w:p>
        </w:tc>
        <w:tc>
          <w:tcPr>
            <w:tcW w:w="947" w:type="pct"/>
            <w:tcBorders>
              <w:top w:val="nil"/>
              <w:left w:val="nil"/>
              <w:bottom w:val="nil"/>
              <w:right w:val="nil"/>
            </w:tcBorders>
            <w:shd w:val="clear" w:color="auto" w:fill="auto"/>
            <w:noWrap/>
            <w:vAlign w:val="bottom"/>
          </w:tcPr>
          <w:p w14:paraId="0D52EFDC">
            <w:pPr>
              <w:widowControl/>
              <w:spacing w:line="240" w:lineRule="auto"/>
              <w:jc w:val="center"/>
              <w:textAlignment w:val="bottom"/>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kern w:val="0"/>
                <w:sz w:val="24"/>
                <w:szCs w:val="24"/>
                <w:lang w:bidi="ar"/>
              </w:rPr>
              <w:t>4.49 (3.7, 5.28)</w:t>
            </w:r>
          </w:p>
        </w:tc>
        <w:tc>
          <w:tcPr>
            <w:tcW w:w="947" w:type="pct"/>
            <w:tcBorders>
              <w:top w:val="nil"/>
              <w:left w:val="nil"/>
              <w:bottom w:val="nil"/>
              <w:right w:val="nil"/>
            </w:tcBorders>
            <w:shd w:val="clear" w:color="auto" w:fill="auto"/>
            <w:noWrap/>
            <w:vAlign w:val="bottom"/>
          </w:tcPr>
          <w:p w14:paraId="1B78496D">
            <w:pPr>
              <w:widowControl/>
              <w:spacing w:line="240" w:lineRule="auto"/>
              <w:jc w:val="center"/>
              <w:textAlignment w:val="bottom"/>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kern w:val="0"/>
                <w:sz w:val="24"/>
                <w:szCs w:val="24"/>
                <w:lang w:bidi="ar"/>
              </w:rPr>
              <w:t>5.08 (3.91, 6.25)</w:t>
            </w:r>
          </w:p>
        </w:tc>
        <w:tc>
          <w:tcPr>
            <w:tcW w:w="947" w:type="pct"/>
            <w:tcBorders>
              <w:top w:val="nil"/>
              <w:left w:val="nil"/>
              <w:bottom w:val="nil"/>
              <w:right w:val="nil"/>
            </w:tcBorders>
            <w:shd w:val="clear" w:color="auto" w:fill="auto"/>
            <w:noWrap/>
            <w:vAlign w:val="bottom"/>
          </w:tcPr>
          <w:p w14:paraId="4B3E2AD8">
            <w:pPr>
              <w:widowControl/>
              <w:spacing w:line="240" w:lineRule="auto"/>
              <w:jc w:val="center"/>
              <w:textAlignment w:val="bottom"/>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kern w:val="0"/>
                <w:sz w:val="24"/>
                <w:szCs w:val="24"/>
                <w:lang w:bidi="ar"/>
              </w:rPr>
              <w:t>3.86 (2.82, 4.9)</w:t>
            </w:r>
          </w:p>
        </w:tc>
        <w:tc>
          <w:tcPr>
            <w:tcW w:w="947" w:type="pct"/>
            <w:tcBorders>
              <w:top w:val="nil"/>
              <w:left w:val="nil"/>
              <w:bottom w:val="nil"/>
              <w:right w:val="nil"/>
            </w:tcBorders>
            <w:shd w:val="clear" w:color="auto" w:fill="auto"/>
            <w:noWrap/>
            <w:vAlign w:val="bottom"/>
          </w:tcPr>
          <w:p w14:paraId="3107DEC3">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0.127</w:t>
            </w:r>
          </w:p>
        </w:tc>
      </w:tr>
      <w:tr w14:paraId="271E2985">
        <w:tblPrEx>
          <w:tblCellMar>
            <w:top w:w="0" w:type="dxa"/>
            <w:left w:w="108" w:type="dxa"/>
            <w:bottom w:w="0" w:type="dxa"/>
            <w:right w:w="108" w:type="dxa"/>
          </w:tblCellMar>
        </w:tblPrEx>
        <w:trPr>
          <w:gridAfter w:val="1"/>
          <w:wAfter w:w="10" w:type="pct"/>
          <w:trHeight w:val="90" w:hRule="atLeast"/>
        </w:trPr>
        <w:tc>
          <w:tcPr>
            <w:tcW w:w="1199" w:type="pct"/>
            <w:tcBorders>
              <w:top w:val="nil"/>
              <w:left w:val="nil"/>
              <w:bottom w:val="nil"/>
              <w:right w:val="nil"/>
            </w:tcBorders>
            <w:shd w:val="clear" w:color="auto" w:fill="auto"/>
            <w:noWrap/>
            <w:vAlign w:val="bottom"/>
          </w:tcPr>
          <w:p w14:paraId="0822589C">
            <w:pPr>
              <w:widowControl/>
              <w:spacing w:line="240" w:lineRule="auto"/>
              <w:jc w:val="left"/>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number of other risk factors</w:t>
            </w:r>
          </w:p>
        </w:tc>
        <w:tc>
          <w:tcPr>
            <w:tcW w:w="947" w:type="pct"/>
            <w:tcBorders>
              <w:top w:val="nil"/>
              <w:left w:val="nil"/>
              <w:bottom w:val="nil"/>
              <w:right w:val="nil"/>
            </w:tcBorders>
            <w:shd w:val="clear" w:color="auto" w:fill="auto"/>
            <w:noWrap/>
            <w:vAlign w:val="bottom"/>
          </w:tcPr>
          <w:p w14:paraId="5E06F822">
            <w:pPr>
              <w:spacing w:line="240" w:lineRule="auto"/>
              <w:jc w:val="center"/>
              <w:rPr>
                <w:rFonts w:hint="default" w:ascii="Times New Roman" w:hAnsi="Times New Roman" w:eastAsia="宋体" w:cs="Times New Roman"/>
                <w:color w:val="auto"/>
                <w:sz w:val="24"/>
                <w:szCs w:val="24"/>
              </w:rPr>
            </w:pPr>
          </w:p>
        </w:tc>
        <w:tc>
          <w:tcPr>
            <w:tcW w:w="947" w:type="pct"/>
            <w:tcBorders>
              <w:top w:val="nil"/>
              <w:left w:val="nil"/>
              <w:bottom w:val="nil"/>
              <w:right w:val="nil"/>
            </w:tcBorders>
            <w:shd w:val="clear" w:color="auto" w:fill="auto"/>
            <w:noWrap/>
            <w:vAlign w:val="bottom"/>
          </w:tcPr>
          <w:p w14:paraId="007C335C">
            <w:pPr>
              <w:spacing w:line="240" w:lineRule="auto"/>
              <w:jc w:val="center"/>
              <w:rPr>
                <w:rFonts w:hint="default" w:ascii="Times New Roman" w:hAnsi="Times New Roman" w:eastAsia="宋体" w:cs="Times New Roman"/>
                <w:color w:val="auto"/>
                <w:sz w:val="24"/>
                <w:szCs w:val="24"/>
              </w:rPr>
            </w:pPr>
          </w:p>
        </w:tc>
        <w:tc>
          <w:tcPr>
            <w:tcW w:w="947" w:type="pct"/>
            <w:tcBorders>
              <w:top w:val="nil"/>
              <w:left w:val="nil"/>
              <w:bottom w:val="nil"/>
              <w:right w:val="nil"/>
            </w:tcBorders>
            <w:shd w:val="clear" w:color="auto" w:fill="auto"/>
            <w:noWrap/>
            <w:vAlign w:val="bottom"/>
          </w:tcPr>
          <w:p w14:paraId="50868064">
            <w:pPr>
              <w:spacing w:line="240" w:lineRule="auto"/>
              <w:jc w:val="center"/>
              <w:rPr>
                <w:rFonts w:hint="default" w:ascii="Times New Roman" w:hAnsi="Times New Roman" w:eastAsia="宋体" w:cs="Times New Roman"/>
                <w:color w:val="auto"/>
                <w:sz w:val="24"/>
                <w:szCs w:val="24"/>
              </w:rPr>
            </w:pPr>
          </w:p>
        </w:tc>
        <w:tc>
          <w:tcPr>
            <w:tcW w:w="947" w:type="pct"/>
            <w:tcBorders>
              <w:top w:val="nil"/>
              <w:left w:val="nil"/>
              <w:bottom w:val="nil"/>
              <w:right w:val="nil"/>
            </w:tcBorders>
            <w:shd w:val="clear" w:color="auto" w:fill="auto"/>
            <w:noWrap/>
            <w:vAlign w:val="bottom"/>
          </w:tcPr>
          <w:p w14:paraId="4FC5AC27">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&lt;0.001</w:t>
            </w:r>
          </w:p>
        </w:tc>
      </w:tr>
      <w:tr w14:paraId="75C9A4FA">
        <w:tblPrEx>
          <w:tblCellMar>
            <w:top w:w="0" w:type="dxa"/>
            <w:left w:w="108" w:type="dxa"/>
            <w:bottom w:w="0" w:type="dxa"/>
            <w:right w:w="108" w:type="dxa"/>
          </w:tblCellMar>
        </w:tblPrEx>
        <w:trPr>
          <w:gridAfter w:val="1"/>
          <w:wAfter w:w="10" w:type="pct"/>
          <w:trHeight w:val="300" w:hRule="atLeast"/>
        </w:trPr>
        <w:tc>
          <w:tcPr>
            <w:tcW w:w="1199" w:type="pct"/>
            <w:tcBorders>
              <w:top w:val="nil"/>
              <w:left w:val="nil"/>
              <w:bottom w:val="nil"/>
              <w:right w:val="nil"/>
            </w:tcBorders>
            <w:shd w:val="clear" w:color="auto" w:fill="auto"/>
            <w:noWrap/>
            <w:vAlign w:val="bottom"/>
          </w:tcPr>
          <w:p w14:paraId="3C743225">
            <w:pPr>
              <w:widowControl/>
              <w:spacing w:line="240" w:lineRule="auto"/>
              <w:ind w:firstLine="240" w:firstLineChars="100"/>
              <w:jc w:val="both"/>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2</w:t>
            </w:r>
          </w:p>
        </w:tc>
        <w:tc>
          <w:tcPr>
            <w:tcW w:w="947" w:type="pct"/>
            <w:tcBorders>
              <w:top w:val="nil"/>
              <w:left w:val="nil"/>
              <w:bottom w:val="nil"/>
              <w:right w:val="nil"/>
            </w:tcBorders>
            <w:shd w:val="clear" w:color="auto" w:fill="auto"/>
            <w:noWrap/>
            <w:vAlign w:val="bottom"/>
          </w:tcPr>
          <w:p w14:paraId="3D20F144">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3.49 (2.79, 4.18)</w:t>
            </w:r>
          </w:p>
        </w:tc>
        <w:tc>
          <w:tcPr>
            <w:tcW w:w="947" w:type="pct"/>
            <w:tcBorders>
              <w:top w:val="nil"/>
              <w:left w:val="nil"/>
              <w:bottom w:val="nil"/>
              <w:right w:val="nil"/>
            </w:tcBorders>
            <w:shd w:val="clear" w:color="auto" w:fill="auto"/>
            <w:noWrap/>
            <w:vAlign w:val="bottom"/>
          </w:tcPr>
          <w:p w14:paraId="719C6F8A">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3.83 (2.78, 4.87)</w:t>
            </w:r>
          </w:p>
        </w:tc>
        <w:tc>
          <w:tcPr>
            <w:tcW w:w="947" w:type="pct"/>
            <w:tcBorders>
              <w:top w:val="nil"/>
              <w:left w:val="nil"/>
              <w:bottom w:val="nil"/>
              <w:right w:val="nil"/>
            </w:tcBorders>
            <w:shd w:val="clear" w:color="auto" w:fill="auto"/>
            <w:noWrap/>
            <w:vAlign w:val="bottom"/>
          </w:tcPr>
          <w:p w14:paraId="21296E69">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3.12 (2.25, 3.99)</w:t>
            </w:r>
          </w:p>
        </w:tc>
        <w:tc>
          <w:tcPr>
            <w:tcW w:w="947" w:type="pct"/>
            <w:tcBorders>
              <w:top w:val="nil"/>
              <w:left w:val="nil"/>
              <w:bottom w:val="nil"/>
              <w:right w:val="nil"/>
            </w:tcBorders>
            <w:shd w:val="clear" w:color="auto" w:fill="auto"/>
            <w:noWrap/>
            <w:vAlign w:val="bottom"/>
          </w:tcPr>
          <w:p w14:paraId="36903F8B">
            <w:pPr>
              <w:spacing w:line="240" w:lineRule="auto"/>
              <w:jc w:val="center"/>
              <w:rPr>
                <w:rFonts w:hint="default" w:ascii="Times New Roman" w:hAnsi="Times New Roman" w:eastAsia="宋体" w:cs="Times New Roman"/>
                <w:color w:val="auto"/>
                <w:sz w:val="24"/>
                <w:szCs w:val="24"/>
              </w:rPr>
            </w:pPr>
          </w:p>
        </w:tc>
      </w:tr>
      <w:tr w14:paraId="4B4590C1">
        <w:tblPrEx>
          <w:tblCellMar>
            <w:top w:w="0" w:type="dxa"/>
            <w:left w:w="108" w:type="dxa"/>
            <w:bottom w:w="0" w:type="dxa"/>
            <w:right w:w="108" w:type="dxa"/>
          </w:tblCellMar>
        </w:tblPrEx>
        <w:trPr>
          <w:gridAfter w:val="1"/>
          <w:wAfter w:w="10" w:type="pct"/>
          <w:trHeight w:val="300" w:hRule="atLeast"/>
        </w:trPr>
        <w:tc>
          <w:tcPr>
            <w:tcW w:w="1199" w:type="pct"/>
            <w:tcBorders>
              <w:top w:val="nil"/>
              <w:left w:val="nil"/>
              <w:bottom w:val="nil"/>
              <w:right w:val="nil"/>
            </w:tcBorders>
            <w:shd w:val="clear" w:color="auto" w:fill="auto"/>
            <w:noWrap/>
            <w:vAlign w:val="bottom"/>
          </w:tcPr>
          <w:p w14:paraId="66F7257D">
            <w:pPr>
              <w:widowControl/>
              <w:spacing w:line="240" w:lineRule="auto"/>
              <w:ind w:firstLine="240" w:firstLineChars="100"/>
              <w:jc w:val="both"/>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3</w:t>
            </w:r>
          </w:p>
        </w:tc>
        <w:tc>
          <w:tcPr>
            <w:tcW w:w="947" w:type="pct"/>
            <w:tcBorders>
              <w:top w:val="nil"/>
              <w:left w:val="nil"/>
              <w:bottom w:val="nil"/>
              <w:right w:val="nil"/>
            </w:tcBorders>
            <w:shd w:val="clear" w:color="auto" w:fill="auto"/>
            <w:noWrap/>
            <w:vAlign w:val="bottom"/>
          </w:tcPr>
          <w:p w14:paraId="48284D7F">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0.78 (0.46, 1.1)</w:t>
            </w:r>
          </w:p>
        </w:tc>
        <w:tc>
          <w:tcPr>
            <w:tcW w:w="947" w:type="pct"/>
            <w:tcBorders>
              <w:top w:val="nil"/>
              <w:left w:val="nil"/>
              <w:bottom w:val="nil"/>
              <w:right w:val="nil"/>
            </w:tcBorders>
            <w:shd w:val="clear" w:color="auto" w:fill="auto"/>
            <w:noWrap/>
            <w:vAlign w:val="bottom"/>
          </w:tcPr>
          <w:p w14:paraId="1C9E660E">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0.83 (0.4, 1.26)</w:t>
            </w:r>
          </w:p>
        </w:tc>
        <w:tc>
          <w:tcPr>
            <w:tcW w:w="947" w:type="pct"/>
            <w:tcBorders>
              <w:top w:val="nil"/>
              <w:left w:val="nil"/>
              <w:bottom w:val="nil"/>
              <w:right w:val="nil"/>
            </w:tcBorders>
            <w:shd w:val="clear" w:color="auto" w:fill="auto"/>
            <w:noWrap/>
            <w:vAlign w:val="bottom"/>
          </w:tcPr>
          <w:p w14:paraId="484F4B59">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0.73 (0.26, 1.2)</w:t>
            </w:r>
          </w:p>
        </w:tc>
        <w:tc>
          <w:tcPr>
            <w:tcW w:w="947" w:type="pct"/>
            <w:tcBorders>
              <w:top w:val="nil"/>
              <w:left w:val="nil"/>
              <w:bottom w:val="nil"/>
              <w:right w:val="nil"/>
            </w:tcBorders>
            <w:shd w:val="clear" w:color="auto" w:fill="auto"/>
            <w:noWrap/>
            <w:vAlign w:val="bottom"/>
          </w:tcPr>
          <w:p w14:paraId="3A77027A">
            <w:pPr>
              <w:spacing w:line="240" w:lineRule="auto"/>
              <w:jc w:val="center"/>
              <w:rPr>
                <w:rFonts w:hint="default" w:ascii="Times New Roman" w:hAnsi="Times New Roman" w:eastAsia="宋体" w:cs="Times New Roman"/>
                <w:color w:val="auto"/>
                <w:sz w:val="24"/>
                <w:szCs w:val="24"/>
              </w:rPr>
            </w:pPr>
          </w:p>
        </w:tc>
      </w:tr>
      <w:tr w14:paraId="6F1AA9F2">
        <w:tblPrEx>
          <w:tblCellMar>
            <w:top w:w="0" w:type="dxa"/>
            <w:left w:w="108" w:type="dxa"/>
            <w:bottom w:w="0" w:type="dxa"/>
            <w:right w:w="108" w:type="dxa"/>
          </w:tblCellMar>
        </w:tblPrEx>
        <w:trPr>
          <w:gridAfter w:val="1"/>
          <w:wAfter w:w="10" w:type="pct"/>
          <w:trHeight w:val="300" w:hRule="atLeast"/>
        </w:trPr>
        <w:tc>
          <w:tcPr>
            <w:tcW w:w="1199" w:type="pct"/>
            <w:tcBorders>
              <w:top w:val="nil"/>
              <w:left w:val="nil"/>
              <w:bottom w:val="nil"/>
              <w:right w:val="nil"/>
            </w:tcBorders>
            <w:shd w:val="clear" w:color="auto" w:fill="auto"/>
            <w:noWrap/>
            <w:vAlign w:val="bottom"/>
          </w:tcPr>
          <w:p w14:paraId="5AE7C017">
            <w:pPr>
              <w:widowControl/>
              <w:spacing w:line="240" w:lineRule="auto"/>
              <w:ind w:firstLine="240" w:firstLineChars="100"/>
              <w:jc w:val="both"/>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4</w:t>
            </w:r>
          </w:p>
        </w:tc>
        <w:tc>
          <w:tcPr>
            <w:tcW w:w="947" w:type="pct"/>
            <w:tcBorders>
              <w:top w:val="nil"/>
              <w:left w:val="nil"/>
              <w:bottom w:val="nil"/>
              <w:right w:val="nil"/>
            </w:tcBorders>
            <w:shd w:val="clear" w:color="auto" w:fill="auto"/>
            <w:noWrap/>
            <w:vAlign w:val="bottom"/>
          </w:tcPr>
          <w:p w14:paraId="2F5FF237">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0.22 (0.08, 0.36)</w:t>
            </w:r>
          </w:p>
        </w:tc>
        <w:tc>
          <w:tcPr>
            <w:tcW w:w="947" w:type="pct"/>
            <w:tcBorders>
              <w:top w:val="nil"/>
              <w:left w:val="nil"/>
              <w:bottom w:val="nil"/>
              <w:right w:val="nil"/>
            </w:tcBorders>
            <w:shd w:val="clear" w:color="auto" w:fill="auto"/>
            <w:noWrap/>
            <w:vAlign w:val="bottom"/>
          </w:tcPr>
          <w:p w14:paraId="3CB5DAEC">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0.42 (0.15, 0.68)</w:t>
            </w:r>
          </w:p>
        </w:tc>
        <w:tc>
          <w:tcPr>
            <w:tcW w:w="947" w:type="pct"/>
            <w:tcBorders>
              <w:top w:val="nil"/>
              <w:left w:val="nil"/>
              <w:bottom w:val="nil"/>
              <w:right w:val="nil"/>
            </w:tcBorders>
            <w:shd w:val="clear" w:color="auto" w:fill="auto"/>
            <w:noWrap/>
            <w:vAlign w:val="bottom"/>
          </w:tcPr>
          <w:p w14:paraId="527978AB">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0.01 (-0.01, 0.03)</w:t>
            </w:r>
          </w:p>
        </w:tc>
        <w:tc>
          <w:tcPr>
            <w:tcW w:w="947" w:type="pct"/>
            <w:tcBorders>
              <w:top w:val="nil"/>
              <w:left w:val="nil"/>
              <w:bottom w:val="nil"/>
              <w:right w:val="nil"/>
            </w:tcBorders>
            <w:shd w:val="clear" w:color="auto" w:fill="auto"/>
            <w:noWrap/>
            <w:vAlign w:val="bottom"/>
          </w:tcPr>
          <w:p w14:paraId="19024206">
            <w:pPr>
              <w:spacing w:line="240" w:lineRule="auto"/>
              <w:jc w:val="center"/>
              <w:rPr>
                <w:rFonts w:hint="default" w:ascii="Times New Roman" w:hAnsi="Times New Roman" w:eastAsia="宋体" w:cs="Times New Roman"/>
                <w:color w:val="auto"/>
                <w:sz w:val="24"/>
                <w:szCs w:val="24"/>
              </w:rPr>
            </w:pPr>
          </w:p>
        </w:tc>
      </w:tr>
      <w:tr w14:paraId="39D8A67E">
        <w:tblPrEx>
          <w:tblCellMar>
            <w:top w:w="0" w:type="dxa"/>
            <w:left w:w="108" w:type="dxa"/>
            <w:bottom w:w="0" w:type="dxa"/>
            <w:right w:w="108" w:type="dxa"/>
          </w:tblCellMar>
        </w:tblPrEx>
        <w:trPr>
          <w:gridAfter w:val="1"/>
          <w:wAfter w:w="10" w:type="pct"/>
          <w:trHeight w:val="300" w:hRule="atLeast"/>
        </w:trPr>
        <w:tc>
          <w:tcPr>
            <w:tcW w:w="1199" w:type="pct"/>
            <w:tcBorders>
              <w:top w:val="nil"/>
              <w:left w:val="nil"/>
              <w:bottom w:val="nil"/>
              <w:right w:val="nil"/>
            </w:tcBorders>
            <w:shd w:val="clear" w:color="auto" w:fill="auto"/>
            <w:noWrap/>
            <w:vAlign w:val="bottom"/>
          </w:tcPr>
          <w:p w14:paraId="29E8B480">
            <w:pPr>
              <w:widowControl/>
              <w:spacing w:line="240" w:lineRule="auto"/>
              <w:jc w:val="left"/>
              <w:textAlignment w:val="bottom"/>
              <w:rPr>
                <w:rFonts w:hint="default" w:ascii="Times New Roman" w:hAnsi="Times New Roman" w:eastAsia="宋体" w:cs="Times New Roman"/>
                <w:color w:val="auto"/>
                <w:sz w:val="24"/>
                <w:szCs w:val="24"/>
              </w:rPr>
            </w:pPr>
            <w:r>
              <w:rPr>
                <w:rFonts w:hint="eastAsia" w:ascii="Times New Roman" w:hAnsi="Times New Roman" w:cs="Times New Roman"/>
                <w:b/>
                <w:bCs/>
                <w:i w:val="0"/>
                <w:iCs w:val="0"/>
                <w:color w:val="auto"/>
                <w:sz w:val="24"/>
                <w:highlight w:val="none"/>
                <w:lang w:val="en-US" w:eastAsia="zh-CN"/>
              </w:rPr>
              <w:t xml:space="preserve">Criterion </w:t>
            </w:r>
            <w:r>
              <w:rPr>
                <w:rFonts w:hint="default" w:ascii="Times New Roman" w:hAnsi="Times New Roman" w:eastAsia="宋体" w:cs="Times New Roman"/>
                <w:b/>
                <w:bCs/>
                <w:color w:val="auto"/>
                <w:kern w:val="0"/>
                <w:sz w:val="24"/>
                <w:szCs w:val="24"/>
                <w:lang w:bidi="ar"/>
              </w:rPr>
              <w:t>2</w:t>
            </w:r>
          </w:p>
        </w:tc>
        <w:tc>
          <w:tcPr>
            <w:tcW w:w="947" w:type="pct"/>
            <w:tcBorders>
              <w:top w:val="nil"/>
              <w:left w:val="nil"/>
              <w:bottom w:val="nil"/>
              <w:right w:val="nil"/>
            </w:tcBorders>
            <w:shd w:val="clear" w:color="auto" w:fill="auto"/>
            <w:noWrap/>
            <w:vAlign w:val="bottom"/>
          </w:tcPr>
          <w:p w14:paraId="26706842">
            <w:pPr>
              <w:widowControl/>
              <w:spacing w:line="240" w:lineRule="auto"/>
              <w:jc w:val="center"/>
              <w:textAlignment w:val="bottom"/>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kern w:val="0"/>
                <w:sz w:val="24"/>
                <w:szCs w:val="24"/>
                <w:lang w:bidi="ar"/>
              </w:rPr>
              <w:t>4.94 (4.11, 5.77)</w:t>
            </w:r>
          </w:p>
        </w:tc>
        <w:tc>
          <w:tcPr>
            <w:tcW w:w="947" w:type="pct"/>
            <w:tcBorders>
              <w:top w:val="nil"/>
              <w:left w:val="nil"/>
              <w:bottom w:val="nil"/>
              <w:right w:val="nil"/>
            </w:tcBorders>
            <w:shd w:val="clear" w:color="auto" w:fill="auto"/>
            <w:noWrap/>
            <w:vAlign w:val="bottom"/>
          </w:tcPr>
          <w:p w14:paraId="6190A2EC">
            <w:pPr>
              <w:widowControl/>
              <w:spacing w:line="240" w:lineRule="auto"/>
              <w:jc w:val="center"/>
              <w:textAlignment w:val="bottom"/>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kern w:val="0"/>
                <w:sz w:val="24"/>
                <w:szCs w:val="24"/>
                <w:lang w:bidi="ar"/>
              </w:rPr>
              <w:t>5.34 (4.14, 6.53)</w:t>
            </w:r>
          </w:p>
        </w:tc>
        <w:tc>
          <w:tcPr>
            <w:tcW w:w="947" w:type="pct"/>
            <w:tcBorders>
              <w:top w:val="nil"/>
              <w:left w:val="nil"/>
              <w:bottom w:val="nil"/>
              <w:right w:val="nil"/>
            </w:tcBorders>
            <w:shd w:val="clear" w:color="auto" w:fill="auto"/>
            <w:noWrap/>
            <w:vAlign w:val="bottom"/>
          </w:tcPr>
          <w:p w14:paraId="14CF4683">
            <w:pPr>
              <w:widowControl/>
              <w:spacing w:line="240" w:lineRule="auto"/>
              <w:jc w:val="center"/>
              <w:textAlignment w:val="bottom"/>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kern w:val="0"/>
                <w:sz w:val="24"/>
                <w:szCs w:val="24"/>
                <w:lang w:bidi="ar"/>
              </w:rPr>
              <w:t>4.52 (3.42, 5.62)</w:t>
            </w:r>
          </w:p>
        </w:tc>
        <w:tc>
          <w:tcPr>
            <w:tcW w:w="947" w:type="pct"/>
            <w:tcBorders>
              <w:top w:val="nil"/>
              <w:left w:val="nil"/>
              <w:bottom w:val="nil"/>
              <w:right w:val="nil"/>
            </w:tcBorders>
            <w:shd w:val="clear" w:color="auto" w:fill="auto"/>
            <w:noWrap/>
            <w:vAlign w:val="bottom"/>
          </w:tcPr>
          <w:p w14:paraId="40872140">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0.319</w:t>
            </w:r>
          </w:p>
        </w:tc>
      </w:tr>
      <w:tr w14:paraId="731F0CF8">
        <w:tblPrEx>
          <w:tblCellMar>
            <w:top w:w="0" w:type="dxa"/>
            <w:left w:w="108" w:type="dxa"/>
            <w:bottom w:w="0" w:type="dxa"/>
            <w:right w:w="108" w:type="dxa"/>
          </w:tblCellMar>
        </w:tblPrEx>
        <w:trPr>
          <w:gridAfter w:val="1"/>
          <w:wAfter w:w="10" w:type="pct"/>
          <w:trHeight w:val="300" w:hRule="atLeast"/>
        </w:trPr>
        <w:tc>
          <w:tcPr>
            <w:tcW w:w="1199" w:type="pct"/>
            <w:tcBorders>
              <w:top w:val="nil"/>
              <w:left w:val="nil"/>
              <w:bottom w:val="nil"/>
              <w:right w:val="nil"/>
            </w:tcBorders>
            <w:shd w:val="clear" w:color="auto" w:fill="auto"/>
            <w:noWrap/>
            <w:vAlign w:val="bottom"/>
          </w:tcPr>
          <w:p w14:paraId="6DC70CC4">
            <w:pPr>
              <w:widowControl/>
              <w:spacing w:line="240" w:lineRule="auto"/>
              <w:jc w:val="left"/>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number of other risk factors</w:t>
            </w:r>
          </w:p>
        </w:tc>
        <w:tc>
          <w:tcPr>
            <w:tcW w:w="947" w:type="pct"/>
            <w:tcBorders>
              <w:top w:val="nil"/>
              <w:left w:val="nil"/>
              <w:bottom w:val="nil"/>
              <w:right w:val="nil"/>
            </w:tcBorders>
            <w:shd w:val="clear" w:color="auto" w:fill="auto"/>
            <w:noWrap/>
            <w:vAlign w:val="bottom"/>
          </w:tcPr>
          <w:p w14:paraId="2D99BD8A">
            <w:pPr>
              <w:spacing w:line="240" w:lineRule="auto"/>
              <w:jc w:val="center"/>
              <w:rPr>
                <w:rFonts w:hint="default" w:ascii="Times New Roman" w:hAnsi="Times New Roman" w:eastAsia="宋体" w:cs="Times New Roman"/>
                <w:color w:val="auto"/>
                <w:sz w:val="24"/>
                <w:szCs w:val="24"/>
              </w:rPr>
            </w:pPr>
          </w:p>
        </w:tc>
        <w:tc>
          <w:tcPr>
            <w:tcW w:w="947" w:type="pct"/>
            <w:tcBorders>
              <w:top w:val="nil"/>
              <w:left w:val="nil"/>
              <w:bottom w:val="nil"/>
              <w:right w:val="nil"/>
            </w:tcBorders>
            <w:shd w:val="clear" w:color="auto" w:fill="auto"/>
            <w:noWrap/>
            <w:vAlign w:val="bottom"/>
          </w:tcPr>
          <w:p w14:paraId="7E4293C1">
            <w:pPr>
              <w:spacing w:line="240" w:lineRule="auto"/>
              <w:jc w:val="center"/>
              <w:rPr>
                <w:rFonts w:hint="default" w:ascii="Times New Roman" w:hAnsi="Times New Roman" w:eastAsia="宋体" w:cs="Times New Roman"/>
                <w:color w:val="auto"/>
                <w:sz w:val="24"/>
                <w:szCs w:val="24"/>
              </w:rPr>
            </w:pPr>
          </w:p>
        </w:tc>
        <w:tc>
          <w:tcPr>
            <w:tcW w:w="947" w:type="pct"/>
            <w:tcBorders>
              <w:top w:val="nil"/>
              <w:left w:val="nil"/>
              <w:bottom w:val="nil"/>
              <w:right w:val="nil"/>
            </w:tcBorders>
            <w:shd w:val="clear" w:color="auto" w:fill="auto"/>
            <w:noWrap/>
            <w:vAlign w:val="bottom"/>
          </w:tcPr>
          <w:p w14:paraId="58E53A1D">
            <w:pPr>
              <w:spacing w:line="240" w:lineRule="auto"/>
              <w:jc w:val="center"/>
              <w:rPr>
                <w:rFonts w:hint="default" w:ascii="Times New Roman" w:hAnsi="Times New Roman" w:eastAsia="宋体" w:cs="Times New Roman"/>
                <w:color w:val="auto"/>
                <w:sz w:val="24"/>
                <w:szCs w:val="24"/>
              </w:rPr>
            </w:pPr>
          </w:p>
        </w:tc>
        <w:tc>
          <w:tcPr>
            <w:tcW w:w="947" w:type="pct"/>
            <w:tcBorders>
              <w:top w:val="nil"/>
              <w:left w:val="nil"/>
              <w:bottom w:val="nil"/>
              <w:right w:val="nil"/>
            </w:tcBorders>
            <w:shd w:val="clear" w:color="auto" w:fill="auto"/>
            <w:noWrap/>
            <w:vAlign w:val="bottom"/>
          </w:tcPr>
          <w:p w14:paraId="259F1BA0">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&lt;0.001</w:t>
            </w:r>
          </w:p>
        </w:tc>
      </w:tr>
      <w:tr w14:paraId="34084BD5">
        <w:tblPrEx>
          <w:tblCellMar>
            <w:top w:w="0" w:type="dxa"/>
            <w:left w:w="108" w:type="dxa"/>
            <w:bottom w:w="0" w:type="dxa"/>
            <w:right w:w="108" w:type="dxa"/>
          </w:tblCellMar>
        </w:tblPrEx>
        <w:trPr>
          <w:gridAfter w:val="1"/>
          <w:wAfter w:w="10" w:type="pct"/>
          <w:trHeight w:val="300" w:hRule="atLeast"/>
        </w:trPr>
        <w:tc>
          <w:tcPr>
            <w:tcW w:w="1199" w:type="pct"/>
            <w:tcBorders>
              <w:top w:val="nil"/>
              <w:left w:val="nil"/>
              <w:bottom w:val="nil"/>
              <w:right w:val="nil"/>
            </w:tcBorders>
            <w:shd w:val="clear" w:color="auto" w:fill="auto"/>
            <w:noWrap/>
            <w:vAlign w:val="bottom"/>
          </w:tcPr>
          <w:p w14:paraId="34451720">
            <w:pPr>
              <w:widowControl/>
              <w:spacing w:line="240" w:lineRule="auto"/>
              <w:ind w:firstLine="240" w:firstLineChars="100"/>
              <w:jc w:val="both"/>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2</w:t>
            </w:r>
          </w:p>
        </w:tc>
        <w:tc>
          <w:tcPr>
            <w:tcW w:w="947" w:type="pct"/>
            <w:tcBorders>
              <w:top w:val="nil"/>
              <w:left w:val="nil"/>
              <w:bottom w:val="nil"/>
              <w:right w:val="nil"/>
            </w:tcBorders>
            <w:shd w:val="clear" w:color="auto" w:fill="auto"/>
            <w:noWrap/>
            <w:vAlign w:val="bottom"/>
          </w:tcPr>
          <w:p w14:paraId="5D5C3EF7">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3.71 (3.02, 4.4)</w:t>
            </w:r>
          </w:p>
        </w:tc>
        <w:tc>
          <w:tcPr>
            <w:tcW w:w="947" w:type="pct"/>
            <w:tcBorders>
              <w:top w:val="nil"/>
              <w:left w:val="nil"/>
              <w:bottom w:val="nil"/>
              <w:right w:val="nil"/>
            </w:tcBorders>
            <w:shd w:val="clear" w:color="auto" w:fill="auto"/>
            <w:noWrap/>
            <w:vAlign w:val="bottom"/>
          </w:tcPr>
          <w:p w14:paraId="3327940C">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3.88 (2.86, 4.89)</w:t>
            </w:r>
          </w:p>
        </w:tc>
        <w:tc>
          <w:tcPr>
            <w:tcW w:w="947" w:type="pct"/>
            <w:tcBorders>
              <w:top w:val="nil"/>
              <w:left w:val="nil"/>
              <w:bottom w:val="nil"/>
              <w:right w:val="nil"/>
            </w:tcBorders>
            <w:shd w:val="clear" w:color="auto" w:fill="auto"/>
            <w:noWrap/>
            <w:vAlign w:val="bottom"/>
          </w:tcPr>
          <w:p w14:paraId="287BBD7A">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3.53 (2.6, 4.45)</w:t>
            </w:r>
          </w:p>
        </w:tc>
        <w:tc>
          <w:tcPr>
            <w:tcW w:w="947" w:type="pct"/>
            <w:tcBorders>
              <w:top w:val="nil"/>
              <w:left w:val="nil"/>
              <w:bottom w:val="nil"/>
              <w:right w:val="nil"/>
            </w:tcBorders>
            <w:shd w:val="clear" w:color="auto" w:fill="auto"/>
            <w:noWrap/>
            <w:vAlign w:val="bottom"/>
          </w:tcPr>
          <w:p w14:paraId="65AC2A14">
            <w:pPr>
              <w:spacing w:line="240" w:lineRule="auto"/>
              <w:jc w:val="center"/>
              <w:rPr>
                <w:rFonts w:hint="default" w:ascii="Times New Roman" w:hAnsi="Times New Roman" w:eastAsia="宋体" w:cs="Times New Roman"/>
                <w:color w:val="auto"/>
                <w:sz w:val="24"/>
                <w:szCs w:val="24"/>
              </w:rPr>
            </w:pPr>
          </w:p>
        </w:tc>
      </w:tr>
      <w:tr w14:paraId="667E54BA">
        <w:tblPrEx>
          <w:tblCellMar>
            <w:top w:w="0" w:type="dxa"/>
            <w:left w:w="108" w:type="dxa"/>
            <w:bottom w:w="0" w:type="dxa"/>
            <w:right w:w="108" w:type="dxa"/>
          </w:tblCellMar>
        </w:tblPrEx>
        <w:trPr>
          <w:gridAfter w:val="1"/>
          <w:wAfter w:w="10" w:type="pct"/>
          <w:trHeight w:val="300" w:hRule="atLeast"/>
        </w:trPr>
        <w:tc>
          <w:tcPr>
            <w:tcW w:w="1199" w:type="pct"/>
            <w:tcBorders>
              <w:top w:val="nil"/>
              <w:left w:val="nil"/>
              <w:bottom w:val="nil"/>
              <w:right w:val="nil"/>
            </w:tcBorders>
            <w:shd w:val="clear" w:color="auto" w:fill="auto"/>
            <w:noWrap/>
            <w:vAlign w:val="bottom"/>
          </w:tcPr>
          <w:p w14:paraId="6DFA9F07">
            <w:pPr>
              <w:widowControl/>
              <w:spacing w:line="240" w:lineRule="auto"/>
              <w:ind w:firstLine="240" w:firstLineChars="100"/>
              <w:jc w:val="both"/>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3</w:t>
            </w:r>
          </w:p>
        </w:tc>
        <w:tc>
          <w:tcPr>
            <w:tcW w:w="947" w:type="pct"/>
            <w:tcBorders>
              <w:top w:val="nil"/>
              <w:left w:val="nil"/>
              <w:bottom w:val="nil"/>
              <w:right w:val="nil"/>
            </w:tcBorders>
            <w:shd w:val="clear" w:color="auto" w:fill="auto"/>
            <w:noWrap/>
            <w:vAlign w:val="bottom"/>
          </w:tcPr>
          <w:p w14:paraId="37A60BF8">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0.94 (0.61, 1.26)</w:t>
            </w:r>
          </w:p>
        </w:tc>
        <w:tc>
          <w:tcPr>
            <w:tcW w:w="947" w:type="pct"/>
            <w:tcBorders>
              <w:top w:val="nil"/>
              <w:left w:val="nil"/>
              <w:bottom w:val="nil"/>
              <w:right w:val="nil"/>
            </w:tcBorders>
            <w:shd w:val="clear" w:color="auto" w:fill="auto"/>
            <w:noWrap/>
            <w:vAlign w:val="bottom"/>
          </w:tcPr>
          <w:p w14:paraId="461E54C5">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1.01 (0.56, 1.47)</w:t>
            </w:r>
          </w:p>
        </w:tc>
        <w:tc>
          <w:tcPr>
            <w:tcW w:w="947" w:type="pct"/>
            <w:tcBorders>
              <w:top w:val="nil"/>
              <w:left w:val="nil"/>
              <w:bottom w:val="nil"/>
              <w:right w:val="nil"/>
            </w:tcBorders>
            <w:shd w:val="clear" w:color="auto" w:fill="auto"/>
            <w:noWrap/>
            <w:vAlign w:val="bottom"/>
          </w:tcPr>
          <w:p w14:paraId="579278BF">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0.86 (0.39, 1.33)</w:t>
            </w:r>
          </w:p>
        </w:tc>
        <w:tc>
          <w:tcPr>
            <w:tcW w:w="947" w:type="pct"/>
            <w:tcBorders>
              <w:top w:val="nil"/>
              <w:left w:val="nil"/>
              <w:bottom w:val="nil"/>
              <w:right w:val="nil"/>
            </w:tcBorders>
            <w:shd w:val="clear" w:color="auto" w:fill="auto"/>
            <w:noWrap/>
            <w:vAlign w:val="bottom"/>
          </w:tcPr>
          <w:p w14:paraId="0F802E91">
            <w:pPr>
              <w:spacing w:line="240" w:lineRule="auto"/>
              <w:jc w:val="center"/>
              <w:rPr>
                <w:rFonts w:hint="default" w:ascii="Times New Roman" w:hAnsi="Times New Roman" w:eastAsia="宋体" w:cs="Times New Roman"/>
                <w:color w:val="auto"/>
                <w:sz w:val="24"/>
                <w:szCs w:val="24"/>
              </w:rPr>
            </w:pPr>
          </w:p>
        </w:tc>
      </w:tr>
      <w:tr w14:paraId="6B405AFC">
        <w:tblPrEx>
          <w:tblCellMar>
            <w:top w:w="0" w:type="dxa"/>
            <w:left w:w="108" w:type="dxa"/>
            <w:bottom w:w="0" w:type="dxa"/>
            <w:right w:w="108" w:type="dxa"/>
          </w:tblCellMar>
        </w:tblPrEx>
        <w:trPr>
          <w:gridAfter w:val="1"/>
          <w:wAfter w:w="10" w:type="pct"/>
          <w:trHeight w:val="90" w:hRule="atLeast"/>
        </w:trPr>
        <w:tc>
          <w:tcPr>
            <w:tcW w:w="1199" w:type="pct"/>
            <w:tcBorders>
              <w:top w:val="nil"/>
              <w:left w:val="nil"/>
              <w:bottom w:val="nil"/>
              <w:right w:val="nil"/>
            </w:tcBorders>
            <w:shd w:val="clear" w:color="auto" w:fill="auto"/>
            <w:noWrap/>
            <w:vAlign w:val="bottom"/>
          </w:tcPr>
          <w:p w14:paraId="542972D0">
            <w:pPr>
              <w:widowControl/>
              <w:spacing w:line="240" w:lineRule="auto"/>
              <w:ind w:firstLine="240" w:firstLineChars="100"/>
              <w:jc w:val="both"/>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4</w:t>
            </w:r>
          </w:p>
        </w:tc>
        <w:tc>
          <w:tcPr>
            <w:tcW w:w="947" w:type="pct"/>
            <w:tcBorders>
              <w:top w:val="nil"/>
              <w:left w:val="nil"/>
              <w:bottom w:val="nil"/>
              <w:right w:val="nil"/>
            </w:tcBorders>
            <w:shd w:val="clear" w:color="auto" w:fill="auto"/>
            <w:noWrap/>
            <w:vAlign w:val="bottom"/>
          </w:tcPr>
          <w:p w14:paraId="5BE23710">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0.29 (0.12, 0.47)</w:t>
            </w:r>
          </w:p>
        </w:tc>
        <w:tc>
          <w:tcPr>
            <w:tcW w:w="947" w:type="pct"/>
            <w:tcBorders>
              <w:top w:val="nil"/>
              <w:left w:val="nil"/>
              <w:bottom w:val="nil"/>
              <w:right w:val="nil"/>
            </w:tcBorders>
            <w:shd w:val="clear" w:color="auto" w:fill="auto"/>
            <w:noWrap/>
            <w:vAlign w:val="bottom"/>
          </w:tcPr>
          <w:p w14:paraId="4DE2E1ED">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0.44 (0.17, 0.71)</w:t>
            </w:r>
          </w:p>
        </w:tc>
        <w:tc>
          <w:tcPr>
            <w:tcW w:w="947" w:type="pct"/>
            <w:tcBorders>
              <w:top w:val="nil"/>
              <w:left w:val="nil"/>
              <w:bottom w:val="nil"/>
              <w:right w:val="nil"/>
            </w:tcBorders>
            <w:shd w:val="clear" w:color="auto" w:fill="auto"/>
            <w:noWrap/>
            <w:vAlign w:val="bottom"/>
          </w:tcPr>
          <w:p w14:paraId="03A72B67">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0.13 (-0.02, 0.29)</w:t>
            </w:r>
          </w:p>
        </w:tc>
        <w:tc>
          <w:tcPr>
            <w:tcW w:w="947" w:type="pct"/>
            <w:tcBorders>
              <w:top w:val="nil"/>
              <w:left w:val="nil"/>
              <w:bottom w:val="nil"/>
              <w:right w:val="nil"/>
            </w:tcBorders>
            <w:shd w:val="clear" w:color="auto" w:fill="auto"/>
            <w:noWrap/>
            <w:vAlign w:val="bottom"/>
          </w:tcPr>
          <w:p w14:paraId="618E3953">
            <w:pPr>
              <w:spacing w:line="240" w:lineRule="auto"/>
              <w:jc w:val="center"/>
              <w:rPr>
                <w:rFonts w:hint="default" w:ascii="Times New Roman" w:hAnsi="Times New Roman" w:eastAsia="宋体" w:cs="Times New Roman"/>
                <w:color w:val="auto"/>
                <w:sz w:val="24"/>
                <w:szCs w:val="24"/>
              </w:rPr>
            </w:pPr>
          </w:p>
        </w:tc>
      </w:tr>
      <w:tr w14:paraId="1F0D15FB">
        <w:tblPrEx>
          <w:tblCellMar>
            <w:top w:w="0" w:type="dxa"/>
            <w:left w:w="108" w:type="dxa"/>
            <w:bottom w:w="0" w:type="dxa"/>
            <w:right w:w="108" w:type="dxa"/>
          </w:tblCellMar>
        </w:tblPrEx>
        <w:trPr>
          <w:gridAfter w:val="1"/>
          <w:wAfter w:w="10" w:type="pct"/>
          <w:trHeight w:val="300" w:hRule="atLeast"/>
        </w:trPr>
        <w:tc>
          <w:tcPr>
            <w:tcW w:w="1199" w:type="pct"/>
            <w:tcBorders>
              <w:top w:val="nil"/>
              <w:left w:val="nil"/>
              <w:bottom w:val="nil"/>
              <w:right w:val="nil"/>
            </w:tcBorders>
            <w:shd w:val="clear" w:color="auto" w:fill="auto"/>
            <w:noWrap/>
            <w:vAlign w:val="bottom"/>
          </w:tcPr>
          <w:p w14:paraId="710353EC">
            <w:pPr>
              <w:widowControl/>
              <w:spacing w:line="240" w:lineRule="auto"/>
              <w:jc w:val="left"/>
              <w:textAlignment w:val="bottom"/>
              <w:rPr>
                <w:rFonts w:hint="default" w:ascii="Times New Roman" w:hAnsi="Times New Roman" w:eastAsia="宋体" w:cs="Times New Roman"/>
                <w:color w:val="auto"/>
                <w:sz w:val="24"/>
                <w:szCs w:val="24"/>
              </w:rPr>
            </w:pPr>
            <w:r>
              <w:rPr>
                <w:rFonts w:hint="eastAsia" w:ascii="Times New Roman" w:hAnsi="Times New Roman" w:cs="Times New Roman"/>
                <w:b/>
                <w:bCs/>
                <w:i w:val="0"/>
                <w:iCs w:val="0"/>
                <w:color w:val="auto"/>
                <w:sz w:val="24"/>
                <w:highlight w:val="none"/>
                <w:lang w:val="en-US" w:eastAsia="zh-CN"/>
              </w:rPr>
              <w:t xml:space="preserve">Criterion </w:t>
            </w:r>
            <w:r>
              <w:rPr>
                <w:rFonts w:hint="default" w:ascii="Times New Roman" w:hAnsi="Times New Roman" w:eastAsia="宋体" w:cs="Times New Roman"/>
                <w:b/>
                <w:bCs/>
                <w:color w:val="auto"/>
                <w:kern w:val="0"/>
                <w:sz w:val="24"/>
                <w:szCs w:val="24"/>
                <w:lang w:bidi="ar"/>
              </w:rPr>
              <w:t>3</w:t>
            </w:r>
          </w:p>
        </w:tc>
        <w:tc>
          <w:tcPr>
            <w:tcW w:w="947" w:type="pct"/>
            <w:tcBorders>
              <w:top w:val="nil"/>
              <w:left w:val="nil"/>
              <w:bottom w:val="nil"/>
              <w:right w:val="nil"/>
            </w:tcBorders>
            <w:shd w:val="clear" w:color="auto" w:fill="auto"/>
            <w:noWrap/>
            <w:vAlign w:val="bottom"/>
          </w:tcPr>
          <w:p w14:paraId="62916DC7">
            <w:pPr>
              <w:widowControl/>
              <w:spacing w:line="240" w:lineRule="auto"/>
              <w:jc w:val="center"/>
              <w:textAlignment w:val="bottom"/>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kern w:val="0"/>
                <w:sz w:val="24"/>
                <w:szCs w:val="24"/>
                <w:lang w:bidi="ar"/>
              </w:rPr>
              <w:t>5.93 (5.04, 6.82)</w:t>
            </w:r>
          </w:p>
        </w:tc>
        <w:tc>
          <w:tcPr>
            <w:tcW w:w="947" w:type="pct"/>
            <w:tcBorders>
              <w:top w:val="nil"/>
              <w:left w:val="nil"/>
              <w:bottom w:val="nil"/>
              <w:right w:val="nil"/>
            </w:tcBorders>
            <w:shd w:val="clear" w:color="auto" w:fill="auto"/>
            <w:noWrap/>
            <w:vAlign w:val="bottom"/>
          </w:tcPr>
          <w:p w14:paraId="5F92DFCB">
            <w:pPr>
              <w:widowControl/>
              <w:spacing w:line="240" w:lineRule="auto"/>
              <w:jc w:val="center"/>
              <w:textAlignment w:val="bottom"/>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kern w:val="0"/>
                <w:sz w:val="24"/>
                <w:szCs w:val="24"/>
                <w:lang w:bidi="ar"/>
              </w:rPr>
              <w:t>6.6 (5.35, 7.85)</w:t>
            </w:r>
          </w:p>
        </w:tc>
        <w:tc>
          <w:tcPr>
            <w:tcW w:w="947" w:type="pct"/>
            <w:tcBorders>
              <w:top w:val="nil"/>
              <w:left w:val="nil"/>
              <w:bottom w:val="nil"/>
              <w:right w:val="nil"/>
            </w:tcBorders>
            <w:shd w:val="clear" w:color="auto" w:fill="auto"/>
            <w:noWrap/>
            <w:vAlign w:val="bottom"/>
          </w:tcPr>
          <w:p w14:paraId="1EEE60EA">
            <w:pPr>
              <w:widowControl/>
              <w:spacing w:line="240" w:lineRule="auto"/>
              <w:jc w:val="center"/>
              <w:textAlignment w:val="bottom"/>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kern w:val="0"/>
                <w:sz w:val="24"/>
                <w:szCs w:val="24"/>
                <w:lang w:bidi="ar"/>
              </w:rPr>
              <w:t>5.21 (4.04, 6.39)</w:t>
            </w:r>
          </w:p>
        </w:tc>
        <w:tc>
          <w:tcPr>
            <w:tcW w:w="947" w:type="pct"/>
            <w:tcBorders>
              <w:top w:val="nil"/>
              <w:left w:val="nil"/>
              <w:bottom w:val="nil"/>
              <w:right w:val="nil"/>
            </w:tcBorders>
            <w:shd w:val="clear" w:color="auto" w:fill="auto"/>
            <w:noWrap/>
            <w:vAlign w:val="bottom"/>
          </w:tcPr>
          <w:p w14:paraId="7854A61D">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0.106</w:t>
            </w:r>
          </w:p>
        </w:tc>
      </w:tr>
      <w:tr w14:paraId="5A6F3117">
        <w:tblPrEx>
          <w:tblCellMar>
            <w:top w:w="0" w:type="dxa"/>
            <w:left w:w="108" w:type="dxa"/>
            <w:bottom w:w="0" w:type="dxa"/>
            <w:right w:w="108" w:type="dxa"/>
          </w:tblCellMar>
        </w:tblPrEx>
        <w:trPr>
          <w:gridAfter w:val="1"/>
          <w:wAfter w:w="10" w:type="pct"/>
          <w:trHeight w:val="300" w:hRule="atLeast"/>
        </w:trPr>
        <w:tc>
          <w:tcPr>
            <w:tcW w:w="1199" w:type="pct"/>
            <w:tcBorders>
              <w:top w:val="nil"/>
              <w:left w:val="nil"/>
              <w:bottom w:val="nil"/>
              <w:right w:val="nil"/>
            </w:tcBorders>
            <w:shd w:val="clear" w:color="auto" w:fill="auto"/>
            <w:noWrap/>
            <w:vAlign w:val="bottom"/>
          </w:tcPr>
          <w:p w14:paraId="20DCD171">
            <w:pPr>
              <w:widowControl/>
              <w:spacing w:line="240" w:lineRule="auto"/>
              <w:jc w:val="left"/>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number of other risk factors</w:t>
            </w:r>
          </w:p>
        </w:tc>
        <w:tc>
          <w:tcPr>
            <w:tcW w:w="947" w:type="pct"/>
            <w:tcBorders>
              <w:top w:val="nil"/>
              <w:left w:val="nil"/>
              <w:bottom w:val="nil"/>
              <w:right w:val="nil"/>
            </w:tcBorders>
            <w:shd w:val="clear" w:color="auto" w:fill="auto"/>
            <w:noWrap/>
            <w:vAlign w:val="bottom"/>
          </w:tcPr>
          <w:p w14:paraId="5FAADF9C">
            <w:pPr>
              <w:spacing w:line="240" w:lineRule="auto"/>
              <w:jc w:val="center"/>
              <w:rPr>
                <w:rFonts w:hint="default" w:ascii="Times New Roman" w:hAnsi="Times New Roman" w:eastAsia="宋体" w:cs="Times New Roman"/>
                <w:color w:val="auto"/>
                <w:sz w:val="24"/>
                <w:szCs w:val="24"/>
              </w:rPr>
            </w:pPr>
          </w:p>
        </w:tc>
        <w:tc>
          <w:tcPr>
            <w:tcW w:w="947" w:type="pct"/>
            <w:tcBorders>
              <w:top w:val="nil"/>
              <w:left w:val="nil"/>
              <w:bottom w:val="nil"/>
              <w:right w:val="nil"/>
            </w:tcBorders>
            <w:shd w:val="clear" w:color="auto" w:fill="auto"/>
            <w:noWrap/>
            <w:vAlign w:val="bottom"/>
          </w:tcPr>
          <w:p w14:paraId="4EEBB935">
            <w:pPr>
              <w:spacing w:line="240" w:lineRule="auto"/>
              <w:jc w:val="center"/>
              <w:rPr>
                <w:rFonts w:hint="default" w:ascii="Times New Roman" w:hAnsi="Times New Roman" w:eastAsia="宋体" w:cs="Times New Roman"/>
                <w:color w:val="auto"/>
                <w:sz w:val="24"/>
                <w:szCs w:val="24"/>
              </w:rPr>
            </w:pPr>
          </w:p>
        </w:tc>
        <w:tc>
          <w:tcPr>
            <w:tcW w:w="947" w:type="pct"/>
            <w:tcBorders>
              <w:top w:val="nil"/>
              <w:left w:val="nil"/>
              <w:bottom w:val="nil"/>
              <w:right w:val="nil"/>
            </w:tcBorders>
            <w:shd w:val="clear" w:color="auto" w:fill="auto"/>
            <w:noWrap/>
            <w:vAlign w:val="bottom"/>
          </w:tcPr>
          <w:p w14:paraId="411B161A">
            <w:pPr>
              <w:spacing w:line="240" w:lineRule="auto"/>
              <w:jc w:val="center"/>
              <w:rPr>
                <w:rFonts w:hint="default" w:ascii="Times New Roman" w:hAnsi="Times New Roman" w:eastAsia="宋体" w:cs="Times New Roman"/>
                <w:color w:val="auto"/>
                <w:sz w:val="24"/>
                <w:szCs w:val="24"/>
              </w:rPr>
            </w:pPr>
          </w:p>
        </w:tc>
        <w:tc>
          <w:tcPr>
            <w:tcW w:w="947" w:type="pct"/>
            <w:tcBorders>
              <w:top w:val="nil"/>
              <w:left w:val="nil"/>
              <w:bottom w:val="nil"/>
              <w:right w:val="nil"/>
            </w:tcBorders>
            <w:shd w:val="clear" w:color="auto" w:fill="auto"/>
            <w:noWrap/>
            <w:vAlign w:val="bottom"/>
          </w:tcPr>
          <w:p w14:paraId="23C95265">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&lt;0.001</w:t>
            </w:r>
          </w:p>
        </w:tc>
      </w:tr>
      <w:tr w14:paraId="787CD44D">
        <w:tblPrEx>
          <w:tblCellMar>
            <w:top w:w="0" w:type="dxa"/>
            <w:left w:w="108" w:type="dxa"/>
            <w:bottom w:w="0" w:type="dxa"/>
            <w:right w:w="108" w:type="dxa"/>
          </w:tblCellMar>
        </w:tblPrEx>
        <w:trPr>
          <w:gridAfter w:val="1"/>
          <w:wAfter w:w="10" w:type="pct"/>
          <w:trHeight w:val="300" w:hRule="atLeast"/>
        </w:trPr>
        <w:tc>
          <w:tcPr>
            <w:tcW w:w="1199" w:type="pct"/>
            <w:tcBorders>
              <w:top w:val="nil"/>
              <w:left w:val="nil"/>
              <w:bottom w:val="nil"/>
              <w:right w:val="nil"/>
            </w:tcBorders>
            <w:shd w:val="clear" w:color="auto" w:fill="auto"/>
            <w:noWrap/>
            <w:vAlign w:val="bottom"/>
          </w:tcPr>
          <w:p w14:paraId="2DDA0729">
            <w:pPr>
              <w:widowControl/>
              <w:spacing w:line="240" w:lineRule="auto"/>
              <w:ind w:firstLine="240" w:firstLineChars="100"/>
              <w:jc w:val="both"/>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2</w:t>
            </w:r>
          </w:p>
        </w:tc>
        <w:tc>
          <w:tcPr>
            <w:tcW w:w="947" w:type="pct"/>
            <w:tcBorders>
              <w:top w:val="nil"/>
              <w:left w:val="nil"/>
              <w:bottom w:val="nil"/>
              <w:right w:val="nil"/>
            </w:tcBorders>
            <w:shd w:val="clear" w:color="auto" w:fill="auto"/>
            <w:noWrap/>
            <w:vAlign w:val="bottom"/>
          </w:tcPr>
          <w:p w14:paraId="6FBB3A19">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4.08 (3.45, 4.72)</w:t>
            </w:r>
          </w:p>
        </w:tc>
        <w:tc>
          <w:tcPr>
            <w:tcW w:w="947" w:type="pct"/>
            <w:tcBorders>
              <w:top w:val="nil"/>
              <w:left w:val="nil"/>
              <w:bottom w:val="nil"/>
              <w:right w:val="nil"/>
            </w:tcBorders>
            <w:shd w:val="clear" w:color="auto" w:fill="auto"/>
            <w:noWrap/>
            <w:vAlign w:val="bottom"/>
          </w:tcPr>
          <w:p w14:paraId="131AE60D">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4.17 (3.27, 5.07)</w:t>
            </w:r>
          </w:p>
        </w:tc>
        <w:tc>
          <w:tcPr>
            <w:tcW w:w="947" w:type="pct"/>
            <w:tcBorders>
              <w:top w:val="nil"/>
              <w:left w:val="nil"/>
              <w:bottom w:val="nil"/>
              <w:right w:val="nil"/>
            </w:tcBorders>
            <w:shd w:val="clear" w:color="auto" w:fill="auto"/>
            <w:noWrap/>
            <w:vAlign w:val="bottom"/>
          </w:tcPr>
          <w:p w14:paraId="2AC5F414">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3.99 (3.04, 4.94)</w:t>
            </w:r>
          </w:p>
        </w:tc>
        <w:tc>
          <w:tcPr>
            <w:tcW w:w="947" w:type="pct"/>
            <w:tcBorders>
              <w:top w:val="nil"/>
              <w:left w:val="nil"/>
              <w:bottom w:val="nil"/>
              <w:right w:val="nil"/>
            </w:tcBorders>
            <w:shd w:val="clear" w:color="auto" w:fill="auto"/>
            <w:noWrap/>
            <w:vAlign w:val="bottom"/>
          </w:tcPr>
          <w:p w14:paraId="408CD6FA">
            <w:pPr>
              <w:spacing w:line="240" w:lineRule="auto"/>
              <w:jc w:val="center"/>
              <w:rPr>
                <w:rFonts w:hint="default" w:ascii="Times New Roman" w:hAnsi="Times New Roman" w:eastAsia="宋体" w:cs="Times New Roman"/>
                <w:color w:val="auto"/>
                <w:sz w:val="24"/>
                <w:szCs w:val="24"/>
              </w:rPr>
            </w:pPr>
          </w:p>
        </w:tc>
      </w:tr>
      <w:tr w14:paraId="123E684F">
        <w:tblPrEx>
          <w:tblCellMar>
            <w:top w:w="0" w:type="dxa"/>
            <w:left w:w="108" w:type="dxa"/>
            <w:bottom w:w="0" w:type="dxa"/>
            <w:right w:w="108" w:type="dxa"/>
          </w:tblCellMar>
        </w:tblPrEx>
        <w:trPr>
          <w:gridAfter w:val="1"/>
          <w:wAfter w:w="10" w:type="pct"/>
          <w:trHeight w:val="300" w:hRule="atLeast"/>
        </w:trPr>
        <w:tc>
          <w:tcPr>
            <w:tcW w:w="1199" w:type="pct"/>
            <w:tcBorders>
              <w:top w:val="nil"/>
              <w:left w:val="nil"/>
              <w:bottom w:val="nil"/>
              <w:right w:val="nil"/>
            </w:tcBorders>
            <w:shd w:val="clear" w:color="auto" w:fill="auto"/>
            <w:noWrap/>
            <w:vAlign w:val="bottom"/>
          </w:tcPr>
          <w:p w14:paraId="5A1D76D9">
            <w:pPr>
              <w:widowControl/>
              <w:spacing w:line="240" w:lineRule="auto"/>
              <w:ind w:firstLine="240" w:firstLineChars="100"/>
              <w:jc w:val="both"/>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3</w:t>
            </w:r>
          </w:p>
        </w:tc>
        <w:tc>
          <w:tcPr>
            <w:tcW w:w="947" w:type="pct"/>
            <w:tcBorders>
              <w:top w:val="nil"/>
              <w:left w:val="nil"/>
              <w:bottom w:val="nil"/>
              <w:right w:val="nil"/>
            </w:tcBorders>
            <w:shd w:val="clear" w:color="auto" w:fill="auto"/>
            <w:noWrap/>
            <w:vAlign w:val="bottom"/>
          </w:tcPr>
          <w:p w14:paraId="0257A062">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1.45 (1.03, 1.87)</w:t>
            </w:r>
          </w:p>
        </w:tc>
        <w:tc>
          <w:tcPr>
            <w:tcW w:w="947" w:type="pct"/>
            <w:tcBorders>
              <w:top w:val="nil"/>
              <w:left w:val="nil"/>
              <w:bottom w:val="nil"/>
              <w:right w:val="nil"/>
            </w:tcBorders>
            <w:shd w:val="clear" w:color="auto" w:fill="auto"/>
            <w:noWrap/>
            <w:vAlign w:val="bottom"/>
          </w:tcPr>
          <w:p w14:paraId="5EBEA29A">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1.88 (1.24, 2.52)</w:t>
            </w:r>
          </w:p>
        </w:tc>
        <w:tc>
          <w:tcPr>
            <w:tcW w:w="947" w:type="pct"/>
            <w:tcBorders>
              <w:top w:val="nil"/>
              <w:left w:val="nil"/>
              <w:bottom w:val="nil"/>
              <w:right w:val="nil"/>
            </w:tcBorders>
            <w:shd w:val="clear" w:color="auto" w:fill="auto"/>
            <w:noWrap/>
            <w:vAlign w:val="bottom"/>
          </w:tcPr>
          <w:p w14:paraId="533F0C29">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0.99 (0.53, 1.46)</w:t>
            </w:r>
          </w:p>
        </w:tc>
        <w:tc>
          <w:tcPr>
            <w:tcW w:w="947" w:type="pct"/>
            <w:tcBorders>
              <w:top w:val="nil"/>
              <w:left w:val="nil"/>
              <w:bottom w:val="nil"/>
              <w:right w:val="nil"/>
            </w:tcBorders>
            <w:shd w:val="clear" w:color="auto" w:fill="auto"/>
            <w:noWrap/>
            <w:vAlign w:val="bottom"/>
          </w:tcPr>
          <w:p w14:paraId="63DC4BC4">
            <w:pPr>
              <w:spacing w:line="240" w:lineRule="auto"/>
              <w:jc w:val="center"/>
              <w:rPr>
                <w:rFonts w:hint="default" w:ascii="Times New Roman" w:hAnsi="Times New Roman" w:eastAsia="宋体" w:cs="Times New Roman"/>
                <w:color w:val="auto"/>
                <w:sz w:val="24"/>
                <w:szCs w:val="24"/>
              </w:rPr>
            </w:pPr>
          </w:p>
        </w:tc>
      </w:tr>
      <w:tr w14:paraId="33C5D61C">
        <w:tblPrEx>
          <w:tblCellMar>
            <w:top w:w="0" w:type="dxa"/>
            <w:left w:w="108" w:type="dxa"/>
            <w:bottom w:w="0" w:type="dxa"/>
            <w:right w:w="108" w:type="dxa"/>
          </w:tblCellMar>
        </w:tblPrEx>
        <w:trPr>
          <w:gridAfter w:val="1"/>
          <w:wAfter w:w="10" w:type="pct"/>
          <w:trHeight w:val="300" w:hRule="atLeast"/>
        </w:trPr>
        <w:tc>
          <w:tcPr>
            <w:tcW w:w="1199" w:type="pct"/>
            <w:tcBorders>
              <w:top w:val="nil"/>
              <w:left w:val="nil"/>
              <w:bottom w:val="single" w:color="000000" w:sz="4" w:space="0"/>
              <w:right w:val="nil"/>
            </w:tcBorders>
            <w:shd w:val="clear" w:color="auto" w:fill="auto"/>
            <w:noWrap/>
            <w:vAlign w:val="bottom"/>
          </w:tcPr>
          <w:p w14:paraId="7EF43F4B">
            <w:pPr>
              <w:widowControl/>
              <w:spacing w:line="240" w:lineRule="auto"/>
              <w:ind w:firstLine="240" w:firstLineChars="100"/>
              <w:jc w:val="both"/>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4</w:t>
            </w:r>
          </w:p>
        </w:tc>
        <w:tc>
          <w:tcPr>
            <w:tcW w:w="947" w:type="pct"/>
            <w:tcBorders>
              <w:top w:val="nil"/>
              <w:left w:val="nil"/>
              <w:bottom w:val="single" w:color="000000" w:sz="4" w:space="0"/>
              <w:right w:val="nil"/>
            </w:tcBorders>
            <w:shd w:val="clear" w:color="auto" w:fill="auto"/>
            <w:noWrap/>
            <w:vAlign w:val="bottom"/>
          </w:tcPr>
          <w:p w14:paraId="639CAB1E">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0.4 (0.16, 0.63)</w:t>
            </w:r>
          </w:p>
        </w:tc>
        <w:tc>
          <w:tcPr>
            <w:tcW w:w="947" w:type="pct"/>
            <w:tcBorders>
              <w:top w:val="nil"/>
              <w:left w:val="nil"/>
              <w:bottom w:val="single" w:color="000000" w:sz="4" w:space="0"/>
              <w:right w:val="nil"/>
            </w:tcBorders>
            <w:shd w:val="clear" w:color="auto" w:fill="auto"/>
            <w:noWrap/>
            <w:vAlign w:val="bottom"/>
          </w:tcPr>
          <w:p w14:paraId="1F717E8F">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0.55 (0.25, 0.85)</w:t>
            </w:r>
          </w:p>
        </w:tc>
        <w:tc>
          <w:tcPr>
            <w:tcW w:w="947" w:type="pct"/>
            <w:tcBorders>
              <w:top w:val="nil"/>
              <w:left w:val="nil"/>
              <w:bottom w:val="single" w:color="000000" w:sz="4" w:space="0"/>
              <w:right w:val="nil"/>
            </w:tcBorders>
            <w:shd w:val="clear" w:color="auto" w:fill="auto"/>
            <w:noWrap/>
            <w:vAlign w:val="bottom"/>
          </w:tcPr>
          <w:p w14:paraId="3C081404">
            <w:pPr>
              <w:widowControl/>
              <w:spacing w:line="240" w:lineRule="auto"/>
              <w:jc w:val="center"/>
              <w:textAlignment w:val="bottom"/>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bidi="ar"/>
              </w:rPr>
              <w:t>0.23 (-0.04, 0.5)</w:t>
            </w:r>
          </w:p>
        </w:tc>
        <w:tc>
          <w:tcPr>
            <w:tcW w:w="947" w:type="pct"/>
            <w:tcBorders>
              <w:top w:val="nil"/>
              <w:left w:val="nil"/>
              <w:bottom w:val="single" w:color="000000" w:sz="4" w:space="0"/>
              <w:right w:val="nil"/>
            </w:tcBorders>
            <w:shd w:val="clear" w:color="auto" w:fill="auto"/>
            <w:noWrap/>
            <w:vAlign w:val="bottom"/>
          </w:tcPr>
          <w:p w14:paraId="5AAB3BDA">
            <w:pPr>
              <w:spacing w:line="240" w:lineRule="auto"/>
              <w:jc w:val="center"/>
              <w:rPr>
                <w:rFonts w:hint="default" w:ascii="Times New Roman" w:hAnsi="Times New Roman" w:eastAsia="宋体" w:cs="Times New Roman"/>
                <w:color w:val="auto"/>
                <w:sz w:val="24"/>
                <w:szCs w:val="24"/>
              </w:rPr>
            </w:pPr>
          </w:p>
        </w:tc>
      </w:tr>
    </w:tbl>
    <w:p w14:paraId="374F848C">
      <w:pPr>
        <w:spacing w:line="240" w:lineRule="auto"/>
        <w:jc w:val="left"/>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b w:val="0"/>
          <w:bCs w:val="0"/>
          <w:color w:val="auto"/>
          <w:sz w:val="21"/>
          <w:szCs w:val="21"/>
        </w:rPr>
        <w:t xml:space="preserve">Data are </w:t>
      </w:r>
      <w:r>
        <w:rPr>
          <w:rFonts w:hint="default" w:ascii="Times New Roman" w:hAnsi="Times New Roman" w:cs="Times New Roman" w:eastAsiaTheme="minorEastAsia"/>
          <w:color w:val="auto"/>
          <w:sz w:val="21"/>
          <w:szCs w:val="21"/>
          <w:lang w:val="en-US"/>
        </w:rPr>
        <w:t>presented as</w:t>
      </w:r>
      <w:r>
        <w:rPr>
          <w:rFonts w:hint="default" w:ascii="Times New Roman" w:hAnsi="Times New Roman" w:cs="Times New Roman" w:eastAsiaTheme="minorEastAsia"/>
          <w:color w:val="auto"/>
          <w:sz w:val="22"/>
          <w:szCs w:val="28"/>
          <w:lang w:val="en-US" w:eastAsia="zh-CN"/>
        </w:rPr>
        <w:t xml:space="preserve"> </w:t>
      </w:r>
      <w:r>
        <w:rPr>
          <w:rFonts w:hint="default" w:ascii="Times New Roman" w:hAnsi="Times New Roman" w:cs="Times New Roman"/>
          <w:b w:val="0"/>
          <w:bCs w:val="0"/>
          <w:color w:val="auto"/>
          <w:sz w:val="21"/>
          <w:szCs w:val="21"/>
        </w:rPr>
        <w:t>percentage (</w:t>
      </w:r>
      <w:r>
        <w:rPr>
          <w:rFonts w:hint="default" w:ascii="Times New Roman" w:hAnsi="Times New Roman" w:cs="Times New Roman"/>
          <w:b w:val="0"/>
          <w:bCs w:val="0"/>
          <w:color w:val="auto"/>
          <w:sz w:val="21"/>
          <w:szCs w:val="21"/>
          <w:lang w:val="en-US" w:eastAsia="zh-CN"/>
        </w:rPr>
        <w:t>95%CI), adjusted for NHANES fasting sample weight.</w:t>
      </w:r>
    </w:p>
    <w:p w14:paraId="0ED6C6B2">
      <w:pPr>
        <w:spacing w:line="240" w:lineRule="auto"/>
        <w:jc w:val="left"/>
        <w:rPr>
          <w:rFonts w:hint="default" w:ascii="Times New Roman" w:hAnsi="Times New Roman" w:eastAsia="Times New Roman Uni" w:cs="Times New Roman"/>
          <w:b/>
          <w:bCs/>
          <w:color w:val="auto"/>
        </w:rPr>
      </w:pPr>
      <w:r>
        <w:rPr>
          <w:rFonts w:hint="default" w:ascii="Times New Roman" w:hAnsi="Times New Roman" w:cs="Times New Roman"/>
          <w:b w:val="0"/>
          <w:bCs w:val="0"/>
          <w:color w:val="auto"/>
          <w:sz w:val="21"/>
          <w:szCs w:val="21"/>
          <w:lang w:val="en-US" w:eastAsia="zh-CN"/>
        </w:rPr>
        <w:t>AO</w:t>
      </w:r>
      <w:r>
        <w:rPr>
          <w:rFonts w:hint="default" w:ascii="Times New Roman" w:hAnsi="Times New Roman" w:cs="Times New Roman"/>
          <w:b w:val="0"/>
          <w:bCs w:val="0"/>
          <w:color w:val="auto"/>
          <w:sz w:val="21"/>
          <w:szCs w:val="21"/>
        </w:rPr>
        <w:t>=</w:t>
      </w:r>
      <w:r>
        <w:rPr>
          <w:rFonts w:hint="default" w:ascii="Times New Roman" w:hAnsi="Times New Roman" w:cs="Times New Roman"/>
          <w:b w:val="0"/>
          <w:bCs w:val="0"/>
          <w:color w:val="auto"/>
          <w:sz w:val="21"/>
          <w:szCs w:val="21"/>
          <w:lang w:val="en-US" w:eastAsia="zh-CN"/>
        </w:rPr>
        <w:t>abdominal obesity; NHANES=National Health and Nutrition Examination Survey; CI=confidence interval.</w:t>
      </w:r>
    </w:p>
    <w:p w14:paraId="76EBBAC2">
      <w:pPr>
        <w:pStyle w:val="2"/>
        <w:keepNext/>
        <w:keepLines/>
        <w:pageBreakBefore/>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bCs/>
          <w:color w:val="auto"/>
          <w:sz w:val="24"/>
          <w:szCs w:val="24"/>
          <w:lang w:val="en-US" w:eastAsia="zh-CN"/>
        </w:rPr>
      </w:pPr>
      <w:bookmarkStart w:id="8" w:name="_Toc3405"/>
      <w:bookmarkStart w:id="9" w:name="_Toc2756"/>
      <w:r>
        <w:rPr>
          <w:rFonts w:hint="default" w:ascii="Times New Roman" w:hAnsi="Times New Roman" w:cs="Times New Roman"/>
          <w:b/>
          <w:bCs/>
          <w:color w:val="auto"/>
          <w:sz w:val="24"/>
          <w:szCs w:val="24"/>
          <w:lang w:val="en-US" w:eastAsia="zh-CN"/>
        </w:rPr>
        <w:t>Table S4. Sex Differences in the Metabolic Phenotype among Adolescents</w:t>
      </w:r>
      <w:bookmarkEnd w:id="8"/>
      <w:bookmarkEnd w:id="9"/>
    </w:p>
    <w:tbl>
      <w:tblPr>
        <w:tblStyle w:val="16"/>
        <w:tblW w:w="4998" w:type="pct"/>
        <w:tblInd w:w="0" w:type="dxa"/>
        <w:tblLayout w:type="autofit"/>
        <w:tblCellMar>
          <w:top w:w="0" w:type="dxa"/>
          <w:left w:w="108" w:type="dxa"/>
          <w:bottom w:w="0" w:type="dxa"/>
          <w:right w:w="108" w:type="dxa"/>
        </w:tblCellMar>
      </w:tblPr>
      <w:tblGrid>
        <w:gridCol w:w="4290"/>
        <w:gridCol w:w="2470"/>
        <w:gridCol w:w="2470"/>
        <w:gridCol w:w="2470"/>
        <w:gridCol w:w="2471"/>
      </w:tblGrid>
      <w:tr w14:paraId="7B6369DF">
        <w:tblPrEx>
          <w:tblCellMar>
            <w:top w:w="0" w:type="dxa"/>
            <w:left w:w="108" w:type="dxa"/>
            <w:bottom w:w="0" w:type="dxa"/>
            <w:right w:w="108" w:type="dxa"/>
          </w:tblCellMar>
        </w:tblPrEx>
        <w:trPr>
          <w:trHeight w:val="300" w:hRule="atLeast"/>
        </w:trPr>
        <w:tc>
          <w:tcPr>
            <w:tcW w:w="1513" w:type="pct"/>
            <w:tcBorders>
              <w:top w:val="single" w:color="000000" w:sz="4" w:space="0"/>
              <w:left w:val="nil"/>
              <w:bottom w:val="single" w:color="000000" w:sz="4" w:space="0"/>
              <w:right w:val="nil"/>
            </w:tcBorders>
            <w:shd w:val="clear" w:color="auto" w:fill="AEAAAA" w:themeFill="background2" w:themeFillShade="BF"/>
            <w:noWrap/>
            <w:vAlign w:val="center"/>
          </w:tcPr>
          <w:p w14:paraId="27F80608">
            <w:pPr>
              <w:spacing w:line="240" w:lineRule="auto"/>
              <w:rPr>
                <w:rFonts w:hint="default" w:ascii="Times New Roman" w:hAnsi="Times New Roman" w:cs="Times New Roman"/>
                <w:color w:val="auto"/>
                <w:sz w:val="24"/>
                <w:szCs w:val="24"/>
              </w:rPr>
            </w:pPr>
          </w:p>
        </w:tc>
        <w:tc>
          <w:tcPr>
            <w:tcW w:w="871" w:type="pct"/>
            <w:tcBorders>
              <w:top w:val="single" w:color="000000" w:sz="4" w:space="0"/>
              <w:left w:val="nil"/>
              <w:bottom w:val="single" w:color="000000" w:sz="4" w:space="0"/>
              <w:right w:val="nil"/>
            </w:tcBorders>
            <w:shd w:val="clear" w:color="auto" w:fill="AEAAAA" w:themeFill="background2" w:themeFillShade="BF"/>
            <w:noWrap/>
            <w:vAlign w:val="bottom"/>
          </w:tcPr>
          <w:p w14:paraId="4086253D">
            <w:pPr>
              <w:widowControl/>
              <w:spacing w:line="240" w:lineRule="auto"/>
              <w:jc w:val="center"/>
              <w:textAlignment w:val="bottom"/>
              <w:rPr>
                <w:rFonts w:hint="default" w:ascii="Times New Roman" w:hAnsi="Times New Roman" w:cs="Times New Roman"/>
                <w:b/>
                <w:bCs/>
                <w:color w:val="auto"/>
                <w:sz w:val="24"/>
                <w:szCs w:val="24"/>
              </w:rPr>
            </w:pPr>
            <w:r>
              <w:rPr>
                <w:rFonts w:hint="default" w:ascii="Times New Roman" w:hAnsi="Times New Roman" w:eastAsia="宋体" w:cs="Times New Roman"/>
                <w:b/>
                <w:bCs/>
                <w:color w:val="auto"/>
                <w:kern w:val="0"/>
                <w:sz w:val="24"/>
                <w:szCs w:val="24"/>
                <w:lang w:bidi="ar"/>
              </w:rPr>
              <w:t>Overall (n=6898)</w:t>
            </w:r>
          </w:p>
        </w:tc>
        <w:tc>
          <w:tcPr>
            <w:tcW w:w="871" w:type="pct"/>
            <w:tcBorders>
              <w:top w:val="single" w:color="000000" w:sz="4" w:space="0"/>
              <w:left w:val="nil"/>
              <w:bottom w:val="single" w:color="000000" w:sz="4" w:space="0"/>
              <w:right w:val="nil"/>
            </w:tcBorders>
            <w:shd w:val="clear" w:color="auto" w:fill="AEAAAA" w:themeFill="background2" w:themeFillShade="BF"/>
            <w:noWrap/>
            <w:vAlign w:val="bottom"/>
          </w:tcPr>
          <w:p w14:paraId="056016D3">
            <w:pPr>
              <w:widowControl/>
              <w:spacing w:line="240" w:lineRule="auto"/>
              <w:jc w:val="center"/>
              <w:textAlignment w:val="bottom"/>
              <w:rPr>
                <w:rFonts w:hint="default" w:ascii="Times New Roman" w:hAnsi="Times New Roman" w:cs="Times New Roman"/>
                <w:b/>
                <w:bCs/>
                <w:color w:val="auto"/>
                <w:sz w:val="24"/>
                <w:szCs w:val="24"/>
              </w:rPr>
            </w:pPr>
            <w:r>
              <w:rPr>
                <w:rFonts w:hint="default" w:ascii="Times New Roman" w:hAnsi="Times New Roman" w:eastAsia="宋体" w:cs="Times New Roman"/>
                <w:b/>
                <w:bCs/>
                <w:color w:val="auto"/>
                <w:kern w:val="0"/>
                <w:sz w:val="24"/>
                <w:szCs w:val="24"/>
                <w:lang w:bidi="ar"/>
              </w:rPr>
              <w:t>Male (n=3644)</w:t>
            </w:r>
          </w:p>
        </w:tc>
        <w:tc>
          <w:tcPr>
            <w:tcW w:w="871" w:type="pct"/>
            <w:tcBorders>
              <w:top w:val="single" w:color="000000" w:sz="4" w:space="0"/>
              <w:left w:val="nil"/>
              <w:bottom w:val="single" w:color="000000" w:sz="4" w:space="0"/>
              <w:right w:val="nil"/>
            </w:tcBorders>
            <w:shd w:val="clear" w:color="auto" w:fill="AEAAAA" w:themeFill="background2" w:themeFillShade="BF"/>
            <w:noWrap/>
            <w:vAlign w:val="bottom"/>
          </w:tcPr>
          <w:p w14:paraId="28872F35">
            <w:pPr>
              <w:widowControl/>
              <w:spacing w:line="240" w:lineRule="auto"/>
              <w:jc w:val="center"/>
              <w:textAlignment w:val="bottom"/>
              <w:rPr>
                <w:rFonts w:hint="default" w:ascii="Times New Roman" w:hAnsi="Times New Roman" w:cs="Times New Roman"/>
                <w:b/>
                <w:bCs/>
                <w:color w:val="auto"/>
                <w:sz w:val="24"/>
                <w:szCs w:val="24"/>
              </w:rPr>
            </w:pPr>
            <w:r>
              <w:rPr>
                <w:rFonts w:hint="default" w:ascii="Times New Roman" w:hAnsi="Times New Roman" w:eastAsia="宋体" w:cs="Times New Roman"/>
                <w:b/>
                <w:bCs/>
                <w:color w:val="auto"/>
                <w:kern w:val="0"/>
                <w:sz w:val="24"/>
                <w:szCs w:val="24"/>
                <w:lang w:bidi="ar"/>
              </w:rPr>
              <w:t>Female (n=3345)</w:t>
            </w:r>
          </w:p>
        </w:tc>
        <w:tc>
          <w:tcPr>
            <w:tcW w:w="871" w:type="pct"/>
            <w:tcBorders>
              <w:top w:val="single" w:color="000000" w:sz="4" w:space="0"/>
              <w:left w:val="nil"/>
              <w:bottom w:val="single" w:color="000000" w:sz="4" w:space="0"/>
              <w:right w:val="nil"/>
            </w:tcBorders>
            <w:shd w:val="clear" w:color="auto" w:fill="AEAAAA" w:themeFill="background2" w:themeFillShade="BF"/>
            <w:noWrap/>
            <w:vAlign w:val="bottom"/>
          </w:tcPr>
          <w:p w14:paraId="74B47385">
            <w:pPr>
              <w:widowControl/>
              <w:spacing w:line="240" w:lineRule="auto"/>
              <w:jc w:val="center"/>
              <w:textAlignment w:val="bottom"/>
              <w:rPr>
                <w:rFonts w:hint="default" w:ascii="Times New Roman" w:hAnsi="Times New Roman" w:cs="Times New Roman"/>
                <w:b/>
                <w:bCs/>
                <w:color w:val="auto"/>
                <w:sz w:val="24"/>
                <w:szCs w:val="24"/>
              </w:rPr>
            </w:pPr>
            <w:r>
              <w:rPr>
                <w:rFonts w:hint="default" w:ascii="Times New Roman" w:hAnsi="Times New Roman" w:eastAsia="宋体" w:cs="Times New Roman"/>
                <w:b/>
                <w:bCs/>
                <w:color w:val="auto"/>
                <w:kern w:val="0"/>
                <w:sz w:val="24"/>
                <w:szCs w:val="24"/>
                <w:lang w:bidi="ar"/>
              </w:rPr>
              <w:t>P value</w:t>
            </w:r>
          </w:p>
        </w:tc>
      </w:tr>
      <w:tr w14:paraId="55DF4B2C">
        <w:tblPrEx>
          <w:tblCellMar>
            <w:top w:w="0" w:type="dxa"/>
            <w:left w:w="108" w:type="dxa"/>
            <w:bottom w:w="0" w:type="dxa"/>
            <w:right w:w="108" w:type="dxa"/>
          </w:tblCellMar>
        </w:tblPrEx>
        <w:trPr>
          <w:trHeight w:val="300" w:hRule="atLeast"/>
        </w:trPr>
        <w:tc>
          <w:tcPr>
            <w:tcW w:w="4290" w:type="dxa"/>
            <w:tcBorders>
              <w:top w:val="nil"/>
              <w:left w:val="nil"/>
              <w:bottom w:val="nil"/>
              <w:right w:val="nil"/>
            </w:tcBorders>
            <w:shd w:val="clear" w:color="auto" w:fill="auto"/>
            <w:noWrap/>
            <w:vAlign w:val="bottom"/>
          </w:tcPr>
          <w:p w14:paraId="683BE651">
            <w:pPr>
              <w:widowControl/>
              <w:spacing w:line="240" w:lineRule="auto"/>
              <w:jc w:val="left"/>
              <w:textAlignment w:val="bottom"/>
              <w:rPr>
                <w:rFonts w:hint="default" w:ascii="Times New Roman" w:hAnsi="Times New Roman" w:cs="Times New Roman"/>
                <w:b/>
                <w:bCs/>
                <w:color w:val="auto"/>
                <w:sz w:val="24"/>
                <w:szCs w:val="24"/>
              </w:rPr>
            </w:pPr>
            <w:r>
              <w:rPr>
                <w:rFonts w:hint="default" w:ascii="Times New Roman" w:hAnsi="Times New Roman" w:eastAsia="宋体" w:cs="Times New Roman"/>
                <w:b/>
                <w:bCs/>
                <w:color w:val="auto"/>
                <w:kern w:val="0"/>
                <w:sz w:val="24"/>
                <w:szCs w:val="24"/>
                <w:lang w:bidi="ar"/>
              </w:rPr>
              <w:t>Metabolically healthy obesity</w:t>
            </w:r>
          </w:p>
        </w:tc>
        <w:tc>
          <w:tcPr>
            <w:tcW w:w="2470" w:type="dxa"/>
            <w:tcBorders>
              <w:top w:val="nil"/>
              <w:left w:val="nil"/>
              <w:bottom w:val="nil"/>
              <w:right w:val="nil"/>
            </w:tcBorders>
            <w:shd w:val="clear" w:color="auto" w:fill="auto"/>
            <w:noWrap/>
            <w:vAlign w:val="bottom"/>
          </w:tcPr>
          <w:p w14:paraId="68EC5732">
            <w:pPr>
              <w:spacing w:line="240" w:lineRule="auto"/>
              <w:rPr>
                <w:rFonts w:hint="default" w:ascii="Times New Roman" w:hAnsi="Times New Roman" w:cs="Times New Roman"/>
                <w:color w:val="auto"/>
                <w:sz w:val="24"/>
                <w:szCs w:val="24"/>
              </w:rPr>
            </w:pPr>
          </w:p>
        </w:tc>
        <w:tc>
          <w:tcPr>
            <w:tcW w:w="2470" w:type="dxa"/>
            <w:tcBorders>
              <w:top w:val="nil"/>
              <w:left w:val="nil"/>
              <w:bottom w:val="nil"/>
              <w:right w:val="nil"/>
            </w:tcBorders>
            <w:shd w:val="clear" w:color="auto" w:fill="auto"/>
            <w:noWrap/>
            <w:vAlign w:val="bottom"/>
          </w:tcPr>
          <w:p w14:paraId="6C672F56">
            <w:pPr>
              <w:spacing w:line="240" w:lineRule="auto"/>
              <w:rPr>
                <w:rFonts w:hint="default" w:ascii="Times New Roman" w:hAnsi="Times New Roman" w:cs="Times New Roman"/>
                <w:color w:val="auto"/>
                <w:sz w:val="24"/>
                <w:szCs w:val="24"/>
              </w:rPr>
            </w:pPr>
          </w:p>
        </w:tc>
        <w:tc>
          <w:tcPr>
            <w:tcW w:w="2470" w:type="dxa"/>
            <w:tcBorders>
              <w:top w:val="nil"/>
              <w:left w:val="nil"/>
              <w:bottom w:val="nil"/>
              <w:right w:val="nil"/>
            </w:tcBorders>
            <w:shd w:val="clear" w:color="auto" w:fill="auto"/>
            <w:noWrap/>
            <w:vAlign w:val="bottom"/>
          </w:tcPr>
          <w:p w14:paraId="4352EBED">
            <w:pPr>
              <w:spacing w:line="240" w:lineRule="auto"/>
              <w:rPr>
                <w:rFonts w:hint="default" w:ascii="Times New Roman" w:hAnsi="Times New Roman" w:cs="Times New Roman"/>
                <w:color w:val="auto"/>
                <w:sz w:val="24"/>
                <w:szCs w:val="24"/>
              </w:rPr>
            </w:pPr>
          </w:p>
        </w:tc>
        <w:tc>
          <w:tcPr>
            <w:tcW w:w="2471" w:type="dxa"/>
            <w:tcBorders>
              <w:top w:val="nil"/>
              <w:left w:val="nil"/>
              <w:bottom w:val="nil"/>
              <w:right w:val="nil"/>
            </w:tcBorders>
            <w:shd w:val="clear" w:color="auto" w:fill="auto"/>
            <w:noWrap/>
            <w:vAlign w:val="bottom"/>
          </w:tcPr>
          <w:p w14:paraId="07489684">
            <w:pPr>
              <w:spacing w:line="240" w:lineRule="auto"/>
              <w:rPr>
                <w:rFonts w:hint="default" w:ascii="Times New Roman" w:hAnsi="Times New Roman" w:cs="Times New Roman"/>
                <w:color w:val="auto"/>
                <w:sz w:val="24"/>
                <w:szCs w:val="24"/>
              </w:rPr>
            </w:pPr>
          </w:p>
        </w:tc>
      </w:tr>
      <w:tr w14:paraId="6684CB62">
        <w:tblPrEx>
          <w:tblCellMar>
            <w:top w:w="0" w:type="dxa"/>
            <w:left w:w="108" w:type="dxa"/>
            <w:bottom w:w="0" w:type="dxa"/>
            <w:right w:w="108" w:type="dxa"/>
          </w:tblCellMar>
        </w:tblPrEx>
        <w:trPr>
          <w:trHeight w:val="300" w:hRule="atLeast"/>
        </w:trPr>
        <w:tc>
          <w:tcPr>
            <w:tcW w:w="4290" w:type="dxa"/>
            <w:tcBorders>
              <w:top w:val="nil"/>
              <w:left w:val="nil"/>
              <w:bottom w:val="nil"/>
              <w:right w:val="nil"/>
            </w:tcBorders>
            <w:shd w:val="clear" w:color="auto" w:fill="auto"/>
            <w:noWrap/>
            <w:vAlign w:val="bottom"/>
          </w:tcPr>
          <w:p w14:paraId="55C04125">
            <w:pPr>
              <w:widowControl/>
              <w:spacing w:line="240" w:lineRule="auto"/>
              <w:jc w:val="left"/>
              <w:textAlignment w:val="bottom"/>
              <w:rPr>
                <w:rFonts w:hint="default" w:ascii="Times New Roman" w:hAnsi="Times New Roman" w:cs="Times New Roman"/>
                <w:color w:val="auto"/>
                <w:sz w:val="24"/>
                <w:szCs w:val="24"/>
              </w:rPr>
            </w:pPr>
            <w:r>
              <w:rPr>
                <w:rFonts w:hint="eastAsia" w:ascii="Times New Roman" w:hAnsi="Times New Roman" w:cs="Times New Roman"/>
                <w:b w:val="0"/>
                <w:bCs w:val="0"/>
                <w:i w:val="0"/>
                <w:iCs w:val="0"/>
                <w:color w:val="auto"/>
                <w:sz w:val="24"/>
                <w:highlight w:val="none"/>
                <w:lang w:val="en-US" w:eastAsia="zh-CN"/>
              </w:rPr>
              <w:t xml:space="preserve">Criterion </w:t>
            </w:r>
            <w:r>
              <w:rPr>
                <w:rFonts w:hint="default" w:ascii="Times New Roman" w:hAnsi="Times New Roman" w:eastAsia="宋体" w:cs="Times New Roman"/>
                <w:color w:val="auto"/>
                <w:kern w:val="0"/>
                <w:sz w:val="24"/>
                <w:szCs w:val="24"/>
                <w:lang w:bidi="ar"/>
              </w:rPr>
              <w:t>1</w:t>
            </w:r>
          </w:p>
        </w:tc>
        <w:tc>
          <w:tcPr>
            <w:tcW w:w="2470" w:type="dxa"/>
            <w:tcBorders>
              <w:top w:val="nil"/>
              <w:left w:val="nil"/>
              <w:bottom w:val="nil"/>
              <w:right w:val="nil"/>
            </w:tcBorders>
            <w:shd w:val="clear" w:color="auto" w:fill="auto"/>
            <w:noWrap/>
            <w:vAlign w:val="center"/>
          </w:tcPr>
          <w:p w14:paraId="30749BC8">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7.84% (6.93, 8.74)</w:t>
            </w:r>
          </w:p>
        </w:tc>
        <w:tc>
          <w:tcPr>
            <w:tcW w:w="2470" w:type="dxa"/>
            <w:tcBorders>
              <w:top w:val="nil"/>
              <w:left w:val="nil"/>
              <w:bottom w:val="nil"/>
              <w:right w:val="nil"/>
            </w:tcBorders>
            <w:shd w:val="clear" w:color="auto" w:fill="auto"/>
            <w:noWrap/>
            <w:vAlign w:val="center"/>
          </w:tcPr>
          <w:p w14:paraId="357F83D6">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6.22% (5.04, 7.4)</w:t>
            </w:r>
          </w:p>
        </w:tc>
        <w:tc>
          <w:tcPr>
            <w:tcW w:w="2470" w:type="dxa"/>
            <w:tcBorders>
              <w:top w:val="nil"/>
              <w:left w:val="nil"/>
              <w:bottom w:val="nil"/>
              <w:right w:val="nil"/>
            </w:tcBorders>
            <w:shd w:val="clear" w:color="auto" w:fill="auto"/>
            <w:noWrap/>
            <w:vAlign w:val="center"/>
          </w:tcPr>
          <w:p w14:paraId="1D53426E">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9.57% (7.96, 11.18)</w:t>
            </w:r>
          </w:p>
        </w:tc>
        <w:tc>
          <w:tcPr>
            <w:tcW w:w="2471" w:type="dxa"/>
            <w:tcBorders>
              <w:top w:val="nil"/>
              <w:left w:val="nil"/>
              <w:bottom w:val="nil"/>
              <w:right w:val="nil"/>
            </w:tcBorders>
            <w:shd w:val="clear" w:color="auto" w:fill="auto"/>
            <w:noWrap/>
            <w:vAlign w:val="center"/>
          </w:tcPr>
          <w:p w14:paraId="22AE6370">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0.002</w:t>
            </w:r>
          </w:p>
        </w:tc>
      </w:tr>
      <w:tr w14:paraId="387BEA0A">
        <w:tblPrEx>
          <w:tblCellMar>
            <w:top w:w="0" w:type="dxa"/>
            <w:left w:w="108" w:type="dxa"/>
            <w:bottom w:w="0" w:type="dxa"/>
            <w:right w:w="108" w:type="dxa"/>
          </w:tblCellMar>
        </w:tblPrEx>
        <w:trPr>
          <w:trHeight w:val="300" w:hRule="atLeast"/>
        </w:trPr>
        <w:tc>
          <w:tcPr>
            <w:tcW w:w="4290" w:type="dxa"/>
            <w:tcBorders>
              <w:top w:val="nil"/>
              <w:left w:val="nil"/>
              <w:bottom w:val="nil"/>
              <w:right w:val="nil"/>
            </w:tcBorders>
            <w:shd w:val="clear" w:color="auto" w:fill="auto"/>
            <w:noWrap/>
            <w:vAlign w:val="bottom"/>
          </w:tcPr>
          <w:p w14:paraId="13A8FE38">
            <w:pPr>
              <w:widowControl/>
              <w:spacing w:line="240" w:lineRule="auto"/>
              <w:jc w:val="left"/>
              <w:textAlignment w:val="bottom"/>
              <w:rPr>
                <w:rFonts w:hint="default" w:ascii="Times New Roman" w:hAnsi="Times New Roman" w:cs="Times New Roman"/>
                <w:color w:val="auto"/>
                <w:sz w:val="24"/>
                <w:szCs w:val="24"/>
              </w:rPr>
            </w:pPr>
            <w:r>
              <w:rPr>
                <w:rFonts w:hint="eastAsia" w:ascii="Times New Roman" w:hAnsi="Times New Roman" w:cs="Times New Roman"/>
                <w:b w:val="0"/>
                <w:bCs w:val="0"/>
                <w:i w:val="0"/>
                <w:iCs w:val="0"/>
                <w:color w:val="auto"/>
                <w:sz w:val="24"/>
                <w:highlight w:val="none"/>
                <w:lang w:val="en-US" w:eastAsia="zh-CN"/>
              </w:rPr>
              <w:t xml:space="preserve">Criterion </w:t>
            </w:r>
            <w:r>
              <w:rPr>
                <w:rFonts w:hint="default" w:ascii="Times New Roman" w:hAnsi="Times New Roman" w:eastAsia="宋体" w:cs="Times New Roman"/>
                <w:color w:val="auto"/>
                <w:kern w:val="0"/>
                <w:sz w:val="24"/>
                <w:szCs w:val="24"/>
                <w:lang w:bidi="ar"/>
              </w:rPr>
              <w:t>2</w:t>
            </w:r>
          </w:p>
        </w:tc>
        <w:tc>
          <w:tcPr>
            <w:tcW w:w="2470" w:type="dxa"/>
            <w:tcBorders>
              <w:top w:val="nil"/>
              <w:left w:val="nil"/>
              <w:bottom w:val="nil"/>
              <w:right w:val="nil"/>
            </w:tcBorders>
            <w:shd w:val="clear" w:color="auto" w:fill="auto"/>
            <w:noWrap/>
            <w:vAlign w:val="center"/>
          </w:tcPr>
          <w:p w14:paraId="5B7D4995">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7.17% (6.28, 8.06)</w:t>
            </w:r>
          </w:p>
        </w:tc>
        <w:tc>
          <w:tcPr>
            <w:tcW w:w="2470" w:type="dxa"/>
            <w:tcBorders>
              <w:top w:val="nil"/>
              <w:left w:val="nil"/>
              <w:bottom w:val="nil"/>
              <w:right w:val="nil"/>
            </w:tcBorders>
            <w:shd w:val="clear" w:color="auto" w:fill="auto"/>
            <w:noWrap/>
            <w:vAlign w:val="center"/>
          </w:tcPr>
          <w:p w14:paraId="0EA00DE0">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5.67% (4.53, 6.81)</w:t>
            </w:r>
          </w:p>
        </w:tc>
        <w:tc>
          <w:tcPr>
            <w:tcW w:w="2470" w:type="dxa"/>
            <w:tcBorders>
              <w:top w:val="nil"/>
              <w:left w:val="nil"/>
              <w:bottom w:val="nil"/>
              <w:right w:val="nil"/>
            </w:tcBorders>
            <w:shd w:val="clear" w:color="auto" w:fill="auto"/>
            <w:noWrap/>
            <w:vAlign w:val="center"/>
          </w:tcPr>
          <w:p w14:paraId="5C244B25">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8.77% (7.19, 10.36)</w:t>
            </w:r>
          </w:p>
        </w:tc>
        <w:tc>
          <w:tcPr>
            <w:tcW w:w="2471" w:type="dxa"/>
            <w:tcBorders>
              <w:top w:val="nil"/>
              <w:left w:val="nil"/>
              <w:bottom w:val="nil"/>
              <w:right w:val="nil"/>
            </w:tcBorders>
            <w:shd w:val="clear" w:color="auto" w:fill="auto"/>
            <w:noWrap/>
            <w:vAlign w:val="center"/>
          </w:tcPr>
          <w:p w14:paraId="2779F7DC">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0.004</w:t>
            </w:r>
          </w:p>
        </w:tc>
      </w:tr>
      <w:tr w14:paraId="0212AD01">
        <w:tblPrEx>
          <w:tblCellMar>
            <w:top w:w="0" w:type="dxa"/>
            <w:left w:w="108" w:type="dxa"/>
            <w:bottom w:w="0" w:type="dxa"/>
            <w:right w:w="108" w:type="dxa"/>
          </w:tblCellMar>
        </w:tblPrEx>
        <w:trPr>
          <w:trHeight w:val="300" w:hRule="atLeast"/>
        </w:trPr>
        <w:tc>
          <w:tcPr>
            <w:tcW w:w="4290" w:type="dxa"/>
            <w:tcBorders>
              <w:top w:val="nil"/>
              <w:left w:val="nil"/>
              <w:bottom w:val="nil"/>
              <w:right w:val="nil"/>
            </w:tcBorders>
            <w:shd w:val="clear" w:color="auto" w:fill="auto"/>
            <w:noWrap/>
            <w:vAlign w:val="bottom"/>
          </w:tcPr>
          <w:p w14:paraId="7F0ABEC6">
            <w:pPr>
              <w:widowControl/>
              <w:spacing w:line="240" w:lineRule="auto"/>
              <w:jc w:val="left"/>
              <w:textAlignment w:val="bottom"/>
              <w:rPr>
                <w:rFonts w:hint="default" w:ascii="Times New Roman" w:hAnsi="Times New Roman" w:cs="Times New Roman"/>
                <w:color w:val="auto"/>
                <w:sz w:val="24"/>
                <w:szCs w:val="24"/>
              </w:rPr>
            </w:pPr>
            <w:r>
              <w:rPr>
                <w:rFonts w:hint="eastAsia" w:ascii="Times New Roman" w:hAnsi="Times New Roman" w:cs="Times New Roman"/>
                <w:b w:val="0"/>
                <w:bCs w:val="0"/>
                <w:i w:val="0"/>
                <w:iCs w:val="0"/>
                <w:color w:val="auto"/>
                <w:sz w:val="24"/>
                <w:highlight w:val="none"/>
                <w:lang w:val="en-US" w:eastAsia="zh-CN"/>
              </w:rPr>
              <w:t xml:space="preserve">Criterion </w:t>
            </w:r>
            <w:r>
              <w:rPr>
                <w:rFonts w:hint="default" w:ascii="Times New Roman" w:hAnsi="Times New Roman" w:eastAsia="宋体" w:cs="Times New Roman"/>
                <w:color w:val="auto"/>
                <w:kern w:val="0"/>
                <w:sz w:val="24"/>
                <w:szCs w:val="24"/>
                <w:lang w:bidi="ar"/>
              </w:rPr>
              <w:t>3</w:t>
            </w:r>
          </w:p>
        </w:tc>
        <w:tc>
          <w:tcPr>
            <w:tcW w:w="2470" w:type="dxa"/>
            <w:tcBorders>
              <w:top w:val="nil"/>
              <w:left w:val="nil"/>
              <w:bottom w:val="nil"/>
              <w:right w:val="nil"/>
            </w:tcBorders>
            <w:shd w:val="clear" w:color="auto" w:fill="auto"/>
            <w:noWrap/>
            <w:vAlign w:val="center"/>
          </w:tcPr>
          <w:p w14:paraId="39901871">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6.84% (5.93, 7.74)</w:t>
            </w:r>
          </w:p>
        </w:tc>
        <w:tc>
          <w:tcPr>
            <w:tcW w:w="2470" w:type="dxa"/>
            <w:tcBorders>
              <w:top w:val="nil"/>
              <w:left w:val="nil"/>
              <w:bottom w:val="nil"/>
              <w:right w:val="nil"/>
            </w:tcBorders>
            <w:shd w:val="clear" w:color="auto" w:fill="auto"/>
            <w:noWrap/>
            <w:vAlign w:val="center"/>
          </w:tcPr>
          <w:p w14:paraId="28215D9D">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4.5% (3.41, 5.59)</w:t>
            </w:r>
          </w:p>
        </w:tc>
        <w:tc>
          <w:tcPr>
            <w:tcW w:w="2470" w:type="dxa"/>
            <w:tcBorders>
              <w:top w:val="nil"/>
              <w:left w:val="nil"/>
              <w:bottom w:val="nil"/>
              <w:right w:val="nil"/>
            </w:tcBorders>
            <w:shd w:val="clear" w:color="auto" w:fill="auto"/>
            <w:noWrap/>
            <w:vAlign w:val="center"/>
          </w:tcPr>
          <w:p w14:paraId="16229E53">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9.34% (7.82, 10.85)</w:t>
            </w:r>
          </w:p>
        </w:tc>
        <w:tc>
          <w:tcPr>
            <w:tcW w:w="2471" w:type="dxa"/>
            <w:tcBorders>
              <w:top w:val="nil"/>
              <w:left w:val="nil"/>
              <w:bottom w:val="nil"/>
              <w:right w:val="nil"/>
            </w:tcBorders>
            <w:shd w:val="clear" w:color="auto" w:fill="auto"/>
            <w:noWrap/>
            <w:vAlign w:val="center"/>
          </w:tcPr>
          <w:p w14:paraId="5E7D9B31">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&lt;0.001</w:t>
            </w:r>
          </w:p>
        </w:tc>
      </w:tr>
      <w:tr w14:paraId="56227123">
        <w:tblPrEx>
          <w:tblCellMar>
            <w:top w:w="0" w:type="dxa"/>
            <w:left w:w="108" w:type="dxa"/>
            <w:bottom w:w="0" w:type="dxa"/>
            <w:right w:w="108" w:type="dxa"/>
          </w:tblCellMar>
        </w:tblPrEx>
        <w:trPr>
          <w:trHeight w:val="300" w:hRule="atLeast"/>
        </w:trPr>
        <w:tc>
          <w:tcPr>
            <w:tcW w:w="4290" w:type="dxa"/>
            <w:tcBorders>
              <w:top w:val="nil"/>
              <w:left w:val="nil"/>
              <w:bottom w:val="nil"/>
              <w:right w:val="nil"/>
            </w:tcBorders>
            <w:shd w:val="clear" w:color="auto" w:fill="auto"/>
            <w:noWrap/>
            <w:vAlign w:val="bottom"/>
          </w:tcPr>
          <w:p w14:paraId="4DB4A111">
            <w:pPr>
              <w:widowControl/>
              <w:spacing w:line="240" w:lineRule="auto"/>
              <w:jc w:val="left"/>
              <w:textAlignment w:val="bottom"/>
              <w:rPr>
                <w:rFonts w:hint="default" w:ascii="Times New Roman" w:hAnsi="Times New Roman" w:cs="Times New Roman"/>
                <w:b/>
                <w:bCs/>
                <w:color w:val="auto"/>
                <w:sz w:val="24"/>
                <w:szCs w:val="24"/>
              </w:rPr>
            </w:pPr>
            <w:r>
              <w:rPr>
                <w:rFonts w:hint="default" w:ascii="Times New Roman" w:hAnsi="Times New Roman" w:eastAsia="宋体" w:cs="Times New Roman"/>
                <w:b/>
                <w:bCs/>
                <w:color w:val="auto"/>
                <w:kern w:val="0"/>
                <w:sz w:val="24"/>
                <w:szCs w:val="24"/>
                <w:lang w:bidi="ar"/>
              </w:rPr>
              <w:t>Metabolically unhealthy obesity</w:t>
            </w:r>
          </w:p>
        </w:tc>
        <w:tc>
          <w:tcPr>
            <w:tcW w:w="2470" w:type="dxa"/>
            <w:tcBorders>
              <w:top w:val="nil"/>
              <w:left w:val="nil"/>
              <w:bottom w:val="nil"/>
              <w:right w:val="nil"/>
            </w:tcBorders>
            <w:shd w:val="clear" w:color="auto" w:fill="auto"/>
            <w:noWrap/>
            <w:vAlign w:val="center"/>
          </w:tcPr>
          <w:p w14:paraId="6F8D4B97">
            <w:pPr>
              <w:spacing w:line="240" w:lineRule="auto"/>
              <w:jc w:val="center"/>
              <w:rPr>
                <w:rFonts w:hint="default" w:ascii="Times New Roman" w:hAnsi="Times New Roman" w:cs="Times New Roman"/>
                <w:color w:val="auto"/>
                <w:sz w:val="24"/>
                <w:szCs w:val="24"/>
              </w:rPr>
            </w:pPr>
          </w:p>
        </w:tc>
        <w:tc>
          <w:tcPr>
            <w:tcW w:w="2470" w:type="dxa"/>
            <w:tcBorders>
              <w:top w:val="nil"/>
              <w:left w:val="nil"/>
              <w:bottom w:val="nil"/>
              <w:right w:val="nil"/>
            </w:tcBorders>
            <w:shd w:val="clear" w:color="auto" w:fill="auto"/>
            <w:noWrap/>
            <w:vAlign w:val="center"/>
          </w:tcPr>
          <w:p w14:paraId="134165A7">
            <w:pPr>
              <w:spacing w:line="240" w:lineRule="auto"/>
              <w:jc w:val="center"/>
              <w:rPr>
                <w:rFonts w:hint="default" w:ascii="Times New Roman" w:hAnsi="Times New Roman" w:cs="Times New Roman"/>
                <w:color w:val="auto"/>
                <w:sz w:val="24"/>
                <w:szCs w:val="24"/>
              </w:rPr>
            </w:pPr>
          </w:p>
        </w:tc>
        <w:tc>
          <w:tcPr>
            <w:tcW w:w="2470" w:type="dxa"/>
            <w:tcBorders>
              <w:top w:val="nil"/>
              <w:left w:val="nil"/>
              <w:bottom w:val="nil"/>
              <w:right w:val="nil"/>
            </w:tcBorders>
            <w:shd w:val="clear" w:color="auto" w:fill="auto"/>
            <w:noWrap/>
            <w:vAlign w:val="center"/>
          </w:tcPr>
          <w:p w14:paraId="3C2394AF">
            <w:pPr>
              <w:spacing w:line="240" w:lineRule="auto"/>
              <w:jc w:val="center"/>
              <w:rPr>
                <w:rFonts w:hint="default" w:ascii="Times New Roman" w:hAnsi="Times New Roman" w:cs="Times New Roman"/>
                <w:color w:val="auto"/>
                <w:sz w:val="24"/>
                <w:szCs w:val="24"/>
              </w:rPr>
            </w:pPr>
          </w:p>
        </w:tc>
        <w:tc>
          <w:tcPr>
            <w:tcW w:w="2471" w:type="dxa"/>
            <w:tcBorders>
              <w:top w:val="nil"/>
              <w:left w:val="nil"/>
              <w:bottom w:val="nil"/>
              <w:right w:val="nil"/>
            </w:tcBorders>
            <w:shd w:val="clear" w:color="auto" w:fill="auto"/>
            <w:noWrap/>
            <w:vAlign w:val="center"/>
          </w:tcPr>
          <w:p w14:paraId="7BE6A549">
            <w:pPr>
              <w:spacing w:line="240" w:lineRule="auto"/>
              <w:jc w:val="center"/>
              <w:rPr>
                <w:rFonts w:hint="default" w:ascii="Times New Roman" w:hAnsi="Times New Roman" w:cs="Times New Roman"/>
                <w:color w:val="auto"/>
                <w:sz w:val="24"/>
                <w:szCs w:val="24"/>
              </w:rPr>
            </w:pPr>
          </w:p>
        </w:tc>
      </w:tr>
      <w:tr w14:paraId="7620CB2B">
        <w:tblPrEx>
          <w:tblCellMar>
            <w:top w:w="0" w:type="dxa"/>
            <w:left w:w="108" w:type="dxa"/>
            <w:bottom w:w="0" w:type="dxa"/>
            <w:right w:w="108" w:type="dxa"/>
          </w:tblCellMar>
        </w:tblPrEx>
        <w:trPr>
          <w:trHeight w:val="300" w:hRule="atLeast"/>
        </w:trPr>
        <w:tc>
          <w:tcPr>
            <w:tcW w:w="4290" w:type="dxa"/>
            <w:tcBorders>
              <w:top w:val="nil"/>
              <w:left w:val="nil"/>
              <w:bottom w:val="nil"/>
              <w:right w:val="nil"/>
            </w:tcBorders>
            <w:shd w:val="clear" w:color="auto" w:fill="auto"/>
            <w:noWrap/>
            <w:vAlign w:val="bottom"/>
          </w:tcPr>
          <w:p w14:paraId="7578B428">
            <w:pPr>
              <w:widowControl/>
              <w:spacing w:line="240" w:lineRule="auto"/>
              <w:jc w:val="left"/>
              <w:textAlignment w:val="bottom"/>
              <w:rPr>
                <w:rFonts w:hint="default" w:ascii="Times New Roman" w:hAnsi="Times New Roman" w:cs="Times New Roman"/>
                <w:color w:val="auto"/>
                <w:sz w:val="24"/>
                <w:szCs w:val="24"/>
              </w:rPr>
            </w:pPr>
            <w:r>
              <w:rPr>
                <w:rFonts w:hint="eastAsia" w:ascii="Times New Roman" w:hAnsi="Times New Roman" w:cs="Times New Roman"/>
                <w:b w:val="0"/>
                <w:bCs w:val="0"/>
                <w:i w:val="0"/>
                <w:iCs w:val="0"/>
                <w:color w:val="auto"/>
                <w:sz w:val="24"/>
                <w:highlight w:val="none"/>
                <w:lang w:val="en-US" w:eastAsia="zh-CN"/>
              </w:rPr>
              <w:t xml:space="preserve">Criterion </w:t>
            </w:r>
            <w:r>
              <w:rPr>
                <w:rFonts w:hint="default" w:ascii="Times New Roman" w:hAnsi="Times New Roman" w:eastAsia="宋体" w:cs="Times New Roman"/>
                <w:color w:val="auto"/>
                <w:kern w:val="0"/>
                <w:sz w:val="24"/>
                <w:szCs w:val="24"/>
                <w:lang w:bidi="ar"/>
              </w:rPr>
              <w:t>1</w:t>
            </w:r>
          </w:p>
        </w:tc>
        <w:tc>
          <w:tcPr>
            <w:tcW w:w="2470" w:type="dxa"/>
            <w:tcBorders>
              <w:top w:val="nil"/>
              <w:left w:val="nil"/>
              <w:bottom w:val="nil"/>
              <w:right w:val="nil"/>
            </w:tcBorders>
            <w:shd w:val="clear" w:color="auto" w:fill="auto"/>
            <w:noWrap/>
            <w:vAlign w:val="center"/>
          </w:tcPr>
          <w:p w14:paraId="6AE8B880">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11.9% (10.77, 13.03)</w:t>
            </w:r>
          </w:p>
        </w:tc>
        <w:tc>
          <w:tcPr>
            <w:tcW w:w="2470" w:type="dxa"/>
            <w:tcBorders>
              <w:top w:val="nil"/>
              <w:left w:val="nil"/>
              <w:bottom w:val="nil"/>
              <w:right w:val="nil"/>
            </w:tcBorders>
            <w:shd w:val="clear" w:color="auto" w:fill="auto"/>
            <w:noWrap/>
            <w:vAlign w:val="center"/>
          </w:tcPr>
          <w:p w14:paraId="048D69ED">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13.67% (11.85, 15.49)</w:t>
            </w:r>
          </w:p>
        </w:tc>
        <w:tc>
          <w:tcPr>
            <w:tcW w:w="2470" w:type="dxa"/>
            <w:tcBorders>
              <w:top w:val="nil"/>
              <w:left w:val="nil"/>
              <w:bottom w:val="nil"/>
              <w:right w:val="nil"/>
            </w:tcBorders>
            <w:shd w:val="clear" w:color="auto" w:fill="auto"/>
            <w:noWrap/>
            <w:vAlign w:val="center"/>
          </w:tcPr>
          <w:p w14:paraId="2C64DB93">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10.01% (8.64, 11.38)</w:t>
            </w:r>
          </w:p>
        </w:tc>
        <w:tc>
          <w:tcPr>
            <w:tcW w:w="2471" w:type="dxa"/>
            <w:tcBorders>
              <w:top w:val="nil"/>
              <w:left w:val="nil"/>
              <w:bottom w:val="nil"/>
              <w:right w:val="nil"/>
            </w:tcBorders>
            <w:shd w:val="clear" w:color="auto" w:fill="auto"/>
            <w:noWrap/>
            <w:vAlign w:val="center"/>
          </w:tcPr>
          <w:p w14:paraId="6AD8209E">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 xml:space="preserve"> 0.002</w:t>
            </w:r>
          </w:p>
        </w:tc>
      </w:tr>
      <w:tr w14:paraId="4394DF3B">
        <w:tblPrEx>
          <w:tblCellMar>
            <w:top w:w="0" w:type="dxa"/>
            <w:left w:w="108" w:type="dxa"/>
            <w:bottom w:w="0" w:type="dxa"/>
            <w:right w:w="108" w:type="dxa"/>
          </w:tblCellMar>
        </w:tblPrEx>
        <w:trPr>
          <w:trHeight w:val="300" w:hRule="atLeast"/>
        </w:trPr>
        <w:tc>
          <w:tcPr>
            <w:tcW w:w="4290" w:type="dxa"/>
            <w:tcBorders>
              <w:top w:val="nil"/>
              <w:left w:val="nil"/>
              <w:bottom w:val="nil"/>
              <w:right w:val="nil"/>
            </w:tcBorders>
            <w:shd w:val="clear" w:color="auto" w:fill="auto"/>
            <w:noWrap/>
            <w:vAlign w:val="bottom"/>
          </w:tcPr>
          <w:p w14:paraId="5BF32059">
            <w:pPr>
              <w:widowControl/>
              <w:spacing w:line="240" w:lineRule="auto"/>
              <w:jc w:val="left"/>
              <w:textAlignment w:val="bottom"/>
              <w:rPr>
                <w:rFonts w:hint="default" w:ascii="Times New Roman" w:hAnsi="Times New Roman" w:cs="Times New Roman"/>
                <w:color w:val="auto"/>
                <w:sz w:val="24"/>
                <w:szCs w:val="24"/>
              </w:rPr>
            </w:pPr>
            <w:r>
              <w:rPr>
                <w:rFonts w:hint="eastAsia" w:ascii="Times New Roman" w:hAnsi="Times New Roman" w:cs="Times New Roman"/>
                <w:b w:val="0"/>
                <w:bCs w:val="0"/>
                <w:i w:val="0"/>
                <w:iCs w:val="0"/>
                <w:color w:val="auto"/>
                <w:sz w:val="24"/>
                <w:highlight w:val="none"/>
                <w:lang w:val="en-US" w:eastAsia="zh-CN"/>
              </w:rPr>
              <w:t xml:space="preserve">Criterion </w:t>
            </w:r>
            <w:r>
              <w:rPr>
                <w:rFonts w:hint="default" w:ascii="Times New Roman" w:hAnsi="Times New Roman" w:eastAsia="宋体" w:cs="Times New Roman"/>
                <w:color w:val="auto"/>
                <w:kern w:val="0"/>
                <w:sz w:val="24"/>
                <w:szCs w:val="24"/>
                <w:lang w:bidi="ar"/>
              </w:rPr>
              <w:t>2</w:t>
            </w:r>
          </w:p>
        </w:tc>
        <w:tc>
          <w:tcPr>
            <w:tcW w:w="2470" w:type="dxa"/>
            <w:tcBorders>
              <w:top w:val="nil"/>
              <w:left w:val="nil"/>
              <w:bottom w:val="nil"/>
              <w:right w:val="nil"/>
            </w:tcBorders>
            <w:shd w:val="clear" w:color="auto" w:fill="auto"/>
            <w:noWrap/>
            <w:vAlign w:val="center"/>
          </w:tcPr>
          <w:p w14:paraId="7BCC410E">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12.57% (11.41, 13.72)</w:t>
            </w:r>
          </w:p>
        </w:tc>
        <w:tc>
          <w:tcPr>
            <w:tcW w:w="2470" w:type="dxa"/>
            <w:tcBorders>
              <w:top w:val="nil"/>
              <w:left w:val="nil"/>
              <w:bottom w:val="nil"/>
              <w:right w:val="nil"/>
            </w:tcBorders>
            <w:shd w:val="clear" w:color="auto" w:fill="auto"/>
            <w:noWrap/>
            <w:vAlign w:val="center"/>
          </w:tcPr>
          <w:p w14:paraId="74916898">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14.22% (12.38, 16.06)</w:t>
            </w:r>
          </w:p>
        </w:tc>
        <w:tc>
          <w:tcPr>
            <w:tcW w:w="2470" w:type="dxa"/>
            <w:tcBorders>
              <w:top w:val="nil"/>
              <w:left w:val="nil"/>
              <w:bottom w:val="nil"/>
              <w:right w:val="nil"/>
            </w:tcBorders>
            <w:shd w:val="clear" w:color="auto" w:fill="auto"/>
            <w:noWrap/>
            <w:vAlign w:val="center"/>
          </w:tcPr>
          <w:p w14:paraId="12AFF74E">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10.8% (9.38, 12.23)</w:t>
            </w:r>
          </w:p>
        </w:tc>
        <w:tc>
          <w:tcPr>
            <w:tcW w:w="2471" w:type="dxa"/>
            <w:tcBorders>
              <w:top w:val="nil"/>
              <w:left w:val="nil"/>
              <w:bottom w:val="nil"/>
              <w:right w:val="nil"/>
            </w:tcBorders>
            <w:shd w:val="clear" w:color="auto" w:fill="auto"/>
            <w:noWrap/>
            <w:vAlign w:val="center"/>
          </w:tcPr>
          <w:p w14:paraId="2CD69FB3">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 xml:space="preserve"> 0.005</w:t>
            </w:r>
          </w:p>
        </w:tc>
      </w:tr>
      <w:tr w14:paraId="70E14008">
        <w:tblPrEx>
          <w:tblCellMar>
            <w:top w:w="0" w:type="dxa"/>
            <w:left w:w="108" w:type="dxa"/>
            <w:bottom w:w="0" w:type="dxa"/>
            <w:right w:w="108" w:type="dxa"/>
          </w:tblCellMar>
        </w:tblPrEx>
        <w:trPr>
          <w:trHeight w:val="300" w:hRule="atLeast"/>
        </w:trPr>
        <w:tc>
          <w:tcPr>
            <w:tcW w:w="4290" w:type="dxa"/>
            <w:tcBorders>
              <w:top w:val="nil"/>
              <w:left w:val="nil"/>
              <w:bottom w:val="single" w:color="000000" w:sz="4" w:space="0"/>
              <w:right w:val="nil"/>
            </w:tcBorders>
            <w:shd w:val="clear" w:color="auto" w:fill="auto"/>
            <w:noWrap/>
            <w:vAlign w:val="bottom"/>
          </w:tcPr>
          <w:p w14:paraId="68478C27">
            <w:pPr>
              <w:widowControl/>
              <w:spacing w:line="240" w:lineRule="auto"/>
              <w:jc w:val="left"/>
              <w:textAlignment w:val="bottom"/>
              <w:rPr>
                <w:rFonts w:hint="default" w:ascii="Times New Roman" w:hAnsi="Times New Roman" w:cs="Times New Roman"/>
                <w:color w:val="auto"/>
                <w:sz w:val="24"/>
                <w:szCs w:val="24"/>
              </w:rPr>
            </w:pPr>
            <w:r>
              <w:rPr>
                <w:rFonts w:hint="eastAsia" w:ascii="Times New Roman" w:hAnsi="Times New Roman" w:cs="Times New Roman"/>
                <w:b w:val="0"/>
                <w:bCs w:val="0"/>
                <w:i w:val="0"/>
                <w:iCs w:val="0"/>
                <w:color w:val="auto"/>
                <w:sz w:val="24"/>
                <w:highlight w:val="none"/>
                <w:lang w:val="en-US" w:eastAsia="zh-CN"/>
              </w:rPr>
              <w:t xml:space="preserve">Criterion </w:t>
            </w:r>
            <w:r>
              <w:rPr>
                <w:rFonts w:hint="default" w:ascii="Times New Roman" w:hAnsi="Times New Roman" w:eastAsia="宋体" w:cs="Times New Roman"/>
                <w:color w:val="auto"/>
                <w:kern w:val="0"/>
                <w:sz w:val="24"/>
                <w:szCs w:val="24"/>
                <w:lang w:bidi="ar"/>
              </w:rPr>
              <w:t>3</w:t>
            </w:r>
          </w:p>
        </w:tc>
        <w:tc>
          <w:tcPr>
            <w:tcW w:w="2470" w:type="dxa"/>
            <w:tcBorders>
              <w:top w:val="nil"/>
              <w:left w:val="nil"/>
              <w:bottom w:val="single" w:color="000000" w:sz="4" w:space="0"/>
              <w:right w:val="nil"/>
            </w:tcBorders>
            <w:shd w:val="clear" w:color="auto" w:fill="auto"/>
            <w:noWrap/>
            <w:vAlign w:val="center"/>
          </w:tcPr>
          <w:p w14:paraId="23A5CC5D">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12.9% (11.69, 14.11)</w:t>
            </w:r>
          </w:p>
        </w:tc>
        <w:tc>
          <w:tcPr>
            <w:tcW w:w="2470" w:type="dxa"/>
            <w:tcBorders>
              <w:top w:val="nil"/>
              <w:left w:val="nil"/>
              <w:bottom w:val="single" w:color="000000" w:sz="4" w:space="0"/>
              <w:right w:val="nil"/>
            </w:tcBorders>
            <w:shd w:val="clear" w:color="auto" w:fill="auto"/>
            <w:noWrap/>
            <w:vAlign w:val="center"/>
          </w:tcPr>
          <w:p w14:paraId="00E68F14">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15.39% (13.45, 17.34)</w:t>
            </w:r>
          </w:p>
        </w:tc>
        <w:tc>
          <w:tcPr>
            <w:tcW w:w="2470" w:type="dxa"/>
            <w:tcBorders>
              <w:top w:val="nil"/>
              <w:left w:val="nil"/>
              <w:bottom w:val="single" w:color="000000" w:sz="4" w:space="0"/>
              <w:right w:val="nil"/>
            </w:tcBorders>
            <w:shd w:val="clear" w:color="auto" w:fill="auto"/>
            <w:noWrap/>
            <w:vAlign w:val="center"/>
          </w:tcPr>
          <w:p w14:paraId="7D0670EA">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10.24% (8.7, 11.78)</w:t>
            </w:r>
          </w:p>
        </w:tc>
        <w:tc>
          <w:tcPr>
            <w:tcW w:w="2471" w:type="dxa"/>
            <w:tcBorders>
              <w:top w:val="nil"/>
              <w:left w:val="nil"/>
              <w:bottom w:val="single" w:color="000000" w:sz="4" w:space="0"/>
              <w:right w:val="nil"/>
            </w:tcBorders>
            <w:shd w:val="clear" w:color="auto" w:fill="auto"/>
            <w:noWrap/>
            <w:vAlign w:val="center"/>
          </w:tcPr>
          <w:p w14:paraId="0A99CC13">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&lt;0.001</w:t>
            </w:r>
          </w:p>
        </w:tc>
      </w:tr>
      <w:tr w14:paraId="65DD0C40">
        <w:tblPrEx>
          <w:tblCellMar>
            <w:top w:w="0" w:type="dxa"/>
            <w:left w:w="108" w:type="dxa"/>
            <w:bottom w:w="0" w:type="dxa"/>
            <w:right w:w="108" w:type="dxa"/>
          </w:tblCellMar>
        </w:tblPrEx>
        <w:trPr>
          <w:trHeight w:val="300" w:hRule="atLeast"/>
        </w:trPr>
        <w:tc>
          <w:tcPr>
            <w:tcW w:w="4290" w:type="dxa"/>
            <w:tcBorders>
              <w:top w:val="nil"/>
              <w:left w:val="nil"/>
              <w:bottom w:val="nil"/>
              <w:right w:val="nil"/>
            </w:tcBorders>
            <w:shd w:val="clear" w:color="auto" w:fill="auto"/>
            <w:noWrap/>
            <w:vAlign w:val="bottom"/>
          </w:tcPr>
          <w:p w14:paraId="5BA01D29">
            <w:pPr>
              <w:widowControl/>
              <w:spacing w:line="240" w:lineRule="auto"/>
              <w:jc w:val="left"/>
              <w:textAlignment w:val="bottom"/>
              <w:rPr>
                <w:rFonts w:hint="default" w:ascii="Times New Roman" w:hAnsi="Times New Roman" w:cs="Times New Roman"/>
                <w:b/>
                <w:bCs/>
                <w:color w:val="auto"/>
                <w:sz w:val="24"/>
                <w:szCs w:val="24"/>
              </w:rPr>
            </w:pPr>
            <w:r>
              <w:rPr>
                <w:rFonts w:hint="default" w:ascii="Times New Roman" w:hAnsi="Times New Roman" w:eastAsia="宋体" w:cs="Times New Roman"/>
                <w:b/>
                <w:bCs/>
                <w:color w:val="auto"/>
                <w:kern w:val="0"/>
                <w:sz w:val="24"/>
                <w:szCs w:val="24"/>
                <w:lang w:bidi="ar"/>
              </w:rPr>
              <w:t>Metabolically healthy overweight/obesity</w:t>
            </w:r>
          </w:p>
        </w:tc>
        <w:tc>
          <w:tcPr>
            <w:tcW w:w="2470" w:type="dxa"/>
            <w:tcBorders>
              <w:top w:val="nil"/>
              <w:left w:val="nil"/>
              <w:bottom w:val="nil"/>
              <w:right w:val="nil"/>
            </w:tcBorders>
            <w:shd w:val="clear" w:color="auto" w:fill="auto"/>
            <w:noWrap/>
            <w:vAlign w:val="bottom"/>
          </w:tcPr>
          <w:p w14:paraId="2629C99C">
            <w:pPr>
              <w:spacing w:line="240" w:lineRule="auto"/>
              <w:rPr>
                <w:rFonts w:hint="default" w:ascii="Times New Roman" w:hAnsi="Times New Roman" w:cs="Times New Roman"/>
                <w:color w:val="auto"/>
                <w:sz w:val="24"/>
                <w:szCs w:val="24"/>
              </w:rPr>
            </w:pPr>
          </w:p>
        </w:tc>
        <w:tc>
          <w:tcPr>
            <w:tcW w:w="2470" w:type="dxa"/>
            <w:tcBorders>
              <w:top w:val="nil"/>
              <w:left w:val="nil"/>
              <w:bottom w:val="nil"/>
              <w:right w:val="nil"/>
            </w:tcBorders>
            <w:shd w:val="clear" w:color="auto" w:fill="auto"/>
            <w:noWrap/>
            <w:vAlign w:val="bottom"/>
          </w:tcPr>
          <w:p w14:paraId="31EEA5C2">
            <w:pPr>
              <w:spacing w:line="240" w:lineRule="auto"/>
              <w:rPr>
                <w:rFonts w:hint="default" w:ascii="Times New Roman" w:hAnsi="Times New Roman" w:cs="Times New Roman"/>
                <w:color w:val="auto"/>
                <w:sz w:val="24"/>
                <w:szCs w:val="24"/>
              </w:rPr>
            </w:pPr>
          </w:p>
        </w:tc>
        <w:tc>
          <w:tcPr>
            <w:tcW w:w="2470" w:type="dxa"/>
            <w:tcBorders>
              <w:top w:val="nil"/>
              <w:left w:val="nil"/>
              <w:bottom w:val="nil"/>
              <w:right w:val="nil"/>
            </w:tcBorders>
            <w:shd w:val="clear" w:color="auto" w:fill="auto"/>
            <w:noWrap/>
            <w:vAlign w:val="bottom"/>
          </w:tcPr>
          <w:p w14:paraId="7A9E2750">
            <w:pPr>
              <w:spacing w:line="240" w:lineRule="auto"/>
              <w:rPr>
                <w:rFonts w:hint="default" w:ascii="Times New Roman" w:hAnsi="Times New Roman" w:cs="Times New Roman"/>
                <w:color w:val="auto"/>
                <w:sz w:val="24"/>
                <w:szCs w:val="24"/>
              </w:rPr>
            </w:pPr>
          </w:p>
        </w:tc>
        <w:tc>
          <w:tcPr>
            <w:tcW w:w="2471" w:type="dxa"/>
            <w:tcBorders>
              <w:top w:val="nil"/>
              <w:left w:val="nil"/>
              <w:bottom w:val="nil"/>
              <w:right w:val="nil"/>
            </w:tcBorders>
            <w:shd w:val="clear" w:color="auto" w:fill="auto"/>
            <w:noWrap/>
            <w:vAlign w:val="center"/>
          </w:tcPr>
          <w:p w14:paraId="69923471">
            <w:pPr>
              <w:spacing w:line="240" w:lineRule="auto"/>
              <w:jc w:val="center"/>
              <w:rPr>
                <w:rFonts w:hint="default" w:ascii="Times New Roman" w:hAnsi="Times New Roman" w:cs="Times New Roman"/>
                <w:color w:val="auto"/>
                <w:sz w:val="24"/>
                <w:szCs w:val="24"/>
              </w:rPr>
            </w:pPr>
          </w:p>
        </w:tc>
      </w:tr>
      <w:tr w14:paraId="464ACE5F">
        <w:tblPrEx>
          <w:tblCellMar>
            <w:top w:w="0" w:type="dxa"/>
            <w:left w:w="108" w:type="dxa"/>
            <w:bottom w:w="0" w:type="dxa"/>
            <w:right w:w="108" w:type="dxa"/>
          </w:tblCellMar>
        </w:tblPrEx>
        <w:trPr>
          <w:trHeight w:val="300" w:hRule="atLeast"/>
        </w:trPr>
        <w:tc>
          <w:tcPr>
            <w:tcW w:w="4290" w:type="dxa"/>
            <w:tcBorders>
              <w:top w:val="nil"/>
              <w:left w:val="nil"/>
              <w:bottom w:val="nil"/>
              <w:right w:val="nil"/>
            </w:tcBorders>
            <w:shd w:val="clear" w:color="auto" w:fill="auto"/>
            <w:noWrap/>
            <w:vAlign w:val="bottom"/>
          </w:tcPr>
          <w:p w14:paraId="07559D44">
            <w:pPr>
              <w:widowControl/>
              <w:spacing w:line="240" w:lineRule="auto"/>
              <w:jc w:val="left"/>
              <w:textAlignment w:val="bottom"/>
              <w:rPr>
                <w:rFonts w:hint="default" w:ascii="Times New Roman" w:hAnsi="Times New Roman" w:cs="Times New Roman"/>
                <w:color w:val="auto"/>
                <w:sz w:val="24"/>
                <w:szCs w:val="24"/>
              </w:rPr>
            </w:pPr>
            <w:r>
              <w:rPr>
                <w:rFonts w:hint="eastAsia" w:ascii="Times New Roman" w:hAnsi="Times New Roman" w:cs="Times New Roman"/>
                <w:b w:val="0"/>
                <w:bCs w:val="0"/>
                <w:i w:val="0"/>
                <w:iCs w:val="0"/>
                <w:color w:val="auto"/>
                <w:sz w:val="24"/>
                <w:highlight w:val="none"/>
                <w:lang w:val="en-US" w:eastAsia="zh-CN"/>
              </w:rPr>
              <w:t xml:space="preserve">Criterion </w:t>
            </w:r>
            <w:r>
              <w:rPr>
                <w:rFonts w:hint="default" w:ascii="Times New Roman" w:hAnsi="Times New Roman" w:eastAsia="宋体" w:cs="Times New Roman"/>
                <w:color w:val="auto"/>
                <w:kern w:val="0"/>
                <w:sz w:val="24"/>
                <w:szCs w:val="24"/>
                <w:lang w:bidi="ar"/>
              </w:rPr>
              <w:t>1</w:t>
            </w:r>
          </w:p>
        </w:tc>
        <w:tc>
          <w:tcPr>
            <w:tcW w:w="2470" w:type="dxa"/>
            <w:tcBorders>
              <w:top w:val="nil"/>
              <w:left w:val="nil"/>
              <w:bottom w:val="nil"/>
              <w:right w:val="nil"/>
            </w:tcBorders>
            <w:shd w:val="clear" w:color="auto" w:fill="auto"/>
            <w:noWrap/>
            <w:vAlign w:val="bottom"/>
          </w:tcPr>
          <w:p w14:paraId="3CFA66A0">
            <w:pPr>
              <w:widowControl/>
              <w:spacing w:line="240" w:lineRule="auto"/>
              <w:jc w:val="left"/>
              <w:textAlignment w:val="bottom"/>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17.05% (15.82, 18.28)</w:t>
            </w:r>
          </w:p>
        </w:tc>
        <w:tc>
          <w:tcPr>
            <w:tcW w:w="2470" w:type="dxa"/>
            <w:tcBorders>
              <w:top w:val="nil"/>
              <w:left w:val="nil"/>
              <w:bottom w:val="nil"/>
              <w:right w:val="nil"/>
            </w:tcBorders>
            <w:shd w:val="clear" w:color="auto" w:fill="auto"/>
            <w:noWrap/>
            <w:vAlign w:val="bottom"/>
          </w:tcPr>
          <w:p w14:paraId="38C948B3">
            <w:pPr>
              <w:widowControl/>
              <w:spacing w:line="240" w:lineRule="auto"/>
              <w:jc w:val="left"/>
              <w:textAlignment w:val="bottom"/>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14.67% (12.88, 16.45)</w:t>
            </w:r>
          </w:p>
        </w:tc>
        <w:tc>
          <w:tcPr>
            <w:tcW w:w="2470" w:type="dxa"/>
            <w:tcBorders>
              <w:top w:val="nil"/>
              <w:left w:val="nil"/>
              <w:bottom w:val="nil"/>
              <w:right w:val="nil"/>
            </w:tcBorders>
            <w:shd w:val="clear" w:color="auto" w:fill="auto"/>
            <w:noWrap/>
            <w:vAlign w:val="bottom"/>
          </w:tcPr>
          <w:p w14:paraId="7A5E6830">
            <w:pPr>
              <w:widowControl/>
              <w:spacing w:line="240" w:lineRule="auto"/>
              <w:jc w:val="left"/>
              <w:textAlignment w:val="bottom"/>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19.6% (17.58, 21.62)</w:t>
            </w:r>
          </w:p>
        </w:tc>
        <w:tc>
          <w:tcPr>
            <w:tcW w:w="2471" w:type="dxa"/>
            <w:tcBorders>
              <w:top w:val="nil"/>
              <w:left w:val="nil"/>
              <w:bottom w:val="nil"/>
              <w:right w:val="nil"/>
            </w:tcBorders>
            <w:shd w:val="clear" w:color="auto" w:fill="auto"/>
            <w:noWrap/>
            <w:vAlign w:val="center"/>
          </w:tcPr>
          <w:p w14:paraId="684402EC">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 xml:space="preserve"> 0.001</w:t>
            </w:r>
          </w:p>
        </w:tc>
      </w:tr>
      <w:tr w14:paraId="463509B8">
        <w:tblPrEx>
          <w:tblCellMar>
            <w:top w:w="0" w:type="dxa"/>
            <w:left w:w="108" w:type="dxa"/>
            <w:bottom w:w="0" w:type="dxa"/>
            <w:right w:w="108" w:type="dxa"/>
          </w:tblCellMar>
        </w:tblPrEx>
        <w:trPr>
          <w:trHeight w:val="300" w:hRule="atLeast"/>
        </w:trPr>
        <w:tc>
          <w:tcPr>
            <w:tcW w:w="4290" w:type="dxa"/>
            <w:tcBorders>
              <w:top w:val="nil"/>
              <w:left w:val="nil"/>
              <w:bottom w:val="nil"/>
              <w:right w:val="nil"/>
            </w:tcBorders>
            <w:shd w:val="clear" w:color="auto" w:fill="auto"/>
            <w:noWrap/>
            <w:vAlign w:val="bottom"/>
          </w:tcPr>
          <w:p w14:paraId="296AEC4D">
            <w:pPr>
              <w:widowControl/>
              <w:spacing w:line="240" w:lineRule="auto"/>
              <w:jc w:val="left"/>
              <w:textAlignment w:val="bottom"/>
              <w:rPr>
                <w:rFonts w:hint="default" w:ascii="Times New Roman" w:hAnsi="Times New Roman" w:cs="Times New Roman"/>
                <w:color w:val="auto"/>
                <w:sz w:val="24"/>
                <w:szCs w:val="24"/>
              </w:rPr>
            </w:pPr>
            <w:r>
              <w:rPr>
                <w:rFonts w:hint="eastAsia" w:ascii="Times New Roman" w:hAnsi="Times New Roman" w:cs="Times New Roman"/>
                <w:b w:val="0"/>
                <w:bCs w:val="0"/>
                <w:i w:val="0"/>
                <w:iCs w:val="0"/>
                <w:color w:val="auto"/>
                <w:sz w:val="24"/>
                <w:highlight w:val="none"/>
                <w:lang w:val="en-US" w:eastAsia="zh-CN"/>
              </w:rPr>
              <w:t xml:space="preserve">Criterion </w:t>
            </w:r>
            <w:r>
              <w:rPr>
                <w:rFonts w:hint="default" w:ascii="Times New Roman" w:hAnsi="Times New Roman" w:eastAsia="宋体" w:cs="Times New Roman"/>
                <w:color w:val="auto"/>
                <w:kern w:val="0"/>
                <w:sz w:val="24"/>
                <w:szCs w:val="24"/>
                <w:lang w:bidi="ar"/>
              </w:rPr>
              <w:t>2</w:t>
            </w:r>
          </w:p>
        </w:tc>
        <w:tc>
          <w:tcPr>
            <w:tcW w:w="2470" w:type="dxa"/>
            <w:tcBorders>
              <w:top w:val="nil"/>
              <w:left w:val="nil"/>
              <w:bottom w:val="nil"/>
              <w:right w:val="nil"/>
            </w:tcBorders>
            <w:shd w:val="clear" w:color="auto" w:fill="auto"/>
            <w:noWrap/>
            <w:vAlign w:val="bottom"/>
          </w:tcPr>
          <w:p w14:paraId="46876E27">
            <w:pPr>
              <w:widowControl/>
              <w:spacing w:line="240" w:lineRule="auto"/>
              <w:jc w:val="left"/>
              <w:textAlignment w:val="bottom"/>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15.55% (14.39, 16.72)</w:t>
            </w:r>
          </w:p>
        </w:tc>
        <w:tc>
          <w:tcPr>
            <w:tcW w:w="2470" w:type="dxa"/>
            <w:tcBorders>
              <w:top w:val="nil"/>
              <w:left w:val="nil"/>
              <w:bottom w:val="nil"/>
              <w:right w:val="nil"/>
            </w:tcBorders>
            <w:shd w:val="clear" w:color="auto" w:fill="auto"/>
            <w:noWrap/>
            <w:vAlign w:val="bottom"/>
          </w:tcPr>
          <w:p w14:paraId="2469598E">
            <w:pPr>
              <w:widowControl/>
              <w:spacing w:line="240" w:lineRule="auto"/>
              <w:jc w:val="left"/>
              <w:textAlignment w:val="bottom"/>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13.34% (11.65, 15.02)</w:t>
            </w:r>
          </w:p>
        </w:tc>
        <w:tc>
          <w:tcPr>
            <w:tcW w:w="2470" w:type="dxa"/>
            <w:tcBorders>
              <w:top w:val="nil"/>
              <w:left w:val="nil"/>
              <w:bottom w:val="nil"/>
              <w:right w:val="nil"/>
            </w:tcBorders>
            <w:shd w:val="clear" w:color="auto" w:fill="auto"/>
            <w:noWrap/>
            <w:vAlign w:val="bottom"/>
          </w:tcPr>
          <w:p w14:paraId="6AFDAD9D">
            <w:pPr>
              <w:widowControl/>
              <w:spacing w:line="240" w:lineRule="auto"/>
              <w:jc w:val="left"/>
              <w:textAlignment w:val="bottom"/>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17.92% (15.95, 19.9)</w:t>
            </w:r>
          </w:p>
        </w:tc>
        <w:tc>
          <w:tcPr>
            <w:tcW w:w="2471" w:type="dxa"/>
            <w:tcBorders>
              <w:top w:val="nil"/>
              <w:left w:val="nil"/>
              <w:bottom w:val="nil"/>
              <w:right w:val="nil"/>
            </w:tcBorders>
            <w:shd w:val="clear" w:color="auto" w:fill="auto"/>
            <w:noWrap/>
            <w:vAlign w:val="center"/>
          </w:tcPr>
          <w:p w14:paraId="1F0E8B18">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 xml:space="preserve"> 0.002</w:t>
            </w:r>
          </w:p>
        </w:tc>
      </w:tr>
      <w:tr w14:paraId="1F5240ED">
        <w:tblPrEx>
          <w:tblCellMar>
            <w:top w:w="0" w:type="dxa"/>
            <w:left w:w="108" w:type="dxa"/>
            <w:bottom w:w="0" w:type="dxa"/>
            <w:right w:w="108" w:type="dxa"/>
          </w:tblCellMar>
        </w:tblPrEx>
        <w:trPr>
          <w:trHeight w:val="300" w:hRule="atLeast"/>
        </w:trPr>
        <w:tc>
          <w:tcPr>
            <w:tcW w:w="4290" w:type="dxa"/>
            <w:tcBorders>
              <w:top w:val="nil"/>
              <w:left w:val="nil"/>
              <w:bottom w:val="nil"/>
              <w:right w:val="nil"/>
            </w:tcBorders>
            <w:shd w:val="clear" w:color="auto" w:fill="auto"/>
            <w:noWrap/>
            <w:vAlign w:val="bottom"/>
          </w:tcPr>
          <w:p w14:paraId="708002F9">
            <w:pPr>
              <w:widowControl/>
              <w:spacing w:line="240" w:lineRule="auto"/>
              <w:jc w:val="left"/>
              <w:textAlignment w:val="bottom"/>
              <w:rPr>
                <w:rFonts w:hint="default" w:ascii="Times New Roman" w:hAnsi="Times New Roman" w:cs="Times New Roman"/>
                <w:color w:val="auto"/>
                <w:sz w:val="24"/>
                <w:szCs w:val="24"/>
              </w:rPr>
            </w:pPr>
            <w:r>
              <w:rPr>
                <w:rFonts w:hint="eastAsia" w:ascii="Times New Roman" w:hAnsi="Times New Roman" w:cs="Times New Roman"/>
                <w:b w:val="0"/>
                <w:bCs w:val="0"/>
                <w:i w:val="0"/>
                <w:iCs w:val="0"/>
                <w:color w:val="auto"/>
                <w:sz w:val="24"/>
                <w:highlight w:val="none"/>
                <w:lang w:val="en-US" w:eastAsia="zh-CN"/>
              </w:rPr>
              <w:t xml:space="preserve">Criterion </w:t>
            </w:r>
            <w:r>
              <w:rPr>
                <w:rFonts w:hint="default" w:ascii="Times New Roman" w:hAnsi="Times New Roman" w:eastAsia="宋体" w:cs="Times New Roman"/>
                <w:color w:val="auto"/>
                <w:kern w:val="0"/>
                <w:sz w:val="24"/>
                <w:szCs w:val="24"/>
                <w:lang w:bidi="ar"/>
              </w:rPr>
              <w:t>3</w:t>
            </w:r>
          </w:p>
        </w:tc>
        <w:tc>
          <w:tcPr>
            <w:tcW w:w="2470" w:type="dxa"/>
            <w:tcBorders>
              <w:top w:val="nil"/>
              <w:left w:val="nil"/>
              <w:bottom w:val="nil"/>
              <w:right w:val="nil"/>
            </w:tcBorders>
            <w:shd w:val="clear" w:color="auto" w:fill="auto"/>
            <w:noWrap/>
            <w:vAlign w:val="bottom"/>
          </w:tcPr>
          <w:p w14:paraId="6A2D31AB">
            <w:pPr>
              <w:widowControl/>
              <w:spacing w:line="240" w:lineRule="auto"/>
              <w:jc w:val="left"/>
              <w:textAlignment w:val="bottom"/>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15.4% (14.2, 16.61)</w:t>
            </w:r>
          </w:p>
        </w:tc>
        <w:tc>
          <w:tcPr>
            <w:tcW w:w="2470" w:type="dxa"/>
            <w:tcBorders>
              <w:top w:val="nil"/>
              <w:left w:val="nil"/>
              <w:bottom w:val="nil"/>
              <w:right w:val="nil"/>
            </w:tcBorders>
            <w:shd w:val="clear" w:color="auto" w:fill="auto"/>
            <w:noWrap/>
            <w:vAlign w:val="bottom"/>
          </w:tcPr>
          <w:p w14:paraId="7C739E98">
            <w:pPr>
              <w:widowControl/>
              <w:spacing w:line="240" w:lineRule="auto"/>
              <w:jc w:val="left"/>
              <w:textAlignment w:val="bottom"/>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11.49% (9.82, 13.16)</w:t>
            </w:r>
          </w:p>
        </w:tc>
        <w:tc>
          <w:tcPr>
            <w:tcW w:w="2470" w:type="dxa"/>
            <w:tcBorders>
              <w:top w:val="nil"/>
              <w:left w:val="nil"/>
              <w:bottom w:val="nil"/>
              <w:right w:val="nil"/>
            </w:tcBorders>
            <w:shd w:val="clear" w:color="auto" w:fill="auto"/>
            <w:noWrap/>
            <w:vAlign w:val="bottom"/>
          </w:tcPr>
          <w:p w14:paraId="5DB716BB">
            <w:pPr>
              <w:widowControl/>
              <w:spacing w:line="240" w:lineRule="auto"/>
              <w:jc w:val="left"/>
              <w:textAlignment w:val="bottom"/>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19.58% (17.64, 21.52)</w:t>
            </w:r>
          </w:p>
        </w:tc>
        <w:tc>
          <w:tcPr>
            <w:tcW w:w="2471" w:type="dxa"/>
            <w:tcBorders>
              <w:top w:val="nil"/>
              <w:left w:val="nil"/>
              <w:bottom w:val="nil"/>
              <w:right w:val="nil"/>
            </w:tcBorders>
            <w:shd w:val="clear" w:color="auto" w:fill="auto"/>
            <w:noWrap/>
            <w:vAlign w:val="center"/>
          </w:tcPr>
          <w:p w14:paraId="6685E84B">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&lt;0.001</w:t>
            </w:r>
          </w:p>
        </w:tc>
      </w:tr>
      <w:tr w14:paraId="5420A4B8">
        <w:tblPrEx>
          <w:tblCellMar>
            <w:top w:w="0" w:type="dxa"/>
            <w:left w:w="108" w:type="dxa"/>
            <w:bottom w:w="0" w:type="dxa"/>
            <w:right w:w="108" w:type="dxa"/>
          </w:tblCellMar>
        </w:tblPrEx>
        <w:trPr>
          <w:trHeight w:val="300" w:hRule="atLeast"/>
        </w:trPr>
        <w:tc>
          <w:tcPr>
            <w:tcW w:w="4290" w:type="dxa"/>
            <w:tcBorders>
              <w:top w:val="nil"/>
              <w:left w:val="nil"/>
              <w:bottom w:val="nil"/>
              <w:right w:val="nil"/>
            </w:tcBorders>
            <w:shd w:val="clear" w:color="auto" w:fill="auto"/>
            <w:noWrap/>
            <w:vAlign w:val="bottom"/>
          </w:tcPr>
          <w:p w14:paraId="6B9D98F4">
            <w:pPr>
              <w:widowControl/>
              <w:spacing w:line="240" w:lineRule="auto"/>
              <w:jc w:val="left"/>
              <w:textAlignment w:val="bottom"/>
              <w:rPr>
                <w:rFonts w:hint="default" w:ascii="Times New Roman" w:hAnsi="Times New Roman" w:cs="Times New Roman"/>
                <w:b/>
                <w:bCs/>
                <w:color w:val="auto"/>
                <w:sz w:val="24"/>
                <w:szCs w:val="24"/>
              </w:rPr>
            </w:pPr>
            <w:r>
              <w:rPr>
                <w:rFonts w:hint="default" w:ascii="Times New Roman" w:hAnsi="Times New Roman" w:eastAsia="宋体" w:cs="Times New Roman"/>
                <w:b/>
                <w:bCs/>
                <w:color w:val="auto"/>
                <w:kern w:val="0"/>
                <w:sz w:val="24"/>
                <w:szCs w:val="24"/>
                <w:lang w:bidi="ar"/>
              </w:rPr>
              <w:t>Metabolically unhealthy overweight/obesity</w:t>
            </w:r>
          </w:p>
        </w:tc>
        <w:tc>
          <w:tcPr>
            <w:tcW w:w="2470" w:type="dxa"/>
            <w:tcBorders>
              <w:top w:val="nil"/>
              <w:left w:val="nil"/>
              <w:bottom w:val="nil"/>
              <w:right w:val="nil"/>
            </w:tcBorders>
            <w:shd w:val="clear" w:color="auto" w:fill="auto"/>
            <w:noWrap/>
            <w:vAlign w:val="center"/>
          </w:tcPr>
          <w:p w14:paraId="5ACDDD45">
            <w:pPr>
              <w:spacing w:line="240" w:lineRule="auto"/>
              <w:jc w:val="center"/>
              <w:rPr>
                <w:rFonts w:hint="default" w:ascii="Times New Roman" w:hAnsi="Times New Roman" w:cs="Times New Roman"/>
                <w:color w:val="auto"/>
                <w:sz w:val="24"/>
                <w:szCs w:val="24"/>
              </w:rPr>
            </w:pPr>
          </w:p>
        </w:tc>
        <w:tc>
          <w:tcPr>
            <w:tcW w:w="2470" w:type="dxa"/>
            <w:tcBorders>
              <w:top w:val="nil"/>
              <w:left w:val="nil"/>
              <w:bottom w:val="nil"/>
              <w:right w:val="nil"/>
            </w:tcBorders>
            <w:shd w:val="clear" w:color="auto" w:fill="auto"/>
            <w:noWrap/>
            <w:vAlign w:val="center"/>
          </w:tcPr>
          <w:p w14:paraId="20E7246B">
            <w:pPr>
              <w:spacing w:line="240" w:lineRule="auto"/>
              <w:jc w:val="center"/>
              <w:rPr>
                <w:rFonts w:hint="default" w:ascii="Times New Roman" w:hAnsi="Times New Roman" w:cs="Times New Roman"/>
                <w:color w:val="auto"/>
                <w:sz w:val="24"/>
                <w:szCs w:val="24"/>
              </w:rPr>
            </w:pPr>
          </w:p>
        </w:tc>
        <w:tc>
          <w:tcPr>
            <w:tcW w:w="2470" w:type="dxa"/>
            <w:tcBorders>
              <w:top w:val="nil"/>
              <w:left w:val="nil"/>
              <w:bottom w:val="nil"/>
              <w:right w:val="nil"/>
            </w:tcBorders>
            <w:shd w:val="clear" w:color="auto" w:fill="auto"/>
            <w:noWrap/>
            <w:vAlign w:val="center"/>
          </w:tcPr>
          <w:p w14:paraId="358E91E2">
            <w:pPr>
              <w:spacing w:line="240" w:lineRule="auto"/>
              <w:jc w:val="center"/>
              <w:rPr>
                <w:rFonts w:hint="default" w:ascii="Times New Roman" w:hAnsi="Times New Roman" w:cs="Times New Roman"/>
                <w:color w:val="auto"/>
                <w:sz w:val="24"/>
                <w:szCs w:val="24"/>
              </w:rPr>
            </w:pPr>
          </w:p>
        </w:tc>
        <w:tc>
          <w:tcPr>
            <w:tcW w:w="2471" w:type="dxa"/>
            <w:tcBorders>
              <w:top w:val="nil"/>
              <w:left w:val="nil"/>
              <w:bottom w:val="nil"/>
              <w:right w:val="nil"/>
            </w:tcBorders>
            <w:shd w:val="clear" w:color="auto" w:fill="auto"/>
            <w:noWrap/>
            <w:vAlign w:val="center"/>
          </w:tcPr>
          <w:p w14:paraId="23759334">
            <w:pPr>
              <w:spacing w:line="240" w:lineRule="auto"/>
              <w:jc w:val="center"/>
              <w:rPr>
                <w:rFonts w:hint="default" w:ascii="Times New Roman" w:hAnsi="Times New Roman" w:cs="Times New Roman"/>
                <w:color w:val="auto"/>
                <w:sz w:val="24"/>
                <w:szCs w:val="24"/>
              </w:rPr>
            </w:pPr>
          </w:p>
        </w:tc>
      </w:tr>
      <w:tr w14:paraId="2096520D">
        <w:tblPrEx>
          <w:tblCellMar>
            <w:top w:w="0" w:type="dxa"/>
            <w:left w:w="108" w:type="dxa"/>
            <w:bottom w:w="0" w:type="dxa"/>
            <w:right w:w="108" w:type="dxa"/>
          </w:tblCellMar>
        </w:tblPrEx>
        <w:trPr>
          <w:trHeight w:val="300" w:hRule="atLeast"/>
        </w:trPr>
        <w:tc>
          <w:tcPr>
            <w:tcW w:w="4290" w:type="dxa"/>
            <w:tcBorders>
              <w:top w:val="nil"/>
              <w:left w:val="nil"/>
              <w:bottom w:val="nil"/>
              <w:right w:val="nil"/>
            </w:tcBorders>
            <w:shd w:val="clear" w:color="auto" w:fill="auto"/>
            <w:noWrap/>
            <w:vAlign w:val="bottom"/>
          </w:tcPr>
          <w:p w14:paraId="38320C8B">
            <w:pPr>
              <w:widowControl/>
              <w:spacing w:line="240" w:lineRule="auto"/>
              <w:jc w:val="left"/>
              <w:textAlignment w:val="bottom"/>
              <w:rPr>
                <w:rFonts w:hint="default" w:ascii="Times New Roman" w:hAnsi="Times New Roman" w:cs="Times New Roman"/>
                <w:color w:val="auto"/>
                <w:sz w:val="24"/>
                <w:szCs w:val="24"/>
              </w:rPr>
            </w:pPr>
            <w:r>
              <w:rPr>
                <w:rFonts w:hint="eastAsia" w:ascii="Times New Roman" w:hAnsi="Times New Roman" w:cs="Times New Roman"/>
                <w:b w:val="0"/>
                <w:bCs w:val="0"/>
                <w:i w:val="0"/>
                <w:iCs w:val="0"/>
                <w:color w:val="auto"/>
                <w:sz w:val="24"/>
                <w:highlight w:val="none"/>
                <w:lang w:val="en-US" w:eastAsia="zh-CN"/>
              </w:rPr>
              <w:t xml:space="preserve">Criterion </w:t>
            </w:r>
            <w:r>
              <w:rPr>
                <w:rFonts w:hint="default" w:ascii="Times New Roman" w:hAnsi="Times New Roman" w:eastAsia="宋体" w:cs="Times New Roman"/>
                <w:color w:val="auto"/>
                <w:kern w:val="0"/>
                <w:sz w:val="24"/>
                <w:szCs w:val="24"/>
                <w:lang w:bidi="ar"/>
              </w:rPr>
              <w:t>1</w:t>
            </w:r>
          </w:p>
        </w:tc>
        <w:tc>
          <w:tcPr>
            <w:tcW w:w="2470" w:type="dxa"/>
            <w:tcBorders>
              <w:top w:val="nil"/>
              <w:left w:val="nil"/>
              <w:bottom w:val="nil"/>
              <w:right w:val="nil"/>
            </w:tcBorders>
            <w:shd w:val="clear" w:color="auto" w:fill="auto"/>
            <w:noWrap/>
            <w:vAlign w:val="bottom"/>
          </w:tcPr>
          <w:p w14:paraId="1F1A8CCC">
            <w:pPr>
              <w:widowControl/>
              <w:spacing w:line="240" w:lineRule="auto"/>
              <w:jc w:val="left"/>
              <w:textAlignment w:val="bottom"/>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18.68% (17.29, 20.07)</w:t>
            </w:r>
          </w:p>
        </w:tc>
        <w:tc>
          <w:tcPr>
            <w:tcW w:w="2470" w:type="dxa"/>
            <w:tcBorders>
              <w:top w:val="nil"/>
              <w:left w:val="nil"/>
              <w:bottom w:val="nil"/>
              <w:right w:val="nil"/>
            </w:tcBorders>
            <w:shd w:val="clear" w:color="auto" w:fill="auto"/>
            <w:noWrap/>
            <w:vAlign w:val="bottom"/>
          </w:tcPr>
          <w:p w14:paraId="24A75C51">
            <w:pPr>
              <w:widowControl/>
              <w:spacing w:line="240" w:lineRule="auto"/>
              <w:jc w:val="left"/>
              <w:textAlignment w:val="bottom"/>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20.61% (18.53, 22.7)</w:t>
            </w:r>
          </w:p>
        </w:tc>
        <w:tc>
          <w:tcPr>
            <w:tcW w:w="2470" w:type="dxa"/>
            <w:tcBorders>
              <w:top w:val="nil"/>
              <w:left w:val="nil"/>
              <w:bottom w:val="nil"/>
              <w:right w:val="nil"/>
            </w:tcBorders>
            <w:shd w:val="clear" w:color="auto" w:fill="auto"/>
            <w:noWrap/>
            <w:vAlign w:val="bottom"/>
          </w:tcPr>
          <w:p w14:paraId="16B580CB">
            <w:pPr>
              <w:widowControl/>
              <w:spacing w:line="240" w:lineRule="auto"/>
              <w:jc w:val="left"/>
              <w:textAlignment w:val="bottom"/>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16.61% (14.85, 18.38)</w:t>
            </w:r>
          </w:p>
        </w:tc>
        <w:tc>
          <w:tcPr>
            <w:tcW w:w="2471" w:type="dxa"/>
            <w:tcBorders>
              <w:top w:val="nil"/>
              <w:left w:val="nil"/>
              <w:bottom w:val="nil"/>
              <w:right w:val="nil"/>
            </w:tcBorders>
            <w:shd w:val="clear" w:color="auto" w:fill="auto"/>
            <w:noWrap/>
            <w:vAlign w:val="center"/>
          </w:tcPr>
          <w:p w14:paraId="1D56542E">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 xml:space="preserve"> 0.004</w:t>
            </w:r>
          </w:p>
        </w:tc>
      </w:tr>
      <w:tr w14:paraId="2EA7E305">
        <w:tblPrEx>
          <w:tblCellMar>
            <w:top w:w="0" w:type="dxa"/>
            <w:left w:w="108" w:type="dxa"/>
            <w:bottom w:w="0" w:type="dxa"/>
            <w:right w:w="108" w:type="dxa"/>
          </w:tblCellMar>
        </w:tblPrEx>
        <w:trPr>
          <w:trHeight w:val="300" w:hRule="atLeast"/>
        </w:trPr>
        <w:tc>
          <w:tcPr>
            <w:tcW w:w="4290" w:type="dxa"/>
            <w:tcBorders>
              <w:top w:val="nil"/>
              <w:left w:val="nil"/>
              <w:bottom w:val="nil"/>
              <w:right w:val="nil"/>
            </w:tcBorders>
            <w:shd w:val="clear" w:color="auto" w:fill="auto"/>
            <w:noWrap/>
            <w:vAlign w:val="bottom"/>
          </w:tcPr>
          <w:p w14:paraId="5545DC73">
            <w:pPr>
              <w:widowControl/>
              <w:spacing w:line="240" w:lineRule="auto"/>
              <w:jc w:val="left"/>
              <w:textAlignment w:val="bottom"/>
              <w:rPr>
                <w:rFonts w:hint="default" w:ascii="Times New Roman" w:hAnsi="Times New Roman" w:cs="Times New Roman"/>
                <w:color w:val="auto"/>
                <w:sz w:val="24"/>
                <w:szCs w:val="24"/>
              </w:rPr>
            </w:pPr>
            <w:r>
              <w:rPr>
                <w:rFonts w:hint="eastAsia" w:ascii="Times New Roman" w:hAnsi="Times New Roman" w:cs="Times New Roman"/>
                <w:b w:val="0"/>
                <w:bCs w:val="0"/>
                <w:i w:val="0"/>
                <w:iCs w:val="0"/>
                <w:color w:val="auto"/>
                <w:sz w:val="24"/>
                <w:highlight w:val="none"/>
                <w:lang w:val="en-US" w:eastAsia="zh-CN"/>
              </w:rPr>
              <w:t xml:space="preserve">Criterion </w:t>
            </w:r>
            <w:r>
              <w:rPr>
                <w:rFonts w:hint="default" w:ascii="Times New Roman" w:hAnsi="Times New Roman" w:eastAsia="宋体" w:cs="Times New Roman"/>
                <w:color w:val="auto"/>
                <w:kern w:val="0"/>
                <w:sz w:val="24"/>
                <w:szCs w:val="24"/>
                <w:lang w:bidi="ar"/>
              </w:rPr>
              <w:t>2</w:t>
            </w:r>
          </w:p>
        </w:tc>
        <w:tc>
          <w:tcPr>
            <w:tcW w:w="2470" w:type="dxa"/>
            <w:tcBorders>
              <w:top w:val="nil"/>
              <w:left w:val="nil"/>
              <w:bottom w:val="nil"/>
              <w:right w:val="nil"/>
            </w:tcBorders>
            <w:shd w:val="clear" w:color="auto" w:fill="auto"/>
            <w:noWrap/>
            <w:vAlign w:val="bottom"/>
          </w:tcPr>
          <w:p w14:paraId="03ADDCE8">
            <w:pPr>
              <w:widowControl/>
              <w:spacing w:line="240" w:lineRule="auto"/>
              <w:jc w:val="left"/>
              <w:textAlignment w:val="bottom"/>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20.18% (18.75, 21.6)</w:t>
            </w:r>
          </w:p>
        </w:tc>
        <w:tc>
          <w:tcPr>
            <w:tcW w:w="2470" w:type="dxa"/>
            <w:tcBorders>
              <w:top w:val="nil"/>
              <w:left w:val="nil"/>
              <w:bottom w:val="nil"/>
              <w:right w:val="nil"/>
            </w:tcBorders>
            <w:shd w:val="clear" w:color="auto" w:fill="auto"/>
            <w:noWrap/>
            <w:vAlign w:val="bottom"/>
          </w:tcPr>
          <w:p w14:paraId="0E6A2B35">
            <w:pPr>
              <w:widowControl/>
              <w:spacing w:line="240" w:lineRule="auto"/>
              <w:jc w:val="left"/>
              <w:textAlignment w:val="bottom"/>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21.94% (19.85, 24.04)</w:t>
            </w:r>
          </w:p>
        </w:tc>
        <w:tc>
          <w:tcPr>
            <w:tcW w:w="2470" w:type="dxa"/>
            <w:tcBorders>
              <w:top w:val="nil"/>
              <w:left w:val="nil"/>
              <w:bottom w:val="nil"/>
              <w:right w:val="nil"/>
            </w:tcBorders>
            <w:shd w:val="clear" w:color="auto" w:fill="auto"/>
            <w:noWrap/>
            <w:vAlign w:val="bottom"/>
          </w:tcPr>
          <w:p w14:paraId="2EFD1015">
            <w:pPr>
              <w:widowControl/>
              <w:spacing w:line="240" w:lineRule="auto"/>
              <w:jc w:val="left"/>
              <w:textAlignment w:val="bottom"/>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18.29% (16.41, 20.16)</w:t>
            </w:r>
          </w:p>
        </w:tc>
        <w:tc>
          <w:tcPr>
            <w:tcW w:w="2471" w:type="dxa"/>
            <w:tcBorders>
              <w:top w:val="nil"/>
              <w:left w:val="nil"/>
              <w:bottom w:val="nil"/>
              <w:right w:val="nil"/>
            </w:tcBorders>
            <w:shd w:val="clear" w:color="auto" w:fill="auto"/>
            <w:noWrap/>
            <w:vAlign w:val="center"/>
          </w:tcPr>
          <w:p w14:paraId="4F2F1C6A">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 xml:space="preserve"> 0.011</w:t>
            </w:r>
          </w:p>
        </w:tc>
      </w:tr>
      <w:tr w14:paraId="06721590">
        <w:tblPrEx>
          <w:tblCellMar>
            <w:top w:w="0" w:type="dxa"/>
            <w:left w:w="108" w:type="dxa"/>
            <w:bottom w:w="0" w:type="dxa"/>
            <w:right w:w="108" w:type="dxa"/>
          </w:tblCellMar>
        </w:tblPrEx>
        <w:trPr>
          <w:trHeight w:val="300" w:hRule="atLeast"/>
        </w:trPr>
        <w:tc>
          <w:tcPr>
            <w:tcW w:w="4290" w:type="dxa"/>
            <w:tcBorders>
              <w:top w:val="nil"/>
              <w:left w:val="nil"/>
              <w:bottom w:val="single" w:color="000000" w:sz="4" w:space="0"/>
              <w:right w:val="nil"/>
            </w:tcBorders>
            <w:shd w:val="clear" w:color="auto" w:fill="auto"/>
            <w:noWrap/>
            <w:vAlign w:val="bottom"/>
          </w:tcPr>
          <w:p w14:paraId="2E8770C7">
            <w:pPr>
              <w:widowControl/>
              <w:spacing w:line="240" w:lineRule="auto"/>
              <w:jc w:val="left"/>
              <w:textAlignment w:val="bottom"/>
              <w:rPr>
                <w:rFonts w:hint="default" w:ascii="Times New Roman" w:hAnsi="Times New Roman" w:cs="Times New Roman"/>
                <w:color w:val="auto"/>
                <w:sz w:val="24"/>
                <w:szCs w:val="24"/>
              </w:rPr>
            </w:pPr>
            <w:r>
              <w:rPr>
                <w:rFonts w:hint="eastAsia" w:ascii="Times New Roman" w:hAnsi="Times New Roman" w:cs="Times New Roman"/>
                <w:b w:val="0"/>
                <w:bCs w:val="0"/>
                <w:i w:val="0"/>
                <w:iCs w:val="0"/>
                <w:color w:val="auto"/>
                <w:sz w:val="24"/>
                <w:highlight w:val="none"/>
                <w:lang w:val="en-US" w:eastAsia="zh-CN"/>
              </w:rPr>
              <w:t xml:space="preserve">Criterion </w:t>
            </w:r>
            <w:r>
              <w:rPr>
                <w:rFonts w:hint="default" w:ascii="Times New Roman" w:hAnsi="Times New Roman" w:eastAsia="宋体" w:cs="Times New Roman"/>
                <w:color w:val="auto"/>
                <w:kern w:val="0"/>
                <w:sz w:val="24"/>
                <w:szCs w:val="24"/>
                <w:lang w:bidi="ar"/>
              </w:rPr>
              <w:t>3</w:t>
            </w:r>
          </w:p>
        </w:tc>
        <w:tc>
          <w:tcPr>
            <w:tcW w:w="2470" w:type="dxa"/>
            <w:tcBorders>
              <w:top w:val="nil"/>
              <w:left w:val="nil"/>
              <w:bottom w:val="single" w:color="000000" w:sz="4" w:space="0"/>
              <w:right w:val="nil"/>
            </w:tcBorders>
            <w:shd w:val="clear" w:color="auto" w:fill="auto"/>
            <w:noWrap/>
            <w:vAlign w:val="bottom"/>
          </w:tcPr>
          <w:p w14:paraId="53BCA53F">
            <w:pPr>
              <w:widowControl/>
              <w:spacing w:line="240" w:lineRule="auto"/>
              <w:jc w:val="left"/>
              <w:textAlignment w:val="bottom"/>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20.33% (18.87, 21.79)</w:t>
            </w:r>
          </w:p>
        </w:tc>
        <w:tc>
          <w:tcPr>
            <w:tcW w:w="2470" w:type="dxa"/>
            <w:tcBorders>
              <w:top w:val="nil"/>
              <w:left w:val="nil"/>
              <w:bottom w:val="single" w:color="000000" w:sz="4" w:space="0"/>
              <w:right w:val="nil"/>
            </w:tcBorders>
            <w:shd w:val="clear" w:color="auto" w:fill="auto"/>
            <w:noWrap/>
            <w:vAlign w:val="bottom"/>
          </w:tcPr>
          <w:p w14:paraId="2B968604">
            <w:pPr>
              <w:widowControl/>
              <w:spacing w:line="240" w:lineRule="auto"/>
              <w:jc w:val="left"/>
              <w:textAlignment w:val="bottom"/>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23.79% (21.6, 25.98)</w:t>
            </w:r>
          </w:p>
        </w:tc>
        <w:tc>
          <w:tcPr>
            <w:tcW w:w="2470" w:type="dxa"/>
            <w:tcBorders>
              <w:top w:val="nil"/>
              <w:left w:val="nil"/>
              <w:bottom w:val="single" w:color="000000" w:sz="4" w:space="0"/>
              <w:right w:val="nil"/>
            </w:tcBorders>
            <w:shd w:val="clear" w:color="auto" w:fill="auto"/>
            <w:noWrap/>
            <w:vAlign w:val="bottom"/>
          </w:tcPr>
          <w:p w14:paraId="53295A13">
            <w:pPr>
              <w:widowControl/>
              <w:spacing w:line="240" w:lineRule="auto"/>
              <w:jc w:val="left"/>
              <w:textAlignment w:val="bottom"/>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16.63% (14.78, 18.48)</w:t>
            </w:r>
          </w:p>
        </w:tc>
        <w:tc>
          <w:tcPr>
            <w:tcW w:w="2471" w:type="dxa"/>
            <w:tcBorders>
              <w:top w:val="nil"/>
              <w:left w:val="nil"/>
              <w:bottom w:val="single" w:color="000000" w:sz="4" w:space="0"/>
              <w:right w:val="nil"/>
            </w:tcBorders>
            <w:shd w:val="clear" w:color="auto" w:fill="auto"/>
            <w:noWrap/>
            <w:vAlign w:val="center"/>
          </w:tcPr>
          <w:p w14:paraId="4BD8B6EC">
            <w:pPr>
              <w:widowControl/>
              <w:spacing w:line="240" w:lineRule="auto"/>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bidi="ar"/>
              </w:rPr>
              <w:t>&lt;0.001</w:t>
            </w:r>
          </w:p>
        </w:tc>
      </w:tr>
    </w:tbl>
    <w:p w14:paraId="2DDFA0FE">
      <w:pPr>
        <w:spacing w:line="240" w:lineRule="auto"/>
        <w:jc w:val="left"/>
        <w:rPr>
          <w:rFonts w:hint="default" w:ascii="Times New Roman" w:hAnsi="Times New Roman" w:cs="Times New Roman"/>
          <w:b w:val="0"/>
          <w:bCs w:val="0"/>
          <w:color w:val="auto"/>
          <w:sz w:val="21"/>
          <w:szCs w:val="24"/>
          <w:lang w:val="en-US" w:eastAsia="zh-CN"/>
        </w:rPr>
      </w:pPr>
      <w:r>
        <w:rPr>
          <w:rFonts w:hint="default" w:ascii="Times New Roman" w:hAnsi="Times New Roman" w:cs="Times New Roman"/>
          <w:b w:val="0"/>
          <w:bCs w:val="0"/>
          <w:color w:val="auto"/>
          <w:sz w:val="21"/>
          <w:szCs w:val="24"/>
        </w:rPr>
        <w:t xml:space="preserve">Data are </w:t>
      </w:r>
      <w:r>
        <w:rPr>
          <w:rFonts w:hint="default" w:ascii="Times New Roman" w:hAnsi="Times New Roman" w:cs="Times New Roman" w:eastAsiaTheme="minorEastAsia"/>
          <w:color w:val="auto"/>
          <w:sz w:val="21"/>
          <w:szCs w:val="21"/>
          <w:lang w:val="en-US"/>
        </w:rPr>
        <w:t>presented as</w:t>
      </w:r>
      <w:r>
        <w:rPr>
          <w:rFonts w:hint="default" w:ascii="Times New Roman" w:hAnsi="Times New Roman" w:cs="Times New Roman" w:eastAsiaTheme="minorEastAsia"/>
          <w:color w:val="auto"/>
          <w:sz w:val="22"/>
          <w:szCs w:val="28"/>
          <w:lang w:val="en-US" w:eastAsia="zh-CN"/>
        </w:rPr>
        <w:t xml:space="preserve"> </w:t>
      </w:r>
      <w:r>
        <w:rPr>
          <w:rFonts w:hint="default" w:ascii="Times New Roman" w:hAnsi="Times New Roman" w:cs="Times New Roman"/>
          <w:b w:val="0"/>
          <w:bCs w:val="0"/>
          <w:color w:val="auto"/>
          <w:sz w:val="21"/>
          <w:szCs w:val="24"/>
        </w:rPr>
        <w:t>percentage (</w:t>
      </w:r>
      <w:r>
        <w:rPr>
          <w:rFonts w:hint="default" w:ascii="Times New Roman" w:hAnsi="Times New Roman" w:cs="Times New Roman"/>
          <w:b w:val="0"/>
          <w:bCs w:val="0"/>
          <w:color w:val="auto"/>
          <w:sz w:val="21"/>
          <w:szCs w:val="24"/>
          <w:lang w:val="en-US" w:eastAsia="zh-CN"/>
        </w:rPr>
        <w:t>95%CI), adjusted for NHANES fasting sample weight.</w:t>
      </w:r>
    </w:p>
    <w:p w14:paraId="0A23A5A9">
      <w:pPr>
        <w:spacing w:line="240" w:lineRule="auto"/>
        <w:jc w:val="left"/>
        <w:rPr>
          <w:rFonts w:hint="default" w:ascii="Times New Roman" w:hAnsi="Times New Roman" w:cs="Times New Roman"/>
          <w:b w:val="0"/>
          <w:bCs w:val="0"/>
          <w:color w:val="auto"/>
          <w:sz w:val="21"/>
          <w:szCs w:val="24"/>
          <w:lang w:val="en-US" w:eastAsia="zh-CN"/>
        </w:rPr>
      </w:pPr>
      <w:r>
        <w:rPr>
          <w:rFonts w:hint="default" w:ascii="Times New Roman" w:hAnsi="Times New Roman" w:cs="Times New Roman"/>
          <w:b w:val="0"/>
          <w:bCs w:val="0"/>
          <w:color w:val="auto"/>
          <w:sz w:val="21"/>
          <w:szCs w:val="24"/>
          <w:lang w:val="en-US" w:eastAsia="zh-CN"/>
        </w:rPr>
        <w:t>NHANES=National Health and Nutrition Examination Survey.</w:t>
      </w:r>
    </w:p>
    <w:p w14:paraId="58859B2C">
      <w:pPr>
        <w:pStyle w:val="2"/>
        <w:keepNext/>
        <w:keepLines/>
        <w:pageBreakBefore/>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bCs/>
          <w:color w:val="auto"/>
          <w:sz w:val="24"/>
          <w:szCs w:val="24"/>
          <w:lang w:val="en-US" w:eastAsia="zh-CN"/>
        </w:rPr>
      </w:pPr>
      <w:bookmarkStart w:id="10" w:name="_Toc21281"/>
      <w:bookmarkStart w:id="11" w:name="_Toc21383"/>
      <w:r>
        <w:rPr>
          <w:rFonts w:hint="default" w:ascii="Times New Roman" w:hAnsi="Times New Roman" w:cs="Times New Roman"/>
          <w:b/>
          <w:bCs/>
          <w:color w:val="auto"/>
          <w:sz w:val="24"/>
          <w:szCs w:val="24"/>
          <w:lang w:val="en-US" w:eastAsia="zh-CN"/>
        </w:rPr>
        <w:t>Table S5. Prevalence and Sex Disparities of Metabolic Syndrome in Adolescents When AO was Defined as WHtR≥0.5</w:t>
      </w:r>
      <w:bookmarkEnd w:id="10"/>
      <w:bookmarkEnd w:id="11"/>
    </w:p>
    <w:tbl>
      <w:tblPr>
        <w:tblStyle w:val="1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80"/>
        <w:gridCol w:w="3457"/>
        <w:gridCol w:w="2542"/>
        <w:gridCol w:w="2542"/>
        <w:gridCol w:w="2547"/>
      </w:tblGrid>
      <w:tr w14:paraId="665C2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87" w:type="pct"/>
            <w:tcBorders>
              <w:top w:val="single" w:color="000000" w:sz="8" w:space="0"/>
              <w:left w:val="nil"/>
              <w:bottom w:val="single" w:color="000000" w:sz="8" w:space="0"/>
              <w:right w:val="nil"/>
            </w:tcBorders>
            <w:shd w:val="clear" w:color="auto" w:fill="AEAAAA"/>
            <w:noWrap/>
            <w:vAlign w:val="bottom"/>
          </w:tcPr>
          <w:p w14:paraId="6394E292">
            <w:pPr>
              <w:spacing w:line="240" w:lineRule="auto"/>
              <w:rPr>
                <w:rFonts w:hint="default" w:ascii="Times New Roman" w:hAnsi="Times New Roman" w:cs="Times New Roman"/>
                <w:i w:val="0"/>
                <w:iCs w:val="0"/>
                <w:color w:val="auto"/>
                <w:sz w:val="24"/>
                <w:szCs w:val="24"/>
                <w:u w:val="none"/>
              </w:rPr>
            </w:pPr>
          </w:p>
        </w:tc>
        <w:tc>
          <w:tcPr>
            <w:tcW w:w="1220" w:type="pct"/>
            <w:tcBorders>
              <w:top w:val="single" w:color="000000" w:sz="8" w:space="0"/>
              <w:left w:val="nil"/>
              <w:bottom w:val="single" w:color="000000" w:sz="8" w:space="0"/>
              <w:right w:val="nil"/>
            </w:tcBorders>
            <w:shd w:val="clear" w:color="auto" w:fill="AEAAAA"/>
            <w:noWrap/>
            <w:vAlign w:val="bottom"/>
          </w:tcPr>
          <w:p w14:paraId="7E5A2FE6">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Overall (n=6989)</w:t>
            </w:r>
          </w:p>
        </w:tc>
        <w:tc>
          <w:tcPr>
            <w:tcW w:w="897" w:type="pct"/>
            <w:tcBorders>
              <w:top w:val="single" w:color="000000" w:sz="8" w:space="0"/>
              <w:left w:val="nil"/>
              <w:bottom w:val="single" w:color="000000" w:sz="8" w:space="0"/>
              <w:right w:val="nil"/>
            </w:tcBorders>
            <w:shd w:val="clear" w:color="auto" w:fill="AEAAAA"/>
            <w:noWrap/>
            <w:vAlign w:val="bottom"/>
          </w:tcPr>
          <w:p w14:paraId="2FB1BABB">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Male (n=3644)</w:t>
            </w:r>
          </w:p>
        </w:tc>
        <w:tc>
          <w:tcPr>
            <w:tcW w:w="897" w:type="pct"/>
            <w:tcBorders>
              <w:top w:val="single" w:color="000000" w:sz="8" w:space="0"/>
              <w:left w:val="nil"/>
              <w:bottom w:val="single" w:color="000000" w:sz="8" w:space="0"/>
              <w:right w:val="nil"/>
            </w:tcBorders>
            <w:shd w:val="clear" w:color="auto" w:fill="AEAAAA"/>
            <w:noWrap/>
            <w:vAlign w:val="bottom"/>
          </w:tcPr>
          <w:p w14:paraId="2C809F3A">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Female (n=3345)</w:t>
            </w:r>
          </w:p>
        </w:tc>
        <w:tc>
          <w:tcPr>
            <w:tcW w:w="897" w:type="pct"/>
            <w:tcBorders>
              <w:top w:val="single" w:color="000000" w:sz="8" w:space="0"/>
              <w:left w:val="nil"/>
              <w:bottom w:val="single" w:color="000000" w:sz="8" w:space="0"/>
              <w:right w:val="nil"/>
            </w:tcBorders>
            <w:shd w:val="clear" w:color="auto" w:fill="AEAAAA"/>
            <w:noWrap/>
            <w:vAlign w:val="bottom"/>
          </w:tcPr>
          <w:p w14:paraId="16DFCE24">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P value</w:t>
            </w:r>
          </w:p>
        </w:tc>
      </w:tr>
      <w:tr w14:paraId="11700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0" w:type="pct"/>
            <w:gridSpan w:val="5"/>
            <w:tcBorders>
              <w:top w:val="nil"/>
              <w:left w:val="nil"/>
              <w:bottom w:val="nil"/>
              <w:right w:val="nil"/>
            </w:tcBorders>
            <w:shd w:val="clear" w:color="auto" w:fill="D7D7D7"/>
            <w:noWrap/>
            <w:vAlign w:val="bottom"/>
          </w:tcPr>
          <w:p w14:paraId="20BC18DF">
            <w:pPr>
              <w:keepNext w:val="0"/>
              <w:keepLines w:val="0"/>
              <w:widowControl/>
              <w:suppressLineNumbers w:val="0"/>
              <w:spacing w:line="240" w:lineRule="auto"/>
              <w:jc w:val="left"/>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MS in classification system 1: defined as ≥3 of 5 risk factors</w:t>
            </w:r>
          </w:p>
        </w:tc>
      </w:tr>
      <w:tr w14:paraId="1664C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7" w:type="pct"/>
            <w:tcBorders>
              <w:top w:val="nil"/>
              <w:left w:val="nil"/>
              <w:bottom w:val="nil"/>
              <w:right w:val="nil"/>
            </w:tcBorders>
            <w:shd w:val="clear" w:color="auto" w:fill="auto"/>
            <w:noWrap/>
            <w:vAlign w:val="bottom"/>
          </w:tcPr>
          <w:p w14:paraId="6F5CB662">
            <w:pPr>
              <w:keepNext w:val="0"/>
              <w:keepLines w:val="0"/>
              <w:widowControl/>
              <w:suppressLineNumbers w:val="0"/>
              <w:spacing w:line="240" w:lineRule="auto"/>
              <w:jc w:val="left"/>
              <w:textAlignment w:val="bottom"/>
              <w:rPr>
                <w:rFonts w:hint="default" w:ascii="Times New Roman" w:hAnsi="Times New Roman" w:cs="Times New Roman"/>
                <w:b/>
                <w:bCs/>
                <w:i w:val="0"/>
                <w:iCs w:val="0"/>
                <w:color w:val="auto"/>
                <w:sz w:val="24"/>
                <w:szCs w:val="24"/>
                <w:u w:val="none"/>
              </w:rPr>
            </w:pPr>
            <w:r>
              <w:rPr>
                <w:rFonts w:hint="eastAsia" w:ascii="Times New Roman" w:hAnsi="Times New Roman" w:cs="Times New Roman"/>
                <w:b/>
                <w:bCs/>
                <w:i w:val="0"/>
                <w:iCs w:val="0"/>
                <w:color w:val="auto"/>
                <w:sz w:val="24"/>
                <w:highlight w:val="none"/>
                <w:lang w:val="en-US" w:eastAsia="zh-CN"/>
              </w:rPr>
              <w:t xml:space="preserve">Criterion </w:t>
            </w: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1</w:t>
            </w:r>
          </w:p>
        </w:tc>
        <w:tc>
          <w:tcPr>
            <w:tcW w:w="1220" w:type="pct"/>
            <w:tcBorders>
              <w:top w:val="nil"/>
              <w:left w:val="nil"/>
              <w:bottom w:val="nil"/>
              <w:right w:val="nil"/>
            </w:tcBorders>
            <w:shd w:val="clear" w:color="auto" w:fill="auto"/>
            <w:noWrap/>
            <w:vAlign w:val="bottom"/>
          </w:tcPr>
          <w:p w14:paraId="2C5F4EFB">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6.48 (5.55, 7.4)</w:t>
            </w:r>
          </w:p>
        </w:tc>
        <w:tc>
          <w:tcPr>
            <w:tcW w:w="897" w:type="pct"/>
            <w:tcBorders>
              <w:top w:val="nil"/>
              <w:left w:val="nil"/>
              <w:bottom w:val="nil"/>
              <w:right w:val="nil"/>
            </w:tcBorders>
            <w:shd w:val="clear" w:color="auto" w:fill="auto"/>
            <w:noWrap/>
            <w:vAlign w:val="bottom"/>
          </w:tcPr>
          <w:p w14:paraId="6D56C07C">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8.18 (6.71, 9.64)</w:t>
            </w:r>
          </w:p>
        </w:tc>
        <w:tc>
          <w:tcPr>
            <w:tcW w:w="897" w:type="pct"/>
            <w:tcBorders>
              <w:top w:val="nil"/>
              <w:left w:val="nil"/>
              <w:bottom w:val="nil"/>
              <w:right w:val="nil"/>
            </w:tcBorders>
            <w:shd w:val="clear" w:color="auto" w:fill="auto"/>
            <w:noWrap/>
            <w:vAlign w:val="bottom"/>
          </w:tcPr>
          <w:p w14:paraId="4AE76608">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4.66 (3.56, 5.76)</w:t>
            </w:r>
          </w:p>
        </w:tc>
        <w:tc>
          <w:tcPr>
            <w:tcW w:w="897" w:type="pct"/>
            <w:tcBorders>
              <w:top w:val="nil"/>
              <w:left w:val="nil"/>
              <w:bottom w:val="nil"/>
              <w:right w:val="nil"/>
            </w:tcBorders>
            <w:shd w:val="clear" w:color="auto" w:fill="auto"/>
            <w:noWrap/>
            <w:vAlign w:val="bottom"/>
          </w:tcPr>
          <w:p w14:paraId="67F22716">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r>
      <w:tr w14:paraId="6D60C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87" w:type="pct"/>
            <w:tcBorders>
              <w:top w:val="nil"/>
              <w:left w:val="nil"/>
              <w:bottom w:val="nil"/>
              <w:right w:val="nil"/>
            </w:tcBorders>
            <w:shd w:val="clear" w:color="auto" w:fill="auto"/>
            <w:noWrap/>
            <w:vAlign w:val="bottom"/>
          </w:tcPr>
          <w:p w14:paraId="4E8A5B02">
            <w:pPr>
              <w:keepNext w:val="0"/>
              <w:keepLines w:val="0"/>
              <w:widowControl/>
              <w:suppressLineNumbers w:val="0"/>
              <w:spacing w:line="240" w:lineRule="auto"/>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number of other risk factors</w:t>
            </w:r>
          </w:p>
        </w:tc>
        <w:tc>
          <w:tcPr>
            <w:tcW w:w="1220" w:type="pct"/>
            <w:tcBorders>
              <w:top w:val="nil"/>
              <w:left w:val="nil"/>
              <w:bottom w:val="nil"/>
              <w:right w:val="nil"/>
            </w:tcBorders>
            <w:shd w:val="clear" w:color="auto" w:fill="auto"/>
            <w:noWrap/>
            <w:vAlign w:val="bottom"/>
          </w:tcPr>
          <w:p w14:paraId="3190F6E0">
            <w:pPr>
              <w:spacing w:line="240" w:lineRule="auto"/>
              <w:jc w:val="center"/>
              <w:rPr>
                <w:rFonts w:hint="default" w:ascii="Times New Roman" w:hAnsi="Times New Roman" w:cs="Times New Roman"/>
                <w:i w:val="0"/>
                <w:iCs w:val="0"/>
                <w:color w:val="auto"/>
                <w:sz w:val="24"/>
                <w:szCs w:val="24"/>
                <w:u w:val="none"/>
              </w:rPr>
            </w:pPr>
          </w:p>
        </w:tc>
        <w:tc>
          <w:tcPr>
            <w:tcW w:w="897" w:type="pct"/>
            <w:tcBorders>
              <w:top w:val="nil"/>
              <w:left w:val="nil"/>
              <w:bottom w:val="nil"/>
              <w:right w:val="nil"/>
            </w:tcBorders>
            <w:shd w:val="clear" w:color="auto" w:fill="auto"/>
            <w:noWrap/>
            <w:vAlign w:val="bottom"/>
          </w:tcPr>
          <w:p w14:paraId="7BD70B06">
            <w:pPr>
              <w:spacing w:line="240" w:lineRule="auto"/>
              <w:jc w:val="center"/>
              <w:rPr>
                <w:rFonts w:hint="default" w:ascii="Times New Roman" w:hAnsi="Times New Roman" w:cs="Times New Roman"/>
                <w:i w:val="0"/>
                <w:iCs w:val="0"/>
                <w:color w:val="auto"/>
                <w:sz w:val="24"/>
                <w:szCs w:val="24"/>
                <w:u w:val="none"/>
              </w:rPr>
            </w:pPr>
          </w:p>
        </w:tc>
        <w:tc>
          <w:tcPr>
            <w:tcW w:w="897" w:type="pct"/>
            <w:tcBorders>
              <w:top w:val="nil"/>
              <w:left w:val="nil"/>
              <w:bottom w:val="nil"/>
              <w:right w:val="nil"/>
            </w:tcBorders>
            <w:shd w:val="clear" w:color="auto" w:fill="auto"/>
            <w:noWrap/>
            <w:vAlign w:val="bottom"/>
          </w:tcPr>
          <w:p w14:paraId="1277981E">
            <w:pPr>
              <w:spacing w:line="240" w:lineRule="auto"/>
              <w:jc w:val="center"/>
              <w:rPr>
                <w:rFonts w:hint="default" w:ascii="Times New Roman" w:hAnsi="Times New Roman" w:cs="Times New Roman"/>
                <w:i w:val="0"/>
                <w:iCs w:val="0"/>
                <w:color w:val="auto"/>
                <w:sz w:val="24"/>
                <w:szCs w:val="24"/>
                <w:u w:val="none"/>
              </w:rPr>
            </w:pPr>
          </w:p>
        </w:tc>
        <w:tc>
          <w:tcPr>
            <w:tcW w:w="897" w:type="pct"/>
            <w:tcBorders>
              <w:top w:val="nil"/>
              <w:left w:val="nil"/>
              <w:bottom w:val="nil"/>
              <w:right w:val="nil"/>
            </w:tcBorders>
            <w:shd w:val="clear" w:color="auto" w:fill="auto"/>
            <w:noWrap/>
            <w:vAlign w:val="bottom"/>
          </w:tcPr>
          <w:p w14:paraId="236F0E69">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r>
      <w:tr w14:paraId="468B4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7" w:type="pct"/>
            <w:tcBorders>
              <w:top w:val="nil"/>
              <w:left w:val="nil"/>
              <w:bottom w:val="nil"/>
              <w:right w:val="nil"/>
            </w:tcBorders>
            <w:shd w:val="clear" w:color="auto" w:fill="auto"/>
            <w:noWrap/>
            <w:vAlign w:val="bottom"/>
          </w:tcPr>
          <w:p w14:paraId="2DDFA714">
            <w:pPr>
              <w:keepNext w:val="0"/>
              <w:keepLines w:val="0"/>
              <w:widowControl/>
              <w:suppressLineNumbers w:val="0"/>
              <w:spacing w:line="240" w:lineRule="auto"/>
              <w:ind w:firstLineChars="100"/>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3</w:t>
            </w:r>
          </w:p>
        </w:tc>
        <w:tc>
          <w:tcPr>
            <w:tcW w:w="1220" w:type="pct"/>
            <w:tcBorders>
              <w:top w:val="nil"/>
              <w:left w:val="nil"/>
              <w:bottom w:val="nil"/>
              <w:right w:val="nil"/>
            </w:tcBorders>
            <w:shd w:val="clear" w:color="auto" w:fill="auto"/>
            <w:noWrap/>
            <w:vAlign w:val="bottom"/>
          </w:tcPr>
          <w:p w14:paraId="5ACD06C8">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5.14 (4.3, 5.97)</w:t>
            </w:r>
          </w:p>
        </w:tc>
        <w:tc>
          <w:tcPr>
            <w:tcW w:w="897" w:type="pct"/>
            <w:tcBorders>
              <w:top w:val="nil"/>
              <w:left w:val="nil"/>
              <w:bottom w:val="nil"/>
              <w:right w:val="nil"/>
            </w:tcBorders>
            <w:shd w:val="clear" w:color="auto" w:fill="auto"/>
            <w:noWrap/>
            <w:vAlign w:val="bottom"/>
          </w:tcPr>
          <w:p w14:paraId="25255D7F">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6.34 (5.01, 7.67)</w:t>
            </w:r>
          </w:p>
        </w:tc>
        <w:tc>
          <w:tcPr>
            <w:tcW w:w="897" w:type="pct"/>
            <w:tcBorders>
              <w:top w:val="nil"/>
              <w:left w:val="nil"/>
              <w:bottom w:val="nil"/>
              <w:right w:val="nil"/>
            </w:tcBorders>
            <w:shd w:val="clear" w:color="auto" w:fill="auto"/>
            <w:noWrap/>
            <w:vAlign w:val="bottom"/>
          </w:tcPr>
          <w:p w14:paraId="5C6E4DBA">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3.85 (2.92, 4.79)</w:t>
            </w:r>
          </w:p>
        </w:tc>
        <w:tc>
          <w:tcPr>
            <w:tcW w:w="897" w:type="pct"/>
            <w:tcBorders>
              <w:top w:val="nil"/>
              <w:left w:val="nil"/>
              <w:bottom w:val="nil"/>
              <w:right w:val="nil"/>
            </w:tcBorders>
            <w:shd w:val="clear" w:color="auto" w:fill="auto"/>
            <w:noWrap/>
            <w:vAlign w:val="bottom"/>
          </w:tcPr>
          <w:p w14:paraId="600A6F6E">
            <w:pPr>
              <w:spacing w:line="240" w:lineRule="auto"/>
              <w:jc w:val="center"/>
              <w:rPr>
                <w:rFonts w:hint="default" w:ascii="Times New Roman" w:hAnsi="Times New Roman" w:cs="Times New Roman"/>
                <w:i w:val="0"/>
                <w:iCs w:val="0"/>
                <w:color w:val="auto"/>
                <w:sz w:val="24"/>
                <w:szCs w:val="24"/>
                <w:u w:val="none"/>
              </w:rPr>
            </w:pPr>
          </w:p>
        </w:tc>
      </w:tr>
      <w:tr w14:paraId="19F0F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7" w:type="pct"/>
            <w:tcBorders>
              <w:top w:val="nil"/>
              <w:left w:val="nil"/>
              <w:bottom w:val="nil"/>
              <w:right w:val="nil"/>
            </w:tcBorders>
            <w:shd w:val="clear" w:color="auto" w:fill="auto"/>
            <w:noWrap/>
            <w:vAlign w:val="bottom"/>
          </w:tcPr>
          <w:p w14:paraId="3308208E">
            <w:pPr>
              <w:keepNext w:val="0"/>
              <w:keepLines w:val="0"/>
              <w:widowControl/>
              <w:suppressLineNumbers w:val="0"/>
              <w:spacing w:line="240" w:lineRule="auto"/>
              <w:ind w:firstLineChars="100"/>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4</w:t>
            </w:r>
          </w:p>
        </w:tc>
        <w:tc>
          <w:tcPr>
            <w:tcW w:w="1220" w:type="pct"/>
            <w:tcBorders>
              <w:top w:val="nil"/>
              <w:left w:val="nil"/>
              <w:bottom w:val="nil"/>
              <w:right w:val="nil"/>
            </w:tcBorders>
            <w:shd w:val="clear" w:color="auto" w:fill="auto"/>
            <w:noWrap/>
            <w:vAlign w:val="bottom"/>
          </w:tcPr>
          <w:p w14:paraId="53FF1F2A">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1.1 (0.74, 1.46)</w:t>
            </w:r>
          </w:p>
        </w:tc>
        <w:tc>
          <w:tcPr>
            <w:tcW w:w="897" w:type="pct"/>
            <w:tcBorders>
              <w:top w:val="nil"/>
              <w:left w:val="nil"/>
              <w:bottom w:val="nil"/>
              <w:right w:val="nil"/>
            </w:tcBorders>
            <w:shd w:val="clear" w:color="auto" w:fill="auto"/>
            <w:noWrap/>
            <w:vAlign w:val="bottom"/>
          </w:tcPr>
          <w:p w14:paraId="75627449">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1.38 (0.86, 1.91)</w:t>
            </w:r>
          </w:p>
        </w:tc>
        <w:tc>
          <w:tcPr>
            <w:tcW w:w="897" w:type="pct"/>
            <w:tcBorders>
              <w:top w:val="nil"/>
              <w:left w:val="nil"/>
              <w:bottom w:val="nil"/>
              <w:right w:val="nil"/>
            </w:tcBorders>
            <w:shd w:val="clear" w:color="auto" w:fill="auto"/>
            <w:noWrap/>
            <w:vAlign w:val="bottom"/>
          </w:tcPr>
          <w:p w14:paraId="52893723">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0.8 (0.31, 1.29)</w:t>
            </w:r>
          </w:p>
        </w:tc>
        <w:tc>
          <w:tcPr>
            <w:tcW w:w="897" w:type="pct"/>
            <w:tcBorders>
              <w:top w:val="nil"/>
              <w:left w:val="nil"/>
              <w:bottom w:val="nil"/>
              <w:right w:val="nil"/>
            </w:tcBorders>
            <w:shd w:val="clear" w:color="auto" w:fill="auto"/>
            <w:noWrap/>
            <w:vAlign w:val="bottom"/>
          </w:tcPr>
          <w:p w14:paraId="4076B953">
            <w:pPr>
              <w:spacing w:line="240" w:lineRule="auto"/>
              <w:jc w:val="center"/>
              <w:rPr>
                <w:rFonts w:hint="default" w:ascii="Times New Roman" w:hAnsi="Times New Roman" w:cs="Times New Roman"/>
                <w:i w:val="0"/>
                <w:iCs w:val="0"/>
                <w:color w:val="auto"/>
                <w:sz w:val="24"/>
                <w:szCs w:val="24"/>
                <w:u w:val="none"/>
              </w:rPr>
            </w:pPr>
          </w:p>
        </w:tc>
      </w:tr>
      <w:tr w14:paraId="34F00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7" w:type="pct"/>
            <w:tcBorders>
              <w:top w:val="nil"/>
              <w:left w:val="nil"/>
              <w:bottom w:val="nil"/>
              <w:right w:val="nil"/>
            </w:tcBorders>
            <w:shd w:val="clear" w:color="auto" w:fill="auto"/>
            <w:noWrap/>
            <w:vAlign w:val="bottom"/>
          </w:tcPr>
          <w:p w14:paraId="27C6AD83">
            <w:pPr>
              <w:keepNext w:val="0"/>
              <w:keepLines w:val="0"/>
              <w:widowControl/>
              <w:suppressLineNumbers w:val="0"/>
              <w:spacing w:line="240" w:lineRule="auto"/>
              <w:ind w:firstLineChars="100"/>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5</w:t>
            </w:r>
          </w:p>
        </w:tc>
        <w:tc>
          <w:tcPr>
            <w:tcW w:w="1220" w:type="pct"/>
            <w:tcBorders>
              <w:top w:val="nil"/>
              <w:left w:val="nil"/>
              <w:bottom w:val="nil"/>
              <w:right w:val="nil"/>
            </w:tcBorders>
            <w:shd w:val="clear" w:color="auto" w:fill="auto"/>
            <w:noWrap/>
            <w:vAlign w:val="bottom"/>
          </w:tcPr>
          <w:p w14:paraId="2FACB00D">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0.24 (0.1, 0.37)</w:t>
            </w:r>
          </w:p>
        </w:tc>
        <w:tc>
          <w:tcPr>
            <w:tcW w:w="897" w:type="pct"/>
            <w:tcBorders>
              <w:top w:val="nil"/>
              <w:left w:val="nil"/>
              <w:bottom w:val="nil"/>
              <w:right w:val="nil"/>
            </w:tcBorders>
            <w:shd w:val="clear" w:color="auto" w:fill="auto"/>
            <w:noWrap/>
            <w:vAlign w:val="bottom"/>
          </w:tcPr>
          <w:p w14:paraId="27DA08AA">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0.45 (0.18, 0.72)</w:t>
            </w:r>
          </w:p>
        </w:tc>
        <w:tc>
          <w:tcPr>
            <w:tcW w:w="897" w:type="pct"/>
            <w:tcBorders>
              <w:top w:val="nil"/>
              <w:left w:val="nil"/>
              <w:bottom w:val="nil"/>
              <w:right w:val="nil"/>
            </w:tcBorders>
            <w:shd w:val="clear" w:color="auto" w:fill="auto"/>
            <w:noWrap/>
            <w:vAlign w:val="bottom"/>
          </w:tcPr>
          <w:p w14:paraId="320C91F0">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0.01 (-0.01, 0.03)</w:t>
            </w:r>
          </w:p>
        </w:tc>
        <w:tc>
          <w:tcPr>
            <w:tcW w:w="897" w:type="pct"/>
            <w:tcBorders>
              <w:top w:val="nil"/>
              <w:left w:val="nil"/>
              <w:bottom w:val="nil"/>
              <w:right w:val="nil"/>
            </w:tcBorders>
            <w:shd w:val="clear" w:color="auto" w:fill="auto"/>
            <w:noWrap/>
            <w:vAlign w:val="bottom"/>
          </w:tcPr>
          <w:p w14:paraId="6ED2E1D5">
            <w:pPr>
              <w:spacing w:line="240" w:lineRule="auto"/>
              <w:jc w:val="center"/>
              <w:rPr>
                <w:rFonts w:hint="default" w:ascii="Times New Roman" w:hAnsi="Times New Roman" w:cs="Times New Roman"/>
                <w:i w:val="0"/>
                <w:iCs w:val="0"/>
                <w:color w:val="auto"/>
                <w:sz w:val="24"/>
                <w:szCs w:val="24"/>
                <w:u w:val="none"/>
              </w:rPr>
            </w:pPr>
          </w:p>
        </w:tc>
      </w:tr>
      <w:tr w14:paraId="3C4F5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7" w:type="pct"/>
            <w:tcBorders>
              <w:top w:val="nil"/>
              <w:left w:val="nil"/>
              <w:bottom w:val="nil"/>
              <w:right w:val="nil"/>
            </w:tcBorders>
            <w:shd w:val="clear" w:color="auto" w:fill="auto"/>
            <w:noWrap/>
            <w:vAlign w:val="bottom"/>
          </w:tcPr>
          <w:p w14:paraId="229D2AC1">
            <w:pPr>
              <w:keepNext w:val="0"/>
              <w:keepLines w:val="0"/>
              <w:widowControl/>
              <w:suppressLineNumbers w:val="0"/>
              <w:spacing w:line="240" w:lineRule="auto"/>
              <w:jc w:val="left"/>
              <w:textAlignment w:val="bottom"/>
              <w:rPr>
                <w:rFonts w:hint="default" w:ascii="Times New Roman" w:hAnsi="Times New Roman" w:cs="Times New Roman"/>
                <w:b/>
                <w:bCs/>
                <w:i w:val="0"/>
                <w:iCs w:val="0"/>
                <w:color w:val="auto"/>
                <w:sz w:val="24"/>
                <w:szCs w:val="24"/>
                <w:u w:val="none"/>
              </w:rPr>
            </w:pPr>
            <w:r>
              <w:rPr>
                <w:rFonts w:hint="eastAsia" w:ascii="Times New Roman" w:hAnsi="Times New Roman" w:cs="Times New Roman"/>
                <w:b/>
                <w:bCs/>
                <w:i w:val="0"/>
                <w:iCs w:val="0"/>
                <w:color w:val="auto"/>
                <w:sz w:val="24"/>
                <w:highlight w:val="none"/>
                <w:lang w:val="en-US" w:eastAsia="zh-CN"/>
              </w:rPr>
              <w:t xml:space="preserve">Criterion </w:t>
            </w: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2</w:t>
            </w:r>
          </w:p>
        </w:tc>
        <w:tc>
          <w:tcPr>
            <w:tcW w:w="1220" w:type="pct"/>
            <w:tcBorders>
              <w:top w:val="nil"/>
              <w:left w:val="nil"/>
              <w:bottom w:val="nil"/>
              <w:right w:val="nil"/>
            </w:tcBorders>
            <w:shd w:val="clear" w:color="auto" w:fill="auto"/>
            <w:noWrap/>
            <w:vAlign w:val="bottom"/>
          </w:tcPr>
          <w:p w14:paraId="68B7A014">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7.62 (6.63, 8.61)</w:t>
            </w:r>
          </w:p>
        </w:tc>
        <w:tc>
          <w:tcPr>
            <w:tcW w:w="897" w:type="pct"/>
            <w:tcBorders>
              <w:top w:val="nil"/>
              <w:left w:val="nil"/>
              <w:bottom w:val="nil"/>
              <w:right w:val="nil"/>
            </w:tcBorders>
            <w:shd w:val="clear" w:color="auto" w:fill="auto"/>
            <w:noWrap/>
            <w:vAlign w:val="bottom"/>
          </w:tcPr>
          <w:p w14:paraId="1A8877AD">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9.12 (7.58, 10.66)</w:t>
            </w:r>
          </w:p>
        </w:tc>
        <w:tc>
          <w:tcPr>
            <w:tcW w:w="897" w:type="pct"/>
            <w:tcBorders>
              <w:top w:val="nil"/>
              <w:left w:val="nil"/>
              <w:bottom w:val="nil"/>
              <w:right w:val="nil"/>
            </w:tcBorders>
            <w:shd w:val="clear" w:color="auto" w:fill="auto"/>
            <w:noWrap/>
            <w:vAlign w:val="bottom"/>
          </w:tcPr>
          <w:p w14:paraId="6D3EAE5C">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6.03 (4.81, 7.24)</w:t>
            </w:r>
          </w:p>
        </w:tc>
        <w:tc>
          <w:tcPr>
            <w:tcW w:w="897" w:type="pct"/>
            <w:tcBorders>
              <w:top w:val="nil"/>
              <w:left w:val="nil"/>
              <w:bottom w:val="nil"/>
              <w:right w:val="nil"/>
            </w:tcBorders>
            <w:shd w:val="clear" w:color="auto" w:fill="auto"/>
            <w:noWrap/>
            <w:vAlign w:val="bottom"/>
          </w:tcPr>
          <w:p w14:paraId="2EE8D01A">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0.002</w:t>
            </w:r>
          </w:p>
        </w:tc>
      </w:tr>
      <w:tr w14:paraId="5938F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7" w:type="pct"/>
            <w:tcBorders>
              <w:top w:val="nil"/>
              <w:left w:val="nil"/>
              <w:bottom w:val="nil"/>
              <w:right w:val="nil"/>
            </w:tcBorders>
            <w:shd w:val="clear" w:color="auto" w:fill="auto"/>
            <w:noWrap/>
            <w:vAlign w:val="bottom"/>
          </w:tcPr>
          <w:p w14:paraId="068C3F5B">
            <w:pPr>
              <w:keepNext w:val="0"/>
              <w:keepLines w:val="0"/>
              <w:widowControl/>
              <w:suppressLineNumbers w:val="0"/>
              <w:spacing w:line="240" w:lineRule="auto"/>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number of other risk factors</w:t>
            </w:r>
          </w:p>
        </w:tc>
        <w:tc>
          <w:tcPr>
            <w:tcW w:w="1220" w:type="pct"/>
            <w:tcBorders>
              <w:top w:val="nil"/>
              <w:left w:val="nil"/>
              <w:bottom w:val="nil"/>
              <w:right w:val="nil"/>
            </w:tcBorders>
            <w:shd w:val="clear" w:color="auto" w:fill="auto"/>
            <w:noWrap/>
            <w:vAlign w:val="bottom"/>
          </w:tcPr>
          <w:p w14:paraId="49BD4A17">
            <w:pPr>
              <w:spacing w:line="240" w:lineRule="auto"/>
              <w:jc w:val="center"/>
              <w:rPr>
                <w:rFonts w:hint="default" w:ascii="Times New Roman" w:hAnsi="Times New Roman" w:cs="Times New Roman"/>
                <w:i w:val="0"/>
                <w:iCs w:val="0"/>
                <w:color w:val="auto"/>
                <w:sz w:val="24"/>
                <w:szCs w:val="24"/>
                <w:u w:val="none"/>
              </w:rPr>
            </w:pPr>
          </w:p>
        </w:tc>
        <w:tc>
          <w:tcPr>
            <w:tcW w:w="897" w:type="pct"/>
            <w:tcBorders>
              <w:top w:val="nil"/>
              <w:left w:val="nil"/>
              <w:bottom w:val="nil"/>
              <w:right w:val="nil"/>
            </w:tcBorders>
            <w:shd w:val="clear" w:color="auto" w:fill="auto"/>
            <w:noWrap/>
            <w:vAlign w:val="bottom"/>
          </w:tcPr>
          <w:p w14:paraId="6F6D7FBD">
            <w:pPr>
              <w:spacing w:line="240" w:lineRule="auto"/>
              <w:jc w:val="center"/>
              <w:rPr>
                <w:rFonts w:hint="default" w:ascii="Times New Roman" w:hAnsi="Times New Roman" w:cs="Times New Roman"/>
                <w:i w:val="0"/>
                <w:iCs w:val="0"/>
                <w:color w:val="auto"/>
                <w:sz w:val="24"/>
                <w:szCs w:val="24"/>
                <w:u w:val="none"/>
              </w:rPr>
            </w:pPr>
          </w:p>
        </w:tc>
        <w:tc>
          <w:tcPr>
            <w:tcW w:w="897" w:type="pct"/>
            <w:tcBorders>
              <w:top w:val="nil"/>
              <w:left w:val="nil"/>
              <w:bottom w:val="nil"/>
              <w:right w:val="nil"/>
            </w:tcBorders>
            <w:shd w:val="clear" w:color="auto" w:fill="auto"/>
            <w:noWrap/>
            <w:vAlign w:val="bottom"/>
          </w:tcPr>
          <w:p w14:paraId="71C3231F">
            <w:pPr>
              <w:spacing w:line="240" w:lineRule="auto"/>
              <w:jc w:val="center"/>
              <w:rPr>
                <w:rFonts w:hint="default" w:ascii="Times New Roman" w:hAnsi="Times New Roman" w:cs="Times New Roman"/>
                <w:i w:val="0"/>
                <w:iCs w:val="0"/>
                <w:color w:val="auto"/>
                <w:sz w:val="24"/>
                <w:szCs w:val="24"/>
                <w:u w:val="none"/>
              </w:rPr>
            </w:pPr>
          </w:p>
        </w:tc>
        <w:tc>
          <w:tcPr>
            <w:tcW w:w="897" w:type="pct"/>
            <w:tcBorders>
              <w:top w:val="nil"/>
              <w:left w:val="nil"/>
              <w:bottom w:val="nil"/>
              <w:right w:val="nil"/>
            </w:tcBorders>
            <w:shd w:val="clear" w:color="auto" w:fill="auto"/>
            <w:noWrap/>
            <w:vAlign w:val="bottom"/>
          </w:tcPr>
          <w:p w14:paraId="37B01218">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0.003</w:t>
            </w:r>
          </w:p>
        </w:tc>
      </w:tr>
      <w:tr w14:paraId="0B9A7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87" w:type="pct"/>
            <w:tcBorders>
              <w:top w:val="nil"/>
              <w:left w:val="nil"/>
              <w:bottom w:val="nil"/>
              <w:right w:val="nil"/>
            </w:tcBorders>
            <w:shd w:val="clear" w:color="auto" w:fill="auto"/>
            <w:noWrap/>
            <w:vAlign w:val="bottom"/>
          </w:tcPr>
          <w:p w14:paraId="488DF767">
            <w:pPr>
              <w:keepNext w:val="0"/>
              <w:keepLines w:val="0"/>
              <w:widowControl/>
              <w:suppressLineNumbers w:val="0"/>
              <w:spacing w:line="240" w:lineRule="auto"/>
              <w:ind w:firstLineChars="100"/>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3</w:t>
            </w:r>
          </w:p>
        </w:tc>
        <w:tc>
          <w:tcPr>
            <w:tcW w:w="1220" w:type="pct"/>
            <w:tcBorders>
              <w:top w:val="nil"/>
              <w:left w:val="nil"/>
              <w:bottom w:val="nil"/>
              <w:right w:val="nil"/>
            </w:tcBorders>
            <w:shd w:val="clear" w:color="auto" w:fill="auto"/>
            <w:noWrap/>
            <w:vAlign w:val="bottom"/>
          </w:tcPr>
          <w:p w14:paraId="3C10A1CB">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6 (5.13, 6.87)</w:t>
            </w:r>
          </w:p>
        </w:tc>
        <w:tc>
          <w:tcPr>
            <w:tcW w:w="897" w:type="pct"/>
            <w:tcBorders>
              <w:top w:val="nil"/>
              <w:left w:val="nil"/>
              <w:bottom w:val="nil"/>
              <w:right w:val="nil"/>
            </w:tcBorders>
            <w:shd w:val="clear" w:color="auto" w:fill="auto"/>
            <w:noWrap/>
            <w:vAlign w:val="bottom"/>
          </w:tcPr>
          <w:p w14:paraId="1AAA32CF">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7.03 (5.67, 8.38)</w:t>
            </w:r>
          </w:p>
        </w:tc>
        <w:tc>
          <w:tcPr>
            <w:tcW w:w="897" w:type="pct"/>
            <w:tcBorders>
              <w:top w:val="nil"/>
              <w:left w:val="nil"/>
              <w:bottom w:val="nil"/>
              <w:right w:val="nil"/>
            </w:tcBorders>
            <w:shd w:val="clear" w:color="auto" w:fill="auto"/>
            <w:noWrap/>
            <w:vAlign w:val="bottom"/>
          </w:tcPr>
          <w:p w14:paraId="22499C55">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4.9 (3.85, 5.94)</w:t>
            </w:r>
          </w:p>
        </w:tc>
        <w:tc>
          <w:tcPr>
            <w:tcW w:w="897" w:type="pct"/>
            <w:tcBorders>
              <w:top w:val="nil"/>
              <w:left w:val="nil"/>
              <w:bottom w:val="nil"/>
              <w:right w:val="nil"/>
            </w:tcBorders>
            <w:shd w:val="clear" w:color="auto" w:fill="auto"/>
            <w:noWrap/>
            <w:vAlign w:val="bottom"/>
          </w:tcPr>
          <w:p w14:paraId="211147C3">
            <w:pPr>
              <w:spacing w:line="240" w:lineRule="auto"/>
              <w:jc w:val="center"/>
              <w:rPr>
                <w:rFonts w:hint="default" w:ascii="Times New Roman" w:hAnsi="Times New Roman" w:cs="Times New Roman"/>
                <w:i w:val="0"/>
                <w:iCs w:val="0"/>
                <w:color w:val="auto"/>
                <w:sz w:val="24"/>
                <w:szCs w:val="24"/>
                <w:u w:val="none"/>
              </w:rPr>
            </w:pPr>
          </w:p>
        </w:tc>
      </w:tr>
      <w:tr w14:paraId="5726C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7" w:type="pct"/>
            <w:tcBorders>
              <w:top w:val="nil"/>
              <w:left w:val="nil"/>
              <w:bottom w:val="nil"/>
              <w:right w:val="nil"/>
            </w:tcBorders>
            <w:shd w:val="clear" w:color="auto" w:fill="auto"/>
            <w:noWrap/>
            <w:vAlign w:val="bottom"/>
          </w:tcPr>
          <w:p w14:paraId="70E0CCDE">
            <w:pPr>
              <w:keepNext w:val="0"/>
              <w:keepLines w:val="0"/>
              <w:widowControl/>
              <w:suppressLineNumbers w:val="0"/>
              <w:spacing w:line="240" w:lineRule="auto"/>
              <w:ind w:firstLineChars="100"/>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4</w:t>
            </w:r>
          </w:p>
        </w:tc>
        <w:tc>
          <w:tcPr>
            <w:tcW w:w="1220" w:type="pct"/>
            <w:tcBorders>
              <w:top w:val="nil"/>
              <w:left w:val="nil"/>
              <w:bottom w:val="nil"/>
              <w:right w:val="nil"/>
            </w:tcBorders>
            <w:shd w:val="clear" w:color="auto" w:fill="auto"/>
            <w:noWrap/>
            <w:vAlign w:val="bottom"/>
          </w:tcPr>
          <w:p w14:paraId="52A06252">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1.32 (0.95, 1.68)</w:t>
            </w:r>
          </w:p>
        </w:tc>
        <w:tc>
          <w:tcPr>
            <w:tcW w:w="897" w:type="pct"/>
            <w:tcBorders>
              <w:top w:val="nil"/>
              <w:left w:val="nil"/>
              <w:bottom w:val="nil"/>
              <w:right w:val="nil"/>
            </w:tcBorders>
            <w:shd w:val="clear" w:color="auto" w:fill="auto"/>
            <w:noWrap/>
            <w:vAlign w:val="bottom"/>
          </w:tcPr>
          <w:p w14:paraId="3BBF2C13">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1.62 (1.06, 2.18)</w:t>
            </w:r>
          </w:p>
        </w:tc>
        <w:tc>
          <w:tcPr>
            <w:tcW w:w="897" w:type="pct"/>
            <w:tcBorders>
              <w:top w:val="nil"/>
              <w:left w:val="nil"/>
              <w:bottom w:val="nil"/>
              <w:right w:val="nil"/>
            </w:tcBorders>
            <w:shd w:val="clear" w:color="auto" w:fill="auto"/>
            <w:noWrap/>
            <w:vAlign w:val="bottom"/>
          </w:tcPr>
          <w:p w14:paraId="3FAFEEEB">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 (0.52, 1.47)</w:t>
            </w:r>
          </w:p>
        </w:tc>
        <w:tc>
          <w:tcPr>
            <w:tcW w:w="897" w:type="pct"/>
            <w:tcBorders>
              <w:top w:val="nil"/>
              <w:left w:val="nil"/>
              <w:bottom w:val="nil"/>
              <w:right w:val="nil"/>
            </w:tcBorders>
            <w:shd w:val="clear" w:color="auto" w:fill="auto"/>
            <w:noWrap/>
            <w:vAlign w:val="bottom"/>
          </w:tcPr>
          <w:p w14:paraId="77F013A5">
            <w:pPr>
              <w:spacing w:line="240" w:lineRule="auto"/>
              <w:jc w:val="center"/>
              <w:rPr>
                <w:rFonts w:hint="default" w:ascii="Times New Roman" w:hAnsi="Times New Roman" w:cs="Times New Roman"/>
                <w:i w:val="0"/>
                <w:iCs w:val="0"/>
                <w:color w:val="auto"/>
                <w:sz w:val="24"/>
                <w:szCs w:val="24"/>
                <w:u w:val="none"/>
              </w:rPr>
            </w:pPr>
          </w:p>
        </w:tc>
      </w:tr>
      <w:tr w14:paraId="417D5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7" w:type="pct"/>
            <w:tcBorders>
              <w:top w:val="nil"/>
              <w:left w:val="nil"/>
              <w:bottom w:val="nil"/>
              <w:right w:val="nil"/>
            </w:tcBorders>
            <w:shd w:val="clear" w:color="auto" w:fill="auto"/>
            <w:noWrap/>
            <w:vAlign w:val="bottom"/>
          </w:tcPr>
          <w:p w14:paraId="57DC9780">
            <w:pPr>
              <w:keepNext w:val="0"/>
              <w:keepLines w:val="0"/>
              <w:widowControl/>
              <w:suppressLineNumbers w:val="0"/>
              <w:spacing w:line="240" w:lineRule="auto"/>
              <w:ind w:firstLineChars="100"/>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5</w:t>
            </w:r>
          </w:p>
        </w:tc>
        <w:tc>
          <w:tcPr>
            <w:tcW w:w="1220" w:type="pct"/>
            <w:tcBorders>
              <w:top w:val="nil"/>
              <w:left w:val="nil"/>
              <w:bottom w:val="nil"/>
              <w:right w:val="nil"/>
            </w:tcBorders>
            <w:shd w:val="clear" w:color="auto" w:fill="auto"/>
            <w:noWrap/>
            <w:vAlign w:val="bottom"/>
          </w:tcPr>
          <w:p w14:paraId="05CBA547">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0.31 (0.13, 0.49)</w:t>
            </w:r>
          </w:p>
        </w:tc>
        <w:tc>
          <w:tcPr>
            <w:tcW w:w="897" w:type="pct"/>
            <w:tcBorders>
              <w:top w:val="nil"/>
              <w:left w:val="nil"/>
              <w:bottom w:val="nil"/>
              <w:right w:val="nil"/>
            </w:tcBorders>
            <w:shd w:val="clear" w:color="auto" w:fill="auto"/>
            <w:noWrap/>
            <w:vAlign w:val="bottom"/>
          </w:tcPr>
          <w:p w14:paraId="583DFC1E">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0.47 (0.2, 0.75)</w:t>
            </w:r>
          </w:p>
        </w:tc>
        <w:tc>
          <w:tcPr>
            <w:tcW w:w="897" w:type="pct"/>
            <w:tcBorders>
              <w:top w:val="nil"/>
              <w:left w:val="nil"/>
              <w:bottom w:val="nil"/>
              <w:right w:val="nil"/>
            </w:tcBorders>
            <w:shd w:val="clear" w:color="auto" w:fill="auto"/>
            <w:noWrap/>
            <w:vAlign w:val="bottom"/>
          </w:tcPr>
          <w:p w14:paraId="77F27A45">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0.13 (-0.02, 0.29)</w:t>
            </w:r>
          </w:p>
        </w:tc>
        <w:tc>
          <w:tcPr>
            <w:tcW w:w="897" w:type="pct"/>
            <w:tcBorders>
              <w:top w:val="nil"/>
              <w:left w:val="nil"/>
              <w:bottom w:val="nil"/>
              <w:right w:val="nil"/>
            </w:tcBorders>
            <w:shd w:val="clear" w:color="auto" w:fill="auto"/>
            <w:noWrap/>
            <w:vAlign w:val="bottom"/>
          </w:tcPr>
          <w:p w14:paraId="7E34B8FE">
            <w:pPr>
              <w:spacing w:line="240" w:lineRule="auto"/>
              <w:jc w:val="center"/>
              <w:rPr>
                <w:rFonts w:hint="default" w:ascii="Times New Roman" w:hAnsi="Times New Roman" w:cs="Times New Roman"/>
                <w:i w:val="0"/>
                <w:iCs w:val="0"/>
                <w:color w:val="auto"/>
                <w:sz w:val="24"/>
                <w:szCs w:val="24"/>
                <w:u w:val="none"/>
              </w:rPr>
            </w:pPr>
          </w:p>
        </w:tc>
      </w:tr>
      <w:tr w14:paraId="5959D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7" w:type="pct"/>
            <w:tcBorders>
              <w:top w:val="nil"/>
              <w:left w:val="nil"/>
              <w:bottom w:val="nil"/>
              <w:right w:val="nil"/>
            </w:tcBorders>
            <w:shd w:val="clear" w:color="auto" w:fill="auto"/>
            <w:noWrap/>
            <w:vAlign w:val="bottom"/>
          </w:tcPr>
          <w:p w14:paraId="33AB2CC6">
            <w:pPr>
              <w:keepNext w:val="0"/>
              <w:keepLines w:val="0"/>
              <w:widowControl/>
              <w:suppressLineNumbers w:val="0"/>
              <w:spacing w:line="240" w:lineRule="auto"/>
              <w:jc w:val="left"/>
              <w:textAlignment w:val="bottom"/>
              <w:rPr>
                <w:rFonts w:hint="default" w:ascii="Times New Roman" w:hAnsi="Times New Roman" w:cs="Times New Roman"/>
                <w:b/>
                <w:bCs/>
                <w:i w:val="0"/>
                <w:iCs w:val="0"/>
                <w:color w:val="auto"/>
                <w:sz w:val="24"/>
                <w:szCs w:val="24"/>
                <w:u w:val="none"/>
              </w:rPr>
            </w:pPr>
            <w:r>
              <w:rPr>
                <w:rFonts w:hint="eastAsia" w:ascii="Times New Roman" w:hAnsi="Times New Roman" w:cs="Times New Roman"/>
                <w:b/>
                <w:bCs/>
                <w:i w:val="0"/>
                <w:iCs w:val="0"/>
                <w:color w:val="auto"/>
                <w:sz w:val="24"/>
                <w:highlight w:val="none"/>
                <w:lang w:val="en-US" w:eastAsia="zh-CN"/>
              </w:rPr>
              <w:t xml:space="preserve">Criterion </w:t>
            </w: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3</w:t>
            </w:r>
          </w:p>
        </w:tc>
        <w:tc>
          <w:tcPr>
            <w:tcW w:w="1220" w:type="pct"/>
            <w:tcBorders>
              <w:top w:val="nil"/>
              <w:left w:val="nil"/>
              <w:bottom w:val="nil"/>
              <w:right w:val="nil"/>
            </w:tcBorders>
            <w:shd w:val="clear" w:color="auto" w:fill="auto"/>
            <w:noWrap/>
            <w:vAlign w:val="bottom"/>
          </w:tcPr>
          <w:p w14:paraId="10858E01">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9.97 (8.77, 11.16)</w:t>
            </w:r>
          </w:p>
        </w:tc>
        <w:tc>
          <w:tcPr>
            <w:tcW w:w="897" w:type="pct"/>
            <w:tcBorders>
              <w:top w:val="nil"/>
              <w:left w:val="nil"/>
              <w:bottom w:val="nil"/>
              <w:right w:val="nil"/>
            </w:tcBorders>
            <w:shd w:val="clear" w:color="auto" w:fill="auto"/>
            <w:noWrap/>
            <w:vAlign w:val="bottom"/>
          </w:tcPr>
          <w:p w14:paraId="4548B387">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12.77 (10.94, 14.6)</w:t>
            </w:r>
          </w:p>
        </w:tc>
        <w:tc>
          <w:tcPr>
            <w:tcW w:w="897" w:type="pct"/>
            <w:tcBorders>
              <w:top w:val="nil"/>
              <w:left w:val="nil"/>
              <w:bottom w:val="nil"/>
              <w:right w:val="nil"/>
            </w:tcBorders>
            <w:shd w:val="clear" w:color="auto" w:fill="auto"/>
            <w:noWrap/>
            <w:vAlign w:val="bottom"/>
          </w:tcPr>
          <w:p w14:paraId="6821C3F4">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6.97 (5.65, 8.3)</w:t>
            </w:r>
          </w:p>
        </w:tc>
        <w:tc>
          <w:tcPr>
            <w:tcW w:w="897" w:type="pct"/>
            <w:tcBorders>
              <w:top w:val="nil"/>
              <w:left w:val="nil"/>
              <w:bottom w:val="nil"/>
              <w:right w:val="nil"/>
            </w:tcBorders>
            <w:shd w:val="clear" w:color="auto" w:fill="auto"/>
            <w:noWrap/>
            <w:vAlign w:val="bottom"/>
          </w:tcPr>
          <w:p w14:paraId="1FA4C52A">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r>
      <w:tr w14:paraId="12119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87" w:type="pct"/>
            <w:tcBorders>
              <w:top w:val="nil"/>
              <w:left w:val="nil"/>
              <w:bottom w:val="nil"/>
              <w:right w:val="nil"/>
            </w:tcBorders>
            <w:shd w:val="clear" w:color="auto" w:fill="auto"/>
            <w:noWrap/>
            <w:vAlign w:val="bottom"/>
          </w:tcPr>
          <w:p w14:paraId="192CFAF4">
            <w:pPr>
              <w:keepNext w:val="0"/>
              <w:keepLines w:val="0"/>
              <w:widowControl/>
              <w:suppressLineNumbers w:val="0"/>
              <w:spacing w:line="240" w:lineRule="auto"/>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number of other risk factors</w:t>
            </w:r>
          </w:p>
        </w:tc>
        <w:tc>
          <w:tcPr>
            <w:tcW w:w="1220" w:type="pct"/>
            <w:tcBorders>
              <w:top w:val="nil"/>
              <w:left w:val="nil"/>
              <w:bottom w:val="nil"/>
              <w:right w:val="nil"/>
            </w:tcBorders>
            <w:shd w:val="clear" w:color="auto" w:fill="auto"/>
            <w:noWrap/>
            <w:vAlign w:val="bottom"/>
          </w:tcPr>
          <w:p w14:paraId="588A7FB7">
            <w:pPr>
              <w:spacing w:line="240" w:lineRule="auto"/>
              <w:jc w:val="center"/>
              <w:rPr>
                <w:rFonts w:hint="default" w:ascii="Times New Roman" w:hAnsi="Times New Roman" w:cs="Times New Roman"/>
                <w:i w:val="0"/>
                <w:iCs w:val="0"/>
                <w:color w:val="auto"/>
                <w:sz w:val="24"/>
                <w:szCs w:val="24"/>
                <w:u w:val="none"/>
              </w:rPr>
            </w:pPr>
          </w:p>
        </w:tc>
        <w:tc>
          <w:tcPr>
            <w:tcW w:w="897" w:type="pct"/>
            <w:tcBorders>
              <w:top w:val="nil"/>
              <w:left w:val="nil"/>
              <w:bottom w:val="nil"/>
              <w:right w:val="nil"/>
            </w:tcBorders>
            <w:shd w:val="clear" w:color="auto" w:fill="auto"/>
            <w:noWrap/>
            <w:vAlign w:val="bottom"/>
          </w:tcPr>
          <w:p w14:paraId="1717144B">
            <w:pPr>
              <w:spacing w:line="240" w:lineRule="auto"/>
              <w:jc w:val="center"/>
              <w:rPr>
                <w:rFonts w:hint="default" w:ascii="Times New Roman" w:hAnsi="Times New Roman" w:cs="Times New Roman"/>
                <w:i w:val="0"/>
                <w:iCs w:val="0"/>
                <w:color w:val="auto"/>
                <w:sz w:val="24"/>
                <w:szCs w:val="24"/>
                <w:u w:val="none"/>
              </w:rPr>
            </w:pPr>
          </w:p>
        </w:tc>
        <w:tc>
          <w:tcPr>
            <w:tcW w:w="897" w:type="pct"/>
            <w:tcBorders>
              <w:top w:val="nil"/>
              <w:left w:val="nil"/>
              <w:bottom w:val="nil"/>
              <w:right w:val="nil"/>
            </w:tcBorders>
            <w:shd w:val="clear" w:color="auto" w:fill="auto"/>
            <w:noWrap/>
            <w:vAlign w:val="bottom"/>
          </w:tcPr>
          <w:p w14:paraId="6586B4AD">
            <w:pPr>
              <w:spacing w:line="240" w:lineRule="auto"/>
              <w:jc w:val="center"/>
              <w:rPr>
                <w:rFonts w:hint="default" w:ascii="Times New Roman" w:hAnsi="Times New Roman" w:cs="Times New Roman"/>
                <w:i w:val="0"/>
                <w:iCs w:val="0"/>
                <w:color w:val="auto"/>
                <w:sz w:val="24"/>
                <w:szCs w:val="24"/>
                <w:u w:val="none"/>
              </w:rPr>
            </w:pPr>
          </w:p>
        </w:tc>
        <w:tc>
          <w:tcPr>
            <w:tcW w:w="897" w:type="pct"/>
            <w:tcBorders>
              <w:top w:val="nil"/>
              <w:left w:val="nil"/>
              <w:bottom w:val="nil"/>
              <w:right w:val="nil"/>
            </w:tcBorders>
            <w:shd w:val="clear" w:color="auto" w:fill="auto"/>
            <w:noWrap/>
            <w:vAlign w:val="bottom"/>
          </w:tcPr>
          <w:p w14:paraId="79059385">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r>
      <w:tr w14:paraId="0A3D3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7" w:type="pct"/>
            <w:tcBorders>
              <w:top w:val="nil"/>
              <w:left w:val="nil"/>
              <w:bottom w:val="nil"/>
              <w:right w:val="nil"/>
            </w:tcBorders>
            <w:shd w:val="clear" w:color="auto" w:fill="auto"/>
            <w:noWrap/>
            <w:vAlign w:val="bottom"/>
          </w:tcPr>
          <w:p w14:paraId="6D6D8DE6">
            <w:pPr>
              <w:keepNext w:val="0"/>
              <w:keepLines w:val="0"/>
              <w:widowControl/>
              <w:suppressLineNumbers w:val="0"/>
              <w:spacing w:line="240" w:lineRule="auto"/>
              <w:ind w:firstLineChars="100"/>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3</w:t>
            </w:r>
          </w:p>
        </w:tc>
        <w:tc>
          <w:tcPr>
            <w:tcW w:w="1220" w:type="pct"/>
            <w:tcBorders>
              <w:top w:val="nil"/>
              <w:left w:val="nil"/>
              <w:bottom w:val="nil"/>
              <w:right w:val="nil"/>
            </w:tcBorders>
            <w:shd w:val="clear" w:color="auto" w:fill="auto"/>
            <w:noWrap/>
            <w:vAlign w:val="bottom"/>
          </w:tcPr>
          <w:p w14:paraId="3784C881">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7.4 (6.46, 8.34)</w:t>
            </w:r>
          </w:p>
        </w:tc>
        <w:tc>
          <w:tcPr>
            <w:tcW w:w="897" w:type="pct"/>
            <w:tcBorders>
              <w:top w:val="nil"/>
              <w:left w:val="nil"/>
              <w:bottom w:val="nil"/>
              <w:right w:val="nil"/>
            </w:tcBorders>
            <w:shd w:val="clear" w:color="auto" w:fill="auto"/>
            <w:noWrap/>
            <w:vAlign w:val="bottom"/>
          </w:tcPr>
          <w:p w14:paraId="29150D3A">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9.11 (7.71, 10.51)</w:t>
            </w:r>
          </w:p>
        </w:tc>
        <w:tc>
          <w:tcPr>
            <w:tcW w:w="897" w:type="pct"/>
            <w:tcBorders>
              <w:top w:val="nil"/>
              <w:left w:val="nil"/>
              <w:bottom w:val="nil"/>
              <w:right w:val="nil"/>
            </w:tcBorders>
            <w:shd w:val="clear" w:color="auto" w:fill="auto"/>
            <w:noWrap/>
            <w:vAlign w:val="bottom"/>
          </w:tcPr>
          <w:p w14:paraId="31715A5B">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5.57 (4.43, 6.71)</w:t>
            </w:r>
          </w:p>
        </w:tc>
        <w:tc>
          <w:tcPr>
            <w:tcW w:w="897" w:type="pct"/>
            <w:tcBorders>
              <w:top w:val="nil"/>
              <w:left w:val="nil"/>
              <w:bottom w:val="nil"/>
              <w:right w:val="nil"/>
            </w:tcBorders>
            <w:shd w:val="clear" w:color="auto" w:fill="auto"/>
            <w:noWrap/>
            <w:vAlign w:val="bottom"/>
          </w:tcPr>
          <w:p w14:paraId="1B9B0082">
            <w:pPr>
              <w:spacing w:line="240" w:lineRule="auto"/>
              <w:jc w:val="center"/>
              <w:rPr>
                <w:rFonts w:hint="default" w:ascii="Times New Roman" w:hAnsi="Times New Roman" w:cs="Times New Roman"/>
                <w:i w:val="0"/>
                <w:iCs w:val="0"/>
                <w:color w:val="auto"/>
                <w:sz w:val="24"/>
                <w:szCs w:val="24"/>
                <w:u w:val="none"/>
              </w:rPr>
            </w:pPr>
          </w:p>
        </w:tc>
      </w:tr>
      <w:tr w14:paraId="6E01A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7" w:type="pct"/>
            <w:tcBorders>
              <w:top w:val="nil"/>
              <w:left w:val="nil"/>
              <w:bottom w:val="nil"/>
              <w:right w:val="nil"/>
            </w:tcBorders>
            <w:shd w:val="clear" w:color="auto" w:fill="auto"/>
            <w:noWrap/>
            <w:vAlign w:val="bottom"/>
          </w:tcPr>
          <w:p w14:paraId="609514C4">
            <w:pPr>
              <w:keepNext w:val="0"/>
              <w:keepLines w:val="0"/>
              <w:widowControl/>
              <w:suppressLineNumbers w:val="0"/>
              <w:spacing w:line="240" w:lineRule="auto"/>
              <w:ind w:firstLineChars="100"/>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4</w:t>
            </w:r>
          </w:p>
        </w:tc>
        <w:tc>
          <w:tcPr>
            <w:tcW w:w="1220" w:type="pct"/>
            <w:tcBorders>
              <w:top w:val="nil"/>
              <w:left w:val="nil"/>
              <w:bottom w:val="nil"/>
              <w:right w:val="nil"/>
            </w:tcBorders>
            <w:shd w:val="clear" w:color="auto" w:fill="auto"/>
            <w:noWrap/>
            <w:vAlign w:val="bottom"/>
          </w:tcPr>
          <w:p w14:paraId="5F8A389F">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2.16 (1.68, 2.63)</w:t>
            </w:r>
          </w:p>
        </w:tc>
        <w:tc>
          <w:tcPr>
            <w:tcW w:w="897" w:type="pct"/>
            <w:tcBorders>
              <w:top w:val="nil"/>
              <w:left w:val="nil"/>
              <w:bottom w:val="nil"/>
              <w:right w:val="nil"/>
            </w:tcBorders>
            <w:shd w:val="clear" w:color="auto" w:fill="auto"/>
            <w:noWrap/>
            <w:vAlign w:val="bottom"/>
          </w:tcPr>
          <w:p w14:paraId="6E46B436">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3.08 (2.3, 3.86)</w:t>
            </w:r>
          </w:p>
        </w:tc>
        <w:tc>
          <w:tcPr>
            <w:tcW w:w="897" w:type="pct"/>
            <w:tcBorders>
              <w:top w:val="nil"/>
              <w:left w:val="nil"/>
              <w:bottom w:val="nil"/>
              <w:right w:val="nil"/>
            </w:tcBorders>
            <w:shd w:val="clear" w:color="auto" w:fill="auto"/>
            <w:noWrap/>
            <w:vAlign w:val="bottom"/>
          </w:tcPr>
          <w:p w14:paraId="5D00CB14">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1.17 (0.7, 1.64)</w:t>
            </w:r>
          </w:p>
        </w:tc>
        <w:tc>
          <w:tcPr>
            <w:tcW w:w="897" w:type="pct"/>
            <w:tcBorders>
              <w:top w:val="nil"/>
              <w:left w:val="nil"/>
              <w:bottom w:val="nil"/>
              <w:right w:val="nil"/>
            </w:tcBorders>
            <w:shd w:val="clear" w:color="auto" w:fill="auto"/>
            <w:noWrap/>
            <w:vAlign w:val="bottom"/>
          </w:tcPr>
          <w:p w14:paraId="0404601F">
            <w:pPr>
              <w:spacing w:line="240" w:lineRule="auto"/>
              <w:jc w:val="center"/>
              <w:rPr>
                <w:rFonts w:hint="default" w:ascii="Times New Roman" w:hAnsi="Times New Roman" w:cs="Times New Roman"/>
                <w:i w:val="0"/>
                <w:iCs w:val="0"/>
                <w:color w:val="auto"/>
                <w:sz w:val="24"/>
                <w:szCs w:val="24"/>
                <w:u w:val="none"/>
              </w:rPr>
            </w:pPr>
          </w:p>
        </w:tc>
      </w:tr>
      <w:tr w14:paraId="353BD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7" w:type="pct"/>
            <w:tcBorders>
              <w:top w:val="nil"/>
              <w:left w:val="nil"/>
              <w:bottom w:val="nil"/>
              <w:right w:val="nil"/>
            </w:tcBorders>
            <w:shd w:val="clear" w:color="auto" w:fill="auto"/>
            <w:noWrap/>
            <w:vAlign w:val="bottom"/>
          </w:tcPr>
          <w:p w14:paraId="0C6AC81C">
            <w:pPr>
              <w:keepNext w:val="0"/>
              <w:keepLines w:val="0"/>
              <w:widowControl/>
              <w:suppressLineNumbers w:val="0"/>
              <w:spacing w:line="240" w:lineRule="auto"/>
              <w:ind w:firstLineChars="100"/>
              <w:jc w:val="left"/>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5</w:t>
            </w:r>
          </w:p>
        </w:tc>
        <w:tc>
          <w:tcPr>
            <w:tcW w:w="1220" w:type="pct"/>
            <w:tcBorders>
              <w:top w:val="nil"/>
              <w:left w:val="nil"/>
              <w:bottom w:val="nil"/>
              <w:right w:val="nil"/>
            </w:tcBorders>
            <w:shd w:val="clear" w:color="auto" w:fill="auto"/>
            <w:noWrap/>
            <w:vAlign w:val="bottom"/>
          </w:tcPr>
          <w:p w14:paraId="678C74E6">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0.41 (0.17, 0.65)</w:t>
            </w:r>
          </w:p>
        </w:tc>
        <w:tc>
          <w:tcPr>
            <w:tcW w:w="897" w:type="pct"/>
            <w:tcBorders>
              <w:top w:val="nil"/>
              <w:left w:val="nil"/>
              <w:bottom w:val="nil"/>
              <w:right w:val="nil"/>
            </w:tcBorders>
            <w:shd w:val="clear" w:color="auto" w:fill="auto"/>
            <w:noWrap/>
            <w:vAlign w:val="bottom"/>
          </w:tcPr>
          <w:p w14:paraId="19150FEB">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0.58 (0.28, 0.89)</w:t>
            </w:r>
          </w:p>
        </w:tc>
        <w:tc>
          <w:tcPr>
            <w:tcW w:w="897" w:type="pct"/>
            <w:tcBorders>
              <w:top w:val="nil"/>
              <w:left w:val="nil"/>
              <w:bottom w:val="nil"/>
              <w:right w:val="nil"/>
            </w:tcBorders>
            <w:shd w:val="clear" w:color="auto" w:fill="auto"/>
            <w:noWrap/>
            <w:vAlign w:val="bottom"/>
          </w:tcPr>
          <w:p w14:paraId="375821CF">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0.23 (-0.04, 0.5)</w:t>
            </w:r>
          </w:p>
        </w:tc>
        <w:tc>
          <w:tcPr>
            <w:tcW w:w="897" w:type="pct"/>
            <w:tcBorders>
              <w:top w:val="nil"/>
              <w:left w:val="nil"/>
              <w:bottom w:val="nil"/>
              <w:right w:val="nil"/>
            </w:tcBorders>
            <w:shd w:val="clear" w:color="auto" w:fill="auto"/>
            <w:noWrap/>
            <w:vAlign w:val="bottom"/>
          </w:tcPr>
          <w:p w14:paraId="41F37875">
            <w:pPr>
              <w:spacing w:line="240" w:lineRule="auto"/>
              <w:jc w:val="center"/>
              <w:rPr>
                <w:rFonts w:hint="default" w:ascii="Times New Roman" w:hAnsi="Times New Roman" w:cs="Times New Roman"/>
                <w:i w:val="0"/>
                <w:iCs w:val="0"/>
                <w:color w:val="auto"/>
                <w:sz w:val="24"/>
                <w:szCs w:val="24"/>
                <w:u w:val="none"/>
              </w:rPr>
            </w:pPr>
          </w:p>
        </w:tc>
      </w:tr>
      <w:tr w14:paraId="71593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0" w:type="pct"/>
            <w:gridSpan w:val="5"/>
            <w:tcBorders>
              <w:top w:val="nil"/>
              <w:left w:val="nil"/>
              <w:bottom w:val="nil"/>
              <w:right w:val="nil"/>
            </w:tcBorders>
            <w:shd w:val="clear" w:color="auto" w:fill="D7D7D7"/>
            <w:noWrap/>
            <w:vAlign w:val="bottom"/>
          </w:tcPr>
          <w:p w14:paraId="5AA3AA71">
            <w:pPr>
              <w:keepNext w:val="0"/>
              <w:keepLines w:val="0"/>
              <w:widowControl/>
              <w:suppressLineNumbers w:val="0"/>
              <w:spacing w:line="240" w:lineRule="auto"/>
              <w:jc w:val="left"/>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MS in classification system 2: defined as AO and ≥2 of 4 risk factors</w:t>
            </w:r>
          </w:p>
        </w:tc>
      </w:tr>
      <w:tr w14:paraId="71830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7" w:type="pct"/>
            <w:tcBorders>
              <w:top w:val="nil"/>
              <w:left w:val="nil"/>
              <w:bottom w:val="nil"/>
              <w:right w:val="nil"/>
            </w:tcBorders>
            <w:shd w:val="clear" w:color="auto" w:fill="auto"/>
            <w:noWrap/>
            <w:vAlign w:val="bottom"/>
          </w:tcPr>
          <w:p w14:paraId="412915D7">
            <w:pPr>
              <w:keepNext w:val="0"/>
              <w:keepLines w:val="0"/>
              <w:widowControl/>
              <w:suppressLineNumbers w:val="0"/>
              <w:spacing w:line="240" w:lineRule="auto"/>
              <w:jc w:val="left"/>
              <w:textAlignment w:val="bottom"/>
              <w:rPr>
                <w:rFonts w:hint="default" w:ascii="Times New Roman" w:hAnsi="Times New Roman" w:cs="Times New Roman"/>
                <w:b/>
                <w:bCs/>
                <w:i w:val="0"/>
                <w:iCs w:val="0"/>
                <w:color w:val="auto"/>
                <w:sz w:val="24"/>
                <w:szCs w:val="24"/>
                <w:u w:val="none"/>
              </w:rPr>
            </w:pPr>
            <w:r>
              <w:rPr>
                <w:rFonts w:hint="eastAsia" w:ascii="Times New Roman" w:hAnsi="Times New Roman" w:cs="Times New Roman"/>
                <w:b/>
                <w:bCs/>
                <w:i w:val="0"/>
                <w:iCs w:val="0"/>
                <w:color w:val="auto"/>
                <w:sz w:val="24"/>
                <w:highlight w:val="none"/>
                <w:lang w:val="en-US" w:eastAsia="zh-CN"/>
              </w:rPr>
              <w:t xml:space="preserve">Criterion </w:t>
            </w: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1</w:t>
            </w:r>
          </w:p>
        </w:tc>
        <w:tc>
          <w:tcPr>
            <w:tcW w:w="1220" w:type="pct"/>
            <w:tcBorders>
              <w:top w:val="nil"/>
              <w:left w:val="nil"/>
              <w:bottom w:val="nil"/>
              <w:right w:val="nil"/>
            </w:tcBorders>
            <w:shd w:val="clear" w:color="auto" w:fill="auto"/>
            <w:noWrap/>
            <w:vAlign w:val="bottom"/>
          </w:tcPr>
          <w:p w14:paraId="10B989B1">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6.18 (5.27, 7.09)</w:t>
            </w:r>
          </w:p>
        </w:tc>
        <w:tc>
          <w:tcPr>
            <w:tcW w:w="897" w:type="pct"/>
            <w:tcBorders>
              <w:top w:val="nil"/>
              <w:left w:val="nil"/>
              <w:bottom w:val="nil"/>
              <w:right w:val="nil"/>
            </w:tcBorders>
            <w:shd w:val="clear" w:color="auto" w:fill="auto"/>
            <w:noWrap/>
            <w:vAlign w:val="bottom"/>
          </w:tcPr>
          <w:p w14:paraId="0412629A">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7.72 (6.33, 9.12)</w:t>
            </w:r>
          </w:p>
        </w:tc>
        <w:tc>
          <w:tcPr>
            <w:tcW w:w="897" w:type="pct"/>
            <w:tcBorders>
              <w:top w:val="nil"/>
              <w:left w:val="nil"/>
              <w:bottom w:val="nil"/>
              <w:right w:val="nil"/>
            </w:tcBorders>
            <w:shd w:val="clear" w:color="auto" w:fill="auto"/>
            <w:noWrap/>
            <w:vAlign w:val="bottom"/>
          </w:tcPr>
          <w:p w14:paraId="1C0D8EC0">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4.52 (3.42, 5.63)</w:t>
            </w:r>
          </w:p>
        </w:tc>
        <w:tc>
          <w:tcPr>
            <w:tcW w:w="897" w:type="pct"/>
            <w:tcBorders>
              <w:top w:val="nil"/>
              <w:left w:val="nil"/>
              <w:bottom w:val="nil"/>
              <w:right w:val="nil"/>
            </w:tcBorders>
            <w:shd w:val="clear" w:color="auto" w:fill="auto"/>
            <w:noWrap/>
            <w:vAlign w:val="bottom"/>
          </w:tcPr>
          <w:p w14:paraId="5C0ED7CC">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0.001</w:t>
            </w:r>
          </w:p>
        </w:tc>
      </w:tr>
      <w:tr w14:paraId="43345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7" w:type="pct"/>
            <w:tcBorders>
              <w:top w:val="nil"/>
              <w:left w:val="nil"/>
              <w:bottom w:val="nil"/>
              <w:right w:val="nil"/>
            </w:tcBorders>
            <w:shd w:val="clear" w:color="auto" w:fill="auto"/>
            <w:noWrap/>
            <w:vAlign w:val="bottom"/>
          </w:tcPr>
          <w:p w14:paraId="42BD2A80">
            <w:pPr>
              <w:keepNext w:val="0"/>
              <w:keepLines w:val="0"/>
              <w:widowControl/>
              <w:suppressLineNumbers w:val="0"/>
              <w:spacing w:line="240" w:lineRule="auto"/>
              <w:jc w:val="left"/>
              <w:textAlignment w:val="bottom"/>
              <w:rPr>
                <w:rFonts w:hint="default" w:ascii="Times New Roman" w:hAnsi="Times New Roman" w:cs="Times New Roman"/>
                <w:b/>
                <w:bCs/>
                <w:i w:val="0"/>
                <w:iCs w:val="0"/>
                <w:color w:val="auto"/>
                <w:sz w:val="24"/>
                <w:szCs w:val="24"/>
                <w:u w:val="none"/>
              </w:rPr>
            </w:pPr>
            <w:r>
              <w:rPr>
                <w:rFonts w:hint="eastAsia" w:ascii="Times New Roman" w:hAnsi="Times New Roman" w:cs="Times New Roman"/>
                <w:b/>
                <w:bCs/>
                <w:i w:val="0"/>
                <w:iCs w:val="0"/>
                <w:color w:val="auto"/>
                <w:sz w:val="24"/>
                <w:highlight w:val="none"/>
                <w:lang w:val="en-US" w:eastAsia="zh-CN"/>
              </w:rPr>
              <w:t xml:space="preserve">Criterion </w:t>
            </w: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2</w:t>
            </w:r>
          </w:p>
        </w:tc>
        <w:tc>
          <w:tcPr>
            <w:tcW w:w="1220" w:type="pct"/>
            <w:tcBorders>
              <w:top w:val="nil"/>
              <w:left w:val="nil"/>
              <w:bottom w:val="nil"/>
              <w:right w:val="nil"/>
            </w:tcBorders>
            <w:shd w:val="clear" w:color="auto" w:fill="auto"/>
            <w:noWrap/>
            <w:vAlign w:val="bottom"/>
          </w:tcPr>
          <w:p w14:paraId="4004C4E4">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7.2 (6.24, 8.17)</w:t>
            </w:r>
          </w:p>
        </w:tc>
        <w:tc>
          <w:tcPr>
            <w:tcW w:w="897" w:type="pct"/>
            <w:tcBorders>
              <w:top w:val="nil"/>
              <w:left w:val="nil"/>
              <w:bottom w:val="nil"/>
              <w:right w:val="nil"/>
            </w:tcBorders>
            <w:shd w:val="clear" w:color="auto" w:fill="auto"/>
            <w:noWrap/>
            <w:vAlign w:val="bottom"/>
          </w:tcPr>
          <w:p w14:paraId="292487E4">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8.55 (7.08, 10.01)</w:t>
            </w:r>
          </w:p>
        </w:tc>
        <w:tc>
          <w:tcPr>
            <w:tcW w:w="897" w:type="pct"/>
            <w:tcBorders>
              <w:top w:val="nil"/>
              <w:left w:val="nil"/>
              <w:bottom w:val="nil"/>
              <w:right w:val="nil"/>
            </w:tcBorders>
            <w:shd w:val="clear" w:color="auto" w:fill="auto"/>
            <w:noWrap/>
            <w:vAlign w:val="bottom"/>
          </w:tcPr>
          <w:p w14:paraId="2A33A0DC">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5.77 (4.57, 6.96)</w:t>
            </w:r>
          </w:p>
        </w:tc>
        <w:tc>
          <w:tcPr>
            <w:tcW w:w="897" w:type="pct"/>
            <w:tcBorders>
              <w:top w:val="nil"/>
              <w:left w:val="nil"/>
              <w:bottom w:val="nil"/>
              <w:right w:val="nil"/>
            </w:tcBorders>
            <w:shd w:val="clear" w:color="auto" w:fill="auto"/>
            <w:noWrap/>
            <w:vAlign w:val="bottom"/>
          </w:tcPr>
          <w:p w14:paraId="442F0530">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0.004</w:t>
            </w:r>
          </w:p>
        </w:tc>
      </w:tr>
      <w:tr w14:paraId="199CC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87" w:type="pct"/>
            <w:tcBorders>
              <w:top w:val="nil"/>
              <w:left w:val="nil"/>
              <w:bottom w:val="single" w:color="000000" w:sz="8" w:space="0"/>
              <w:right w:val="nil"/>
            </w:tcBorders>
            <w:shd w:val="clear" w:color="auto" w:fill="auto"/>
            <w:noWrap/>
            <w:vAlign w:val="bottom"/>
          </w:tcPr>
          <w:p w14:paraId="6AC2568E">
            <w:pPr>
              <w:keepNext w:val="0"/>
              <w:keepLines w:val="0"/>
              <w:widowControl/>
              <w:suppressLineNumbers w:val="0"/>
              <w:spacing w:line="240" w:lineRule="auto"/>
              <w:jc w:val="both"/>
              <w:textAlignment w:val="bottom"/>
              <w:rPr>
                <w:rFonts w:hint="default" w:ascii="Times New Roman" w:hAnsi="Times New Roman" w:cs="Times New Roman"/>
                <w:b/>
                <w:bCs/>
                <w:i w:val="0"/>
                <w:iCs w:val="0"/>
                <w:color w:val="auto"/>
                <w:sz w:val="24"/>
                <w:szCs w:val="24"/>
                <w:u w:val="none"/>
              </w:rPr>
            </w:pPr>
            <w:r>
              <w:rPr>
                <w:rFonts w:hint="eastAsia" w:ascii="Times New Roman" w:hAnsi="Times New Roman" w:cs="Times New Roman"/>
                <w:b/>
                <w:bCs/>
                <w:i w:val="0"/>
                <w:iCs w:val="0"/>
                <w:color w:val="auto"/>
                <w:sz w:val="24"/>
                <w:highlight w:val="none"/>
                <w:lang w:val="en-US" w:eastAsia="zh-CN"/>
              </w:rPr>
              <w:t xml:space="preserve">Criterion </w:t>
            </w: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3</w:t>
            </w:r>
          </w:p>
        </w:tc>
        <w:tc>
          <w:tcPr>
            <w:tcW w:w="1220" w:type="pct"/>
            <w:tcBorders>
              <w:top w:val="nil"/>
              <w:left w:val="nil"/>
              <w:bottom w:val="single" w:color="000000" w:sz="8" w:space="0"/>
              <w:right w:val="nil"/>
            </w:tcBorders>
            <w:shd w:val="clear" w:color="auto" w:fill="auto"/>
            <w:noWrap/>
            <w:vAlign w:val="bottom"/>
          </w:tcPr>
          <w:p w14:paraId="79171EBA">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9.26 (8.13, 10.39)</w:t>
            </w:r>
          </w:p>
        </w:tc>
        <w:tc>
          <w:tcPr>
            <w:tcW w:w="897" w:type="pct"/>
            <w:tcBorders>
              <w:top w:val="nil"/>
              <w:left w:val="nil"/>
              <w:bottom w:val="single" w:color="000000" w:sz="8" w:space="0"/>
              <w:right w:val="nil"/>
            </w:tcBorders>
            <w:shd w:val="clear" w:color="auto" w:fill="auto"/>
            <w:noWrap/>
            <w:vAlign w:val="bottom"/>
          </w:tcPr>
          <w:p w14:paraId="1D098AD2">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11.62 (9.96, 13.29)</w:t>
            </w:r>
          </w:p>
        </w:tc>
        <w:tc>
          <w:tcPr>
            <w:tcW w:w="897" w:type="pct"/>
            <w:tcBorders>
              <w:top w:val="nil"/>
              <w:left w:val="nil"/>
              <w:bottom w:val="single" w:color="000000" w:sz="8" w:space="0"/>
              <w:right w:val="nil"/>
            </w:tcBorders>
            <w:shd w:val="clear" w:color="auto" w:fill="auto"/>
            <w:noWrap/>
            <w:vAlign w:val="bottom"/>
          </w:tcPr>
          <w:p w14:paraId="64760306">
            <w:pPr>
              <w:keepNext w:val="0"/>
              <w:keepLines w:val="0"/>
              <w:widowControl/>
              <w:suppressLineNumbers w:val="0"/>
              <w:spacing w:line="240" w:lineRule="auto"/>
              <w:jc w:val="center"/>
              <w:textAlignment w:val="bottom"/>
              <w:rPr>
                <w:rFonts w:hint="default" w:ascii="Times New Roman" w:hAnsi="Times New Roman"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6.74 (5.4, 8.09)</w:t>
            </w:r>
          </w:p>
        </w:tc>
        <w:tc>
          <w:tcPr>
            <w:tcW w:w="897" w:type="pct"/>
            <w:tcBorders>
              <w:top w:val="nil"/>
              <w:left w:val="nil"/>
              <w:bottom w:val="single" w:color="000000" w:sz="8" w:space="0"/>
              <w:right w:val="nil"/>
            </w:tcBorders>
            <w:shd w:val="clear" w:color="auto" w:fill="auto"/>
            <w:noWrap/>
            <w:vAlign w:val="bottom"/>
          </w:tcPr>
          <w:p w14:paraId="2AB90F0C">
            <w:pPr>
              <w:keepNext w:val="0"/>
              <w:keepLines w:val="0"/>
              <w:widowControl/>
              <w:suppressLineNumbers w:val="0"/>
              <w:spacing w:line="240" w:lineRule="auto"/>
              <w:jc w:val="center"/>
              <w:textAlignment w:val="bottom"/>
              <w:rPr>
                <w:rFonts w:hint="default" w:ascii="Times New Roman" w:hAnsi="Times New Roman"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&lt;0.001</w:t>
            </w:r>
          </w:p>
        </w:tc>
      </w:tr>
    </w:tbl>
    <w:p w14:paraId="7DF88090">
      <w:pPr>
        <w:spacing w:line="240" w:lineRule="auto"/>
        <w:jc w:val="left"/>
        <w:rPr>
          <w:rFonts w:hint="default" w:ascii="Times New Roman" w:hAnsi="Times New Roman" w:cs="Times New Roman"/>
          <w:b w:val="0"/>
          <w:bCs w:val="0"/>
          <w:color w:val="auto"/>
          <w:sz w:val="21"/>
          <w:szCs w:val="24"/>
          <w:lang w:val="en-US" w:eastAsia="zh-CN"/>
        </w:rPr>
      </w:pPr>
      <w:r>
        <w:rPr>
          <w:rFonts w:hint="default" w:ascii="Times New Roman" w:hAnsi="Times New Roman" w:cs="Times New Roman"/>
          <w:b w:val="0"/>
          <w:bCs w:val="0"/>
          <w:color w:val="auto"/>
          <w:sz w:val="21"/>
          <w:szCs w:val="24"/>
        </w:rPr>
        <w:t xml:space="preserve">Data are </w:t>
      </w:r>
      <w:r>
        <w:rPr>
          <w:rFonts w:hint="default" w:ascii="Times New Roman" w:hAnsi="Times New Roman" w:eastAsia="等线" w:cs="Times New Roman"/>
          <w:color w:val="auto"/>
          <w:lang w:val="en-US"/>
        </w:rPr>
        <w:t xml:space="preserve">presented as </w:t>
      </w:r>
      <w:r>
        <w:rPr>
          <w:rFonts w:hint="default" w:ascii="Times New Roman" w:hAnsi="Times New Roman" w:cs="Times New Roman"/>
          <w:b w:val="0"/>
          <w:bCs w:val="0"/>
          <w:color w:val="auto"/>
          <w:sz w:val="21"/>
          <w:szCs w:val="24"/>
        </w:rPr>
        <w:t>percentage (</w:t>
      </w:r>
      <w:r>
        <w:rPr>
          <w:rFonts w:hint="default" w:ascii="Times New Roman" w:hAnsi="Times New Roman" w:cs="Times New Roman"/>
          <w:b w:val="0"/>
          <w:bCs w:val="0"/>
          <w:color w:val="auto"/>
          <w:sz w:val="21"/>
          <w:szCs w:val="24"/>
          <w:lang w:val="en-US" w:eastAsia="zh-CN"/>
        </w:rPr>
        <w:t>95%CI), adjusted for NHANES fasting sample weight.</w:t>
      </w:r>
    </w:p>
    <w:p w14:paraId="45222BD6">
      <w:pPr>
        <w:spacing w:line="240" w:lineRule="auto"/>
        <w:jc w:val="left"/>
        <w:rPr>
          <w:rFonts w:hint="default" w:ascii="Times New Roman" w:hAnsi="Times New Roman" w:cs="Times New Roman"/>
          <w:b w:val="0"/>
          <w:bCs w:val="0"/>
          <w:color w:val="auto"/>
          <w:sz w:val="21"/>
          <w:szCs w:val="24"/>
          <w:lang w:val="en-US" w:eastAsia="zh-CN"/>
        </w:rPr>
      </w:pPr>
      <w:r>
        <w:rPr>
          <w:rFonts w:hint="default" w:ascii="Times New Roman" w:hAnsi="Times New Roman" w:cs="Times New Roman"/>
          <w:b w:val="0"/>
          <w:bCs w:val="0"/>
          <w:color w:val="auto"/>
          <w:sz w:val="21"/>
          <w:szCs w:val="24"/>
          <w:lang w:val="en-US" w:eastAsia="zh-CN"/>
        </w:rPr>
        <w:t>AO=abdominal obesity; NHANES=National Health and Nutrition Examination Survey; CI=confidence interval.</w:t>
      </w:r>
    </w:p>
    <w:p w14:paraId="6EFB19BD">
      <w:pPr>
        <w:pStyle w:val="2"/>
        <w:keepNext/>
        <w:keepLines/>
        <w:pageBreakBefore/>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bCs/>
          <w:color w:val="auto"/>
          <w:sz w:val="24"/>
          <w:szCs w:val="24"/>
          <w:lang w:val="en-US" w:eastAsia="zh-CN"/>
        </w:rPr>
      </w:pPr>
      <w:bookmarkStart w:id="12" w:name="_Toc24157"/>
      <w:bookmarkStart w:id="13" w:name="_Toc11006"/>
      <w:r>
        <w:rPr>
          <w:rFonts w:hint="default" w:ascii="Times New Roman" w:hAnsi="Times New Roman" w:cs="Times New Roman"/>
          <w:b/>
          <w:bCs/>
          <w:color w:val="auto"/>
          <w:sz w:val="24"/>
          <w:szCs w:val="24"/>
          <w:lang w:val="en-US" w:eastAsia="zh-CN"/>
        </w:rPr>
        <w:t>Table S6. Criteria and Prevalence of Metabolic Syndrome among Adolescents in Previous Studies</w:t>
      </w:r>
      <w:bookmarkEnd w:id="12"/>
      <w:bookmarkEnd w:id="13"/>
    </w:p>
    <w:tbl>
      <w:tblPr>
        <w:tblStyle w:val="16"/>
        <w:tblpPr w:leftFromText="180" w:rightFromText="180" w:vertAnchor="text" w:horzAnchor="page" w:tblpX="1435" w:tblpY="295"/>
        <w:tblOverlap w:val="never"/>
        <w:tblW w:w="507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74"/>
        <w:gridCol w:w="1417"/>
        <w:gridCol w:w="1474"/>
        <w:gridCol w:w="1417"/>
        <w:gridCol w:w="1417"/>
        <w:gridCol w:w="1417"/>
        <w:gridCol w:w="1417"/>
        <w:gridCol w:w="1417"/>
        <w:gridCol w:w="1474"/>
        <w:gridCol w:w="1474"/>
      </w:tblGrid>
      <w:tr w14:paraId="51232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2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EAAAA" w:themeFill="background2" w:themeFillShade="BF"/>
            <w:vAlign w:val="center"/>
          </w:tcPr>
          <w:p w14:paraId="620146E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b/>
                <w:bCs/>
                <w:i w:val="0"/>
                <w:iCs w:val="0"/>
                <w:color w:val="auto"/>
                <w:sz w:val="24"/>
                <w:szCs w:val="24"/>
                <w:u w:val="none"/>
              </w:rPr>
            </w:pPr>
            <w:r>
              <w:rPr>
                <w:rFonts w:hint="default" w:ascii="Times New Roman" w:hAnsi="Times New Roman" w:eastAsia="Segoe UI" w:cs="Times New Roman"/>
                <w:b/>
                <w:bCs/>
                <w:i w:val="0"/>
                <w:iCs w:val="0"/>
                <w:color w:val="auto"/>
                <w:kern w:val="0"/>
                <w:sz w:val="24"/>
                <w:szCs w:val="24"/>
                <w:u w:val="none"/>
                <w:lang w:val="en-US" w:eastAsia="zh-CN" w:bidi="ar"/>
              </w:rPr>
              <w:t>Variables</w:t>
            </w:r>
          </w:p>
        </w:tc>
        <w:tc>
          <w:tcPr>
            <w:tcW w:w="492" w:type="pct"/>
            <w:tcBorders>
              <w:top w:val="single" w:color="000000" w:sz="4" w:space="0"/>
              <w:left w:val="single" w:color="000000" w:sz="4" w:space="0"/>
              <w:bottom w:val="single" w:color="000000" w:sz="4" w:space="0"/>
              <w:right w:val="single" w:color="000000" w:sz="4" w:space="0"/>
            </w:tcBorders>
            <w:shd w:val="clear" w:color="auto" w:fill="AEAAAA" w:themeFill="background2" w:themeFillShade="BF"/>
            <w:vAlign w:val="center"/>
          </w:tcPr>
          <w:p w14:paraId="4129EA8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b/>
                <w:bCs/>
                <w:i w:val="0"/>
                <w:iCs w:val="0"/>
                <w:color w:val="auto"/>
                <w:sz w:val="24"/>
                <w:szCs w:val="24"/>
                <w:u w:val="none"/>
              </w:rPr>
            </w:pPr>
            <w:r>
              <w:rPr>
                <w:rFonts w:hint="default" w:ascii="Times New Roman" w:hAnsi="Times New Roman" w:eastAsia="Segoe UI" w:cs="Times New Roman"/>
                <w:b/>
                <w:bCs/>
                <w:i w:val="0"/>
                <w:iCs w:val="0"/>
                <w:color w:val="auto"/>
                <w:kern w:val="0"/>
                <w:sz w:val="24"/>
                <w:szCs w:val="24"/>
                <w:u w:val="none"/>
                <w:lang w:val="en-US" w:eastAsia="zh-CN" w:bidi="ar"/>
              </w:rPr>
              <w:t>Cook et al. 2003</w:t>
            </w:r>
            <w:r>
              <w:rPr>
                <w:rFonts w:hint="default" w:ascii="Times New Roman" w:hAnsi="Times New Roman" w:eastAsia="Segoe UI" w:cs="Times New Roman"/>
                <w:b/>
                <w:bCs/>
                <w:i w:val="0"/>
                <w:iCs w:val="0"/>
                <w:color w:val="auto"/>
                <w:kern w:val="0"/>
                <w:sz w:val="24"/>
                <w:szCs w:val="24"/>
                <w:u w:val="none"/>
                <w:lang w:val="en-US" w:eastAsia="zh-CN" w:bidi="ar"/>
              </w:rPr>
              <w:fldChar w:fldCharType="begin"/>
            </w:r>
            <w:r>
              <w:rPr>
                <w:rFonts w:hint="default" w:ascii="Times New Roman" w:hAnsi="Times New Roman" w:eastAsia="Segoe UI" w:cs="Times New Roman"/>
                <w:b/>
                <w:bCs/>
                <w:i w:val="0"/>
                <w:iCs w:val="0"/>
                <w:color w:val="auto"/>
                <w:kern w:val="0"/>
                <w:sz w:val="24"/>
                <w:szCs w:val="24"/>
                <w:u w:val="none"/>
                <w:lang w:val="en-US" w:eastAsia="zh-CN" w:bidi="ar"/>
              </w:rPr>
              <w:instrText xml:space="preserve"> ADDIN EN.CITE &lt;EndNote&gt;&lt;Cite&gt;&lt;Author&gt;Cook&lt;/Author&gt;&lt;Year&gt;2003&lt;/Year&gt;&lt;RecNum&gt;97&lt;/RecNum&gt;&lt;DisplayText&gt;&lt;style face="superscript"&gt;8&lt;/style&gt;&lt;/DisplayText&gt;&lt;record&gt;&lt;rec-number&gt;97&lt;/rec-number&gt;&lt;foreign-keys&gt;&lt;key app="EN" db-id="we90wv2z22r5ebexw9qxs223dp025a0ezzzp" timestamp="1747708107"&gt;97&lt;/key&gt;&lt;/foreign-keys&gt;&lt;ref-type name="Journal Article"&gt;17&lt;/ref-type&gt;&lt;contributors&gt;&lt;authors&gt;&lt;author&gt;Cook, Stephen&lt;/author&gt;&lt;author&gt;Weitzman, Michael&lt;/author&gt;&lt;author&gt;Auinger, Peggy&lt;/author&gt;&lt;author&gt;Nguyen, Michael&lt;/author&gt;&lt;author&gt;Dietz, William H.&lt;/author&gt;&lt;/authors&gt;&lt;/contributors&gt;&lt;auth-address&gt;Strong Children&amp;apos;s Research Center, Department of Pediatrics, University of Rochester School of Medicine and Dentistry, NY 14642, USA. stephen_cook@urmc.rochester.edu&lt;/auth-address&gt;&lt;titles&gt;&lt;title&gt;Prevalence of a metabolic syndrome phenotype in adolescents: findings from the third National Health and Nutrition Examination Survey, 1988-1994&lt;/title&gt;&lt;secondary-title&gt;Archives of Pediatrics &amp;amp; Adolescent Medicine&lt;/secondary-title&gt;&lt;alt-title&gt;Arch Pediatr Adolesc Med&lt;/alt-title&gt;&lt;/titles&gt;&lt;periodical&gt;&lt;full-title&gt;Archives of Pediatrics &amp;amp; Adolescent Medicine&lt;/full-title&gt;&lt;abbr-1&gt;Arch Pediatr Adolesc Med&lt;/abbr-1&gt;&lt;/periodical&gt;&lt;alt-periodical&gt;&lt;full-title&gt;Archives of Pediatrics &amp;amp; Adolescent Medicine&lt;/full-title&gt;&lt;abbr-1&gt;Arch Pediatr Adolesc Med&lt;/abbr-1&gt;&lt;/alt-periodical&gt;&lt;pages&gt;821-827&lt;/pages&gt;&lt;volume&gt;157&lt;/volume&gt;&lt;number&gt;8&lt;/number&gt;&lt;section&gt;INDEX: NA | QUARTILE: NA | CAS: NA&lt;/section&gt;&lt;dates&gt;&lt;year&gt;2003&lt;/year&gt;&lt;/dates&gt;&lt;isbn&gt;1072-4710&lt;/isbn&gt;&lt;accession-num&gt;12912790&lt;/accession-num&gt;&lt;urls&gt;&lt;related-urls&gt;&lt;url&gt;https://pubmed.ncbi.nlm.nih.gov/12912790&lt;/url&gt;&lt;/related-urls&gt;&lt;/urls&gt;&lt;remote-database-name&gt;PubMed&lt;/remote-database-name&gt;&lt;language&gt;eng&lt;/language&gt;&lt;/record&gt;&lt;/Cite&gt;&lt;/EndNote&gt;</w:instrText>
            </w:r>
            <w:r>
              <w:rPr>
                <w:rFonts w:hint="default" w:ascii="Times New Roman" w:hAnsi="Times New Roman" w:eastAsia="Segoe UI" w:cs="Times New Roman"/>
                <w:b/>
                <w:bCs/>
                <w:i w:val="0"/>
                <w:iCs w:val="0"/>
                <w:color w:val="auto"/>
                <w:kern w:val="0"/>
                <w:sz w:val="24"/>
                <w:szCs w:val="24"/>
                <w:u w:val="none"/>
                <w:lang w:val="en-US" w:eastAsia="zh-CN" w:bidi="ar"/>
              </w:rPr>
              <w:fldChar w:fldCharType="separate"/>
            </w:r>
            <w:r>
              <w:rPr>
                <w:rFonts w:hint="default" w:ascii="Times New Roman" w:hAnsi="Times New Roman" w:eastAsia="Segoe UI" w:cs="Times New Roman"/>
                <w:b/>
                <w:bCs/>
                <w:i w:val="0"/>
                <w:iCs w:val="0"/>
                <w:color w:val="auto"/>
                <w:kern w:val="0"/>
                <w:sz w:val="24"/>
                <w:szCs w:val="24"/>
                <w:u w:val="none"/>
                <w:vertAlign w:val="superscript"/>
                <w:lang w:val="en-US" w:eastAsia="zh-CN" w:bidi="ar"/>
                <w14:ligatures w14:val="standardContextual"/>
              </w:rPr>
              <w:t>8</w:t>
            </w:r>
            <w:r>
              <w:rPr>
                <w:rFonts w:hint="default" w:ascii="Times New Roman" w:hAnsi="Times New Roman" w:eastAsia="Segoe UI" w:cs="Times New Roman"/>
                <w:b/>
                <w:bCs/>
                <w:i w:val="0"/>
                <w:iCs w:val="0"/>
                <w:color w:val="auto"/>
                <w:kern w:val="0"/>
                <w:sz w:val="24"/>
                <w:szCs w:val="24"/>
                <w:u w:val="none"/>
                <w:lang w:val="en-US" w:eastAsia="zh-CN" w:bidi="ar"/>
              </w:rPr>
              <w:fldChar w:fldCharType="end"/>
            </w:r>
          </w:p>
        </w:tc>
        <w:tc>
          <w:tcPr>
            <w:tcW w:w="511" w:type="pct"/>
            <w:tcBorders>
              <w:top w:val="single" w:color="000000" w:sz="4" w:space="0"/>
              <w:left w:val="single" w:color="000000" w:sz="4" w:space="0"/>
              <w:bottom w:val="single" w:color="000000" w:sz="4" w:space="0"/>
              <w:right w:val="single" w:color="000000" w:sz="4" w:space="0"/>
            </w:tcBorders>
            <w:shd w:val="clear" w:color="auto" w:fill="AEAAAA" w:themeFill="background2" w:themeFillShade="BF"/>
            <w:vAlign w:val="center"/>
          </w:tcPr>
          <w:p w14:paraId="7C6158A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b/>
                <w:bCs/>
                <w:i w:val="0"/>
                <w:iCs w:val="0"/>
                <w:color w:val="auto"/>
                <w:kern w:val="2"/>
                <w:sz w:val="24"/>
                <w:szCs w:val="24"/>
                <w:u w:val="none"/>
                <w:lang w:val="en-US" w:eastAsia="zh-CN" w:bidi="ar-SA"/>
              </w:rPr>
            </w:pPr>
            <w:r>
              <w:rPr>
                <w:rFonts w:hint="default" w:ascii="Times New Roman" w:hAnsi="Times New Roman" w:eastAsia="Segoe UI" w:cs="Times New Roman"/>
                <w:b/>
                <w:bCs/>
                <w:i w:val="0"/>
                <w:iCs w:val="0"/>
                <w:color w:val="auto"/>
                <w:kern w:val="0"/>
                <w:sz w:val="24"/>
                <w:szCs w:val="24"/>
                <w:u w:val="none"/>
                <w:lang w:val="en-US" w:eastAsia="zh-CN" w:bidi="ar"/>
              </w:rPr>
              <w:t>de Ferranti et al. 2004</w:t>
            </w:r>
            <w:r>
              <w:rPr>
                <w:rFonts w:hint="default" w:ascii="Times New Roman" w:hAnsi="Times New Roman" w:eastAsia="Segoe UI" w:cs="Times New Roman"/>
                <w:b/>
                <w:bCs/>
                <w:i w:val="0"/>
                <w:iCs w:val="0"/>
                <w:color w:val="auto"/>
                <w:kern w:val="0"/>
                <w:sz w:val="24"/>
                <w:szCs w:val="24"/>
                <w:u w:val="none"/>
                <w:lang w:val="en-US" w:eastAsia="zh-CN" w:bidi="ar"/>
              </w:rPr>
              <w:fldChar w:fldCharType="begin"/>
            </w:r>
            <w:r>
              <w:rPr>
                <w:rFonts w:hint="default" w:ascii="Times New Roman" w:hAnsi="Times New Roman" w:eastAsia="Segoe UI" w:cs="Times New Roman"/>
                <w:b/>
                <w:bCs/>
                <w:i w:val="0"/>
                <w:iCs w:val="0"/>
                <w:color w:val="auto"/>
                <w:kern w:val="0"/>
                <w:sz w:val="24"/>
                <w:szCs w:val="24"/>
                <w:u w:val="none"/>
                <w:lang w:val="en-US" w:eastAsia="zh-CN" w:bidi="ar"/>
              </w:rPr>
              <w:instrText xml:space="preserve"> ADDIN EN.CITE &lt;EndNote&gt;&lt;Cite&gt;&lt;Author&gt;de Ferranti&lt;/Author&gt;&lt;Year&gt;2004&lt;/Year&gt;&lt;RecNum&gt;125&lt;/RecNum&gt;&lt;DisplayText&gt;&lt;style face="superscript"&gt;13&lt;/style&gt;&lt;/DisplayText&gt;&lt;record&gt;&lt;rec-number&gt;125&lt;/rec-number&gt;&lt;foreign-keys&gt;&lt;key app="EN" db-id="we90wv2z22r5ebexw9qxs223dp025a0ezzzp" timestamp="1748920910"&gt;125&lt;/key&gt;&lt;/foreign-keys&gt;&lt;ref-type name="Journal Article"&gt;17&lt;/ref-type&gt;&lt;contributors&gt;&lt;authors&gt;&lt;author&gt;de Ferranti, Sarah D.&lt;/author&gt;&lt;author&gt;Gauvreau, Kimberlee&lt;/author&gt;&lt;author&gt;Ludwig, David S.&lt;/author&gt;&lt;author&gt;Neufeld, Ellis J.&lt;/author&gt;&lt;author&gt;Newburger, Jane W.&lt;/author&gt;&lt;author&gt;Rifai, Nader&lt;/author&gt;&lt;/authors&gt;&lt;/contributors&gt;&lt;auth-address&gt;Department of Cardiology, Children&amp;apos;s Hospital, Boston, Mass 02115, USA.&lt;/auth-address&gt;&lt;titles&gt;&lt;title&gt;Prevalence of the metabolic syndrome in American adolescents: findings from the Third National Health and Nutrition Examination Survey&lt;/title&gt;&lt;secondary-title&gt;Circulation&lt;/secondary-title&gt;&lt;alt-title&gt;Circulation&lt;/alt-title&gt;&lt;/titles&gt;&lt;periodical&gt;&lt;full-title&gt;Circulation&lt;/full-title&gt;&lt;/periodical&gt;&lt;alt-periodical&gt;&lt;full-title&gt;Circulation&lt;/full-title&gt;&lt;/alt-periodical&gt;&lt;pages&gt;2494-2497&lt;/pages&gt;&lt;volume&gt;110&lt;/volume&gt;&lt;number&gt;16&lt;/number&gt;&lt;section&gt;&lt;style face="normal" font="default" size="100%"&gt;INDEX: 35.6 | QUARTILE: Q1 | CAS: 1&lt;/style&gt;&lt;style face="normal" font="default" charset="134" size="100%"&gt;区&lt;/style&gt;&lt;/section&gt;&lt;dates&gt;&lt;year&gt;2004&lt;/year&gt;&lt;/dates&gt;&lt;isbn&gt;1524-4539&lt;/isbn&gt;&lt;accession-num&gt;15477412&lt;/accession-num&gt;&lt;label&gt;35.6&lt;/label&gt;&lt;urls&gt;&lt;related-urls&gt;&lt;url&gt;https://pubmed.ncbi.nlm.nih.gov/15477412&lt;/url&gt;&lt;/related-urls&gt;&lt;/urls&gt;&lt;custom1&gt;35.6&lt;/custom1&gt;&lt;custom2&gt;Q1&lt;/custom2&gt;&lt;custom3&gt;&lt;style face="normal" font="default" size="100%"&gt;1&lt;/style&gt;&lt;style face="normal" font="default" charset="134" size="100%"&gt;区&lt;/style&gt;&lt;/custom3&gt;&lt;remote-database-name&gt;PubMed&lt;/remote-database-name&gt;&lt;language&gt;eng&lt;/language&gt;&lt;/record&gt;&lt;/Cite&gt;&lt;/EndNote&gt;</w:instrText>
            </w:r>
            <w:r>
              <w:rPr>
                <w:rFonts w:hint="default" w:ascii="Times New Roman" w:hAnsi="Times New Roman" w:eastAsia="Segoe UI" w:cs="Times New Roman"/>
                <w:b/>
                <w:bCs/>
                <w:i w:val="0"/>
                <w:iCs w:val="0"/>
                <w:color w:val="auto"/>
                <w:kern w:val="0"/>
                <w:sz w:val="24"/>
                <w:szCs w:val="24"/>
                <w:u w:val="none"/>
                <w:lang w:val="en-US" w:eastAsia="zh-CN" w:bidi="ar"/>
              </w:rPr>
              <w:fldChar w:fldCharType="separate"/>
            </w:r>
            <w:r>
              <w:rPr>
                <w:rFonts w:hint="default" w:ascii="Times New Roman" w:hAnsi="Times New Roman" w:eastAsia="Segoe UI" w:cs="Times New Roman"/>
                <w:b/>
                <w:bCs/>
                <w:i w:val="0"/>
                <w:iCs w:val="0"/>
                <w:color w:val="auto"/>
                <w:kern w:val="0"/>
                <w:sz w:val="24"/>
                <w:szCs w:val="24"/>
                <w:u w:val="none"/>
                <w:vertAlign w:val="superscript"/>
                <w:lang w:val="en-US" w:eastAsia="zh-CN" w:bidi="ar"/>
                <w14:ligatures w14:val="standardContextual"/>
              </w:rPr>
              <w:t>13</w:t>
            </w:r>
            <w:r>
              <w:rPr>
                <w:rFonts w:hint="default" w:ascii="Times New Roman" w:hAnsi="Times New Roman" w:eastAsia="Segoe UI" w:cs="Times New Roman"/>
                <w:b/>
                <w:bCs/>
                <w:i w:val="0"/>
                <w:iCs w:val="0"/>
                <w:color w:val="auto"/>
                <w:kern w:val="0"/>
                <w:sz w:val="24"/>
                <w:szCs w:val="24"/>
                <w:u w:val="none"/>
                <w:lang w:val="en-US" w:eastAsia="zh-CN" w:bidi="ar"/>
              </w:rPr>
              <w:fldChar w:fldCharType="end"/>
            </w:r>
          </w:p>
        </w:tc>
        <w:tc>
          <w:tcPr>
            <w:tcW w:w="492" w:type="pct"/>
            <w:tcBorders>
              <w:top w:val="single" w:color="000000" w:sz="4" w:space="0"/>
              <w:left w:val="single" w:color="000000" w:sz="4" w:space="0"/>
              <w:bottom w:val="single" w:color="000000" w:sz="4" w:space="0"/>
              <w:right w:val="single" w:color="000000" w:sz="4" w:space="0"/>
            </w:tcBorders>
            <w:shd w:val="clear" w:color="auto" w:fill="AEAAAA" w:themeFill="background2" w:themeFillShade="BF"/>
            <w:vAlign w:val="center"/>
          </w:tcPr>
          <w:p w14:paraId="54ADBEA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b/>
                <w:bCs/>
                <w:i w:val="0"/>
                <w:iCs w:val="0"/>
                <w:color w:val="auto"/>
                <w:sz w:val="24"/>
                <w:szCs w:val="24"/>
                <w:u w:val="none"/>
              </w:rPr>
            </w:pPr>
            <w:r>
              <w:rPr>
                <w:rFonts w:hint="default" w:ascii="Times New Roman" w:hAnsi="Times New Roman" w:eastAsia="Segoe UI" w:cs="Times New Roman"/>
                <w:b/>
                <w:bCs/>
                <w:i w:val="0"/>
                <w:iCs w:val="0"/>
                <w:color w:val="auto"/>
                <w:kern w:val="0"/>
                <w:sz w:val="24"/>
                <w:szCs w:val="24"/>
                <w:u w:val="none"/>
                <w:lang w:val="en-US" w:eastAsia="zh-CN" w:bidi="ar"/>
              </w:rPr>
              <w:t>Weiss et al. 2004</w:t>
            </w:r>
            <w:r>
              <w:rPr>
                <w:rFonts w:hint="default" w:ascii="Times New Roman" w:hAnsi="Times New Roman" w:eastAsia="Segoe UI" w:cs="Times New Roman"/>
                <w:b/>
                <w:bCs/>
                <w:i w:val="0"/>
                <w:iCs w:val="0"/>
                <w:color w:val="auto"/>
                <w:kern w:val="0"/>
                <w:sz w:val="24"/>
                <w:szCs w:val="24"/>
                <w:u w:val="none"/>
                <w:lang w:val="en-US" w:eastAsia="zh-CN" w:bidi="ar"/>
              </w:rPr>
              <w:fldChar w:fldCharType="begin"/>
            </w:r>
            <w:r>
              <w:rPr>
                <w:rFonts w:hint="default" w:ascii="Times New Roman" w:hAnsi="Times New Roman" w:eastAsia="Segoe UI" w:cs="Times New Roman"/>
                <w:b/>
                <w:bCs/>
                <w:i w:val="0"/>
                <w:iCs w:val="0"/>
                <w:color w:val="auto"/>
                <w:kern w:val="0"/>
                <w:sz w:val="24"/>
                <w:szCs w:val="24"/>
                <w:u w:val="none"/>
                <w:lang w:val="en-US" w:eastAsia="zh-CN" w:bidi="ar"/>
              </w:rPr>
              <w:instrText xml:space="preserve"> ADDIN EN.CITE </w:instrText>
            </w:r>
            <w:r>
              <w:rPr>
                <w:rFonts w:hint="default" w:ascii="Times New Roman" w:hAnsi="Times New Roman" w:eastAsia="Segoe UI" w:cs="Times New Roman"/>
                <w:b/>
                <w:bCs/>
                <w:i w:val="0"/>
                <w:iCs w:val="0"/>
                <w:color w:val="auto"/>
                <w:kern w:val="0"/>
                <w:sz w:val="24"/>
                <w:szCs w:val="24"/>
                <w:u w:val="none"/>
                <w:lang w:val="en-US" w:eastAsia="zh-CN" w:bidi="ar"/>
              </w:rPr>
              <w:fldChar w:fldCharType="begin">
                <w:fldData xml:space="preserve">PEVuZE5vdGU+PENpdGU+PEF1dGhvcj5XZWlzczwvQXV0aG9yPjxZZWFyPjIwMDQ8L1llYXI+PFJl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</w:fldData>
              </w:fldChar>
            </w:r>
            <w:r>
              <w:rPr>
                <w:rFonts w:hint="default" w:ascii="Times New Roman" w:hAnsi="Times New Roman" w:eastAsia="Segoe UI" w:cs="Times New Roman"/>
                <w:b/>
                <w:bCs/>
                <w:i w:val="0"/>
                <w:iCs w:val="0"/>
                <w:color w:val="auto"/>
                <w:kern w:val="0"/>
                <w:sz w:val="24"/>
                <w:szCs w:val="24"/>
                <w:u w:val="none"/>
                <w:lang w:val="en-US" w:eastAsia="zh-CN" w:bidi="ar"/>
              </w:rPr>
              <w:instrText xml:space="preserve"> ADDIN EN.CITE.DATA </w:instrText>
            </w:r>
            <w:r>
              <w:rPr>
                <w:rFonts w:hint="default" w:ascii="Times New Roman" w:hAnsi="Times New Roman" w:eastAsia="Segoe UI" w:cs="Times New Roman"/>
                <w:b/>
                <w:bCs/>
                <w:i w:val="0"/>
                <w:iCs w:val="0"/>
                <w:color w:val="auto"/>
                <w:kern w:val="0"/>
                <w:sz w:val="24"/>
                <w:szCs w:val="24"/>
                <w:u w:val="none"/>
                <w:lang w:val="en-US" w:eastAsia="zh-CN" w:bidi="ar"/>
              </w:rPr>
              <w:fldChar w:fldCharType="separate"/>
            </w:r>
            <w:r>
              <w:rPr>
                <w:rFonts w:hint="default" w:ascii="Times New Roman" w:hAnsi="Times New Roman" w:eastAsia="Segoe UI" w:cs="Times New Roman"/>
                <w:b/>
                <w:bCs/>
                <w:i w:val="0"/>
                <w:iCs w:val="0"/>
                <w:color w:val="auto"/>
                <w:kern w:val="0"/>
                <w:sz w:val="24"/>
                <w:szCs w:val="24"/>
                <w:u w:val="none"/>
                <w:lang w:val="en-US" w:eastAsia="zh-CN" w:bidi="ar"/>
              </w:rPr>
              <w:fldChar w:fldCharType="end"/>
            </w:r>
            <w:r>
              <w:rPr>
                <w:rFonts w:hint="default" w:ascii="Times New Roman" w:hAnsi="Times New Roman" w:eastAsia="Segoe UI" w:cs="Times New Roman"/>
                <w:b/>
                <w:bCs/>
                <w:i w:val="0"/>
                <w:iCs w:val="0"/>
                <w:color w:val="auto"/>
                <w:kern w:val="0"/>
                <w:sz w:val="24"/>
                <w:szCs w:val="24"/>
                <w:u w:val="none"/>
                <w:lang w:val="en-US" w:eastAsia="zh-CN" w:bidi="ar"/>
              </w:rPr>
              <w:fldChar w:fldCharType="separate"/>
            </w:r>
            <w:r>
              <w:rPr>
                <w:rFonts w:hint="default" w:ascii="Times New Roman" w:hAnsi="Times New Roman" w:eastAsia="Segoe UI" w:cs="Times New Roman"/>
                <w:b/>
                <w:bCs/>
                <w:i w:val="0"/>
                <w:iCs w:val="0"/>
                <w:color w:val="auto"/>
                <w:kern w:val="0"/>
                <w:sz w:val="24"/>
                <w:szCs w:val="24"/>
                <w:u w:val="none"/>
                <w:vertAlign w:val="superscript"/>
                <w:lang w:val="en-US" w:eastAsia="zh-CN" w:bidi="ar"/>
                <w14:ligatures w14:val="standardContextual"/>
              </w:rPr>
              <w:t>14</w:t>
            </w:r>
            <w:r>
              <w:rPr>
                <w:rFonts w:hint="default" w:ascii="Times New Roman" w:hAnsi="Times New Roman" w:eastAsia="Segoe UI" w:cs="Times New Roman"/>
                <w:b/>
                <w:bCs/>
                <w:i w:val="0"/>
                <w:iCs w:val="0"/>
                <w:color w:val="auto"/>
                <w:kern w:val="0"/>
                <w:sz w:val="24"/>
                <w:szCs w:val="24"/>
                <w:u w:val="none"/>
                <w:lang w:val="en-US" w:eastAsia="zh-CN" w:bidi="ar"/>
              </w:rPr>
              <w:fldChar w:fldCharType="end"/>
            </w:r>
          </w:p>
        </w:tc>
        <w:tc>
          <w:tcPr>
            <w:tcW w:w="492" w:type="pct"/>
            <w:tcBorders>
              <w:top w:val="single" w:color="000000" w:sz="4" w:space="0"/>
              <w:left w:val="single" w:color="000000" w:sz="4" w:space="0"/>
              <w:bottom w:val="single" w:color="000000" w:sz="4" w:space="0"/>
              <w:right w:val="single" w:color="000000" w:sz="4" w:space="0"/>
            </w:tcBorders>
            <w:shd w:val="clear" w:color="auto" w:fill="AEAAAA" w:themeFill="background2" w:themeFillShade="BF"/>
            <w:vAlign w:val="center"/>
          </w:tcPr>
          <w:p w14:paraId="1DE62E4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b/>
                <w:bCs/>
                <w:i w:val="0"/>
                <w:iCs w:val="0"/>
                <w:color w:val="auto"/>
                <w:kern w:val="0"/>
                <w:sz w:val="24"/>
                <w:szCs w:val="24"/>
                <w:u w:val="none"/>
                <w:lang w:val="en-US" w:eastAsia="zh-CN" w:bidi="ar"/>
              </w:rPr>
            </w:pPr>
            <w:r>
              <w:rPr>
                <w:rFonts w:hint="default" w:ascii="Times New Roman" w:hAnsi="Times New Roman" w:eastAsia="Segoe UI" w:cs="Times New Roman"/>
                <w:b/>
                <w:bCs/>
                <w:i w:val="0"/>
                <w:iCs w:val="0"/>
                <w:color w:val="auto"/>
                <w:kern w:val="0"/>
                <w:sz w:val="24"/>
                <w:szCs w:val="24"/>
                <w:u w:val="none"/>
                <w:lang w:val="en-US" w:eastAsia="zh-CN" w:bidi="ar"/>
              </w:rPr>
              <w:t>Cruz et al. 2004</w:t>
            </w:r>
            <w:r>
              <w:rPr>
                <w:rFonts w:hint="default" w:ascii="Times New Roman" w:hAnsi="Times New Roman" w:eastAsia="Segoe UI" w:cs="Times New Roman"/>
                <w:b/>
                <w:bCs/>
                <w:i w:val="0"/>
                <w:iCs w:val="0"/>
                <w:color w:val="auto"/>
                <w:kern w:val="0"/>
                <w:sz w:val="24"/>
                <w:szCs w:val="24"/>
                <w:u w:val="none"/>
                <w:lang w:val="en-US" w:eastAsia="zh-CN" w:bidi="ar"/>
              </w:rPr>
              <w:fldChar w:fldCharType="begin"/>
            </w:r>
            <w:r>
              <w:rPr>
                <w:rFonts w:hint="default" w:ascii="Times New Roman" w:hAnsi="Times New Roman" w:eastAsia="Segoe UI" w:cs="Times New Roman"/>
                <w:b/>
                <w:bCs/>
                <w:i w:val="0"/>
                <w:iCs w:val="0"/>
                <w:color w:val="auto"/>
                <w:kern w:val="0"/>
                <w:sz w:val="24"/>
                <w:szCs w:val="24"/>
                <w:u w:val="none"/>
                <w:lang w:val="en-US" w:eastAsia="zh-CN" w:bidi="ar"/>
              </w:rPr>
              <w:instrText xml:space="preserve"> ADDIN EN.CITE &lt;EndNote&gt;&lt;Cite&gt;&lt;Author&gt;Cruz&lt;/Author&gt;&lt;Year&gt;2004&lt;/Year&gt;&lt;RecNum&gt;128&lt;/RecNum&gt;&lt;DisplayText&gt;&lt;style face="superscript"&gt;15&lt;/style&gt;&lt;/DisplayText&gt;&lt;record&gt;&lt;rec-number&gt;128&lt;/rec-number&gt;&lt;foreign-keys&gt;&lt;key app="EN" db-id="we90wv2z22r5ebexw9qxs223dp025a0ezzzp" timestamp="1748922821"&gt;128&lt;/key&gt;&lt;/foreign-keys&gt;&lt;ref-type name="Journal Article"&gt;17&lt;/ref-type&gt;&lt;contributors&gt;&lt;authors&gt;&lt;author&gt;Cruz, Martha L.&lt;/author&gt;&lt;author&gt;Weigensberg, Marc J.&lt;/author&gt;&lt;author&gt;Huang, Terry T. K.&lt;/author&gt;&lt;author&gt;Ball, Geoff&lt;/author&gt;&lt;author&gt;Shaibi, Gabriel Q.&lt;/author&gt;&lt;author&gt;Goran, Michael I.&lt;/author&gt;&lt;/authors&gt;&lt;/contributors&gt;&lt;auth-address&gt;Department of Preventive Medicine, Keck School of Medicine, University of Southern California, Los Angeles, California 90089, USA.&lt;/auth-address&gt;&lt;titles&gt;&lt;title&gt;The metabolic syndrome in overweight Hispanic youth and the role of insulin sensitivity&lt;/title&gt;&lt;secondary-title&gt;The Journal of Clinical Endocrinology and Metabolism&lt;/secondary-title&gt;&lt;alt-title&gt;J Clin Endocrinol Metab&lt;/alt-title&gt;&lt;/titles&gt;&lt;periodical&gt;&lt;full-title&gt;The Journal of Clinical Endocrinology and Metabolism&lt;/full-title&gt;&lt;abbr-1&gt;J Clin Endocrinol Metab&lt;/abbr-1&gt;&lt;/periodical&gt;&lt;alt-periodical&gt;&lt;full-title&gt;The Journal of Clinical Endocrinology and Metabolism&lt;/full-title&gt;&lt;abbr-1&gt;J Clin Endocrinol Metab&lt;/abbr-1&gt;&lt;/alt-periodical&gt;&lt;pages&gt;108-113&lt;/pages&gt;&lt;volume&gt;89&lt;/volume&gt;&lt;number&gt;1&lt;/number&gt;&lt;section&gt;&lt;style face="normal" font="default" size="100%"&gt;INDEX: 5.0 | QUARTILE: Q1 | CAS: 2&lt;/style&gt;&lt;style face="normal" font="default" charset="134" size="100%"&gt;区&lt;/style&gt;&lt;/section&gt;&lt;dates&gt;&lt;year&gt;2004&lt;/year&gt;&lt;/dates&gt;&lt;isbn&gt;0021-972X&lt;/isbn&gt;&lt;accession-num&gt;14715836&lt;/accession-num&gt;&lt;label&gt;5.0&lt;/label&gt;&lt;urls&gt;&lt;related-urls&gt;&lt;url&gt;https://pubmed.ncbi.nlm.nih.gov/14715836&lt;/url&gt;&lt;/related-urls&gt;&lt;/urls&gt;&lt;custom1&gt;5.0&lt;/custom1&gt;&lt;custom2&gt;Q1&lt;/custom2&gt;&lt;custom3&gt;&lt;style face="normal" font="default" size="100%"&gt;2&lt;/style&gt;&lt;style face="normal" font="default" charset="134" size="100%"&gt;区&lt;/style&gt;&lt;/custom3&gt;&lt;remote-database-name&gt;PubMed&lt;/remote-database-name&gt;&lt;language&gt;eng&lt;/language&gt;&lt;/record&gt;&lt;/Cite&gt;&lt;/EndNote&gt;</w:instrText>
            </w:r>
            <w:r>
              <w:rPr>
                <w:rFonts w:hint="default" w:ascii="Times New Roman" w:hAnsi="Times New Roman" w:eastAsia="Segoe UI" w:cs="Times New Roman"/>
                <w:b/>
                <w:bCs/>
                <w:i w:val="0"/>
                <w:iCs w:val="0"/>
                <w:color w:val="auto"/>
                <w:kern w:val="0"/>
                <w:sz w:val="24"/>
                <w:szCs w:val="24"/>
                <w:u w:val="none"/>
                <w:lang w:val="en-US" w:eastAsia="zh-CN" w:bidi="ar"/>
              </w:rPr>
              <w:fldChar w:fldCharType="separate"/>
            </w:r>
            <w:r>
              <w:rPr>
                <w:rFonts w:hint="default" w:ascii="Times New Roman" w:hAnsi="Times New Roman" w:eastAsia="Segoe UI" w:cs="Times New Roman"/>
                <w:b/>
                <w:bCs/>
                <w:i w:val="0"/>
                <w:iCs w:val="0"/>
                <w:color w:val="auto"/>
                <w:kern w:val="0"/>
                <w:sz w:val="24"/>
                <w:szCs w:val="24"/>
                <w:u w:val="none"/>
                <w:vertAlign w:val="superscript"/>
                <w:lang w:val="en-US" w:eastAsia="zh-CN" w:bidi="ar"/>
                <w14:ligatures w14:val="standardContextual"/>
              </w:rPr>
              <w:t>15</w:t>
            </w:r>
            <w:r>
              <w:rPr>
                <w:rFonts w:hint="default" w:ascii="Times New Roman" w:hAnsi="Times New Roman" w:eastAsia="Segoe UI" w:cs="Times New Roman"/>
                <w:b/>
                <w:bCs/>
                <w:i w:val="0"/>
                <w:iCs w:val="0"/>
                <w:color w:val="auto"/>
                <w:kern w:val="0"/>
                <w:sz w:val="24"/>
                <w:szCs w:val="24"/>
                <w:u w:val="none"/>
                <w:lang w:val="en-US" w:eastAsia="zh-CN" w:bidi="ar"/>
              </w:rPr>
              <w:fldChar w:fldCharType="end"/>
            </w:r>
          </w:p>
        </w:tc>
        <w:tc>
          <w:tcPr>
            <w:tcW w:w="492" w:type="pct"/>
            <w:tcBorders>
              <w:top w:val="single" w:color="000000" w:sz="4" w:space="0"/>
              <w:left w:val="single" w:color="000000" w:sz="4" w:space="0"/>
              <w:bottom w:val="single" w:color="000000" w:sz="4" w:space="0"/>
              <w:right w:val="single" w:color="000000" w:sz="4" w:space="0"/>
            </w:tcBorders>
            <w:shd w:val="clear" w:color="auto" w:fill="AEAAAA" w:themeFill="background2" w:themeFillShade="BF"/>
            <w:vAlign w:val="center"/>
          </w:tcPr>
          <w:p w14:paraId="16CA432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b/>
                <w:bCs/>
                <w:i w:val="0"/>
                <w:iCs w:val="0"/>
                <w:color w:val="auto"/>
                <w:kern w:val="0"/>
                <w:sz w:val="24"/>
                <w:szCs w:val="24"/>
                <w:u w:val="none"/>
                <w:lang w:val="en-US" w:eastAsia="zh-CN" w:bidi="ar"/>
              </w:rPr>
              <w:t>Duncan, Li, and Zhou 2004</w:t>
            </w:r>
            <w:r>
              <w:rPr>
                <w:rFonts w:hint="default" w:ascii="Times New Roman" w:hAnsi="Times New Roman" w:eastAsia="Segoe UI" w:cs="Times New Roman"/>
                <w:b/>
                <w:bCs/>
                <w:i w:val="0"/>
                <w:iCs w:val="0"/>
                <w:color w:val="auto"/>
                <w:kern w:val="0"/>
                <w:sz w:val="24"/>
                <w:szCs w:val="24"/>
                <w:u w:val="none"/>
                <w:lang w:val="en-US" w:eastAsia="zh-CN" w:bidi="ar"/>
              </w:rPr>
              <w:fldChar w:fldCharType="begin"/>
            </w:r>
            <w:r>
              <w:rPr>
                <w:rFonts w:hint="default" w:ascii="Times New Roman" w:hAnsi="Times New Roman" w:eastAsia="Segoe UI" w:cs="Times New Roman"/>
                <w:b/>
                <w:bCs/>
                <w:i w:val="0"/>
                <w:iCs w:val="0"/>
                <w:color w:val="auto"/>
                <w:kern w:val="0"/>
                <w:sz w:val="24"/>
                <w:szCs w:val="24"/>
                <w:u w:val="none"/>
                <w:lang w:val="en-US" w:eastAsia="zh-CN" w:bidi="ar"/>
              </w:rPr>
              <w:instrText xml:space="preserve"> ADDIN EN.CITE &lt;EndNote&gt;&lt;Cite&gt;&lt;Author&gt;Duncan&lt;/Author&gt;&lt;Year&gt;2004&lt;/Year&gt;&lt;RecNum&gt;96&lt;/RecNum&gt;&lt;DisplayText&gt;&lt;style face="superscript"&gt;9&lt;/style&gt;&lt;/DisplayText&gt;&lt;record&gt;&lt;rec-number&gt;96&lt;/rec-number&gt;&lt;foreign-keys&gt;&lt;key app="EN" db-id="we90wv2z22r5ebexw9qxs223dp025a0ezzzp" timestamp="1747708037"&gt;96&lt;/key&gt;&lt;/foreign-keys&gt;&lt;ref-type name="Journal Article"&gt;17&lt;/ref-type&gt;&lt;contributors&gt;&lt;authors&gt;&lt;author&gt;Duncan, Glen E.&lt;/author&gt;&lt;author&gt;Li, Sierra M.&lt;/author&gt;&lt;author&gt;Zhou, Xiao-Hua&lt;/author&gt;&lt;/authors&gt;&lt;/contributors&gt;&lt;auth-address&gt;Interdisciplinary Graduate Program in Nutritional Sciences, Department of Epidemiology, 305 Raitt Hall, Box 353410, University of Washington, Seattle, WA 98195, USA. duncag@u.washington.edu&lt;/auth-address&gt;&lt;titles&gt;&lt;title&gt;Prevalence and trends of a metabolic syndrome phenotype among U.S. adolescents, 1999-2000&lt;/title&gt;&lt;secondary-title&gt;Diabetes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Care&lt;/abbr-1&gt;&lt;/alt-periodical&gt;&lt;pages&gt;2438-2443&lt;/pages&gt;&lt;volume&gt;27&lt;/volume&gt;&lt;number&gt;10&lt;/number&gt;&lt;section&gt;&lt;style face="normal" font="default" size="100%"&gt;INDEX: 14.8 | QUARTILE: Q1 | CAS: 1&lt;/style&gt;&lt;style face="normal" font="default" charset="134" size="100%"&gt;区&lt;/style&gt;&lt;/section&gt;&lt;dates&gt;&lt;year&gt;2004&lt;/year&gt;&lt;/dates&gt;&lt;isbn&gt;0149-5992&lt;/isbn&gt;&lt;accession-num&gt;15451913&lt;/accession-num&gt;&lt;label&gt;14.8&lt;/label&gt;&lt;urls&gt;&lt;related-urls&gt;&lt;url&gt;https://pubmed.ncbi.nlm.nih.gov/15451913&lt;/url&gt;&lt;/related-urls&gt;&lt;/urls&gt;&lt;custom1&gt;14.8&lt;/custom1&gt;&lt;custom2&gt;Q1&lt;/custom2&gt;&lt;custom3&gt;&lt;style face="normal" font="default" size="100%"&gt;1&lt;/style&gt;&lt;style face="normal" font="default" charset="134" size="100%"&gt;区&lt;/style&gt;&lt;/custom3&gt;&lt;remote-database-name&gt;PubMed&lt;/remote-database-name&gt;&lt;language&gt;eng&lt;/language&gt;&lt;/record&gt;&lt;/Cite&gt;&lt;/EndNote&gt;</w:instrText>
            </w:r>
            <w:r>
              <w:rPr>
                <w:rFonts w:hint="default" w:ascii="Times New Roman" w:hAnsi="Times New Roman" w:eastAsia="Segoe UI" w:cs="Times New Roman"/>
                <w:b/>
                <w:bCs/>
                <w:i w:val="0"/>
                <w:iCs w:val="0"/>
                <w:color w:val="auto"/>
                <w:kern w:val="0"/>
                <w:sz w:val="24"/>
                <w:szCs w:val="24"/>
                <w:u w:val="none"/>
                <w:lang w:val="en-US" w:eastAsia="zh-CN" w:bidi="ar"/>
              </w:rPr>
              <w:fldChar w:fldCharType="separate"/>
            </w:r>
            <w:r>
              <w:rPr>
                <w:rFonts w:hint="default" w:ascii="Times New Roman" w:hAnsi="Times New Roman" w:eastAsia="Segoe UI" w:cs="Times New Roman"/>
                <w:b/>
                <w:bCs/>
                <w:i w:val="0"/>
                <w:iCs w:val="0"/>
                <w:color w:val="auto"/>
                <w:kern w:val="0"/>
                <w:sz w:val="24"/>
                <w:szCs w:val="24"/>
                <w:u w:val="none"/>
                <w:vertAlign w:val="superscript"/>
                <w:lang w:val="en-US" w:eastAsia="zh-CN" w:bidi="ar"/>
                <w14:ligatures w14:val="standardContextual"/>
              </w:rPr>
              <w:t>9</w:t>
            </w:r>
            <w:r>
              <w:rPr>
                <w:rFonts w:hint="default" w:ascii="Times New Roman" w:hAnsi="Times New Roman" w:eastAsia="Segoe UI" w:cs="Times New Roman"/>
                <w:b/>
                <w:bCs/>
                <w:i w:val="0"/>
                <w:iCs w:val="0"/>
                <w:color w:val="auto"/>
                <w:kern w:val="0"/>
                <w:sz w:val="24"/>
                <w:szCs w:val="24"/>
                <w:u w:val="none"/>
                <w:lang w:val="en-US" w:eastAsia="zh-CN" w:bidi="ar"/>
              </w:rPr>
              <w:fldChar w:fldCharType="end"/>
            </w:r>
          </w:p>
        </w:tc>
        <w:tc>
          <w:tcPr>
            <w:tcW w:w="492" w:type="pct"/>
            <w:tcBorders>
              <w:top w:val="single" w:color="000000" w:sz="4" w:space="0"/>
              <w:left w:val="single" w:color="000000" w:sz="4" w:space="0"/>
              <w:bottom w:val="single" w:color="000000" w:sz="4" w:space="0"/>
              <w:right w:val="single" w:color="000000" w:sz="4" w:space="0"/>
            </w:tcBorders>
            <w:shd w:val="clear" w:color="auto" w:fill="AEAAAA" w:themeFill="background2" w:themeFillShade="BF"/>
            <w:vAlign w:val="center"/>
          </w:tcPr>
          <w:p w14:paraId="0751844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b/>
                <w:bCs/>
                <w:i w:val="0"/>
                <w:iCs w:val="0"/>
                <w:color w:val="auto"/>
                <w:kern w:val="0"/>
                <w:sz w:val="24"/>
                <w:szCs w:val="24"/>
                <w:u w:val="none"/>
                <w:lang w:val="en-US" w:eastAsia="zh-CN" w:bidi="ar"/>
              </w:rPr>
            </w:pPr>
            <w:r>
              <w:rPr>
                <w:rFonts w:hint="default" w:ascii="Times New Roman" w:hAnsi="Times New Roman" w:eastAsia="Segoe UI" w:cs="Times New Roman"/>
                <w:b/>
                <w:bCs/>
                <w:i w:val="0"/>
                <w:iCs w:val="0"/>
                <w:color w:val="auto"/>
                <w:kern w:val="0"/>
                <w:sz w:val="24"/>
                <w:szCs w:val="24"/>
                <w:u w:val="none"/>
                <w:lang w:val="en-US" w:eastAsia="zh-CN" w:bidi="ar"/>
              </w:rPr>
              <w:t>Ford, Ajani, and Mokdad 2005</w:t>
            </w:r>
            <w:r>
              <w:rPr>
                <w:rFonts w:hint="default" w:ascii="Times New Roman" w:hAnsi="Times New Roman" w:eastAsia="Segoe UI" w:cs="Times New Roman"/>
                <w:b/>
                <w:bCs/>
                <w:i w:val="0"/>
                <w:iCs w:val="0"/>
                <w:color w:val="auto"/>
                <w:kern w:val="0"/>
                <w:sz w:val="24"/>
                <w:szCs w:val="24"/>
                <w:u w:val="none"/>
                <w:lang w:val="en-US" w:eastAsia="zh-CN" w:bidi="ar"/>
              </w:rPr>
              <w:fldChar w:fldCharType="begin"/>
            </w:r>
            <w:r>
              <w:rPr>
                <w:rFonts w:hint="default" w:ascii="Times New Roman" w:hAnsi="Times New Roman" w:eastAsia="Segoe UI" w:cs="Times New Roman"/>
                <w:b/>
                <w:bCs/>
                <w:i w:val="0"/>
                <w:iCs w:val="0"/>
                <w:color w:val="auto"/>
                <w:kern w:val="0"/>
                <w:sz w:val="24"/>
                <w:szCs w:val="24"/>
                <w:u w:val="none"/>
                <w:lang w:val="en-US" w:eastAsia="zh-CN" w:bidi="ar"/>
              </w:rPr>
              <w:instrText xml:space="preserve"> ADDIN EN.CITE &lt;EndNote&gt;&lt;Cite&gt;&lt;Author&gt;Ford&lt;/Author&gt;&lt;Year&gt;2005&lt;/Year&gt;&lt;RecNum&gt;129&lt;/RecNum&gt;&lt;DisplayText&gt;&lt;style face="superscript"&gt;16&lt;/style&gt;&lt;/DisplayText&gt;&lt;record&gt;&lt;rec-number&gt;129&lt;/rec-number&gt;&lt;foreign-keys&gt;&lt;key app="EN" db-id="we90wv2z22r5ebexw9qxs223dp025a0ezzzp" timestamp="1748923010"&gt;129&lt;/key&gt;&lt;/foreign-keys&gt;&lt;ref-type name="Journal Article"&gt;17&lt;/ref-type&gt;&lt;contributors&gt;&lt;authors&gt;&lt;author&gt;Ford, Earl S.&lt;/author&gt;&lt;author&gt;Ajani, Umed A.&lt;/author&gt;&lt;author&gt;Mokdad, Ali H.&lt;/author&gt;&lt;/authors&gt;&lt;/contributors&gt;&lt;auth-address&gt;Divion of Adult and Community Health, National Center for Chronic Disease Prevention and Health Promotion, Centers for Disease Control and Prevention, 4770 Buford Highway, MS K66, Atlanta, GA 30341, USA. eford@cdc.gov&lt;/auth-address&gt;&lt;titles&gt;&lt;title&gt;The metabolic syndrome and concentrations of C-reactive protein among U.S. youth&lt;/title&gt;&lt;secondary-title&gt;Diabetes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Care&lt;/abbr-1&gt;&lt;/alt-periodical&gt;&lt;pages&gt;878-881&lt;/pages&gt;&lt;volume&gt;28&lt;/volume&gt;&lt;number&gt;4&lt;/number&gt;&lt;section&gt;&lt;style face="normal" font="default" size="100%"&gt;INDEX: 14.8 | QUARTILE: Q1 | CAS: 1&lt;/style&gt;&lt;style face="normal" font="default" charset="134" size="100%"&gt;区&lt;/style&gt;&lt;/section&gt;&lt;dates&gt;&lt;year&gt;2005&lt;/year&gt;&lt;/dates&gt;&lt;isbn&gt;0149-5992&lt;/isbn&gt;&lt;accession-num&gt;15793189&lt;/accession-num&gt;&lt;label&gt;14.8&lt;/label&gt;&lt;urls&gt;&lt;related-urls&gt;&lt;url&gt;https://pubmed.ncbi.nlm.nih.gov/15793189&lt;/url&gt;&lt;/related-urls&gt;&lt;/urls&gt;&lt;custom1&gt;14.8&lt;/custom1&gt;&lt;custom2&gt;Q1&lt;/custom2&gt;&lt;custom3&gt;&lt;style face="normal" font="default" size="100%"&gt;1&lt;/style&gt;&lt;style face="normal" font="default" charset="134" size="100%"&gt;区&lt;/style&gt;&lt;/custom3&gt;&lt;remote-database-name&gt;PubMed&lt;/remote-database-name&gt;&lt;language&gt;eng&lt;/language&gt;&lt;/record&gt;&lt;/Cite&gt;&lt;/EndNote&gt;</w:instrText>
            </w:r>
            <w:r>
              <w:rPr>
                <w:rFonts w:hint="default" w:ascii="Times New Roman" w:hAnsi="Times New Roman" w:eastAsia="Segoe UI" w:cs="Times New Roman"/>
                <w:b/>
                <w:bCs/>
                <w:i w:val="0"/>
                <w:iCs w:val="0"/>
                <w:color w:val="auto"/>
                <w:kern w:val="0"/>
                <w:sz w:val="24"/>
                <w:szCs w:val="24"/>
                <w:u w:val="none"/>
                <w:lang w:val="en-US" w:eastAsia="zh-CN" w:bidi="ar"/>
              </w:rPr>
              <w:fldChar w:fldCharType="separate"/>
            </w:r>
            <w:r>
              <w:rPr>
                <w:rFonts w:hint="default" w:ascii="Times New Roman" w:hAnsi="Times New Roman" w:eastAsia="Segoe UI" w:cs="Times New Roman"/>
                <w:b/>
                <w:bCs/>
                <w:i w:val="0"/>
                <w:iCs w:val="0"/>
                <w:color w:val="auto"/>
                <w:kern w:val="0"/>
                <w:sz w:val="24"/>
                <w:szCs w:val="24"/>
                <w:u w:val="none"/>
                <w:vertAlign w:val="superscript"/>
                <w:lang w:val="en-US" w:eastAsia="zh-CN" w:bidi="ar"/>
                <w14:ligatures w14:val="standardContextual"/>
              </w:rPr>
              <w:t>16</w:t>
            </w:r>
            <w:r>
              <w:rPr>
                <w:rFonts w:hint="default" w:ascii="Times New Roman" w:hAnsi="Times New Roman" w:eastAsia="Segoe UI" w:cs="Times New Roman"/>
                <w:b/>
                <w:bCs/>
                <w:i w:val="0"/>
                <w:iCs w:val="0"/>
                <w:color w:val="auto"/>
                <w:kern w:val="0"/>
                <w:sz w:val="24"/>
                <w:szCs w:val="24"/>
                <w:u w:val="none"/>
                <w:lang w:val="en-US" w:eastAsia="zh-CN" w:bidi="ar"/>
              </w:rPr>
              <w:fldChar w:fldCharType="end"/>
            </w:r>
          </w:p>
        </w:tc>
        <w:tc>
          <w:tcPr>
            <w:tcW w:w="492" w:type="pct"/>
            <w:tcBorders>
              <w:top w:val="single" w:color="000000" w:sz="4" w:space="0"/>
              <w:left w:val="single" w:color="000000" w:sz="4" w:space="0"/>
              <w:bottom w:val="single" w:color="000000" w:sz="4" w:space="0"/>
              <w:right w:val="single" w:color="000000" w:sz="4" w:space="0"/>
            </w:tcBorders>
            <w:shd w:val="clear" w:color="auto" w:fill="AEAAAA" w:themeFill="background2" w:themeFillShade="BF"/>
            <w:vAlign w:val="center"/>
          </w:tcPr>
          <w:p w14:paraId="46E45A8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b/>
                <w:bCs/>
                <w:i w:val="0"/>
                <w:iCs w:val="0"/>
                <w:color w:val="auto"/>
                <w:kern w:val="0"/>
                <w:sz w:val="24"/>
                <w:szCs w:val="24"/>
                <w:u w:val="none"/>
                <w:lang w:val="en-US" w:eastAsia="zh-CN" w:bidi="ar"/>
              </w:rPr>
            </w:pPr>
            <w:r>
              <w:rPr>
                <w:rFonts w:hint="default" w:ascii="Times New Roman" w:hAnsi="Times New Roman" w:eastAsia="Segoe UI" w:cs="Times New Roman"/>
                <w:b/>
                <w:bCs/>
                <w:i w:val="0"/>
                <w:iCs w:val="0"/>
                <w:color w:val="auto"/>
                <w:kern w:val="0"/>
                <w:sz w:val="24"/>
                <w:szCs w:val="24"/>
                <w:u w:val="none"/>
                <w:lang w:val="en-US" w:eastAsia="zh-CN" w:bidi="ar"/>
              </w:rPr>
              <w:t>Kranz, Mahood, and Wagstaff 2007</w:t>
            </w:r>
            <w:r>
              <w:rPr>
                <w:rFonts w:hint="default" w:ascii="Times New Roman" w:hAnsi="Times New Roman" w:eastAsia="Segoe UI" w:cs="Times New Roman"/>
                <w:b/>
                <w:bCs/>
                <w:i w:val="0"/>
                <w:iCs w:val="0"/>
                <w:color w:val="auto"/>
                <w:kern w:val="0"/>
                <w:sz w:val="24"/>
                <w:szCs w:val="24"/>
                <w:u w:val="none"/>
                <w:lang w:val="en-US" w:eastAsia="zh-CN" w:bidi="ar"/>
              </w:rPr>
              <w:fldChar w:fldCharType="begin"/>
            </w:r>
            <w:r>
              <w:rPr>
                <w:rFonts w:hint="default" w:ascii="Times New Roman" w:hAnsi="Times New Roman" w:eastAsia="Segoe UI" w:cs="Times New Roman"/>
                <w:b/>
                <w:bCs/>
                <w:i w:val="0"/>
                <w:iCs w:val="0"/>
                <w:color w:val="auto"/>
                <w:kern w:val="0"/>
                <w:sz w:val="24"/>
                <w:szCs w:val="24"/>
                <w:u w:val="none"/>
                <w:lang w:val="en-US" w:eastAsia="zh-CN" w:bidi="ar"/>
              </w:rPr>
              <w:instrText xml:space="preserve"> ADDIN EN.CITE &lt;EndNote&gt;&lt;Cite&gt;&lt;Author&gt;Kranz&lt;/Author&gt;&lt;Year&gt;2007&lt;/Year&gt;&lt;RecNum&gt;126&lt;/RecNum&gt;&lt;DisplayText&gt;&lt;style face="superscript"&gt;17&lt;/style&gt;&lt;/DisplayText&gt;&lt;record&gt;&lt;rec-number&gt;126&lt;/rec-number&gt;&lt;foreign-keys&gt;&lt;key app="EN" db-id="we90wv2z22r5ebexw9qxs223dp025a0ezzzp" timestamp="1748921442"&gt;126&lt;/key&gt;&lt;/foreign-keys&gt;&lt;ref-type name="Journal Article"&gt;17&lt;/ref-type&gt;&lt;contributors&gt;&lt;authors&gt;&lt;author&gt;Kranz, Sibylle&lt;/author&gt;&lt;author&gt;Mahood, Lindsey J.&lt;/author&gt;&lt;author&gt;Wagstaff, David A.&lt;/author&gt;&lt;/authors&gt;&lt;/contributors&gt;&lt;auth-address&gt;Department of Nutritional Sciences, The Pennsylvania State University, 5 Henderson Building, University Park, PA 16802, USA. sxk72@psu.edu&lt;/auth-address&gt;&lt;titles&gt;&lt;title&gt;Diagnostic criteria patterns of U.S. children with Metabolic Syndrome: NHANES 1999-2002&lt;/title&gt;&lt;secondary-title&gt;Nutrition Journal&lt;/secondary-title&gt;&lt;alt-title&gt;Nutr J&lt;/alt-title&gt;&lt;/titles&gt;&lt;periodical&gt;&lt;full-title&gt;Nutrition Journal&lt;/full-title&gt;&lt;abbr-1&gt;Nutr J&lt;/abbr-1&gt;&lt;/periodical&gt;&lt;alt-periodical&gt;&lt;full-title&gt;Nutrition Journal&lt;/full-title&gt;&lt;abbr-1&gt;Nutr J&lt;/abbr-1&gt;&lt;/alt-periodical&gt;&lt;pages&gt;38&lt;/pages&gt;&lt;volume&gt;6&lt;/volume&gt;&lt;section&gt;&lt;style face="normal" font="default" size="100%"&gt;INDEX: 4.4 | QUARTILE: Q1 | CAS: 2&lt;/style&gt;&lt;style face="normal" font="default" charset="134" size="100%"&gt;区&lt;/style&gt;&lt;/section&gt;&lt;dates&gt;&lt;year&gt;2007&lt;/year&gt;&lt;/dates&gt;&lt;isbn&gt;1475-2891&lt;/isbn&gt;&lt;accession-num&gt;17986354&lt;/accession-num&gt;&lt;label&gt;4.4&lt;/label&gt;&lt;urls&gt;&lt;related-urls&gt;&lt;url&gt;https://pubmed.ncbi.nlm.nih.gov/17986354&lt;/url&gt;&lt;/related-urls&gt;&lt;/urls&gt;&lt;custom1&gt;4.4&lt;/custom1&gt;&lt;custom2&gt;Q1&lt;/custom2&gt;&lt;custom3&gt;&lt;style face="normal" font="default" size="100%"&gt;2&lt;/style&gt;&lt;style face="normal" font="default" charset="134" size="100%"&gt;区&lt;/style&gt;&lt;/custom3&gt;&lt;remote-database-name&gt;PubMed&lt;/remote-database-name&gt;&lt;language&gt;eng&lt;/language&gt;&lt;/record&gt;&lt;/Cite&gt;&lt;/EndNote&gt;</w:instrText>
            </w:r>
            <w:r>
              <w:rPr>
                <w:rFonts w:hint="default" w:ascii="Times New Roman" w:hAnsi="Times New Roman" w:eastAsia="Segoe UI" w:cs="Times New Roman"/>
                <w:b/>
                <w:bCs/>
                <w:i w:val="0"/>
                <w:iCs w:val="0"/>
                <w:color w:val="auto"/>
                <w:kern w:val="0"/>
                <w:sz w:val="24"/>
                <w:szCs w:val="24"/>
                <w:u w:val="none"/>
                <w:lang w:val="en-US" w:eastAsia="zh-CN" w:bidi="ar"/>
              </w:rPr>
              <w:fldChar w:fldCharType="separate"/>
            </w:r>
            <w:r>
              <w:rPr>
                <w:rFonts w:hint="default" w:ascii="Times New Roman" w:hAnsi="Times New Roman" w:eastAsia="Segoe UI" w:cs="Times New Roman"/>
                <w:b/>
                <w:bCs/>
                <w:i w:val="0"/>
                <w:iCs w:val="0"/>
                <w:color w:val="auto"/>
                <w:kern w:val="0"/>
                <w:sz w:val="24"/>
                <w:szCs w:val="24"/>
                <w:u w:val="none"/>
                <w:vertAlign w:val="superscript"/>
                <w:lang w:val="en-US" w:eastAsia="zh-CN" w:bidi="ar"/>
                <w14:ligatures w14:val="standardContextual"/>
              </w:rPr>
              <w:t>17</w:t>
            </w:r>
            <w:r>
              <w:rPr>
                <w:rFonts w:hint="default" w:ascii="Times New Roman" w:hAnsi="Times New Roman" w:eastAsia="Segoe UI" w:cs="Times New Roman"/>
                <w:b/>
                <w:bCs/>
                <w:i w:val="0"/>
                <w:iCs w:val="0"/>
                <w:color w:val="auto"/>
                <w:kern w:val="0"/>
                <w:sz w:val="24"/>
                <w:szCs w:val="24"/>
                <w:u w:val="none"/>
                <w:lang w:val="en-US" w:eastAsia="zh-CN" w:bidi="ar"/>
              </w:rPr>
              <w:fldChar w:fldCharType="end"/>
            </w:r>
          </w:p>
        </w:tc>
        <w:tc>
          <w:tcPr>
            <w:tcW w:w="511" w:type="pct"/>
            <w:tcBorders>
              <w:top w:val="single" w:color="000000" w:sz="4" w:space="0"/>
              <w:left w:val="single" w:color="000000" w:sz="4" w:space="0"/>
              <w:bottom w:val="single" w:color="000000" w:sz="4" w:space="0"/>
              <w:right w:val="single" w:color="000000" w:sz="4" w:space="0"/>
            </w:tcBorders>
            <w:shd w:val="clear" w:color="auto" w:fill="AEAAAA" w:themeFill="background2" w:themeFillShade="BF"/>
            <w:vAlign w:val="center"/>
          </w:tcPr>
          <w:p w14:paraId="11AECCC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b/>
                <w:bCs/>
                <w:i w:val="0"/>
                <w:iCs w:val="0"/>
                <w:color w:val="auto"/>
                <w:kern w:val="2"/>
                <w:sz w:val="24"/>
                <w:szCs w:val="24"/>
                <w:u w:val="none"/>
                <w:lang w:val="en-US" w:eastAsia="zh-CN" w:bidi="ar-SA"/>
              </w:rPr>
            </w:pPr>
            <w:r>
              <w:rPr>
                <w:rFonts w:hint="default" w:ascii="Times New Roman" w:hAnsi="Times New Roman" w:eastAsia="Segoe UI" w:cs="Times New Roman"/>
                <w:b/>
                <w:bCs/>
                <w:i w:val="0"/>
                <w:iCs w:val="0"/>
                <w:color w:val="auto"/>
                <w:kern w:val="0"/>
                <w:sz w:val="24"/>
                <w:szCs w:val="24"/>
                <w:u w:val="none"/>
                <w:lang w:val="en-US" w:eastAsia="zh-CN" w:bidi="ar"/>
              </w:rPr>
              <w:t>Ahrens et al. 2014</w:t>
            </w:r>
            <w:r>
              <w:rPr>
                <w:rFonts w:hint="default" w:ascii="Times New Roman" w:hAnsi="Times New Roman" w:eastAsia="Segoe UI" w:cs="Times New Roman"/>
                <w:b/>
                <w:bCs/>
                <w:i w:val="0"/>
                <w:iCs w:val="0"/>
                <w:color w:val="auto"/>
                <w:kern w:val="0"/>
                <w:sz w:val="24"/>
                <w:szCs w:val="24"/>
                <w:u w:val="none"/>
                <w:lang w:val="en-US" w:eastAsia="zh-CN" w:bidi="ar"/>
              </w:rPr>
              <w:fldChar w:fldCharType="begin"/>
            </w:r>
            <w:r>
              <w:rPr>
                <w:rFonts w:hint="default" w:ascii="Times New Roman" w:hAnsi="Times New Roman" w:eastAsia="Segoe UI" w:cs="Times New Roman"/>
                <w:b/>
                <w:bCs/>
                <w:i w:val="0"/>
                <w:iCs w:val="0"/>
                <w:color w:val="auto"/>
                <w:kern w:val="0"/>
                <w:sz w:val="24"/>
                <w:szCs w:val="24"/>
                <w:u w:val="none"/>
                <w:lang w:val="en-US" w:eastAsia="zh-CN" w:bidi="ar"/>
              </w:rPr>
              <w:instrText xml:space="preserve"> ADDIN EN.CITE </w:instrText>
            </w:r>
            <w:r>
              <w:rPr>
                <w:rFonts w:hint="default" w:ascii="Times New Roman" w:hAnsi="Times New Roman" w:eastAsia="Segoe UI" w:cs="Times New Roman"/>
                <w:b/>
                <w:bCs/>
                <w:i w:val="0"/>
                <w:iCs w:val="0"/>
                <w:color w:val="auto"/>
                <w:kern w:val="0"/>
                <w:sz w:val="24"/>
                <w:szCs w:val="24"/>
                <w:u w:val="none"/>
                <w:lang w:val="en-US" w:eastAsia="zh-CN" w:bidi="ar"/>
              </w:rPr>
              <w:fldChar w:fldCharType="begin">
                <w:fldData xml:space="preserve">PEVuZE5vdGU+PENpdGU+PEF1dGhvcj5BaHJlbnM8L0F1dGhvcj48WWVhcj4yMDE0PC9ZZWFyPjxS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</w:fldData>
              </w:fldChar>
            </w:r>
            <w:r>
              <w:rPr>
                <w:rFonts w:hint="default" w:ascii="Times New Roman" w:hAnsi="Times New Roman" w:eastAsia="Segoe UI" w:cs="Times New Roman"/>
                <w:b/>
                <w:bCs/>
                <w:i w:val="0"/>
                <w:iCs w:val="0"/>
                <w:color w:val="auto"/>
                <w:kern w:val="0"/>
                <w:sz w:val="24"/>
                <w:szCs w:val="24"/>
                <w:u w:val="none"/>
                <w:lang w:val="en-US" w:eastAsia="zh-CN" w:bidi="ar"/>
              </w:rPr>
              <w:instrText xml:space="preserve"> ADDIN EN.CITE.DATA </w:instrText>
            </w:r>
            <w:r>
              <w:rPr>
                <w:rFonts w:hint="default" w:ascii="Times New Roman" w:hAnsi="Times New Roman" w:eastAsia="Segoe UI" w:cs="Times New Roman"/>
                <w:b/>
                <w:bCs/>
                <w:i w:val="0"/>
                <w:iCs w:val="0"/>
                <w:color w:val="auto"/>
                <w:kern w:val="0"/>
                <w:sz w:val="24"/>
                <w:szCs w:val="24"/>
                <w:u w:val="none"/>
                <w:lang w:val="en-US" w:eastAsia="zh-CN" w:bidi="ar"/>
              </w:rPr>
              <w:fldChar w:fldCharType="separate"/>
            </w:r>
            <w:r>
              <w:rPr>
                <w:rFonts w:hint="default" w:ascii="Times New Roman" w:hAnsi="Times New Roman" w:eastAsia="Segoe UI" w:cs="Times New Roman"/>
                <w:b/>
                <w:bCs/>
                <w:i w:val="0"/>
                <w:iCs w:val="0"/>
                <w:color w:val="auto"/>
                <w:kern w:val="0"/>
                <w:sz w:val="24"/>
                <w:szCs w:val="24"/>
                <w:u w:val="none"/>
                <w:lang w:val="en-US" w:eastAsia="zh-CN" w:bidi="ar"/>
              </w:rPr>
              <w:fldChar w:fldCharType="end"/>
            </w:r>
            <w:r>
              <w:rPr>
                <w:rFonts w:hint="default" w:ascii="Times New Roman" w:hAnsi="Times New Roman" w:eastAsia="Segoe UI" w:cs="Times New Roman"/>
                <w:b/>
                <w:bCs/>
                <w:i w:val="0"/>
                <w:iCs w:val="0"/>
                <w:color w:val="auto"/>
                <w:kern w:val="0"/>
                <w:sz w:val="24"/>
                <w:szCs w:val="24"/>
                <w:u w:val="none"/>
                <w:lang w:val="en-US" w:eastAsia="zh-CN" w:bidi="ar"/>
              </w:rPr>
              <w:fldChar w:fldCharType="separate"/>
            </w:r>
            <w:r>
              <w:rPr>
                <w:rFonts w:hint="default" w:ascii="Times New Roman" w:hAnsi="Times New Roman" w:eastAsia="Segoe UI" w:cs="Times New Roman"/>
                <w:b/>
                <w:bCs/>
                <w:i w:val="0"/>
                <w:iCs w:val="0"/>
                <w:color w:val="auto"/>
                <w:kern w:val="0"/>
                <w:sz w:val="24"/>
                <w:szCs w:val="24"/>
                <w:u w:val="none"/>
                <w:vertAlign w:val="superscript"/>
                <w:lang w:val="en-US" w:eastAsia="zh-CN" w:bidi="ar"/>
                <w14:ligatures w14:val="standardContextual"/>
              </w:rPr>
              <w:t>18</w:t>
            </w:r>
            <w:r>
              <w:rPr>
                <w:rFonts w:hint="default" w:ascii="Times New Roman" w:hAnsi="Times New Roman" w:eastAsia="Segoe UI" w:cs="Times New Roman"/>
                <w:b/>
                <w:bCs/>
                <w:i w:val="0"/>
                <w:iCs w:val="0"/>
                <w:color w:val="auto"/>
                <w:kern w:val="0"/>
                <w:sz w:val="24"/>
                <w:szCs w:val="24"/>
                <w:u w:val="none"/>
                <w:lang w:val="en-US" w:eastAsia="zh-CN" w:bidi="ar"/>
              </w:rPr>
              <w:fldChar w:fldCharType="end"/>
            </w:r>
            <w:r>
              <w:rPr>
                <w:rFonts w:hint="default" w:ascii="Times New Roman" w:hAnsi="Times New Roman" w:eastAsia="Segoe UI" w:cs="Times New Roman"/>
                <w:b/>
                <w:bCs/>
                <w:i w:val="0"/>
                <w:iCs w:val="0"/>
                <w:color w:val="auto"/>
                <w:kern w:val="0"/>
                <w:sz w:val="24"/>
                <w:szCs w:val="24"/>
                <w:u w:val="none"/>
                <w:lang w:val="en-US" w:eastAsia="zh-CN" w:bidi="ar"/>
              </w:rPr>
              <w:t>: monitoring level (action level)</w:t>
            </w:r>
          </w:p>
        </w:tc>
        <w:tc>
          <w:tcPr>
            <w:tcW w:w="511" w:type="pct"/>
            <w:tcBorders>
              <w:top w:val="single" w:color="000000" w:sz="4" w:space="0"/>
              <w:left w:val="single" w:color="000000" w:sz="4" w:space="0"/>
              <w:bottom w:val="single" w:color="000000" w:sz="4" w:space="0"/>
              <w:right w:val="single" w:color="000000" w:sz="4" w:space="0"/>
            </w:tcBorders>
            <w:shd w:val="clear" w:color="auto" w:fill="AEAAAA" w:themeFill="background2" w:themeFillShade="BF"/>
            <w:vAlign w:val="center"/>
          </w:tcPr>
          <w:p w14:paraId="59A9C6A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b/>
                <w:bCs/>
                <w:i w:val="0"/>
                <w:iCs w:val="0"/>
                <w:color w:val="auto"/>
                <w:kern w:val="0"/>
                <w:sz w:val="24"/>
                <w:szCs w:val="24"/>
                <w:u w:val="none"/>
                <w:lang w:val="en-US" w:eastAsia="zh-CN" w:bidi="ar"/>
              </w:rPr>
              <w:t>Liu et al. 2022</w:t>
            </w:r>
            <w:r>
              <w:rPr>
                <w:rFonts w:hint="default" w:ascii="Times New Roman" w:hAnsi="Times New Roman" w:eastAsia="Segoe UI" w:cs="Times New Roman"/>
                <w:b/>
                <w:bCs/>
                <w:i w:val="0"/>
                <w:iCs w:val="0"/>
                <w:color w:val="auto"/>
                <w:kern w:val="0"/>
                <w:sz w:val="24"/>
                <w:szCs w:val="24"/>
                <w:u w:val="none"/>
                <w:lang w:val="en-US" w:eastAsia="zh-CN" w:bidi="ar"/>
              </w:rPr>
              <w:fldChar w:fldCharType="begin"/>
            </w:r>
            <w:r>
              <w:rPr>
                <w:rFonts w:hint="default" w:ascii="Times New Roman" w:hAnsi="Times New Roman" w:eastAsia="Segoe UI" w:cs="Times New Roman"/>
                <w:b/>
                <w:bCs/>
                <w:i w:val="0"/>
                <w:iCs w:val="0"/>
                <w:color w:val="auto"/>
                <w:kern w:val="0"/>
                <w:sz w:val="24"/>
                <w:szCs w:val="24"/>
                <w:u w:val="none"/>
                <w:lang w:val="en-US" w:eastAsia="zh-CN" w:bidi="ar"/>
              </w:rPr>
              <w:instrText xml:space="preserve"> ADDIN EN.CITE </w:instrText>
            </w:r>
            <w:r>
              <w:rPr>
                <w:rFonts w:hint="default" w:ascii="Times New Roman" w:hAnsi="Times New Roman" w:eastAsia="Segoe UI" w:cs="Times New Roman"/>
                <w:b/>
                <w:bCs/>
                <w:i w:val="0"/>
                <w:iCs w:val="0"/>
                <w:color w:val="auto"/>
                <w:kern w:val="0"/>
                <w:sz w:val="24"/>
                <w:szCs w:val="24"/>
                <w:u w:val="none"/>
                <w:lang w:val="en-US" w:eastAsia="zh-CN" w:bidi="ar"/>
              </w:rPr>
              <w:fldChar w:fldCharType="begin">
                <w:fldData xml:space="preserve">PEVuZE5vdGU+PENpdGU+PEF1dGhvcj5MaXU8L0F1dGhvcj48WWVhcj4yMDIyPC9ZZWFyPjxSZWNO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</w:fldData>
              </w:fldChar>
            </w:r>
            <w:r>
              <w:rPr>
                <w:rFonts w:hint="default" w:ascii="Times New Roman" w:hAnsi="Times New Roman" w:eastAsia="Segoe UI" w:cs="Times New Roman"/>
                <w:b/>
                <w:bCs/>
                <w:i w:val="0"/>
                <w:iCs w:val="0"/>
                <w:color w:val="auto"/>
                <w:kern w:val="0"/>
                <w:sz w:val="24"/>
                <w:szCs w:val="24"/>
                <w:u w:val="none"/>
                <w:lang w:val="en-US" w:eastAsia="zh-CN" w:bidi="ar"/>
              </w:rPr>
              <w:instrText xml:space="preserve"> ADDIN EN.CITE.DATA </w:instrText>
            </w:r>
            <w:r>
              <w:rPr>
                <w:rFonts w:hint="default" w:ascii="Times New Roman" w:hAnsi="Times New Roman" w:eastAsia="Segoe UI" w:cs="Times New Roman"/>
                <w:b/>
                <w:bCs/>
                <w:i w:val="0"/>
                <w:iCs w:val="0"/>
                <w:color w:val="auto"/>
                <w:kern w:val="0"/>
                <w:sz w:val="24"/>
                <w:szCs w:val="24"/>
                <w:u w:val="none"/>
                <w:lang w:val="en-US" w:eastAsia="zh-CN" w:bidi="ar"/>
              </w:rPr>
              <w:fldChar w:fldCharType="separate"/>
            </w:r>
            <w:r>
              <w:rPr>
                <w:rFonts w:hint="default" w:ascii="Times New Roman" w:hAnsi="Times New Roman" w:eastAsia="Segoe UI" w:cs="Times New Roman"/>
                <w:b/>
                <w:bCs/>
                <w:i w:val="0"/>
                <w:iCs w:val="0"/>
                <w:color w:val="auto"/>
                <w:kern w:val="0"/>
                <w:sz w:val="24"/>
                <w:szCs w:val="24"/>
                <w:u w:val="none"/>
                <w:lang w:val="en-US" w:eastAsia="zh-CN" w:bidi="ar"/>
              </w:rPr>
              <w:fldChar w:fldCharType="end"/>
            </w:r>
            <w:r>
              <w:rPr>
                <w:rFonts w:hint="default" w:ascii="Times New Roman" w:hAnsi="Times New Roman" w:eastAsia="Segoe UI" w:cs="Times New Roman"/>
                <w:b/>
                <w:bCs/>
                <w:i w:val="0"/>
                <w:iCs w:val="0"/>
                <w:color w:val="auto"/>
                <w:kern w:val="0"/>
                <w:sz w:val="24"/>
                <w:szCs w:val="24"/>
                <w:u w:val="none"/>
                <w:lang w:val="en-US" w:eastAsia="zh-CN" w:bidi="ar"/>
              </w:rPr>
              <w:fldChar w:fldCharType="separate"/>
            </w:r>
            <w:r>
              <w:rPr>
                <w:rFonts w:hint="default" w:ascii="Times New Roman" w:hAnsi="Times New Roman" w:eastAsia="Segoe UI" w:cs="Times New Roman"/>
                <w:b/>
                <w:bCs/>
                <w:i w:val="0"/>
                <w:iCs w:val="0"/>
                <w:color w:val="auto"/>
                <w:kern w:val="0"/>
                <w:sz w:val="24"/>
                <w:szCs w:val="24"/>
                <w:u w:val="none"/>
                <w:vertAlign w:val="superscript"/>
                <w:lang w:val="en-US" w:eastAsia="zh-CN" w:bidi="ar"/>
                <w14:ligatures w14:val="standardContextual"/>
              </w:rPr>
              <w:t>4</w:t>
            </w:r>
            <w:r>
              <w:rPr>
                <w:rFonts w:hint="default" w:ascii="Times New Roman" w:hAnsi="Times New Roman" w:eastAsia="Segoe UI" w:cs="Times New Roman"/>
                <w:b/>
                <w:bCs/>
                <w:i w:val="0"/>
                <w:iCs w:val="0"/>
                <w:color w:val="auto"/>
                <w:kern w:val="0"/>
                <w:sz w:val="24"/>
                <w:szCs w:val="24"/>
                <w:u w:val="none"/>
                <w:lang w:val="en-US" w:eastAsia="zh-CN" w:bidi="ar"/>
              </w:rPr>
              <w:fldChar w:fldCharType="end"/>
            </w:r>
            <w:r>
              <w:rPr>
                <w:rFonts w:hint="default" w:ascii="Times New Roman" w:hAnsi="Times New Roman" w:eastAsia="Segoe UI" w:cs="Times New Roman"/>
                <w:b/>
                <w:bCs/>
                <w:i w:val="0"/>
                <w:iCs w:val="0"/>
                <w:color w:val="auto"/>
                <w:kern w:val="0"/>
                <w:sz w:val="24"/>
                <w:szCs w:val="24"/>
                <w:u w:val="none"/>
                <w:lang w:val="en-US" w:eastAsia="zh-CN" w:bidi="ar"/>
              </w:rPr>
              <w:t>, 2023</w:t>
            </w:r>
            <w:r>
              <w:rPr>
                <w:rFonts w:hint="default" w:ascii="Times New Roman" w:hAnsi="Times New Roman" w:eastAsia="Segoe UI" w:cs="Times New Roman"/>
                <w:b/>
                <w:bCs/>
                <w:i w:val="0"/>
                <w:iCs w:val="0"/>
                <w:color w:val="auto"/>
                <w:kern w:val="0"/>
                <w:sz w:val="24"/>
                <w:szCs w:val="24"/>
                <w:u w:val="none"/>
                <w:lang w:val="en-US" w:eastAsia="zh-CN" w:bidi="ar"/>
              </w:rPr>
              <w:fldChar w:fldCharType="begin"/>
            </w:r>
            <w:r>
              <w:rPr>
                <w:rFonts w:hint="default" w:ascii="Times New Roman" w:hAnsi="Times New Roman" w:eastAsia="Segoe UI" w:cs="Times New Roman"/>
                <w:b/>
                <w:bCs/>
                <w:i w:val="0"/>
                <w:iCs w:val="0"/>
                <w:color w:val="auto"/>
                <w:kern w:val="0"/>
                <w:sz w:val="24"/>
                <w:szCs w:val="24"/>
                <w:u w:val="none"/>
                <w:lang w:val="en-US" w:eastAsia="zh-CN" w:bidi="ar"/>
              </w:rPr>
              <w:instrText xml:space="preserve"> ADDIN EN.CITE &lt;EndNote&gt;&lt;Cite&gt;&lt;Author&gt;Liu&lt;/Author&gt;&lt;Year&gt;2023&lt;/Year&gt;&lt;RecNum&gt;103&lt;/RecNum&gt;&lt;DisplayText&gt;&lt;style face="superscript"&gt;5&lt;/style&gt;&lt;/DisplayText&gt;&lt;record&gt;&lt;rec-number&gt;103&lt;/rec-number&gt;&lt;foreign-keys&gt;&lt;key app="EN" db-id="we90wv2z22r5ebexw9qxs223dp025a0ezzzp" timestamp="1747725438"&gt;103&lt;/key&gt;&lt;/foreign-keys&gt;&lt;ref-type name="Journal Article"&gt;17&lt;/ref-type&gt;&lt;contributors&gt;&lt;authors&gt;&lt;author&gt;Liu, Junxiu&lt;/author&gt;&lt;author&gt;Park, Yong-Moon Mark&lt;/author&gt;&lt;author&gt;Ma, Jun&lt;/author&gt;&lt;author&gt;Lavie, Carl J.&lt;/author&gt;&lt;/authors&gt;&lt;/contributors&gt;&lt;auth-address&gt;Department of Population Health Science and Policy, Icahn School of Medicine at Mount Sinai, New York, NY.&amp;#xD;Department of Epidemiology, Fay W. Boozman College of Public Health, University of Arkansas for Medical Sciences, Little Rock, AR.&amp;#xD;Department of Medicine, University of Illinois at Chicago, Chicago, IL.&amp;#xD;John Ochsner Heart and Vascular Institute, Ochsner Clinical School University of Queensland School of Medicine, New Orleans, LA.&lt;/auth-address&gt;&lt;titles&gt;&lt;title&gt;Trends in Metabolic Phenotypes of Obesity Among US Adolescents, NHANES 1999-2018&lt;/title&gt;&lt;secondary-title&gt;Mayo Clinic Proceedings&lt;/secondary-title&gt;&lt;alt-title&gt;Mayo Clin Proc&lt;/alt-title&gt;&lt;/titles&gt;&lt;periodical&gt;&lt;full-title&gt;Mayo Clinic Proceedings&lt;/full-title&gt;&lt;abbr-1&gt;Mayo Clin Proc&lt;/abbr-1&gt;&lt;/periodical&gt;&lt;alt-periodical&gt;&lt;full-title&gt;Mayo Clinic Proceedings&lt;/full-title&gt;&lt;abbr-1&gt;Mayo Clin Proc&lt;/abbr-1&gt;&lt;/alt-periodical&gt;&lt;pages&gt;633-636&lt;/pages&gt;&lt;volume&gt;98&lt;/volume&gt;&lt;number&gt;4&lt;/number&gt;&lt;section&gt;INDEX: 7.2 | QUARTILE: Q1 | CAS: 2区&lt;/section&gt;&lt;dates&gt;&lt;year&gt;2023&lt;/year&gt;&lt;/dates&gt;&lt;isbn&gt;1942-5546&lt;/isbn&gt;&lt;accession-num&gt;37019518&lt;/accession-num&gt;&lt;label&gt;7.2&lt;/label&gt;&lt;urls&gt;&lt;related-urls&gt;&lt;url&gt;https://pubmed.ncbi.nlm.nih.gov/37019518&lt;/url&gt;&lt;/related-urls&gt;&lt;/urls&gt;&lt;custom1&gt;7.2&lt;/custom1&gt;&lt;custom2&gt;Q1&lt;/custom2&gt;&lt;custom3&gt;2区&lt;/custom3&gt;&lt;electronic-resource-num&gt;10.1016/j.mayocp.2023.01.025&lt;/electronic-resource-num&gt;&lt;remote-database-name&gt;PubMed&lt;/remote-database-name&gt;&lt;language&gt;eng&lt;/language&gt;&lt;/record&gt;&lt;/Cite&gt;&lt;/EndNote&gt;</w:instrText>
            </w:r>
            <w:r>
              <w:rPr>
                <w:rFonts w:hint="default" w:ascii="Times New Roman" w:hAnsi="Times New Roman" w:eastAsia="Segoe UI" w:cs="Times New Roman"/>
                <w:b/>
                <w:bCs/>
                <w:i w:val="0"/>
                <w:iCs w:val="0"/>
                <w:color w:val="auto"/>
                <w:kern w:val="0"/>
                <w:sz w:val="24"/>
                <w:szCs w:val="24"/>
                <w:u w:val="none"/>
                <w:lang w:val="en-US" w:eastAsia="zh-CN" w:bidi="ar"/>
              </w:rPr>
              <w:fldChar w:fldCharType="separate"/>
            </w:r>
            <w:r>
              <w:rPr>
                <w:rFonts w:hint="default" w:ascii="Times New Roman" w:hAnsi="Times New Roman" w:eastAsia="Segoe UI" w:cs="Times New Roman"/>
                <w:b/>
                <w:bCs/>
                <w:i w:val="0"/>
                <w:iCs w:val="0"/>
                <w:color w:val="auto"/>
                <w:kern w:val="0"/>
                <w:sz w:val="24"/>
                <w:szCs w:val="24"/>
                <w:u w:val="none"/>
                <w:vertAlign w:val="superscript"/>
                <w:lang w:val="en-US" w:eastAsia="zh-CN" w:bidi="ar"/>
                <w14:ligatures w14:val="standardContextual"/>
              </w:rPr>
              <w:t>5</w:t>
            </w:r>
            <w:r>
              <w:rPr>
                <w:rFonts w:hint="default" w:ascii="Times New Roman" w:hAnsi="Times New Roman" w:eastAsia="Segoe UI" w:cs="Times New Roman"/>
                <w:b/>
                <w:bCs/>
                <w:i w:val="0"/>
                <w:iCs w:val="0"/>
                <w:color w:val="auto"/>
                <w:kern w:val="0"/>
                <w:sz w:val="24"/>
                <w:szCs w:val="24"/>
                <w:u w:val="none"/>
                <w:lang w:val="en-US" w:eastAsia="zh-CN" w:bidi="ar"/>
              </w:rPr>
              <w:fldChar w:fldCharType="end"/>
            </w:r>
          </w:p>
        </w:tc>
      </w:tr>
      <w:tr w14:paraId="1C306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7389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b/>
                <w:bCs/>
                <w:i w:val="0"/>
                <w:iCs w:val="0"/>
                <w:color w:val="auto"/>
                <w:kern w:val="0"/>
                <w:sz w:val="24"/>
                <w:szCs w:val="24"/>
                <w:u w:val="none"/>
                <w:lang w:val="en-US" w:eastAsia="zh-CN" w:bidi="ar"/>
              </w:rPr>
              <w:t>Study population</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4790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i w:val="0"/>
                <w:iCs w:val="0"/>
                <w:color w:val="auto"/>
                <w:kern w:val="0"/>
                <w:sz w:val="24"/>
                <w:szCs w:val="24"/>
                <w:u w:val="none"/>
                <w:lang w:val="en-US" w:eastAsia="zh-CN" w:bidi="ar"/>
              </w:rPr>
              <w:t>12-19 years, NHANES 1988-1994</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C583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i w:val="0"/>
                <w:iCs w:val="0"/>
                <w:color w:val="auto"/>
                <w:kern w:val="0"/>
                <w:sz w:val="24"/>
                <w:szCs w:val="24"/>
                <w:u w:val="none"/>
                <w:lang w:val="en-US" w:eastAsia="zh-CN" w:bidi="ar"/>
              </w:rPr>
              <w:t>12-19 years, NHANES 1988-1994</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6D23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i w:val="0"/>
                <w:iCs w:val="0"/>
                <w:color w:val="auto"/>
                <w:kern w:val="0"/>
                <w:sz w:val="24"/>
                <w:szCs w:val="24"/>
                <w:u w:val="none"/>
                <w:lang w:val="en-US" w:eastAsia="zh-CN" w:bidi="ar"/>
              </w:rPr>
              <w:t>Obese children and adolescents between 4 and 20 years of age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83D6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cs="Times New Roman" w:eastAsiaTheme="minorEastAsia"/>
                <w:b w:val="0"/>
                <w:bCs w:val="0"/>
                <w:color w:val="auto"/>
                <w:kern w:val="2"/>
                <w:sz w:val="24"/>
                <w:szCs w:val="24"/>
                <w:lang w:val="en-US" w:eastAsia="zh-CN" w:bidi="ar-SA"/>
              </w:rPr>
            </w:pPr>
            <w:r>
              <w:rPr>
                <w:rFonts w:hint="default" w:ascii="Times New Roman" w:hAnsi="Times New Roman" w:cs="Times New Roman"/>
                <w:b w:val="0"/>
                <w:bCs w:val="0"/>
                <w:color w:val="auto"/>
                <w:kern w:val="2"/>
                <w:sz w:val="24"/>
                <w:szCs w:val="24"/>
                <w:lang w:val="en-US" w:eastAsia="zh-CN" w:bidi="ar-SA"/>
              </w:rPr>
              <w:t>Overweight children aged 8-13years with a family history for type 2 diabetes</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7789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cs="Times New Roman" w:eastAsiaTheme="minorEastAsia"/>
                <w:b w:val="0"/>
                <w:bCs w:val="0"/>
                <w:color w:val="auto"/>
                <w:kern w:val="2"/>
                <w:sz w:val="24"/>
                <w:szCs w:val="24"/>
                <w:lang w:val="en-US" w:eastAsia="zh-CN" w:bidi="ar-SA"/>
              </w:rPr>
            </w:pPr>
            <w:r>
              <w:rPr>
                <w:rFonts w:hint="default" w:ascii="Times New Roman" w:hAnsi="Times New Roman" w:eastAsia="Segoe UI" w:cs="Times New Roman"/>
                <w:b w:val="0"/>
                <w:bCs w:val="0"/>
                <w:i w:val="0"/>
                <w:iCs w:val="0"/>
                <w:color w:val="auto"/>
                <w:kern w:val="0"/>
                <w:sz w:val="24"/>
                <w:szCs w:val="24"/>
                <w:u w:val="none"/>
                <w:lang w:val="en-US" w:eastAsia="zh-CN" w:bidi="ar"/>
              </w:rPr>
              <w:t>12-19 years, NHANES 1999-2000</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4B91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cs="Times New Roman" w:eastAsiaTheme="minorEastAsia"/>
                <w:b w:val="0"/>
                <w:bCs w:val="0"/>
                <w:color w:val="auto"/>
                <w:kern w:val="2"/>
                <w:sz w:val="24"/>
                <w:szCs w:val="24"/>
                <w:lang w:val="en-US" w:eastAsia="zh-CN" w:bidi="ar-SA"/>
              </w:rPr>
            </w:pPr>
            <w:r>
              <w:rPr>
                <w:rFonts w:hint="default" w:ascii="Times New Roman" w:hAnsi="Times New Roman" w:eastAsia="Segoe UI" w:cs="Times New Roman"/>
                <w:b w:val="0"/>
                <w:bCs w:val="0"/>
                <w:i w:val="0"/>
                <w:iCs w:val="0"/>
                <w:color w:val="auto"/>
                <w:kern w:val="0"/>
                <w:sz w:val="24"/>
                <w:szCs w:val="24"/>
                <w:u w:val="none"/>
                <w:lang w:val="en-US" w:eastAsia="zh-CN" w:bidi="ar"/>
              </w:rPr>
              <w:t>12-17 years, NHANES 1999-2000</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A5A8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b w:val="0"/>
                <w:bCs w:val="0"/>
                <w:i w:val="0"/>
                <w:iCs w:val="0"/>
                <w:color w:val="auto"/>
                <w:kern w:val="0"/>
                <w:sz w:val="24"/>
                <w:szCs w:val="24"/>
                <w:u w:val="none"/>
                <w:lang w:val="en-US" w:eastAsia="zh-CN" w:bidi="ar"/>
              </w:rPr>
            </w:pPr>
            <w:r>
              <w:rPr>
                <w:rFonts w:hint="default" w:ascii="Times New Roman" w:hAnsi="Times New Roman" w:eastAsia="Segoe UI" w:cs="Times New Roman"/>
                <w:b w:val="0"/>
                <w:bCs w:val="0"/>
                <w:i w:val="0"/>
                <w:iCs w:val="0"/>
                <w:color w:val="auto"/>
                <w:kern w:val="0"/>
                <w:sz w:val="24"/>
                <w:szCs w:val="24"/>
                <w:u w:val="none"/>
                <w:lang w:val="en-US" w:eastAsia="zh-CN" w:bidi="ar"/>
              </w:rPr>
              <w:t>Children 2-18 years old of a nationally representative data set (NHANES 1999–2002), with subgroups of 12-18 years</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7308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i w:val="0"/>
                <w:iCs w:val="0"/>
                <w:color w:val="auto"/>
                <w:kern w:val="0"/>
                <w:sz w:val="24"/>
                <w:szCs w:val="24"/>
                <w:u w:val="none"/>
                <w:lang w:val="en-US" w:eastAsia="zh-CN" w:bidi="ar"/>
              </w:rPr>
              <w:t>Population-based survey in eight European countries, including children 2.0-10.9 year</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1F69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b w:val="0"/>
                <w:bCs w:val="0"/>
                <w:i w:val="0"/>
                <w:iCs w:val="0"/>
                <w:color w:val="auto"/>
                <w:kern w:val="0"/>
                <w:sz w:val="24"/>
                <w:szCs w:val="24"/>
                <w:u w:val="none"/>
                <w:lang w:val="en-US" w:eastAsia="zh-CN" w:bidi="ar"/>
              </w:rPr>
            </w:pPr>
            <w:r>
              <w:rPr>
                <w:rFonts w:hint="default" w:ascii="Times New Roman" w:hAnsi="Times New Roman" w:eastAsia="Segoe UI" w:cs="Times New Roman"/>
                <w:b w:val="0"/>
                <w:bCs w:val="0"/>
                <w:i w:val="0"/>
                <w:iCs w:val="0"/>
                <w:color w:val="auto"/>
                <w:kern w:val="0"/>
                <w:sz w:val="24"/>
                <w:szCs w:val="24"/>
                <w:u w:val="none"/>
                <w:lang w:val="en-US" w:eastAsia="zh-CN" w:bidi="ar"/>
              </w:rPr>
              <w:t>12-19 years, NHANES 1999-2018</w:t>
            </w:r>
          </w:p>
        </w:tc>
      </w:tr>
      <w:tr w14:paraId="32A71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B00C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b/>
                <w:bCs/>
                <w:i w:val="0"/>
                <w:iCs w:val="0"/>
                <w:color w:val="auto"/>
                <w:kern w:val="0"/>
                <w:sz w:val="24"/>
                <w:szCs w:val="24"/>
                <w:u w:val="none"/>
                <w:lang w:val="en-US" w:eastAsia="zh-CN" w:bidi="ar"/>
              </w:rPr>
              <w:t>Requirement of MS</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7ABB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i w:val="0"/>
                <w:iCs w:val="0"/>
                <w:color w:val="auto"/>
                <w:kern w:val="0"/>
                <w:sz w:val="24"/>
                <w:szCs w:val="24"/>
                <w:u w:val="none"/>
                <w:lang w:val="en-US" w:eastAsia="zh-CN" w:bidi="ar"/>
              </w:rPr>
              <w:t>≥3 criteria</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BB14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i w:val="0"/>
                <w:iCs w:val="0"/>
                <w:color w:val="auto"/>
                <w:kern w:val="0"/>
                <w:sz w:val="24"/>
                <w:szCs w:val="24"/>
                <w:u w:val="none"/>
                <w:lang w:val="en-US" w:eastAsia="zh-CN" w:bidi="ar"/>
              </w:rPr>
              <w:t>≥3 criteria</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BC4F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i w:val="0"/>
                <w:iCs w:val="0"/>
                <w:color w:val="auto"/>
                <w:kern w:val="0"/>
                <w:sz w:val="24"/>
                <w:szCs w:val="24"/>
                <w:u w:val="none"/>
                <w:lang w:val="en-US" w:eastAsia="zh-CN" w:bidi="ar"/>
              </w:rPr>
              <w:t>≥3 criteria</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40FE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≥3 criteria</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456D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≥3 criteria</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892E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≥3 criteria</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D0B1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≥3 criteria (Cook)</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4D36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i w:val="0"/>
                <w:iCs w:val="0"/>
                <w:color w:val="auto"/>
                <w:kern w:val="0"/>
                <w:sz w:val="24"/>
                <w:szCs w:val="24"/>
                <w:u w:val="none"/>
                <w:lang w:val="en-US" w:eastAsia="zh-CN" w:bidi="ar"/>
              </w:rPr>
              <w:t>≥3 criteria</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79F8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sz w:val="24"/>
                <w:szCs w:val="24"/>
                <w:u w:val="none"/>
              </w:rPr>
              <w:t>central obesity</w:t>
            </w:r>
            <w:r>
              <w:rPr>
                <w:rFonts w:hint="default" w:ascii="Times New Roman" w:hAnsi="Times New Roman" w:eastAsia="宋体" w:cs="Times New Roman"/>
                <w:i w:val="0"/>
                <w:iCs w:val="0"/>
                <w:color w:val="auto"/>
                <w:sz w:val="24"/>
                <w:szCs w:val="24"/>
                <w:u w:val="none"/>
                <w:lang w:val="en-US" w:eastAsia="zh-CN"/>
              </w:rPr>
              <w:t xml:space="preserve"> and presence of 2 or more other risk factors</w:t>
            </w:r>
          </w:p>
        </w:tc>
      </w:tr>
      <w:tr w14:paraId="0AF91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7729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b/>
                <w:bCs/>
                <w:i w:val="0"/>
                <w:iCs w:val="0"/>
                <w:color w:val="auto"/>
                <w:sz w:val="24"/>
                <w:szCs w:val="24"/>
                <w:u w:val="none"/>
              </w:rPr>
            </w:pPr>
            <w:r>
              <w:rPr>
                <w:rFonts w:hint="default" w:ascii="Times New Roman" w:hAnsi="Times New Roman" w:eastAsia="Segoe UI" w:cs="Times New Roman"/>
                <w:b/>
                <w:bCs/>
                <w:i w:val="0"/>
                <w:iCs w:val="0"/>
                <w:color w:val="auto"/>
                <w:kern w:val="0"/>
                <w:sz w:val="24"/>
                <w:szCs w:val="24"/>
                <w:u w:val="none"/>
                <w:lang w:val="en-US" w:eastAsia="zh-CN" w:bidi="ar"/>
              </w:rPr>
              <w:t>WC</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A718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sz w:val="24"/>
                <w:szCs w:val="24"/>
                <w:u w:val="none"/>
              </w:rPr>
            </w:pPr>
            <w:r>
              <w:rPr>
                <w:rFonts w:hint="default" w:ascii="Times New Roman" w:hAnsi="Times New Roman" w:eastAsia="Segoe UI" w:cs="Times New Roman"/>
                <w:i w:val="0"/>
                <w:iCs w:val="0"/>
                <w:color w:val="auto"/>
                <w:kern w:val="0"/>
                <w:sz w:val="24"/>
                <w:szCs w:val="24"/>
                <w:u w:val="none"/>
                <w:lang w:val="en-US" w:eastAsia="zh-CN" w:bidi="ar"/>
              </w:rPr>
              <w:t>≥90th percentile</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BEA6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≥75th percentile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2AD8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sz w:val="24"/>
                <w:szCs w:val="24"/>
                <w:u w:val="none"/>
              </w:rPr>
            </w:pPr>
            <w:r>
              <w:rPr>
                <w:rFonts w:hint="default" w:ascii="Times New Roman" w:hAnsi="Times New Roman" w:eastAsia="Segoe UI" w:cs="Times New Roman"/>
                <w:i w:val="0"/>
                <w:iCs w:val="0"/>
                <w:color w:val="auto"/>
                <w:kern w:val="0"/>
                <w:sz w:val="24"/>
                <w:szCs w:val="24"/>
                <w:u w:val="none"/>
                <w:lang w:val="en-US" w:eastAsia="zh-CN" w:bidi="ar"/>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734D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≥90th percentile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1639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i w:val="0"/>
                <w:iCs w:val="0"/>
                <w:color w:val="auto"/>
                <w:kern w:val="0"/>
                <w:sz w:val="24"/>
                <w:szCs w:val="24"/>
                <w:u w:val="none"/>
                <w:lang w:val="en-US" w:eastAsia="zh-CN" w:bidi="ar"/>
              </w:rPr>
              <w:t>≥90th percentile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96E8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i w:val="0"/>
                <w:iCs w:val="0"/>
                <w:color w:val="auto"/>
                <w:kern w:val="0"/>
                <w:sz w:val="24"/>
                <w:szCs w:val="24"/>
                <w:u w:val="none"/>
                <w:lang w:val="en-US" w:eastAsia="zh-CN" w:bidi="ar"/>
              </w:rPr>
              <w:t>≥90th percentile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D1F8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≥90th percentile</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0392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≥90th (95th) percentile</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7115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auto"/>
                <w:sz w:val="24"/>
                <w:szCs w:val="24"/>
                <w:u w:val="none"/>
                <w:lang w:val="en-US" w:eastAsia="zh-CN"/>
              </w:rPr>
            </w:pPr>
            <w:r>
              <w:rPr>
                <w:rFonts w:hint="default" w:ascii="Times New Roman" w:hAnsi="Times New Roman" w:eastAsia="Segoe UI" w:cs="Times New Roman"/>
                <w:i w:val="0"/>
                <w:iCs w:val="0"/>
                <w:color w:val="auto"/>
                <w:kern w:val="0"/>
                <w:sz w:val="24"/>
                <w:szCs w:val="24"/>
                <w:u w:val="none"/>
                <w:lang w:val="en-US" w:eastAsia="zh-CN" w:bidi="ar"/>
              </w:rPr>
              <w:t>≥</w:t>
            </w:r>
            <w:r>
              <w:rPr>
                <w:rFonts w:hint="default" w:ascii="Times New Roman" w:hAnsi="Times New Roman" w:eastAsia="Segoe UI" w:cs="Times New Roman"/>
                <w:i w:val="0"/>
                <w:iCs w:val="0"/>
                <w:color w:val="auto"/>
                <w:sz w:val="24"/>
                <w:szCs w:val="24"/>
                <w:u w:val="none"/>
              </w:rPr>
              <w:t>90th percentile for 10 to &lt;16 years</w:t>
            </w:r>
            <w:r>
              <w:rPr>
                <w:rFonts w:hint="default" w:ascii="Times New Roman" w:hAnsi="Times New Roman" w:eastAsia="宋体" w:cs="Times New Roman"/>
                <w:i w:val="0"/>
                <w:iCs w:val="0"/>
                <w:color w:val="auto"/>
                <w:sz w:val="24"/>
                <w:szCs w:val="24"/>
                <w:u w:val="none"/>
                <w:lang w:val="en-US" w:eastAsia="zh-CN"/>
              </w:rPr>
              <w:t>;</w:t>
            </w:r>
          </w:p>
          <w:p w14:paraId="132936A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sz w:val="24"/>
                <w:szCs w:val="24"/>
                <w:u w:val="none"/>
              </w:rPr>
              <w:t>&gt;102 cm in men and &gt;88 cm in women for 16 years</w:t>
            </w:r>
          </w:p>
        </w:tc>
      </w:tr>
      <w:tr w14:paraId="25BF3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9641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b/>
                <w:bCs/>
                <w:i w:val="0"/>
                <w:iCs w:val="0"/>
                <w:color w:val="auto"/>
                <w:sz w:val="24"/>
                <w:szCs w:val="24"/>
                <w:u w:val="none"/>
              </w:rPr>
            </w:pPr>
            <w:r>
              <w:rPr>
                <w:rFonts w:hint="default" w:ascii="Times New Roman" w:hAnsi="Times New Roman" w:eastAsia="Segoe UI" w:cs="Times New Roman"/>
                <w:b/>
                <w:bCs/>
                <w:i w:val="0"/>
                <w:iCs w:val="0"/>
                <w:color w:val="auto"/>
                <w:kern w:val="0"/>
                <w:sz w:val="24"/>
                <w:szCs w:val="24"/>
                <w:u w:val="none"/>
                <w:lang w:val="en-US" w:eastAsia="zh-CN" w:bidi="ar"/>
              </w:rPr>
              <w:t>SBP</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A4C4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sz w:val="24"/>
                <w:szCs w:val="24"/>
                <w:u w:val="none"/>
              </w:rPr>
            </w:pPr>
            <w:r>
              <w:rPr>
                <w:rFonts w:hint="default" w:ascii="Times New Roman" w:hAnsi="Times New Roman" w:eastAsia="Segoe UI" w:cs="Times New Roman"/>
                <w:i w:val="0"/>
                <w:iCs w:val="0"/>
                <w:color w:val="auto"/>
                <w:kern w:val="0"/>
                <w:sz w:val="24"/>
                <w:szCs w:val="24"/>
                <w:u w:val="none"/>
                <w:lang w:val="en-US" w:eastAsia="zh-CN" w:bidi="ar"/>
              </w:rPr>
              <w:t>≥90th percentile</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A7D4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≥90th percentile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3BA7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sz w:val="24"/>
                <w:szCs w:val="24"/>
                <w:u w:val="none"/>
              </w:rPr>
            </w:pPr>
            <w:r>
              <w:rPr>
                <w:rFonts w:hint="default" w:ascii="Times New Roman" w:hAnsi="Times New Roman" w:eastAsia="Segoe UI" w:cs="Times New Roman"/>
                <w:i w:val="0"/>
                <w:iCs w:val="0"/>
                <w:color w:val="auto"/>
                <w:kern w:val="0"/>
                <w:sz w:val="24"/>
                <w:szCs w:val="24"/>
                <w:u w:val="none"/>
                <w:lang w:val="en-US" w:eastAsia="zh-CN" w:bidi="ar"/>
              </w:rPr>
              <w:t>≥95th percentile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50D4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≥90th percentile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E6AE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i w:val="0"/>
                <w:iCs w:val="0"/>
                <w:color w:val="auto"/>
                <w:kern w:val="0"/>
                <w:sz w:val="24"/>
                <w:szCs w:val="24"/>
                <w:u w:val="none"/>
                <w:lang w:val="en-US" w:eastAsia="zh-CN" w:bidi="ar"/>
              </w:rPr>
              <w:t>≥90th percentile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FEF7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≥90th percentile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E655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≥90th percentile</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6A89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≥90th (95th) percentile</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9BF0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≥130 mmHg</w:t>
            </w:r>
          </w:p>
        </w:tc>
      </w:tr>
      <w:tr w14:paraId="67D52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1193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b/>
                <w:bCs/>
                <w:i w:val="0"/>
                <w:iCs w:val="0"/>
                <w:color w:val="auto"/>
                <w:sz w:val="24"/>
                <w:szCs w:val="24"/>
                <w:u w:val="none"/>
              </w:rPr>
            </w:pPr>
            <w:r>
              <w:rPr>
                <w:rFonts w:hint="default" w:ascii="Times New Roman" w:hAnsi="Times New Roman" w:eastAsia="Segoe UI" w:cs="Times New Roman"/>
                <w:b/>
                <w:bCs/>
                <w:i w:val="0"/>
                <w:iCs w:val="0"/>
                <w:color w:val="auto"/>
                <w:kern w:val="0"/>
                <w:sz w:val="24"/>
                <w:szCs w:val="24"/>
                <w:u w:val="none"/>
                <w:lang w:val="en-US" w:eastAsia="zh-CN" w:bidi="ar"/>
              </w:rPr>
              <w:t>DBP</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66DE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sz w:val="24"/>
                <w:szCs w:val="24"/>
                <w:u w:val="none"/>
              </w:rPr>
            </w:pPr>
            <w:r>
              <w:rPr>
                <w:rFonts w:hint="default" w:ascii="Times New Roman" w:hAnsi="Times New Roman" w:eastAsia="Segoe UI" w:cs="Times New Roman"/>
                <w:i w:val="0"/>
                <w:iCs w:val="0"/>
                <w:color w:val="auto"/>
                <w:kern w:val="0"/>
                <w:sz w:val="24"/>
                <w:szCs w:val="24"/>
                <w:u w:val="none"/>
                <w:lang w:val="en-US" w:eastAsia="zh-CN" w:bidi="ar"/>
              </w:rPr>
              <w:t>≥90th percentile</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83A7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≥90th percentile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0F1A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sz w:val="24"/>
                <w:szCs w:val="24"/>
                <w:u w:val="none"/>
              </w:rPr>
            </w:pPr>
            <w:r>
              <w:rPr>
                <w:rFonts w:hint="default" w:ascii="Times New Roman" w:hAnsi="Times New Roman" w:eastAsia="Segoe UI" w:cs="Times New Roman"/>
                <w:i w:val="0"/>
                <w:iCs w:val="0"/>
                <w:color w:val="auto"/>
                <w:kern w:val="0"/>
                <w:sz w:val="24"/>
                <w:szCs w:val="24"/>
                <w:u w:val="none"/>
                <w:lang w:val="en-US" w:eastAsia="zh-CN" w:bidi="ar"/>
              </w:rPr>
              <w:t>≥95th percentile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F609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≥90th percentile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B436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i w:val="0"/>
                <w:iCs w:val="0"/>
                <w:color w:val="auto"/>
                <w:kern w:val="0"/>
                <w:sz w:val="24"/>
                <w:szCs w:val="24"/>
                <w:u w:val="none"/>
                <w:lang w:val="en-US" w:eastAsia="zh-CN" w:bidi="ar"/>
              </w:rPr>
              <w:t>≥90th percentile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E28D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≥90th percentile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450A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≥90th percentile</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728D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≥90th (95th) percentile</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288B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≥85 mmHg</w:t>
            </w:r>
          </w:p>
        </w:tc>
      </w:tr>
      <w:tr w14:paraId="66FB6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4F20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b/>
                <w:bCs/>
                <w:i w:val="0"/>
                <w:iCs w:val="0"/>
                <w:color w:val="auto"/>
                <w:sz w:val="24"/>
                <w:szCs w:val="24"/>
                <w:u w:val="none"/>
              </w:rPr>
            </w:pPr>
            <w:r>
              <w:rPr>
                <w:rFonts w:hint="default" w:ascii="Times New Roman" w:hAnsi="Times New Roman" w:eastAsia="Segoe UI" w:cs="Times New Roman"/>
                <w:b/>
                <w:bCs/>
                <w:i w:val="0"/>
                <w:iCs w:val="0"/>
                <w:color w:val="auto"/>
                <w:kern w:val="0"/>
                <w:sz w:val="24"/>
                <w:szCs w:val="24"/>
                <w:u w:val="none"/>
                <w:lang w:val="en-US" w:eastAsia="zh-CN" w:bidi="ar"/>
              </w:rPr>
              <w:t>TG</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5BB3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sz w:val="24"/>
                <w:szCs w:val="24"/>
                <w:u w:val="none"/>
              </w:rPr>
            </w:pPr>
            <w:r>
              <w:rPr>
                <w:rFonts w:hint="default" w:ascii="Times New Roman" w:hAnsi="Times New Roman" w:eastAsia="Segoe UI" w:cs="Times New Roman"/>
                <w:i w:val="0"/>
                <w:iCs w:val="0"/>
                <w:color w:val="auto"/>
                <w:kern w:val="0"/>
                <w:sz w:val="24"/>
                <w:szCs w:val="24"/>
                <w:u w:val="none"/>
                <w:lang w:val="en-US" w:eastAsia="zh-CN" w:bidi="ar"/>
              </w:rPr>
              <w:t>≥1.24 mmol/L</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071B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≥1.1 mmol/L</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85DB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sz w:val="24"/>
                <w:szCs w:val="24"/>
                <w:u w:val="none"/>
              </w:rPr>
            </w:pPr>
            <w:r>
              <w:rPr>
                <w:rFonts w:hint="default" w:ascii="Times New Roman" w:hAnsi="Times New Roman" w:eastAsia="Segoe UI" w:cs="Times New Roman"/>
                <w:i w:val="0"/>
                <w:iCs w:val="0"/>
                <w:color w:val="auto"/>
                <w:kern w:val="0"/>
                <w:sz w:val="24"/>
                <w:szCs w:val="24"/>
                <w:u w:val="none"/>
                <w:lang w:val="en-US" w:eastAsia="zh-CN" w:bidi="ar"/>
              </w:rPr>
              <w:t>≥95th percentile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5A95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i w:val="0"/>
                <w:iCs w:val="0"/>
                <w:color w:val="auto"/>
                <w:kern w:val="0"/>
                <w:sz w:val="24"/>
                <w:szCs w:val="24"/>
                <w:u w:val="none"/>
                <w:lang w:val="en-US" w:eastAsia="zh-CN" w:bidi="ar"/>
              </w:rPr>
              <w:t>≥90th percentile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CCCF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i w:val="0"/>
                <w:iCs w:val="0"/>
                <w:color w:val="auto"/>
                <w:kern w:val="0"/>
                <w:sz w:val="24"/>
                <w:szCs w:val="24"/>
                <w:u w:val="none"/>
                <w:lang w:val="en-US" w:eastAsia="zh-CN" w:bidi="ar"/>
              </w:rPr>
              <w:t>≥110 mg/dl</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7AA2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≥110 mg/dl</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088A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≥110 mg/dl</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D0B1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≥90th (95th) percentile</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8430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w:t>
            </w:r>
            <w:r>
              <w:rPr>
                <w:rFonts w:hint="default" w:ascii="Times New Roman" w:hAnsi="Times New Roman" w:eastAsia="Segoe UI" w:cs="Times New Roman"/>
                <w:i w:val="0"/>
                <w:iCs w:val="0"/>
                <w:color w:val="auto"/>
                <w:sz w:val="24"/>
                <w:szCs w:val="24"/>
                <w:u w:val="none"/>
              </w:rPr>
              <w:t>150 mg/dL</w:t>
            </w:r>
          </w:p>
        </w:tc>
      </w:tr>
      <w:tr w14:paraId="5F115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FC68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b/>
                <w:bCs/>
                <w:i w:val="0"/>
                <w:iCs w:val="0"/>
                <w:color w:val="auto"/>
                <w:sz w:val="24"/>
                <w:szCs w:val="24"/>
                <w:u w:val="none"/>
              </w:rPr>
            </w:pPr>
            <w:r>
              <w:rPr>
                <w:rFonts w:hint="default" w:ascii="Times New Roman" w:hAnsi="Times New Roman" w:eastAsia="Segoe UI" w:cs="Times New Roman"/>
                <w:b/>
                <w:bCs/>
                <w:i w:val="0"/>
                <w:iCs w:val="0"/>
                <w:color w:val="auto"/>
                <w:kern w:val="0"/>
                <w:sz w:val="24"/>
                <w:szCs w:val="24"/>
                <w:u w:val="none"/>
                <w:lang w:val="en-US" w:eastAsia="zh-CN" w:bidi="ar"/>
              </w:rPr>
              <w:t>HDL-C</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4CFD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sz w:val="24"/>
                <w:szCs w:val="24"/>
                <w:u w:val="none"/>
              </w:rPr>
            </w:pPr>
            <w:r>
              <w:rPr>
                <w:rFonts w:hint="default" w:ascii="Times New Roman" w:hAnsi="Times New Roman" w:eastAsia="Segoe UI" w:cs="Times New Roman"/>
                <w:i w:val="0"/>
                <w:iCs w:val="0"/>
                <w:color w:val="auto"/>
                <w:kern w:val="0"/>
                <w:sz w:val="24"/>
                <w:szCs w:val="24"/>
                <w:u w:val="none"/>
                <w:lang w:val="en-US" w:eastAsia="zh-CN" w:bidi="ar"/>
              </w:rPr>
              <w:t>≤1.03 mmol/L</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2349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Style w:val="43"/>
                <w:rFonts w:hint="default" w:ascii="Times New Roman" w:hAnsi="Times New Roman" w:cs="Times New Roman"/>
                <w:color w:val="auto"/>
                <w:sz w:val="24"/>
                <w:szCs w:val="24"/>
                <w:lang w:val="en-US" w:eastAsia="zh-CN" w:bidi="ar"/>
              </w:rPr>
            </w:pPr>
            <w:r>
              <w:rPr>
                <w:rStyle w:val="43"/>
                <w:rFonts w:hint="default" w:ascii="Times New Roman" w:hAnsi="Times New Roman" w:cs="Times New Roman"/>
                <w:color w:val="auto"/>
                <w:sz w:val="24"/>
                <w:szCs w:val="24"/>
                <w:lang w:val="en-US" w:eastAsia="zh-CN" w:bidi="ar"/>
              </w:rPr>
              <w:t>≤1.3 mmol/L ;</w:t>
            </w:r>
          </w:p>
          <w:p w14:paraId="75FEA8B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 xml:space="preserve">≤1.17 mmol/L for boys aged 15–19 </w:t>
            </w:r>
            <w:r>
              <w:rPr>
                <w:rFonts w:hint="default" w:ascii="Times New Roman" w:hAnsi="Times New Roman" w:eastAsia="Segoe UI" w:cs="Times New Roman"/>
                <w:i w:val="0"/>
                <w:iCs w:val="0"/>
                <w:color w:val="auto"/>
                <w:sz w:val="24"/>
                <w:szCs w:val="24"/>
                <w:u w:val="none"/>
              </w:rPr>
              <w:t>years</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10E4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sz w:val="24"/>
                <w:szCs w:val="24"/>
                <w:u w:val="none"/>
              </w:rPr>
            </w:pPr>
            <w:r>
              <w:rPr>
                <w:rFonts w:hint="default" w:ascii="Times New Roman" w:hAnsi="Times New Roman" w:eastAsia="Segoe UI" w:cs="Times New Roman"/>
                <w:i w:val="0"/>
                <w:iCs w:val="0"/>
                <w:color w:val="auto"/>
                <w:kern w:val="0"/>
                <w:sz w:val="24"/>
                <w:szCs w:val="24"/>
                <w:u w:val="none"/>
                <w:lang w:val="en-US" w:eastAsia="zh-CN" w:bidi="ar"/>
              </w:rPr>
              <w:t>≤5th percentile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0613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≤10th percentile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F0BC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w:t>
            </w:r>
            <w:r>
              <w:rPr>
                <w:rFonts w:hint="default" w:ascii="Times New Roman" w:hAnsi="Times New Roman" w:eastAsia="Segoe UI" w:cs="Times New Roman"/>
                <w:i w:val="0"/>
                <w:iCs w:val="0"/>
                <w:color w:val="auto"/>
                <w:kern w:val="2"/>
                <w:sz w:val="24"/>
                <w:szCs w:val="24"/>
                <w:u w:val="none"/>
                <w:lang w:val="en-US" w:eastAsia="zh-CN" w:bidi="ar-SA"/>
              </w:rPr>
              <w:t>40 mg/dl</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4BE4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w:t>
            </w:r>
            <w:r>
              <w:rPr>
                <w:rFonts w:hint="default" w:ascii="Times New Roman" w:hAnsi="Times New Roman" w:eastAsia="Segoe UI" w:cs="Times New Roman"/>
                <w:i w:val="0"/>
                <w:iCs w:val="0"/>
                <w:color w:val="auto"/>
                <w:kern w:val="2"/>
                <w:sz w:val="24"/>
                <w:szCs w:val="24"/>
                <w:u w:val="none"/>
                <w:lang w:val="en-US" w:eastAsia="zh-CN" w:bidi="ar-SA"/>
              </w:rPr>
              <w:t>40 mg/dl</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F860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w:t>
            </w:r>
            <w:r>
              <w:rPr>
                <w:rFonts w:hint="default" w:ascii="Times New Roman" w:hAnsi="Times New Roman" w:eastAsia="Segoe UI" w:cs="Times New Roman"/>
                <w:i w:val="0"/>
                <w:iCs w:val="0"/>
                <w:color w:val="auto"/>
                <w:kern w:val="2"/>
                <w:sz w:val="24"/>
                <w:szCs w:val="24"/>
                <w:u w:val="none"/>
                <w:lang w:val="en-US" w:eastAsia="zh-CN" w:bidi="ar-SA"/>
              </w:rPr>
              <w:t>40 mg/dl</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8CFB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≤10th (5th) percentile</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E648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sz w:val="24"/>
                <w:szCs w:val="24"/>
                <w:u w:val="none"/>
              </w:rPr>
            </w:pPr>
            <w:r>
              <w:rPr>
                <w:rFonts w:hint="default" w:ascii="Times New Roman" w:hAnsi="Times New Roman" w:eastAsia="Segoe UI" w:cs="Times New Roman"/>
                <w:i w:val="0"/>
                <w:iCs w:val="0"/>
                <w:color w:val="auto"/>
                <w:sz w:val="24"/>
                <w:szCs w:val="24"/>
                <w:u w:val="none"/>
              </w:rPr>
              <w:t>&lt;40 mg/dL for 10 to &lt;16 years</w:t>
            </w:r>
            <w:r>
              <w:rPr>
                <w:rFonts w:hint="default" w:ascii="Times New Roman" w:hAnsi="Times New Roman" w:eastAsia="宋体" w:cs="Times New Roman"/>
                <w:i w:val="0"/>
                <w:iCs w:val="0"/>
                <w:color w:val="auto"/>
                <w:sz w:val="24"/>
                <w:szCs w:val="24"/>
                <w:u w:val="none"/>
                <w:lang w:val="en-US" w:eastAsia="zh-CN"/>
              </w:rPr>
              <w:t>;</w:t>
            </w:r>
          </w:p>
          <w:p w14:paraId="74AECA0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sz w:val="24"/>
                <w:szCs w:val="24"/>
                <w:u w:val="none"/>
              </w:rPr>
              <w:t>&lt;40 mg/dL in men and &lt;50 mg/dL in women for16 years</w:t>
            </w:r>
          </w:p>
        </w:tc>
      </w:tr>
      <w:tr w14:paraId="3DA62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D06F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b/>
                <w:bCs/>
                <w:i w:val="0"/>
                <w:iCs w:val="0"/>
                <w:color w:val="auto"/>
                <w:sz w:val="24"/>
                <w:szCs w:val="24"/>
                <w:u w:val="none"/>
              </w:rPr>
            </w:pPr>
            <w:r>
              <w:rPr>
                <w:rFonts w:hint="default" w:ascii="Times New Roman" w:hAnsi="Times New Roman" w:eastAsia="Segoe UI" w:cs="Times New Roman"/>
                <w:b/>
                <w:bCs/>
                <w:i w:val="0"/>
                <w:iCs w:val="0"/>
                <w:color w:val="auto"/>
                <w:kern w:val="0"/>
                <w:sz w:val="24"/>
                <w:szCs w:val="24"/>
                <w:u w:val="none"/>
                <w:lang w:val="en-US" w:eastAsia="zh-CN" w:bidi="ar"/>
              </w:rPr>
              <w:t>Glucose</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50A6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sz w:val="24"/>
                <w:szCs w:val="24"/>
                <w:u w:val="none"/>
              </w:rPr>
            </w:pPr>
            <w:r>
              <w:rPr>
                <w:rFonts w:hint="default" w:ascii="Times New Roman" w:hAnsi="Times New Roman" w:eastAsia="Segoe UI" w:cs="Times New Roman"/>
                <w:i w:val="0"/>
                <w:iCs w:val="0"/>
                <w:color w:val="auto"/>
                <w:kern w:val="0"/>
                <w:sz w:val="24"/>
                <w:szCs w:val="24"/>
                <w:u w:val="none"/>
                <w:lang w:val="en-US" w:eastAsia="zh-CN" w:bidi="ar"/>
              </w:rPr>
              <w:t>FG≥6.11 mmol/L</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795C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FG≥6.1 mmol/L</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8B76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sz w:val="24"/>
                <w:szCs w:val="24"/>
                <w:u w:val="none"/>
              </w:rPr>
            </w:pPr>
            <w:r>
              <w:rPr>
                <w:rFonts w:hint="default" w:ascii="Times New Roman" w:hAnsi="Times New Roman" w:eastAsia="Segoe UI" w:cs="Times New Roman"/>
                <w:i w:val="0"/>
                <w:iCs w:val="0"/>
                <w:color w:val="auto"/>
                <w:kern w:val="0"/>
                <w:sz w:val="24"/>
                <w:szCs w:val="24"/>
                <w:u w:val="none"/>
                <w:lang w:val="en-US" w:eastAsia="zh-CN" w:bidi="ar"/>
              </w:rPr>
              <w:t>GI (ADA criteria)</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1292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2"/>
                <w:sz w:val="24"/>
                <w:szCs w:val="24"/>
                <w:u w:val="none"/>
                <w:lang w:val="en-US" w:eastAsia="zh-CN" w:bidi="ar-SA"/>
              </w:rPr>
              <w:t xml:space="preserve">impaired glucose tolerance </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76DE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w:t>
            </w:r>
            <w:r>
              <w:rPr>
                <w:rFonts w:hint="default" w:ascii="Times New Roman" w:hAnsi="Times New Roman" w:eastAsia="Segoe UI" w:cs="Times New Roman"/>
                <w:i w:val="0"/>
                <w:iCs w:val="0"/>
                <w:color w:val="auto"/>
                <w:kern w:val="2"/>
                <w:sz w:val="24"/>
                <w:szCs w:val="24"/>
                <w:u w:val="none"/>
                <w:lang w:val="en-US" w:eastAsia="zh-CN" w:bidi="ar-SA"/>
              </w:rPr>
              <w:t>110 mg/dl</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2372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w:t>
            </w:r>
            <w:r>
              <w:rPr>
                <w:rFonts w:hint="default" w:ascii="Times New Roman" w:hAnsi="Times New Roman" w:eastAsia="Segoe UI" w:cs="Times New Roman"/>
                <w:i w:val="0"/>
                <w:iCs w:val="0"/>
                <w:color w:val="auto"/>
                <w:kern w:val="2"/>
                <w:sz w:val="24"/>
                <w:szCs w:val="24"/>
                <w:u w:val="none"/>
                <w:lang w:val="en-US" w:eastAsia="zh-CN" w:bidi="ar-SA"/>
              </w:rPr>
              <w:t>110 mg/dl</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62CE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w:t>
            </w:r>
            <w:r>
              <w:rPr>
                <w:rFonts w:hint="default" w:ascii="Times New Roman" w:hAnsi="Times New Roman" w:eastAsia="Segoe UI" w:cs="Times New Roman"/>
                <w:i w:val="0"/>
                <w:iCs w:val="0"/>
                <w:color w:val="auto"/>
                <w:kern w:val="2"/>
                <w:sz w:val="24"/>
                <w:szCs w:val="24"/>
                <w:u w:val="none"/>
                <w:lang w:val="en-US" w:eastAsia="zh-CN" w:bidi="ar-SA"/>
              </w:rPr>
              <w:t>100 mg/dl</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9BDB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FG or HOMA-IR&gt;90th (95th) percentile</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BE77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w:t>
            </w:r>
            <w:r>
              <w:rPr>
                <w:rFonts w:hint="default" w:ascii="Times New Roman" w:hAnsi="Times New Roman" w:eastAsia="Segoe UI" w:cs="Times New Roman"/>
                <w:i w:val="0"/>
                <w:iCs w:val="0"/>
                <w:color w:val="auto"/>
                <w:sz w:val="24"/>
                <w:szCs w:val="24"/>
                <w:u w:val="none"/>
              </w:rPr>
              <w:t>100 mg/dL</w:t>
            </w:r>
          </w:p>
        </w:tc>
      </w:tr>
      <w:tr w14:paraId="65C91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6BFF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b/>
                <w:bCs/>
                <w:i w:val="0"/>
                <w:iCs w:val="0"/>
                <w:color w:val="auto"/>
                <w:sz w:val="24"/>
                <w:szCs w:val="24"/>
                <w:u w:val="none"/>
              </w:rPr>
            </w:pPr>
            <w:r>
              <w:rPr>
                <w:rFonts w:hint="default" w:ascii="Times New Roman" w:hAnsi="Times New Roman" w:eastAsia="Segoe UI" w:cs="Times New Roman"/>
                <w:b/>
                <w:bCs/>
                <w:i w:val="0"/>
                <w:iCs w:val="0"/>
                <w:color w:val="auto"/>
                <w:kern w:val="0"/>
                <w:sz w:val="24"/>
                <w:szCs w:val="24"/>
                <w:u w:val="none"/>
                <w:lang w:val="en-US" w:eastAsia="zh-CN" w:bidi="ar"/>
              </w:rPr>
              <w:t>BMI</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333C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sz w:val="24"/>
                <w:szCs w:val="24"/>
                <w:u w:val="none"/>
              </w:rPr>
            </w:pPr>
            <w:r>
              <w:rPr>
                <w:rFonts w:hint="default" w:ascii="Times New Roman" w:hAnsi="Times New Roman" w:eastAsia="Segoe UI" w:cs="Times New Roman"/>
                <w:i w:val="0"/>
                <w:iCs w:val="0"/>
                <w:color w:val="auto"/>
                <w:kern w:val="0"/>
                <w:sz w:val="24"/>
                <w:szCs w:val="24"/>
                <w:u w:val="none"/>
                <w:lang w:val="en-US" w:eastAsia="zh-CN" w:bidi="ar"/>
              </w:rPr>
              <w:t>–</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4D50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5A27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sz w:val="24"/>
                <w:szCs w:val="24"/>
                <w:u w:val="none"/>
              </w:rPr>
            </w:pPr>
            <w:r>
              <w:rPr>
                <w:rFonts w:hint="default" w:ascii="Times New Roman" w:hAnsi="Times New Roman" w:eastAsia="Segoe UI" w:cs="Times New Roman"/>
                <w:i w:val="0"/>
                <w:iCs w:val="0"/>
                <w:color w:val="auto"/>
                <w:kern w:val="0"/>
                <w:sz w:val="24"/>
                <w:szCs w:val="24"/>
                <w:u w:val="none"/>
                <w:lang w:val="en-US" w:eastAsia="zh-CN" w:bidi="ar"/>
              </w:rPr>
              <w:t>z-score≥2</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337C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C60E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A3B5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E9C5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84A6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61AC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w:t>
            </w:r>
          </w:p>
        </w:tc>
      </w:tr>
      <w:tr w14:paraId="0096C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21F7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b/>
                <w:bCs/>
                <w:i w:val="0"/>
                <w:iCs w:val="0"/>
                <w:color w:val="auto"/>
                <w:kern w:val="0"/>
                <w:sz w:val="24"/>
                <w:szCs w:val="24"/>
                <w:u w:val="none"/>
                <w:lang w:val="en-US" w:eastAsia="zh-CN" w:bidi="ar"/>
              </w:rPr>
            </w:pPr>
            <w:r>
              <w:rPr>
                <w:rFonts w:hint="default" w:ascii="Times New Roman" w:hAnsi="Times New Roman" w:eastAsia="Segoe UI" w:cs="Times New Roman"/>
                <w:b/>
                <w:bCs/>
                <w:i w:val="0"/>
                <w:iCs w:val="0"/>
                <w:color w:val="auto"/>
                <w:kern w:val="0"/>
                <w:sz w:val="24"/>
                <w:szCs w:val="24"/>
                <w:u w:val="none"/>
                <w:lang w:val="en-US" w:eastAsia="zh-CN" w:bidi="ar"/>
              </w:rPr>
              <w:t>Prevalence of MS according to study</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6925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i w:val="0"/>
                <w:iCs w:val="0"/>
                <w:color w:val="auto"/>
                <w:kern w:val="0"/>
                <w:sz w:val="24"/>
                <w:szCs w:val="24"/>
                <w:u w:val="none"/>
                <w:lang w:val="en-US" w:eastAsia="zh-CN" w:bidi="ar"/>
              </w:rPr>
              <w:t>Overall prevalence was 4.2%; 6.1% of males and 2.1% of females were affected (P=0.01).</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3CA7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i w:val="0"/>
                <w:iCs w:val="0"/>
                <w:color w:val="auto"/>
                <w:kern w:val="0"/>
                <w:sz w:val="24"/>
                <w:szCs w:val="24"/>
                <w:u w:val="none"/>
                <w:lang w:val="en-US" w:eastAsia="zh-CN" w:bidi="ar"/>
              </w:rPr>
              <w:t>9.2% qualified as having MS; Prevalence was comparable for boys and girls (9.5% vs 8.9% ) and for older and younger adolescents (8.3% vs 10.3%).</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A1CC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i w:val="0"/>
                <w:iCs w:val="0"/>
                <w:color w:val="auto"/>
                <w:kern w:val="0"/>
                <w:sz w:val="24"/>
                <w:szCs w:val="24"/>
                <w:u w:val="none"/>
                <w:lang w:val="en-US" w:eastAsia="zh-CN" w:bidi="ar"/>
              </w:rPr>
              <w:t>The overall prevalence of the MS was 38.7% in moderately obese subjects and 49.7% in severely obese subjects.</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0D40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2"/>
                <w:sz w:val="24"/>
                <w:szCs w:val="24"/>
                <w:u w:val="none"/>
                <w:lang w:val="en-US" w:eastAsia="zh-CN" w:bidi="ar-SA"/>
              </w:rPr>
              <w:t xml:space="preserve">30.2% of overweight Hispanic subjects with three or more components of the </w:t>
            </w:r>
            <w:r>
              <w:rPr>
                <w:rFonts w:hint="default" w:ascii="Times New Roman" w:hAnsi="Times New Roman" w:eastAsia="Segoe UI" w:cs="Times New Roman"/>
                <w:i w:val="0"/>
                <w:iCs w:val="0"/>
                <w:color w:val="auto"/>
                <w:kern w:val="0"/>
                <w:sz w:val="24"/>
                <w:szCs w:val="24"/>
                <w:u w:val="none"/>
                <w:lang w:val="en-US" w:eastAsia="zh-CN" w:bidi="ar"/>
              </w:rPr>
              <w:t>MS</w:t>
            </w:r>
            <w:r>
              <w:rPr>
                <w:rFonts w:hint="default" w:ascii="Times New Roman" w:hAnsi="Times New Roman" w:eastAsia="Segoe UI" w:cs="Times New Roman"/>
                <w:i w:val="0"/>
                <w:iCs w:val="0"/>
                <w:color w:val="auto"/>
                <w:kern w:val="2"/>
                <w:sz w:val="24"/>
                <w:szCs w:val="24"/>
                <w:u w:val="none"/>
                <w:lang w:val="en-US" w:eastAsia="zh-CN" w:bidi="ar-SA"/>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9CC4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 xml:space="preserve">Overall prevalence was </w:t>
            </w:r>
            <w:r>
              <w:rPr>
                <w:rFonts w:hint="default" w:ascii="Times New Roman" w:hAnsi="Times New Roman" w:eastAsia="Segoe UI" w:cs="Times New Roman"/>
                <w:i w:val="0"/>
                <w:iCs w:val="0"/>
                <w:color w:val="auto"/>
                <w:kern w:val="2"/>
                <w:sz w:val="24"/>
                <w:szCs w:val="24"/>
                <w:u w:val="none"/>
                <w:lang w:val="en-US" w:eastAsia="zh-CN" w:bidi="ar-SA"/>
              </w:rPr>
              <w:t>6.4%;</w:t>
            </w:r>
          </w:p>
          <w:p w14:paraId="458CF25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0"/>
                <w:sz w:val="24"/>
                <w:szCs w:val="24"/>
                <w:u w:val="none"/>
                <w:lang w:val="en-US" w:eastAsia="zh-CN" w:bidi="ar"/>
              </w:rPr>
              <w:t>MS</w:t>
            </w:r>
            <w:r>
              <w:rPr>
                <w:rFonts w:hint="default" w:ascii="Times New Roman" w:hAnsi="Times New Roman" w:eastAsia="Segoe UI" w:cs="Times New Roman"/>
                <w:i w:val="0"/>
                <w:iCs w:val="0"/>
                <w:color w:val="auto"/>
                <w:kern w:val="2"/>
                <w:sz w:val="24"/>
                <w:szCs w:val="24"/>
                <w:u w:val="none"/>
                <w:lang w:val="en-US" w:eastAsia="zh-CN" w:bidi="ar-SA"/>
              </w:rPr>
              <w:t xml:space="preserve"> was more common in male (9.1%) than in female (3.7%) adolescents (P&lt;0.01).</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4A7A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2"/>
                <w:sz w:val="24"/>
                <w:szCs w:val="24"/>
                <w:u w:val="none"/>
                <w:lang w:val="en-US" w:eastAsia="zh-CN" w:bidi="ar-SA"/>
              </w:rPr>
              <w:t>The MS prevalence was 5.2%; 6.3% among males and 4.1% among females (P = 0.233).</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389D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b w:val="0"/>
                <w:bCs w:val="0"/>
                <w:i w:val="0"/>
                <w:iCs w:val="0"/>
                <w:color w:val="auto"/>
                <w:kern w:val="0"/>
                <w:sz w:val="24"/>
                <w:szCs w:val="24"/>
                <w:u w:val="none"/>
                <w:lang w:val="en-US" w:eastAsia="zh-CN" w:bidi="ar"/>
              </w:rPr>
              <w:t>Subgroups aged</w:t>
            </w:r>
            <w:r>
              <w:rPr>
                <w:rFonts w:hint="default" w:ascii="Times New Roman" w:hAnsi="Times New Roman" w:eastAsia="Segoe UI" w:cs="Times New Roman"/>
                <w:i w:val="0"/>
                <w:iCs w:val="0"/>
                <w:color w:val="auto"/>
                <w:kern w:val="2"/>
                <w:sz w:val="24"/>
                <w:szCs w:val="24"/>
                <w:u w:val="none"/>
                <w:lang w:val="en-US" w:eastAsia="zh-CN" w:bidi="ar-SA"/>
              </w:rPr>
              <w:t xml:space="preserve"> 12-18 years who were not overweight or obese: 0.7%;</w:t>
            </w:r>
          </w:p>
          <w:p w14:paraId="36C46F7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2"/>
                <w:sz w:val="24"/>
                <w:szCs w:val="24"/>
                <w:u w:val="none"/>
                <w:lang w:val="en-US" w:eastAsia="zh-CN" w:bidi="ar-SA"/>
              </w:rPr>
            </w:pPr>
            <w:r>
              <w:rPr>
                <w:rFonts w:hint="default" w:ascii="Times New Roman" w:hAnsi="Times New Roman" w:eastAsia="Segoe UI" w:cs="Times New Roman"/>
                <w:i w:val="0"/>
                <w:iCs w:val="0"/>
                <w:color w:val="auto"/>
                <w:kern w:val="2"/>
                <w:sz w:val="24"/>
                <w:szCs w:val="24"/>
                <w:u w:val="none"/>
                <w:lang w:val="en-US" w:eastAsia="zh-CN" w:bidi="ar-SA"/>
              </w:rPr>
              <w:t>those who were classified to be overweight or obese: 23%.</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3AC9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Segoe UI" w:cs="Times New Roman"/>
                <w:i w:val="0"/>
                <w:iCs w:val="0"/>
                <w:color w:val="auto"/>
                <w:kern w:val="0"/>
                <w:sz w:val="24"/>
                <w:szCs w:val="24"/>
                <w:u w:val="none"/>
                <w:lang w:val="en-US" w:eastAsia="zh-CN" w:bidi="ar"/>
              </w:rPr>
            </w:pPr>
            <w:r>
              <w:rPr>
                <w:rFonts w:hint="default" w:ascii="Times New Roman" w:hAnsi="Times New Roman" w:eastAsia="Segoe UI" w:cs="Times New Roman"/>
                <w:i w:val="0"/>
                <w:iCs w:val="0"/>
                <w:color w:val="auto"/>
                <w:kern w:val="0"/>
                <w:sz w:val="24"/>
                <w:szCs w:val="24"/>
                <w:u w:val="none"/>
                <w:lang w:val="en-US" w:eastAsia="zh-CN" w:bidi="ar"/>
              </w:rPr>
              <w:t>Among the various definitions, the highest prevalence (5.5%) was obtained with proposed new definition requiring close observation (monitoring level); While more conservative definition, requiring intervention gives a prevalence of 1.8%.</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E37B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sz w:val="24"/>
                <w:szCs w:val="24"/>
                <w:u w:val="none"/>
                <w:lang w:val="en-US" w:eastAsia="zh-CN"/>
              </w:rPr>
              <w:t>The prevalence of MS remained stable at 4.36% (female 3.44%, male 5.53%), whereas prevalence trends of subcomponents were varied.</w:t>
            </w:r>
          </w:p>
        </w:tc>
      </w:tr>
    </w:tbl>
    <w:p w14:paraId="50681A64">
      <w:pPr>
        <w:spacing w:line="240" w:lineRule="auto"/>
        <w:jc w:val="left"/>
        <w:rPr>
          <w:rFonts w:hint="default" w:ascii="Times New Roman" w:hAnsi="Times New Roman" w:cs="Times New Roman"/>
          <w:b w:val="0"/>
          <w:bCs w:val="0"/>
          <w:color w:val="auto"/>
          <w:sz w:val="21"/>
          <w:szCs w:val="24"/>
          <w:lang w:val="en-US" w:eastAsia="zh-CN"/>
        </w:rPr>
        <w:sectPr>
          <w:pgSz w:w="16838" w:h="11906" w:orient="landscape"/>
          <w:pgMar w:top="1800" w:right="1440" w:bottom="1800" w:left="1440" w:header="851" w:footer="992" w:gutter="0"/>
          <w:lnNumType w:countBy="1" w:restart="continuous"/>
          <w:cols w:space="425" w:num="1"/>
          <w:docGrid w:type="lines" w:linePitch="312" w:charSpace="0"/>
        </w:sectPr>
      </w:pPr>
      <w:r>
        <w:rPr>
          <w:rFonts w:hint="default" w:ascii="Times New Roman" w:hAnsi="Times New Roman" w:cs="Times New Roman"/>
          <w:b w:val="0"/>
          <w:bCs w:val="0"/>
          <w:color w:val="auto"/>
          <w:sz w:val="21"/>
          <w:szCs w:val="24"/>
          <w:lang w:val="en-US" w:eastAsia="zh-CN"/>
        </w:rPr>
        <w:t>BMI=body mass index; DBP=diastolic blood pressure; FG=fasting glucose; GI=glucose intolerance; HDL-C=high-density lipoprotein cholesterol; HOMA-IR=Homeostatic Model Assessment of Insulin Resistance; MS=metabolic syndrome; NHANES=National Health and Nutrition Examination Survey; SBP=systolic blood pressure; TG=triglycerides; WC=waist circumference.</w:t>
      </w:r>
    </w:p>
    <w:p w14:paraId="60F8F053">
      <w:pPr>
        <w:pStyle w:val="2"/>
        <w:keepNext/>
        <w:keepLines/>
        <w:pageBreakBefore/>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bCs/>
          <w:color w:val="auto"/>
          <w:sz w:val="24"/>
          <w:szCs w:val="24"/>
          <w:lang w:val="en-US" w:eastAsia="zh-CN"/>
        </w:rPr>
      </w:pPr>
      <w:bookmarkStart w:id="14" w:name="_Toc11746"/>
      <w:bookmarkStart w:id="15" w:name="_Toc27929"/>
      <w:r>
        <w:rPr>
          <w:rFonts w:hint="default" w:ascii="Times New Roman" w:hAnsi="Times New Roman" w:cs="Times New Roman"/>
          <w:b/>
          <w:bCs/>
          <w:color w:val="auto"/>
          <w:sz w:val="24"/>
          <w:szCs w:val="24"/>
          <w:lang w:val="en-US" w:eastAsia="zh-CN"/>
        </w:rPr>
        <w:t>Figure S1. Study Flowchart</w:t>
      </w:r>
      <w:bookmarkEnd w:id="14"/>
      <w:bookmarkEnd w:id="15"/>
    </w:p>
    <w:p w14:paraId="5D393963">
      <w:pPr>
        <w:bidi w:val="0"/>
        <w:spacing w:line="480" w:lineRule="auto"/>
        <w:jc w:val="center"/>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5274310" cy="3066415"/>
            <wp:effectExtent l="0" t="0" r="13970" b="1206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5"/>
                    <a:stretch>
                      <a:fillRect/>
                    </a:stretch>
                  </pic:blipFill>
                  <pic:spPr>
                    <a:xfrm>
                      <a:off x="0" y="0"/>
                      <a:ext cx="5274310" cy="3066415"/>
                    </a:xfrm>
                    <a:prstGeom prst="rect">
                      <a:avLst/>
                    </a:prstGeom>
                    <a:noFill/>
                    <a:ln>
                      <a:noFill/>
                    </a:ln>
                  </pic:spPr>
                </pic:pic>
              </a:graphicData>
            </a:graphic>
          </wp:inline>
        </w:drawing>
      </w:r>
    </w:p>
    <w:p w14:paraId="78E32E46">
      <w:pPr>
        <w:spacing w:line="240" w:lineRule="auto"/>
        <w:jc w:val="left"/>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BMI=body mass index; BP=blood pressure; DBP=diastolic blood pressure; FPG=fasting plasma glucose; HDL-C=high-density lipoprotein cholesterol; NHANES=National Health and Nutrition Examination Survey; SBP=systolic blood pressure; TG=triglycerides; WC=waist circumference.</w:t>
      </w:r>
    </w:p>
    <w:p w14:paraId="0D1D39F1">
      <w:pPr>
        <w:spacing w:line="240" w:lineRule="auto"/>
        <w:jc w:val="left"/>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vertAlign w:val="superscript"/>
          <w:lang w:val="en-US" w:eastAsia="zh-CN"/>
        </w:rPr>
        <w:t xml:space="preserve">a </w:t>
      </w:r>
      <w:r>
        <w:rPr>
          <w:rFonts w:hint="default" w:ascii="Times New Roman" w:hAnsi="Times New Roman" w:cs="Times New Roman"/>
          <w:b w:val="0"/>
          <w:bCs w:val="0"/>
          <w:color w:val="auto"/>
          <w:sz w:val="21"/>
          <w:szCs w:val="21"/>
          <w:lang w:val="en-US" w:eastAsia="zh-CN"/>
        </w:rPr>
        <w:t>A subset of participants were randomly selected to attend the morning session after an overnight fast in the National Health and Nutrition Examination Survey (NHANES).</w:t>
      </w:r>
    </w:p>
    <w:p w14:paraId="5B38BDA3">
      <w:pPr>
        <w:spacing w:line="240" w:lineRule="auto"/>
        <w:jc w:val="left"/>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vertAlign w:val="superscript"/>
          <w:lang w:val="en-US" w:eastAsia="zh-CN"/>
        </w:rPr>
        <w:t>b</w:t>
      </w:r>
      <w:r>
        <w:rPr>
          <w:rFonts w:hint="default" w:ascii="Times New Roman" w:hAnsi="Times New Roman" w:cs="Times New Roman"/>
          <w:b w:val="0"/>
          <w:bCs w:val="0"/>
          <w:color w:val="auto"/>
          <w:sz w:val="21"/>
          <w:szCs w:val="21"/>
          <w:lang w:val="en-US" w:eastAsia="zh-CN"/>
        </w:rPr>
        <w:t xml:space="preserve"> Multiple exclusions may apply to one participant, so the sum of the numbers in each criterion may be greater than the total number excluded.</w:t>
      </w:r>
    </w:p>
    <w:p w14:paraId="78644332">
      <w:pPr>
        <w:spacing w:line="240" w:lineRule="auto"/>
        <w:jc w:val="left"/>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vertAlign w:val="superscript"/>
          <w:lang w:val="en-US" w:eastAsia="zh-CN"/>
        </w:rPr>
        <w:t>c</w:t>
      </w:r>
      <w:r>
        <w:rPr>
          <w:rFonts w:hint="default" w:ascii="Times New Roman" w:hAnsi="Times New Roman" w:cs="Times New Roman"/>
          <w:b w:val="0"/>
          <w:bCs w:val="0"/>
          <w:color w:val="auto"/>
          <w:sz w:val="21"/>
          <w:szCs w:val="21"/>
          <w:lang w:val="en-US" w:eastAsia="zh-CN"/>
        </w:rPr>
        <w:t xml:space="preserve"> There were at most four measurements for SBP and DBP. This study </w:t>
      </w:r>
      <w:r>
        <w:rPr>
          <w:rFonts w:hint="default" w:ascii="Times New Roman" w:hAnsi="Times New Roman" w:eastAsia="等线" w:cs="Times New Roman"/>
          <w:color w:val="auto"/>
          <w:szCs w:val="21"/>
          <w:lang w:val="en-US"/>
        </w:rPr>
        <w:t>obtained</w:t>
      </w:r>
      <w:r>
        <w:rPr>
          <w:rFonts w:hint="default" w:ascii="Times New Roman" w:hAnsi="Times New Roman" w:eastAsia="等线" w:cs="Times New Roman"/>
          <w:b w:val="0"/>
          <w:bCs w:val="0"/>
          <w:color w:val="auto"/>
          <w:sz w:val="21"/>
          <w:szCs w:val="21"/>
          <w:lang w:val="en-US" w:eastAsia="zh-CN"/>
          <w14:ligatures w14:val="standardContextual"/>
        </w:rPr>
        <w:t xml:space="preserve"> </w:t>
      </w:r>
      <w:r>
        <w:rPr>
          <w:rFonts w:hint="default" w:ascii="Times New Roman" w:hAnsi="Times New Roman" w:cs="Times New Roman"/>
          <w:b w:val="0"/>
          <w:bCs w:val="0"/>
          <w:color w:val="auto"/>
          <w:sz w:val="21"/>
          <w:szCs w:val="21"/>
          <w:lang w:val="en-US" w:eastAsia="zh-CN"/>
        </w:rPr>
        <w:t xml:space="preserve">the average BP values by averaging all the recorded </w:t>
      </w:r>
      <w:r>
        <w:rPr>
          <w:rFonts w:hint="default" w:ascii="Times New Roman" w:hAnsi="Times New Roman" w:eastAsia="等线" w:cs="Times New Roman"/>
          <w:color w:val="auto"/>
          <w:szCs w:val="21"/>
          <w:lang w:val="en-US"/>
        </w:rPr>
        <w:t>values</w:t>
      </w:r>
      <w:r>
        <w:rPr>
          <w:rFonts w:hint="default" w:ascii="Times New Roman" w:hAnsi="Times New Roman" w:cs="Times New Roman"/>
          <w:b w:val="0"/>
          <w:bCs w:val="0"/>
          <w:color w:val="auto"/>
          <w:sz w:val="21"/>
          <w:szCs w:val="21"/>
          <w:lang w:val="en-US" w:eastAsia="zh-CN"/>
        </w:rPr>
        <w:t xml:space="preserve">. A total of 366 people had no measured values for either SBP or DBP. </w:t>
      </w:r>
    </w:p>
    <w:p w14:paraId="700B9D2E">
      <w:pPr>
        <w:bidi w:val="0"/>
        <w:spacing w:line="240" w:lineRule="auto"/>
        <w:jc w:val="center"/>
        <w:rPr>
          <w:rFonts w:hint="default" w:ascii="Times New Roman" w:hAnsi="Times New Roman" w:cs="Times New Roman"/>
          <w:color w:val="auto"/>
          <w:sz w:val="21"/>
          <w:szCs w:val="21"/>
        </w:rPr>
        <w:sectPr>
          <w:pgSz w:w="11906" w:h="16838"/>
          <w:pgMar w:top="1440" w:right="1800" w:bottom="1440" w:left="1800" w:header="851" w:footer="992" w:gutter="0"/>
          <w:lnNumType w:countBy="1" w:restart="continuous"/>
          <w:cols w:space="425" w:num="1"/>
          <w:docGrid w:type="lines" w:linePitch="312" w:charSpace="0"/>
        </w:sectPr>
      </w:pPr>
    </w:p>
    <w:p w14:paraId="4CC96A60">
      <w:pPr>
        <w:pStyle w:val="2"/>
        <w:keepNext/>
        <w:keepLines/>
        <w:pageBreakBefore/>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bCs/>
          <w:color w:val="auto"/>
          <w:sz w:val="24"/>
          <w:szCs w:val="24"/>
          <w:lang w:val="en-US" w:eastAsia="zh-CN"/>
        </w:rPr>
      </w:pPr>
      <w:bookmarkStart w:id="16" w:name="_Toc14452"/>
      <w:bookmarkStart w:id="17" w:name="_Toc20755"/>
      <w:r>
        <w:rPr>
          <w:rFonts w:hint="default" w:ascii="Times New Roman" w:hAnsi="Times New Roman" w:cs="Times New Roman"/>
          <w:b/>
          <w:bCs/>
          <w:color w:val="auto"/>
          <w:sz w:val="24"/>
          <w:szCs w:val="24"/>
          <w:lang w:val="en-US" w:eastAsia="zh-CN"/>
        </w:rPr>
        <w:t>Figure S2. Temporal Trends of Metabolic Indices among Adolescents, Overall and by Sex</w:t>
      </w:r>
      <w:bookmarkEnd w:id="16"/>
      <w:bookmarkEnd w:id="17"/>
    </w:p>
    <w:p w14:paraId="455A2338">
      <w:pPr>
        <w:bidi w:val="0"/>
        <w:spacing w:line="480" w:lineRule="auto"/>
        <w:jc w:val="center"/>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4770755" cy="7308215"/>
            <wp:effectExtent l="0" t="0" r="14605"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rcRect b="-792"/>
                    <a:stretch>
                      <a:fillRect/>
                    </a:stretch>
                  </pic:blipFill>
                  <pic:spPr>
                    <a:xfrm>
                      <a:off x="0" y="0"/>
                      <a:ext cx="4770755" cy="7308215"/>
                    </a:xfrm>
                    <a:prstGeom prst="rect">
                      <a:avLst/>
                    </a:prstGeom>
                    <a:noFill/>
                    <a:ln>
                      <a:noFill/>
                    </a:ln>
                  </pic:spPr>
                </pic:pic>
              </a:graphicData>
            </a:graphic>
          </wp:inline>
        </w:drawing>
      </w:r>
    </w:p>
    <w:p w14:paraId="473F09A3">
      <w:pPr>
        <w:spacing w:line="240" w:lineRule="auto"/>
        <w:jc w:val="left"/>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BP=blood pressure; FPG=fasting plasma glucose; HDL-C=high-density lipoprotein cholesterol; MS=metabolic syndrome; NHANES=National Health and Nutrition Examination Survey; TG=triglycerides; WC=waist circumference.</w:t>
      </w:r>
    </w:p>
    <w:p w14:paraId="0643F20D">
      <w:pPr>
        <w:bidi w:val="0"/>
        <w:spacing w:line="240" w:lineRule="auto"/>
        <w:jc w:val="left"/>
        <w:rPr>
          <w:rFonts w:hint="default" w:ascii="Times New Roman" w:hAnsi="Times New Roman" w:cs="Times New Roman"/>
          <w:color w:val="auto"/>
          <w:sz w:val="21"/>
          <w:szCs w:val="21"/>
          <w:lang w:val="en-US" w:eastAsia="zh-CN"/>
        </w:rPr>
        <w:sectPr>
          <w:pgSz w:w="11906" w:h="16838"/>
          <w:pgMar w:top="1440" w:right="1800" w:bottom="1440" w:left="1800" w:header="851" w:footer="992" w:gutter="0"/>
          <w:cols w:space="425" w:num="1"/>
          <w:docGrid w:type="lines" w:linePitch="312" w:charSpace="0"/>
        </w:sectPr>
      </w:pPr>
    </w:p>
    <w:p w14:paraId="15F185FE">
      <w:pPr>
        <w:pStyle w:val="2"/>
        <w:keepNext/>
        <w:keepLines/>
        <w:pageBreakBefore/>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bCs/>
          <w:color w:val="auto"/>
          <w:sz w:val="24"/>
          <w:szCs w:val="24"/>
          <w:lang w:val="en-US" w:eastAsia="zh-CN"/>
        </w:rPr>
      </w:pPr>
      <w:bookmarkStart w:id="18" w:name="_Toc8141"/>
      <w:bookmarkStart w:id="19" w:name="_Toc16881"/>
      <w:r>
        <w:rPr>
          <w:rFonts w:hint="default" w:ascii="Times New Roman" w:hAnsi="Times New Roman" w:cs="Times New Roman"/>
          <w:b/>
          <w:bCs/>
          <w:color w:val="auto"/>
          <w:sz w:val="24"/>
          <w:szCs w:val="24"/>
          <w:lang w:val="en-US" w:eastAsia="zh-CN"/>
        </w:rPr>
        <w:t>Figure S3. Metabolic Risk Factor Combinations in Adolescents with Metabolic Syndrome, Overall and by Sex</w:t>
      </w:r>
      <w:bookmarkEnd w:id="18"/>
      <w:bookmarkEnd w:id="19"/>
    </w:p>
    <w:p w14:paraId="05504459">
      <w:pPr>
        <w:bidi w:val="0"/>
        <w:spacing w:line="480" w:lineRule="auto"/>
        <w:jc w:val="center"/>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6407785" cy="4159250"/>
            <wp:effectExtent l="0" t="0" r="8255" b="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7"/>
                    <a:srcRect t="2362"/>
                    <a:stretch>
                      <a:fillRect/>
                    </a:stretch>
                  </pic:blipFill>
                  <pic:spPr>
                    <a:xfrm>
                      <a:off x="0" y="0"/>
                      <a:ext cx="6407785" cy="4159250"/>
                    </a:xfrm>
                    <a:prstGeom prst="rect">
                      <a:avLst/>
                    </a:prstGeom>
                    <a:noFill/>
                    <a:ln>
                      <a:noFill/>
                    </a:ln>
                  </pic:spPr>
                </pic:pic>
              </a:graphicData>
            </a:graphic>
          </wp:inline>
        </w:drawing>
      </w:r>
    </w:p>
    <w:p w14:paraId="79AA7376">
      <w:pPr>
        <w:spacing w:line="240" w:lineRule="auto"/>
        <w:jc w:val="left"/>
        <w:rPr>
          <w:rFonts w:hint="default" w:ascii="Times New Roman" w:hAnsi="Times New Roman" w:cs="Times New Roman"/>
          <w:b w:val="0"/>
          <w:bCs w:val="0"/>
          <w:color w:val="auto"/>
          <w:sz w:val="21"/>
          <w:szCs w:val="24"/>
          <w:lang w:val="en-US" w:eastAsia="zh-CN"/>
        </w:rPr>
      </w:pPr>
      <w:r>
        <w:rPr>
          <w:rFonts w:hint="default" w:ascii="Times New Roman" w:hAnsi="Times New Roman" w:cs="Times New Roman"/>
          <w:b w:val="0"/>
          <w:bCs w:val="0"/>
          <w:color w:val="auto"/>
          <w:sz w:val="21"/>
          <w:szCs w:val="24"/>
          <w:lang w:val="en-US" w:eastAsia="zh-CN"/>
        </w:rPr>
        <w:t xml:space="preserve">The bar chart on the left shows the proportions of metabolic risk factor combinations for all populations (black), males (blue), and females (red). The table on the right presents specific values by percentage (95% CI), adjusted for NHANES fasting sample weight. Additionally, the top five combinations are highlighted in bold. </w:t>
      </w:r>
    </w:p>
    <w:p w14:paraId="1FCA6F32">
      <w:pPr>
        <w:spacing w:line="240" w:lineRule="auto"/>
        <w:jc w:val="left"/>
        <w:rPr>
          <w:rFonts w:hint="default" w:ascii="Times New Roman" w:hAnsi="Times New Roman" w:cs="Times New Roman"/>
          <w:b w:val="0"/>
          <w:bCs w:val="0"/>
          <w:color w:val="auto"/>
          <w:sz w:val="21"/>
          <w:szCs w:val="24"/>
          <w:lang w:val="en-US" w:eastAsia="zh-CN"/>
        </w:rPr>
        <w:sectPr>
          <w:pgSz w:w="16838" w:h="11906" w:orient="landscape"/>
          <w:pgMar w:top="1800" w:right="1440" w:bottom="1800" w:left="1440" w:header="851" w:footer="992" w:gutter="0"/>
          <w:cols w:space="425" w:num="1"/>
          <w:docGrid w:type="lines" w:linePitch="312" w:charSpace="0"/>
        </w:sectPr>
      </w:pPr>
      <w:r>
        <w:rPr>
          <w:rFonts w:hint="default" w:ascii="Times New Roman" w:hAnsi="Times New Roman" w:cs="Times New Roman"/>
          <w:b w:val="0"/>
          <w:bCs w:val="0"/>
          <w:color w:val="auto"/>
          <w:sz w:val="21"/>
          <w:szCs w:val="24"/>
          <w:lang w:val="en-US" w:eastAsia="zh-CN"/>
        </w:rPr>
        <w:t>AO=abdominal obesity; BP=blood pressure; FPG=fasting plasma glucose; HDL-C=high-density lipoprotein cholesterol; TG=triglycerides.</w:t>
      </w:r>
    </w:p>
    <w:p w14:paraId="5BBB284E">
      <w:pPr>
        <w:pStyle w:val="2"/>
        <w:keepNext/>
        <w:keepLines/>
        <w:pageBreakBefore/>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bCs/>
          <w:color w:val="auto"/>
          <w:sz w:val="24"/>
          <w:szCs w:val="24"/>
          <w:lang w:val="en-US" w:eastAsia="zh-CN"/>
        </w:rPr>
      </w:pPr>
      <w:bookmarkStart w:id="20" w:name="_Toc28920"/>
      <w:bookmarkStart w:id="21" w:name="_Toc21044"/>
      <w:r>
        <w:rPr>
          <w:rFonts w:hint="default" w:ascii="Times New Roman" w:hAnsi="Times New Roman" w:cs="Times New Roman"/>
          <w:b/>
          <w:bCs/>
          <w:color w:val="auto"/>
          <w:sz w:val="24"/>
          <w:szCs w:val="24"/>
          <w:lang w:val="en-US" w:eastAsia="zh-CN"/>
        </w:rPr>
        <w:t>Figure S4. Trends in Metabolic Syndrome Prevalence (Defined by Alternative Criteria) in Adolescents: By Survey Cycle and Age</w:t>
      </w:r>
      <w:bookmarkEnd w:id="20"/>
      <w:bookmarkEnd w:id="21"/>
    </w:p>
    <w:p w14:paraId="0AF81CA0">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5274310" cy="3301365"/>
            <wp:effectExtent l="0" t="0" r="13970" b="5715"/>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8"/>
                    <a:stretch>
                      <a:fillRect/>
                    </a:stretch>
                  </pic:blipFill>
                  <pic:spPr>
                    <a:xfrm>
                      <a:off x="0" y="0"/>
                      <a:ext cx="5274310" cy="3301365"/>
                    </a:xfrm>
                    <a:prstGeom prst="rect">
                      <a:avLst/>
                    </a:prstGeom>
                    <a:noFill/>
                    <a:ln>
                      <a:noFill/>
                    </a:ln>
                  </pic:spPr>
                </pic:pic>
              </a:graphicData>
            </a:graphic>
          </wp:inline>
        </w:drawing>
      </w:r>
    </w:p>
    <w:p w14:paraId="1FF77C8F">
      <w:pPr>
        <w:spacing w:line="240" w:lineRule="auto"/>
        <w:jc w:val="left"/>
        <w:rPr>
          <w:rFonts w:hint="default" w:ascii="Times New Roman" w:hAnsi="Times New Roman" w:cs="Times New Roman"/>
          <w:b w:val="0"/>
          <w:bCs w:val="0"/>
          <w:color w:val="auto"/>
          <w:sz w:val="21"/>
          <w:szCs w:val="21"/>
          <w:lang w:val="en-US" w:eastAsia="zh-CN"/>
        </w:rPr>
        <w:sectPr>
          <w:pgSz w:w="11906" w:h="16838"/>
          <w:pgMar w:top="1440" w:right="1800" w:bottom="1440" w:left="1800" w:header="851" w:footer="992" w:gutter="0"/>
          <w:cols w:space="425" w:num="1"/>
          <w:docGrid w:type="lines" w:linePitch="312" w:charSpace="0"/>
        </w:sectPr>
      </w:pPr>
      <w:r>
        <w:rPr>
          <w:rFonts w:hint="default" w:ascii="Times New Roman" w:hAnsi="Times New Roman" w:cs="Times New Roman"/>
          <w:b w:val="0"/>
          <w:bCs w:val="0"/>
          <w:color w:val="auto"/>
          <w:sz w:val="21"/>
          <w:szCs w:val="21"/>
          <w:lang w:val="en-US" w:eastAsia="zh-CN"/>
        </w:rPr>
        <w:t>MS=metabolic syndrome.</w:t>
      </w:r>
    </w:p>
    <w:p w14:paraId="409B91EC">
      <w:pPr>
        <w:pStyle w:val="2"/>
        <w:keepNext/>
        <w:keepLines/>
        <w:pageBreakBefore/>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bCs/>
          <w:color w:val="auto"/>
          <w:sz w:val="24"/>
          <w:szCs w:val="24"/>
          <w:lang w:val="en-US" w:eastAsia="zh-CN"/>
        </w:rPr>
      </w:pPr>
      <w:bookmarkStart w:id="22" w:name="_Toc27693"/>
      <w:bookmarkStart w:id="23" w:name="_Toc29589"/>
      <w:r>
        <w:rPr>
          <w:rFonts w:hint="default" w:ascii="Times New Roman" w:hAnsi="Times New Roman" w:cs="Times New Roman"/>
          <w:b/>
          <w:bCs/>
          <w:color w:val="auto"/>
          <w:sz w:val="24"/>
          <w:szCs w:val="24"/>
          <w:lang w:val="en-US" w:eastAsia="zh-CN"/>
        </w:rPr>
        <w:t>Figure S5. Prevalence of Metabolic Syndrome (Defined by Alternative Criteria)  in Adolescents by Subgroups</w:t>
      </w:r>
      <w:bookmarkEnd w:id="22"/>
      <w:bookmarkEnd w:id="23"/>
    </w:p>
    <w:p w14:paraId="2CA37340">
      <w:pPr>
        <w:spacing w:line="480" w:lineRule="auto"/>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5274310" cy="6277610"/>
            <wp:effectExtent l="0" t="0" r="254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5274310" cy="6277610"/>
                    </a:xfrm>
                    <a:prstGeom prst="rect">
                      <a:avLst/>
                    </a:prstGeom>
                    <a:noFill/>
                    <a:ln>
                      <a:noFill/>
                    </a:ln>
                  </pic:spPr>
                </pic:pic>
              </a:graphicData>
            </a:graphic>
          </wp:inline>
        </w:drawing>
      </w:r>
    </w:p>
    <w:p w14:paraId="4D336AB5">
      <w:pPr>
        <w:spacing w:line="240" w:lineRule="auto"/>
        <w:jc w:val="left"/>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BMI=body mass index; MS=metabolic syndrome; PIR=family poverty income ratio.</w:t>
      </w:r>
    </w:p>
    <w:p w14:paraId="72905195">
      <w:pPr>
        <w:pStyle w:val="2"/>
        <w:keepNext/>
        <w:keepLines/>
        <w:pageBreakBefore/>
        <w:widowControl w:val="0"/>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bCs/>
          <w:color w:val="auto"/>
          <w:sz w:val="24"/>
          <w:szCs w:val="24"/>
          <w:lang w:val="en-US" w:eastAsia="zh-CN"/>
        </w:rPr>
      </w:pPr>
      <w:bookmarkStart w:id="24" w:name="_Toc20452"/>
      <w:bookmarkStart w:id="25" w:name="_Toc31261"/>
      <w:r>
        <w:rPr>
          <w:rFonts w:hint="default" w:ascii="Times New Roman" w:hAnsi="Times New Roman" w:cs="Times New Roman"/>
          <w:b/>
          <w:bCs/>
          <w:color w:val="auto"/>
          <w:sz w:val="24"/>
          <w:szCs w:val="24"/>
          <w:lang w:val="en-US" w:eastAsia="zh-CN"/>
        </w:rPr>
        <w:t>References for supplemental materials</w:t>
      </w:r>
      <w:bookmarkEnd w:id="24"/>
      <w:bookmarkEnd w:id="25"/>
    </w:p>
    <w:p w14:paraId="7BBB31C3">
      <w:pPr>
        <w:pStyle w:val="41"/>
        <w:bidi w:val="0"/>
        <w:spacing w:line="480" w:lineRule="auto"/>
        <w:ind w:left="0" w:firstLine="0"/>
        <w:rPr>
          <w:rFonts w:hint="default" w:ascii="Times New Roman" w:hAnsi="Times New Roman" w:eastAsia="等线" w:cs="Times New Roman"/>
          <w:color w:val="auto"/>
          <w:kern w:val="2"/>
          <w:sz w:val="24"/>
          <w:szCs w:val="24"/>
          <w:lang w:val="en-US" w:eastAsia="zh-CN" w:bidi="ar-SA"/>
          <w14:ligatures w14:val="standardContextual"/>
        </w:rPr>
      </w:pPr>
      <w:r>
        <w:rPr>
          <w:rFonts w:hint="default" w:ascii="Times New Roman" w:hAnsi="Times New Roman" w:eastAsia="Times New Roman Uni" w:cs="Times New Roman"/>
          <w:color w:val="auto"/>
          <w:sz w:val="24"/>
          <w:szCs w:val="24"/>
        </w:rPr>
        <w:fldChar w:fldCharType="begin"/>
      </w:r>
      <w:r>
        <w:rPr>
          <w:rFonts w:hint="default" w:ascii="Times New Roman" w:hAnsi="Times New Roman" w:eastAsia="Times New Roman Uni" w:cs="Times New Roman"/>
          <w:color w:val="auto"/>
          <w:sz w:val="24"/>
          <w:szCs w:val="24"/>
        </w:rPr>
        <w:instrText xml:space="preserve"> ADDIN EN.REFLIST </w:instrText>
      </w:r>
      <w:r>
        <w:rPr>
          <w:rFonts w:hint="default" w:ascii="Times New Roman" w:hAnsi="Times New Roman" w:eastAsia="Times New Roman Uni" w:cs="Times New Roman"/>
          <w:color w:val="auto"/>
          <w:sz w:val="24"/>
          <w:szCs w:val="24"/>
        </w:rPr>
        <w:fldChar w:fldCharType="separate"/>
      </w:r>
      <w:r>
        <w:rPr>
          <w:rFonts w:hint="default" w:ascii="Times New Roman" w:hAnsi="Times New Roman" w:eastAsia="等线" w:cs="Times New Roman"/>
          <w:color w:val="auto"/>
          <w:kern w:val="2"/>
          <w:sz w:val="24"/>
          <w:szCs w:val="24"/>
          <w:lang w:val="en-US" w:eastAsia="zh-CN" w:bidi="ar-SA"/>
          <w14:ligatures w14:val="standardContextual"/>
        </w:rPr>
        <w:t>1.</w:t>
      </w:r>
      <w:r>
        <w:rPr>
          <w:rFonts w:hint="default" w:ascii="Times New Roman" w:hAnsi="Times New Roman" w:eastAsia="等线" w:cs="Times New Roman"/>
          <w:color w:val="auto"/>
          <w:kern w:val="2"/>
          <w:sz w:val="24"/>
          <w:szCs w:val="24"/>
          <w:lang w:val="en-US" w:eastAsia="zh-CN" w:bidi="ar-SA"/>
          <w14:ligatures w14:val="standardContextual"/>
        </w:rPr>
        <w:tab/>
      </w:r>
      <w:r>
        <w:rPr>
          <w:rFonts w:hint="default" w:ascii="Times New Roman" w:hAnsi="Times New Roman" w:eastAsia="等线" w:cs="Times New Roman"/>
          <w:color w:val="auto"/>
          <w:kern w:val="2"/>
          <w:sz w:val="24"/>
          <w:szCs w:val="24"/>
          <w:lang w:val="en-US" w:eastAsia="zh-CN" w:bidi="ar-SA"/>
          <w14:ligatures w14:val="standardContextual"/>
        </w:rPr>
        <w:t xml:space="preserve">Alberti KGMM, Eckel RH, Grundy SM, et al. Harmonizing the metabolic syndrome: a joint interim statement of the International Diabetes Federation Task Force on Epidemiology and Prevention; National Heart, Lung, and Blood Institute; American Heart Association; World Heart Federation; International Atherosclerosis Society; and International Association for the Study of Obesity. </w:t>
      </w:r>
      <w:r>
        <w:rPr>
          <w:rFonts w:hint="default" w:ascii="Times New Roman" w:hAnsi="Times New Roman" w:eastAsia="等线" w:cs="Times New Roman"/>
          <w:i/>
          <w:color w:val="auto"/>
          <w:kern w:val="2"/>
          <w:sz w:val="24"/>
          <w:szCs w:val="24"/>
          <w:lang w:val="en-US" w:eastAsia="zh-CN" w:bidi="ar-SA"/>
          <w14:ligatures w14:val="standardContextual"/>
        </w:rPr>
        <w:t>Circulation</w:t>
      </w:r>
      <w:r>
        <w:rPr>
          <w:rFonts w:hint="default" w:ascii="Times New Roman" w:hAnsi="Times New Roman" w:eastAsia="等线" w:cs="Times New Roman"/>
          <w:color w:val="auto"/>
          <w:kern w:val="2"/>
          <w:sz w:val="24"/>
          <w:szCs w:val="24"/>
          <w:lang w:val="en-US" w:eastAsia="zh-CN" w:bidi="ar-SA"/>
          <w14:ligatures w14:val="standardContextual"/>
        </w:rPr>
        <w:t>. 2009;120(16):1640-1645. doi:10.1161/CIRCULATIONAHA.109.192644</w:t>
      </w:r>
    </w:p>
    <w:p w14:paraId="76A77ADE">
      <w:pPr>
        <w:pStyle w:val="41"/>
        <w:bidi w:val="0"/>
        <w:spacing w:line="480" w:lineRule="auto"/>
        <w:ind w:left="0" w:firstLine="0"/>
        <w:rPr>
          <w:rFonts w:hint="default" w:ascii="Times New Roman" w:hAnsi="Times New Roman" w:eastAsia="等线" w:cs="Times New Roman"/>
          <w:color w:val="auto"/>
          <w:kern w:val="2"/>
          <w:sz w:val="24"/>
          <w:szCs w:val="24"/>
          <w:lang w:val="en-US" w:eastAsia="zh-CN" w:bidi="ar-SA"/>
          <w14:ligatures w14:val="standardContextual"/>
        </w:rPr>
      </w:pPr>
      <w:r>
        <w:rPr>
          <w:rFonts w:hint="default" w:ascii="Times New Roman" w:hAnsi="Times New Roman" w:eastAsia="等线" w:cs="Times New Roman"/>
          <w:color w:val="auto"/>
          <w:kern w:val="2"/>
          <w:sz w:val="24"/>
          <w:szCs w:val="24"/>
          <w:lang w:val="en-US" w:eastAsia="zh-CN" w:bidi="ar-SA"/>
          <w14:ligatures w14:val="standardContextual"/>
        </w:rPr>
        <w:t>2.</w:t>
      </w:r>
      <w:r>
        <w:rPr>
          <w:rFonts w:hint="default" w:ascii="Times New Roman" w:hAnsi="Times New Roman" w:eastAsia="等线" w:cs="Times New Roman"/>
          <w:color w:val="auto"/>
          <w:kern w:val="2"/>
          <w:sz w:val="24"/>
          <w:szCs w:val="24"/>
          <w:lang w:val="en-US" w:eastAsia="zh-CN" w:bidi="ar-SA"/>
          <w14:ligatures w14:val="standardContextual"/>
        </w:rPr>
        <w:tab/>
      </w:r>
      <w:r>
        <w:rPr>
          <w:rFonts w:hint="default" w:ascii="Times New Roman" w:hAnsi="Times New Roman" w:eastAsia="等线" w:cs="Times New Roman"/>
          <w:color w:val="auto"/>
          <w:kern w:val="2"/>
          <w:sz w:val="24"/>
          <w:szCs w:val="24"/>
          <w:lang w:val="en-US" w:eastAsia="zh-CN" w:bidi="ar-SA"/>
          <w14:ligatures w14:val="standardContextual"/>
        </w:rPr>
        <w:t xml:space="preserve">Alberti KGMM, Zimmet P, Shaw J. The metabolic syndrome—a new worldwide definition. </w:t>
      </w:r>
      <w:r>
        <w:rPr>
          <w:rFonts w:hint="default" w:ascii="Times New Roman" w:hAnsi="Times New Roman" w:eastAsia="等线" w:cs="Times New Roman"/>
          <w:i/>
          <w:color w:val="auto"/>
          <w:kern w:val="2"/>
          <w:sz w:val="24"/>
          <w:szCs w:val="24"/>
          <w:lang w:val="en-US" w:eastAsia="zh-CN" w:bidi="ar-SA"/>
          <w14:ligatures w14:val="standardContextual"/>
        </w:rPr>
        <w:t>Lancet</w:t>
      </w:r>
      <w:r>
        <w:rPr>
          <w:rFonts w:hint="default" w:ascii="Times New Roman" w:hAnsi="Times New Roman" w:eastAsia="等线" w:cs="Times New Roman"/>
          <w:color w:val="auto"/>
          <w:kern w:val="2"/>
          <w:sz w:val="24"/>
          <w:szCs w:val="24"/>
          <w:lang w:val="en-US" w:eastAsia="zh-CN" w:bidi="ar-SA"/>
          <w14:ligatures w14:val="standardContextual"/>
        </w:rPr>
        <w:t xml:space="preserve">. 2005;366(9491):1059-1062. </w:t>
      </w:r>
    </w:p>
    <w:p w14:paraId="1622327E">
      <w:pPr>
        <w:pStyle w:val="41"/>
        <w:bidi w:val="0"/>
        <w:spacing w:line="480" w:lineRule="auto"/>
        <w:ind w:left="0" w:firstLine="0"/>
        <w:rPr>
          <w:rFonts w:hint="default" w:ascii="Times New Roman" w:hAnsi="Times New Roman" w:eastAsia="等线" w:cs="Times New Roman"/>
          <w:color w:val="auto"/>
          <w:kern w:val="2"/>
          <w:sz w:val="24"/>
          <w:szCs w:val="24"/>
          <w:lang w:val="en-US" w:eastAsia="zh-CN" w:bidi="ar-SA"/>
          <w14:ligatures w14:val="standardContextual"/>
        </w:rPr>
      </w:pPr>
      <w:r>
        <w:rPr>
          <w:rFonts w:hint="default" w:ascii="Times New Roman" w:hAnsi="Times New Roman" w:eastAsia="等线" w:cs="Times New Roman"/>
          <w:color w:val="auto"/>
          <w:kern w:val="2"/>
          <w:sz w:val="24"/>
          <w:szCs w:val="24"/>
          <w:lang w:val="en-US" w:eastAsia="zh-CN" w:bidi="ar-SA"/>
          <w14:ligatures w14:val="standardContextual"/>
        </w:rPr>
        <w:t>3.</w:t>
      </w:r>
      <w:r>
        <w:rPr>
          <w:rFonts w:hint="default" w:ascii="Times New Roman" w:hAnsi="Times New Roman" w:eastAsia="等线" w:cs="Times New Roman"/>
          <w:color w:val="auto"/>
          <w:kern w:val="2"/>
          <w:sz w:val="24"/>
          <w:szCs w:val="24"/>
          <w:lang w:val="en-US" w:eastAsia="zh-CN" w:bidi="ar-SA"/>
          <w14:ligatures w14:val="standardContextual"/>
        </w:rPr>
        <w:tab/>
      </w:r>
      <w:r>
        <w:rPr>
          <w:rFonts w:hint="default" w:ascii="Times New Roman" w:hAnsi="Times New Roman" w:eastAsia="等线" w:cs="Times New Roman"/>
          <w:color w:val="auto"/>
          <w:kern w:val="2"/>
          <w:sz w:val="24"/>
          <w:szCs w:val="24"/>
          <w:lang w:val="en-US" w:eastAsia="zh-CN" w:bidi="ar-SA"/>
          <w14:ligatures w14:val="standardContextual"/>
        </w:rPr>
        <w:t xml:space="preserve">Zimmet P, Alberti G, Kaufman F, et al. The metabolic syndrome in children and adolescents. </w:t>
      </w:r>
      <w:r>
        <w:rPr>
          <w:rFonts w:hint="default" w:ascii="Times New Roman" w:hAnsi="Times New Roman" w:eastAsia="等线" w:cs="Times New Roman"/>
          <w:i/>
          <w:color w:val="auto"/>
          <w:kern w:val="2"/>
          <w:sz w:val="24"/>
          <w:szCs w:val="24"/>
          <w:lang w:val="en-US" w:eastAsia="zh-CN" w:bidi="ar-SA"/>
          <w14:ligatures w14:val="standardContextual"/>
        </w:rPr>
        <w:t>Lancet</w:t>
      </w:r>
      <w:r>
        <w:rPr>
          <w:rFonts w:hint="default" w:ascii="Times New Roman" w:hAnsi="Times New Roman" w:eastAsia="等线" w:cs="Times New Roman"/>
          <w:color w:val="auto"/>
          <w:kern w:val="2"/>
          <w:sz w:val="24"/>
          <w:szCs w:val="24"/>
          <w:lang w:val="en-US" w:eastAsia="zh-CN" w:bidi="ar-SA"/>
          <w14:ligatures w14:val="standardContextual"/>
        </w:rPr>
        <w:t xml:space="preserve">. 2007;369(9579):2059-2061. </w:t>
      </w:r>
    </w:p>
    <w:p w14:paraId="20289122">
      <w:pPr>
        <w:pStyle w:val="41"/>
        <w:bidi w:val="0"/>
        <w:spacing w:line="480" w:lineRule="auto"/>
        <w:ind w:left="0" w:firstLine="0"/>
        <w:rPr>
          <w:rFonts w:hint="default" w:ascii="Times New Roman" w:hAnsi="Times New Roman" w:eastAsia="等线" w:cs="Times New Roman"/>
          <w:color w:val="auto"/>
          <w:kern w:val="2"/>
          <w:sz w:val="24"/>
          <w:szCs w:val="24"/>
          <w:lang w:val="en-US" w:eastAsia="zh-CN" w:bidi="ar-SA"/>
          <w14:ligatures w14:val="standardContextual"/>
        </w:rPr>
      </w:pPr>
      <w:r>
        <w:rPr>
          <w:rFonts w:hint="default" w:ascii="Times New Roman" w:hAnsi="Times New Roman" w:eastAsia="等线" w:cs="Times New Roman"/>
          <w:color w:val="auto"/>
          <w:kern w:val="2"/>
          <w:sz w:val="24"/>
          <w:szCs w:val="24"/>
          <w:lang w:val="en-US" w:eastAsia="zh-CN" w:bidi="ar-SA"/>
          <w14:ligatures w14:val="standardContextual"/>
        </w:rPr>
        <w:t>4.</w:t>
      </w:r>
      <w:r>
        <w:rPr>
          <w:rFonts w:hint="default" w:ascii="Times New Roman" w:hAnsi="Times New Roman" w:eastAsia="等线" w:cs="Times New Roman"/>
          <w:color w:val="auto"/>
          <w:kern w:val="2"/>
          <w:sz w:val="24"/>
          <w:szCs w:val="24"/>
          <w:lang w:val="en-US" w:eastAsia="zh-CN" w:bidi="ar-SA"/>
          <w14:ligatures w14:val="standardContextual"/>
        </w:rPr>
        <w:tab/>
      </w:r>
      <w:r>
        <w:rPr>
          <w:rFonts w:hint="default" w:ascii="Times New Roman" w:hAnsi="Times New Roman" w:eastAsia="等线" w:cs="Times New Roman"/>
          <w:color w:val="auto"/>
          <w:kern w:val="2"/>
          <w:sz w:val="24"/>
          <w:szCs w:val="24"/>
          <w:lang w:val="en-US" w:eastAsia="zh-CN" w:bidi="ar-SA"/>
          <w14:ligatures w14:val="standardContextual"/>
        </w:rPr>
        <w:t xml:space="preserve">Liu J, Ma J, Orekoya O, Vangeepuram N, Liu J. Trends in Metabolic Syndrome Among US Youth, From 1999 to 2018. </w:t>
      </w:r>
      <w:r>
        <w:rPr>
          <w:rFonts w:hint="default" w:ascii="Times New Roman" w:hAnsi="Times New Roman" w:eastAsia="等线" w:cs="Times New Roman"/>
          <w:i/>
          <w:color w:val="auto"/>
          <w:kern w:val="2"/>
          <w:sz w:val="24"/>
          <w:szCs w:val="24"/>
          <w:lang w:val="en-US" w:eastAsia="zh-CN" w:bidi="ar-SA"/>
          <w14:ligatures w14:val="standardContextual"/>
        </w:rPr>
        <w:t>JAMA Pediatr</w:t>
      </w:r>
      <w:r>
        <w:rPr>
          <w:rFonts w:hint="default" w:ascii="Times New Roman" w:hAnsi="Times New Roman" w:eastAsia="等线" w:cs="Times New Roman"/>
          <w:color w:val="auto"/>
          <w:kern w:val="2"/>
          <w:sz w:val="24"/>
          <w:szCs w:val="24"/>
          <w:lang w:val="en-US" w:eastAsia="zh-CN" w:bidi="ar-SA"/>
          <w14:ligatures w14:val="standardContextual"/>
        </w:rPr>
        <w:t>. 2022;176(10):1043-1045. doi:10.1001/jamapediatrics.2022.1850</w:t>
      </w:r>
    </w:p>
    <w:p w14:paraId="0A137A3F">
      <w:pPr>
        <w:pStyle w:val="41"/>
        <w:bidi w:val="0"/>
        <w:spacing w:line="480" w:lineRule="auto"/>
        <w:ind w:left="0" w:firstLine="0"/>
        <w:rPr>
          <w:rFonts w:hint="default" w:ascii="Times New Roman" w:hAnsi="Times New Roman" w:eastAsia="等线" w:cs="Times New Roman"/>
          <w:color w:val="auto"/>
          <w:kern w:val="2"/>
          <w:sz w:val="24"/>
          <w:szCs w:val="24"/>
          <w:lang w:val="en-US" w:eastAsia="zh-CN" w:bidi="ar-SA"/>
          <w14:ligatures w14:val="standardContextual"/>
        </w:rPr>
      </w:pPr>
      <w:r>
        <w:rPr>
          <w:rFonts w:hint="default" w:ascii="Times New Roman" w:hAnsi="Times New Roman" w:eastAsia="等线" w:cs="Times New Roman"/>
          <w:color w:val="auto"/>
          <w:kern w:val="2"/>
          <w:sz w:val="24"/>
          <w:szCs w:val="24"/>
          <w:lang w:val="en-US" w:eastAsia="zh-CN" w:bidi="ar-SA"/>
          <w14:ligatures w14:val="standardContextual"/>
        </w:rPr>
        <w:t>5.</w:t>
      </w:r>
      <w:r>
        <w:rPr>
          <w:rFonts w:hint="default" w:ascii="Times New Roman" w:hAnsi="Times New Roman" w:eastAsia="等线" w:cs="Times New Roman"/>
          <w:color w:val="auto"/>
          <w:kern w:val="2"/>
          <w:sz w:val="24"/>
          <w:szCs w:val="24"/>
          <w:lang w:val="en-US" w:eastAsia="zh-CN" w:bidi="ar-SA"/>
          <w14:ligatures w14:val="standardContextual"/>
        </w:rPr>
        <w:tab/>
      </w:r>
      <w:r>
        <w:rPr>
          <w:rFonts w:hint="default" w:ascii="Times New Roman" w:hAnsi="Times New Roman" w:eastAsia="等线" w:cs="Times New Roman"/>
          <w:color w:val="auto"/>
          <w:kern w:val="2"/>
          <w:sz w:val="24"/>
          <w:szCs w:val="24"/>
          <w:lang w:val="en-US" w:eastAsia="zh-CN" w:bidi="ar-SA"/>
          <w14:ligatures w14:val="standardContextual"/>
        </w:rPr>
        <w:t xml:space="preserve">Liu J, Park Y-MM, Ma J, Lavie CJ. Trends in Metabolic Phenotypes of Obesity Among US Adolescents, NHANES 1999-2018. </w:t>
      </w:r>
      <w:r>
        <w:rPr>
          <w:rFonts w:hint="default" w:ascii="Times New Roman" w:hAnsi="Times New Roman" w:eastAsia="等线" w:cs="Times New Roman"/>
          <w:i/>
          <w:color w:val="auto"/>
          <w:kern w:val="2"/>
          <w:sz w:val="24"/>
          <w:szCs w:val="24"/>
          <w:lang w:val="en-US" w:eastAsia="zh-CN" w:bidi="ar-SA"/>
          <w14:ligatures w14:val="standardContextual"/>
        </w:rPr>
        <w:t>Mayo Clin Proc</w:t>
      </w:r>
      <w:r>
        <w:rPr>
          <w:rFonts w:hint="default" w:ascii="Times New Roman" w:hAnsi="Times New Roman" w:eastAsia="等线" w:cs="Times New Roman"/>
          <w:color w:val="auto"/>
          <w:kern w:val="2"/>
          <w:sz w:val="24"/>
          <w:szCs w:val="24"/>
          <w:lang w:val="en-US" w:eastAsia="zh-CN" w:bidi="ar-SA"/>
          <w14:ligatures w14:val="standardContextual"/>
        </w:rPr>
        <w:t>. 2023;98(4):633-636. doi:10.1016/j.mayocp.2023.01.025</w:t>
      </w:r>
    </w:p>
    <w:p w14:paraId="47F8F647">
      <w:pPr>
        <w:pStyle w:val="41"/>
        <w:bidi w:val="0"/>
        <w:spacing w:line="480" w:lineRule="auto"/>
        <w:ind w:left="0" w:firstLine="0"/>
        <w:rPr>
          <w:rFonts w:hint="default" w:ascii="Times New Roman" w:hAnsi="Times New Roman" w:eastAsia="等线" w:cs="Times New Roman"/>
          <w:color w:val="auto"/>
          <w:kern w:val="2"/>
          <w:sz w:val="24"/>
          <w:szCs w:val="24"/>
          <w:lang w:val="en-US" w:eastAsia="zh-CN" w:bidi="ar-SA"/>
          <w14:ligatures w14:val="standardContextual"/>
        </w:rPr>
      </w:pPr>
      <w:r>
        <w:rPr>
          <w:rFonts w:hint="default" w:ascii="Times New Roman" w:hAnsi="Times New Roman" w:eastAsia="等线" w:cs="Times New Roman"/>
          <w:color w:val="auto"/>
          <w:kern w:val="2"/>
          <w:sz w:val="24"/>
          <w:szCs w:val="24"/>
          <w:lang w:val="en-US" w:eastAsia="zh-CN" w:bidi="ar-SA"/>
          <w14:ligatures w14:val="standardContextual"/>
        </w:rPr>
        <w:t>6.</w:t>
      </w:r>
      <w:r>
        <w:rPr>
          <w:rFonts w:hint="default" w:ascii="Times New Roman" w:hAnsi="Times New Roman" w:eastAsia="等线" w:cs="Times New Roman"/>
          <w:color w:val="auto"/>
          <w:kern w:val="2"/>
          <w:sz w:val="24"/>
          <w:szCs w:val="24"/>
          <w:lang w:val="en-US" w:eastAsia="zh-CN" w:bidi="ar-SA"/>
          <w14:ligatures w14:val="standardContextual"/>
        </w:rPr>
        <w:tab/>
      </w:r>
      <w:r>
        <w:rPr>
          <w:rFonts w:hint="default" w:ascii="Times New Roman" w:hAnsi="Times New Roman" w:eastAsia="等线" w:cs="Times New Roman"/>
          <w:color w:val="auto"/>
          <w:kern w:val="2"/>
          <w:sz w:val="24"/>
          <w:szCs w:val="24"/>
          <w:lang w:val="en-US" w:eastAsia="zh-CN" w:bidi="ar-SA"/>
          <w14:ligatures w14:val="standardContextual"/>
        </w:rPr>
        <w:t xml:space="preserve">Zimmet P, Alberti KGM, Kaufman F, et al. The metabolic syndrome in children and adolescents - an IDF consensus report. </w:t>
      </w:r>
      <w:r>
        <w:rPr>
          <w:rFonts w:hint="default" w:ascii="Times New Roman" w:hAnsi="Times New Roman" w:eastAsia="等线" w:cs="Times New Roman"/>
          <w:i/>
          <w:color w:val="auto"/>
          <w:kern w:val="2"/>
          <w:sz w:val="24"/>
          <w:szCs w:val="24"/>
          <w:lang w:val="en-US" w:eastAsia="zh-CN" w:bidi="ar-SA"/>
          <w14:ligatures w14:val="standardContextual"/>
        </w:rPr>
        <w:t>Pediatr Diabetes</w:t>
      </w:r>
      <w:r>
        <w:rPr>
          <w:rFonts w:hint="default" w:ascii="Times New Roman" w:hAnsi="Times New Roman" w:eastAsia="等线" w:cs="Times New Roman"/>
          <w:color w:val="auto"/>
          <w:kern w:val="2"/>
          <w:sz w:val="24"/>
          <w:szCs w:val="24"/>
          <w:lang w:val="en-US" w:eastAsia="zh-CN" w:bidi="ar-SA"/>
          <w14:ligatures w14:val="standardContextual"/>
        </w:rPr>
        <w:t xml:space="preserve">. 2007;8(5):299-306. </w:t>
      </w:r>
    </w:p>
    <w:p w14:paraId="222F306A">
      <w:pPr>
        <w:pStyle w:val="41"/>
        <w:bidi w:val="0"/>
        <w:spacing w:line="480" w:lineRule="auto"/>
        <w:ind w:left="0" w:firstLine="0"/>
        <w:rPr>
          <w:rFonts w:hint="default" w:ascii="Times New Roman" w:hAnsi="Times New Roman" w:eastAsia="等线" w:cs="Times New Roman"/>
          <w:color w:val="auto"/>
          <w:kern w:val="2"/>
          <w:sz w:val="24"/>
          <w:szCs w:val="24"/>
          <w:lang w:val="en-US" w:eastAsia="zh-CN" w:bidi="ar-SA"/>
          <w14:ligatures w14:val="standardContextual"/>
        </w:rPr>
      </w:pPr>
      <w:r>
        <w:rPr>
          <w:rFonts w:hint="default" w:ascii="Times New Roman" w:hAnsi="Times New Roman" w:eastAsia="等线" w:cs="Times New Roman"/>
          <w:color w:val="auto"/>
          <w:kern w:val="2"/>
          <w:sz w:val="24"/>
          <w:szCs w:val="24"/>
          <w:lang w:val="en-US" w:eastAsia="zh-CN" w:bidi="ar-SA"/>
          <w14:ligatures w14:val="standardContextual"/>
        </w:rPr>
        <w:t>7.</w:t>
      </w:r>
      <w:r>
        <w:rPr>
          <w:rFonts w:hint="default" w:ascii="Times New Roman" w:hAnsi="Times New Roman" w:eastAsia="等线" w:cs="Times New Roman"/>
          <w:color w:val="auto"/>
          <w:kern w:val="2"/>
          <w:sz w:val="24"/>
          <w:szCs w:val="24"/>
          <w:lang w:val="en-US" w:eastAsia="zh-CN" w:bidi="ar-SA"/>
          <w14:ligatures w14:val="standardContextual"/>
        </w:rPr>
        <w:tab/>
      </w:r>
      <w:r>
        <w:rPr>
          <w:rFonts w:hint="default" w:ascii="Times New Roman" w:hAnsi="Times New Roman" w:eastAsia="等线" w:cs="Times New Roman"/>
          <w:color w:val="auto"/>
          <w:kern w:val="2"/>
          <w:sz w:val="24"/>
          <w:szCs w:val="24"/>
          <w:lang w:val="en-US" w:eastAsia="zh-CN" w:bidi="ar-SA"/>
          <w14:ligatures w14:val="standardContextual"/>
        </w:rPr>
        <w:t xml:space="preserve">Cai S, Dang J, Zhong P, et al. Sex differences in metabolically healthy and metabolically unhealthy obesity among Chinese children and adolescents. </w:t>
      </w:r>
      <w:r>
        <w:rPr>
          <w:rFonts w:hint="default" w:ascii="Times New Roman" w:hAnsi="Times New Roman" w:eastAsia="等线" w:cs="Times New Roman"/>
          <w:i/>
          <w:color w:val="auto"/>
          <w:kern w:val="2"/>
          <w:sz w:val="24"/>
          <w:szCs w:val="24"/>
          <w:lang w:val="en-US" w:eastAsia="zh-CN" w:bidi="ar-SA"/>
          <w14:ligatures w14:val="standardContextual"/>
        </w:rPr>
        <w:t>Front Endocrinol (Lausanne)</w:t>
      </w:r>
      <w:r>
        <w:rPr>
          <w:rFonts w:hint="default" w:ascii="Times New Roman" w:hAnsi="Times New Roman" w:eastAsia="等线" w:cs="Times New Roman"/>
          <w:color w:val="auto"/>
          <w:kern w:val="2"/>
          <w:sz w:val="24"/>
          <w:szCs w:val="24"/>
          <w:lang w:val="en-US" w:eastAsia="zh-CN" w:bidi="ar-SA"/>
          <w14:ligatures w14:val="standardContextual"/>
        </w:rPr>
        <w:t>. 2022;13:980332. doi:10.3389/fendo.2022.980332</w:t>
      </w:r>
    </w:p>
    <w:p w14:paraId="50B68E44">
      <w:pPr>
        <w:pStyle w:val="41"/>
        <w:bidi w:val="0"/>
        <w:spacing w:line="480" w:lineRule="auto"/>
        <w:ind w:left="0" w:firstLine="0"/>
        <w:rPr>
          <w:rFonts w:hint="default" w:ascii="Times New Roman" w:hAnsi="Times New Roman" w:eastAsia="等线" w:cs="Times New Roman"/>
          <w:color w:val="auto"/>
          <w:kern w:val="2"/>
          <w:sz w:val="24"/>
          <w:szCs w:val="24"/>
          <w:lang w:val="en-US" w:eastAsia="zh-CN" w:bidi="ar-SA"/>
          <w14:ligatures w14:val="standardContextual"/>
        </w:rPr>
      </w:pPr>
      <w:r>
        <w:rPr>
          <w:rFonts w:hint="default" w:ascii="Times New Roman" w:hAnsi="Times New Roman" w:eastAsia="等线" w:cs="Times New Roman"/>
          <w:color w:val="auto"/>
          <w:kern w:val="2"/>
          <w:sz w:val="24"/>
          <w:szCs w:val="24"/>
          <w:lang w:val="en-US" w:eastAsia="zh-CN" w:bidi="ar-SA"/>
          <w14:ligatures w14:val="standardContextual"/>
        </w:rPr>
        <w:t>8.</w:t>
      </w:r>
      <w:r>
        <w:rPr>
          <w:rFonts w:hint="default" w:ascii="Times New Roman" w:hAnsi="Times New Roman" w:eastAsia="等线" w:cs="Times New Roman"/>
          <w:color w:val="auto"/>
          <w:kern w:val="2"/>
          <w:sz w:val="24"/>
          <w:szCs w:val="24"/>
          <w:lang w:val="en-US" w:eastAsia="zh-CN" w:bidi="ar-SA"/>
          <w14:ligatures w14:val="standardContextual"/>
        </w:rPr>
        <w:tab/>
      </w:r>
      <w:r>
        <w:rPr>
          <w:rFonts w:hint="default" w:ascii="Times New Roman" w:hAnsi="Times New Roman" w:eastAsia="等线" w:cs="Times New Roman"/>
          <w:color w:val="auto"/>
          <w:kern w:val="2"/>
          <w:sz w:val="24"/>
          <w:szCs w:val="24"/>
          <w:lang w:val="en-US" w:eastAsia="zh-CN" w:bidi="ar-SA"/>
          <w14:ligatures w14:val="standardContextual"/>
        </w:rPr>
        <w:t xml:space="preserve">Cook S, Weitzman M, Auinger P, Nguyen M, Dietz WH. Prevalence of a metabolic syndrome phenotype in adolescents: findings from the third National Health and Nutrition Examination Survey, 1988-1994. </w:t>
      </w:r>
      <w:r>
        <w:rPr>
          <w:rFonts w:hint="default" w:ascii="Times New Roman" w:hAnsi="Times New Roman" w:eastAsia="等线" w:cs="Times New Roman"/>
          <w:i/>
          <w:color w:val="auto"/>
          <w:kern w:val="2"/>
          <w:sz w:val="24"/>
          <w:szCs w:val="24"/>
          <w:lang w:val="en-US" w:eastAsia="zh-CN" w:bidi="ar-SA"/>
          <w14:ligatures w14:val="standardContextual"/>
        </w:rPr>
        <w:t>Arch Pediatr Adolesc Med</w:t>
      </w:r>
      <w:r>
        <w:rPr>
          <w:rFonts w:hint="default" w:ascii="Times New Roman" w:hAnsi="Times New Roman" w:eastAsia="等线" w:cs="Times New Roman"/>
          <w:color w:val="auto"/>
          <w:kern w:val="2"/>
          <w:sz w:val="24"/>
          <w:szCs w:val="24"/>
          <w:lang w:val="en-US" w:eastAsia="zh-CN" w:bidi="ar-SA"/>
          <w14:ligatures w14:val="standardContextual"/>
        </w:rPr>
        <w:t xml:space="preserve">. 2003;157(8):821-827. </w:t>
      </w:r>
    </w:p>
    <w:p w14:paraId="4B8DCA30">
      <w:pPr>
        <w:pStyle w:val="41"/>
        <w:bidi w:val="0"/>
        <w:spacing w:line="480" w:lineRule="auto"/>
        <w:ind w:left="0" w:firstLine="0"/>
        <w:rPr>
          <w:rFonts w:hint="default" w:ascii="Times New Roman" w:hAnsi="Times New Roman" w:eastAsia="等线" w:cs="Times New Roman"/>
          <w:color w:val="auto"/>
          <w:kern w:val="2"/>
          <w:sz w:val="24"/>
          <w:szCs w:val="24"/>
          <w:lang w:val="en-US" w:eastAsia="zh-CN" w:bidi="ar-SA"/>
          <w14:ligatures w14:val="standardContextual"/>
        </w:rPr>
      </w:pPr>
      <w:r>
        <w:rPr>
          <w:rFonts w:hint="default" w:ascii="Times New Roman" w:hAnsi="Times New Roman" w:eastAsia="等线" w:cs="Times New Roman"/>
          <w:color w:val="auto"/>
          <w:kern w:val="2"/>
          <w:sz w:val="24"/>
          <w:szCs w:val="24"/>
          <w:lang w:val="en-US" w:eastAsia="zh-CN" w:bidi="ar-SA"/>
          <w14:ligatures w14:val="standardContextual"/>
        </w:rPr>
        <w:t>9.</w:t>
      </w:r>
      <w:r>
        <w:rPr>
          <w:rFonts w:hint="default" w:ascii="Times New Roman" w:hAnsi="Times New Roman" w:eastAsia="等线" w:cs="Times New Roman"/>
          <w:color w:val="auto"/>
          <w:kern w:val="2"/>
          <w:sz w:val="24"/>
          <w:szCs w:val="24"/>
          <w:lang w:val="en-US" w:eastAsia="zh-CN" w:bidi="ar-SA"/>
          <w14:ligatures w14:val="standardContextual"/>
        </w:rPr>
        <w:tab/>
      </w:r>
      <w:r>
        <w:rPr>
          <w:rFonts w:hint="default" w:ascii="Times New Roman" w:hAnsi="Times New Roman" w:eastAsia="等线" w:cs="Times New Roman"/>
          <w:color w:val="auto"/>
          <w:kern w:val="2"/>
          <w:sz w:val="24"/>
          <w:szCs w:val="24"/>
          <w:lang w:val="en-US" w:eastAsia="zh-CN" w:bidi="ar-SA"/>
          <w14:ligatures w14:val="standardContextual"/>
        </w:rPr>
        <w:t xml:space="preserve">Duncan GE, Li SM, Zhou X-H. Prevalence and trends of a metabolic syndrome phenotype among U.S. adolescents, 1999-2000. </w:t>
      </w:r>
      <w:r>
        <w:rPr>
          <w:rFonts w:hint="default" w:ascii="Times New Roman" w:hAnsi="Times New Roman" w:eastAsia="等线" w:cs="Times New Roman"/>
          <w:i/>
          <w:color w:val="auto"/>
          <w:kern w:val="2"/>
          <w:sz w:val="24"/>
          <w:szCs w:val="24"/>
          <w:lang w:val="en-US" w:eastAsia="zh-CN" w:bidi="ar-SA"/>
          <w14:ligatures w14:val="standardContextual"/>
        </w:rPr>
        <w:t>Diabetes Care</w:t>
      </w:r>
      <w:r>
        <w:rPr>
          <w:rFonts w:hint="default" w:ascii="Times New Roman" w:hAnsi="Times New Roman" w:eastAsia="等线" w:cs="Times New Roman"/>
          <w:color w:val="auto"/>
          <w:kern w:val="2"/>
          <w:sz w:val="24"/>
          <w:szCs w:val="24"/>
          <w:lang w:val="en-US" w:eastAsia="zh-CN" w:bidi="ar-SA"/>
          <w14:ligatures w14:val="standardContextual"/>
        </w:rPr>
        <w:t xml:space="preserve">. 2004;27(10):2438-2443. </w:t>
      </w:r>
    </w:p>
    <w:p w14:paraId="31821C50">
      <w:pPr>
        <w:pStyle w:val="41"/>
        <w:bidi w:val="0"/>
        <w:spacing w:line="480" w:lineRule="auto"/>
        <w:ind w:left="0" w:firstLine="0"/>
        <w:rPr>
          <w:rFonts w:hint="default" w:ascii="Times New Roman" w:hAnsi="Times New Roman" w:eastAsia="等线" w:cs="Times New Roman"/>
          <w:color w:val="auto"/>
          <w:kern w:val="2"/>
          <w:sz w:val="24"/>
          <w:szCs w:val="24"/>
          <w:lang w:val="en-US" w:eastAsia="zh-CN" w:bidi="ar-SA"/>
          <w14:ligatures w14:val="standardContextual"/>
        </w:rPr>
      </w:pPr>
      <w:r>
        <w:rPr>
          <w:rFonts w:hint="default" w:ascii="Times New Roman" w:hAnsi="Times New Roman" w:eastAsia="等线" w:cs="Times New Roman"/>
          <w:color w:val="auto"/>
          <w:kern w:val="2"/>
          <w:sz w:val="24"/>
          <w:szCs w:val="24"/>
          <w:lang w:val="en-US" w:eastAsia="zh-CN" w:bidi="ar-SA"/>
          <w14:ligatures w14:val="standardContextual"/>
        </w:rPr>
        <w:t>10.</w:t>
      </w:r>
      <w:r>
        <w:rPr>
          <w:rFonts w:hint="default" w:ascii="Times New Roman" w:hAnsi="Times New Roman" w:eastAsia="等线" w:cs="Times New Roman"/>
          <w:color w:val="auto"/>
          <w:kern w:val="2"/>
          <w:sz w:val="24"/>
          <w:szCs w:val="24"/>
          <w:lang w:val="en-US" w:eastAsia="zh-CN" w:bidi="ar-SA"/>
          <w14:ligatures w14:val="standardContextual"/>
        </w:rPr>
        <w:tab/>
      </w:r>
      <w:r>
        <w:rPr>
          <w:rFonts w:hint="default" w:ascii="Times New Roman" w:hAnsi="Times New Roman" w:eastAsia="等线" w:cs="Times New Roman"/>
          <w:color w:val="auto"/>
          <w:kern w:val="2"/>
          <w:sz w:val="24"/>
          <w:szCs w:val="24"/>
          <w:lang w:val="en-US" w:eastAsia="zh-CN" w:bidi="ar-SA"/>
          <w14:ligatures w14:val="standardContextual"/>
        </w:rPr>
        <w:t xml:space="preserve">Zhao M, López-Bermejo A, Caserta CA, et al. Metabolically Healthy Obesity and High Carotid Intima-Media Thickness in Children and Adolescents: International Childhood Vascular Structure Evaluation Consortium. </w:t>
      </w:r>
      <w:r>
        <w:rPr>
          <w:rFonts w:hint="default" w:ascii="Times New Roman" w:hAnsi="Times New Roman" w:eastAsia="等线" w:cs="Times New Roman"/>
          <w:i/>
          <w:color w:val="auto"/>
          <w:kern w:val="2"/>
          <w:sz w:val="24"/>
          <w:szCs w:val="24"/>
          <w:lang w:val="en-US" w:eastAsia="zh-CN" w:bidi="ar-SA"/>
          <w14:ligatures w14:val="standardContextual"/>
        </w:rPr>
        <w:t>Diabetes Care</w:t>
      </w:r>
      <w:r>
        <w:rPr>
          <w:rFonts w:hint="default" w:ascii="Times New Roman" w:hAnsi="Times New Roman" w:eastAsia="等线" w:cs="Times New Roman"/>
          <w:color w:val="auto"/>
          <w:kern w:val="2"/>
          <w:sz w:val="24"/>
          <w:szCs w:val="24"/>
          <w:lang w:val="en-US" w:eastAsia="zh-CN" w:bidi="ar-SA"/>
          <w14:ligatures w14:val="standardContextual"/>
        </w:rPr>
        <w:t>. 2019;42(1):119-125. doi:10.2337/dc18-1536</w:t>
      </w:r>
    </w:p>
    <w:p w14:paraId="4F51E48E">
      <w:pPr>
        <w:pStyle w:val="41"/>
        <w:bidi w:val="0"/>
        <w:spacing w:line="480" w:lineRule="auto"/>
        <w:ind w:left="0" w:firstLine="0"/>
        <w:rPr>
          <w:rFonts w:hint="default" w:ascii="Times New Roman" w:hAnsi="Times New Roman" w:eastAsia="等线" w:cs="Times New Roman"/>
          <w:color w:val="auto"/>
          <w:kern w:val="2"/>
          <w:sz w:val="24"/>
          <w:szCs w:val="24"/>
          <w:lang w:val="en-US" w:eastAsia="zh-CN" w:bidi="ar-SA"/>
          <w14:ligatures w14:val="standardContextual"/>
        </w:rPr>
      </w:pPr>
      <w:r>
        <w:rPr>
          <w:rFonts w:hint="default" w:ascii="Times New Roman" w:hAnsi="Times New Roman" w:eastAsia="等线" w:cs="Times New Roman"/>
          <w:color w:val="auto"/>
          <w:kern w:val="2"/>
          <w:sz w:val="24"/>
          <w:szCs w:val="24"/>
          <w:lang w:val="en-US" w:eastAsia="zh-CN" w:bidi="ar-SA"/>
          <w14:ligatures w14:val="standardContextual"/>
        </w:rPr>
        <w:t>11.</w:t>
      </w:r>
      <w:r>
        <w:rPr>
          <w:rFonts w:hint="default" w:ascii="Times New Roman" w:hAnsi="Times New Roman" w:eastAsia="等线" w:cs="Times New Roman"/>
          <w:color w:val="auto"/>
          <w:kern w:val="2"/>
          <w:sz w:val="24"/>
          <w:szCs w:val="24"/>
          <w:lang w:val="en-US" w:eastAsia="zh-CN" w:bidi="ar-SA"/>
          <w14:ligatures w14:val="standardContextual"/>
        </w:rPr>
        <w:tab/>
      </w:r>
      <w:r>
        <w:rPr>
          <w:rFonts w:hint="default" w:ascii="Times New Roman" w:hAnsi="Times New Roman" w:eastAsia="等线" w:cs="Times New Roman"/>
          <w:color w:val="auto"/>
          <w:kern w:val="2"/>
          <w:sz w:val="24"/>
          <w:szCs w:val="24"/>
          <w:lang w:val="en-US" w:eastAsia="zh-CN" w:bidi="ar-SA"/>
          <w14:ligatures w14:val="standardContextual"/>
        </w:rPr>
        <w:t xml:space="preserve">Prince RL, Kuk JL, Ambler KA, Dhaliwal J, Ball GDC. Predictors of metabolically healthy obesity in children. </w:t>
      </w:r>
      <w:r>
        <w:rPr>
          <w:rFonts w:hint="default" w:ascii="Times New Roman" w:hAnsi="Times New Roman" w:eastAsia="等线" w:cs="Times New Roman"/>
          <w:i/>
          <w:color w:val="auto"/>
          <w:kern w:val="2"/>
          <w:sz w:val="24"/>
          <w:szCs w:val="24"/>
          <w:lang w:val="en-US" w:eastAsia="zh-CN" w:bidi="ar-SA"/>
          <w14:ligatures w14:val="standardContextual"/>
        </w:rPr>
        <w:t>Diabetes Care</w:t>
      </w:r>
      <w:r>
        <w:rPr>
          <w:rFonts w:hint="default" w:ascii="Times New Roman" w:hAnsi="Times New Roman" w:eastAsia="等线" w:cs="Times New Roman"/>
          <w:color w:val="auto"/>
          <w:kern w:val="2"/>
          <w:sz w:val="24"/>
          <w:szCs w:val="24"/>
          <w:lang w:val="en-US" w:eastAsia="zh-CN" w:bidi="ar-SA"/>
          <w14:ligatures w14:val="standardContextual"/>
        </w:rPr>
        <w:t>. 2014;37(5):1462-1468. doi:10.2337/dc13-1697</w:t>
      </w:r>
    </w:p>
    <w:p w14:paraId="2DA18454">
      <w:pPr>
        <w:pStyle w:val="41"/>
        <w:bidi w:val="0"/>
        <w:spacing w:line="480" w:lineRule="auto"/>
        <w:ind w:left="0" w:firstLine="0"/>
        <w:rPr>
          <w:rFonts w:hint="default" w:ascii="Times New Roman" w:hAnsi="Times New Roman" w:eastAsia="等线" w:cs="Times New Roman"/>
          <w:color w:val="auto"/>
          <w:kern w:val="2"/>
          <w:sz w:val="24"/>
          <w:szCs w:val="24"/>
          <w:lang w:val="en-US" w:eastAsia="zh-CN" w:bidi="ar-SA"/>
          <w14:ligatures w14:val="standardContextual"/>
        </w:rPr>
      </w:pPr>
      <w:r>
        <w:rPr>
          <w:rFonts w:hint="default" w:ascii="Times New Roman" w:hAnsi="Times New Roman" w:eastAsia="等线" w:cs="Times New Roman"/>
          <w:color w:val="auto"/>
          <w:kern w:val="2"/>
          <w:sz w:val="24"/>
          <w:szCs w:val="24"/>
          <w:lang w:val="en-US" w:eastAsia="zh-CN" w:bidi="ar-SA"/>
          <w14:ligatures w14:val="standardContextual"/>
        </w:rPr>
        <w:t>12.</w:t>
      </w:r>
      <w:r>
        <w:rPr>
          <w:rFonts w:hint="default" w:ascii="Times New Roman" w:hAnsi="Times New Roman" w:eastAsia="等线" w:cs="Times New Roman"/>
          <w:color w:val="auto"/>
          <w:kern w:val="2"/>
          <w:sz w:val="24"/>
          <w:szCs w:val="24"/>
          <w:lang w:val="en-US" w:eastAsia="zh-CN" w:bidi="ar-SA"/>
          <w14:ligatures w14:val="standardContextual"/>
        </w:rPr>
        <w:tab/>
      </w:r>
      <w:r>
        <w:rPr>
          <w:rFonts w:hint="default" w:ascii="Times New Roman" w:hAnsi="Times New Roman" w:eastAsia="等线" w:cs="Times New Roman"/>
          <w:color w:val="auto"/>
          <w:kern w:val="2"/>
          <w:sz w:val="24"/>
          <w:szCs w:val="24"/>
          <w:lang w:val="en-US" w:eastAsia="zh-CN" w:bidi="ar-SA"/>
          <w14:ligatures w14:val="standardContextual"/>
        </w:rPr>
        <w:t xml:space="preserve">Wang J-S, Xia P-F, Ma M-N, et al. Trends in the Prevalence of Metabolically Healthy Obesity Among US Adults, 1999-2018. </w:t>
      </w:r>
      <w:r>
        <w:rPr>
          <w:rFonts w:hint="default" w:ascii="Times New Roman" w:hAnsi="Times New Roman" w:eastAsia="等线" w:cs="Times New Roman"/>
          <w:i/>
          <w:color w:val="auto"/>
          <w:kern w:val="2"/>
          <w:sz w:val="24"/>
          <w:szCs w:val="24"/>
          <w:lang w:val="en-US" w:eastAsia="zh-CN" w:bidi="ar-SA"/>
          <w14:ligatures w14:val="standardContextual"/>
        </w:rPr>
        <w:t>JAMA Netw Open</w:t>
      </w:r>
      <w:r>
        <w:rPr>
          <w:rFonts w:hint="default" w:ascii="Times New Roman" w:hAnsi="Times New Roman" w:eastAsia="等线" w:cs="Times New Roman"/>
          <w:color w:val="auto"/>
          <w:kern w:val="2"/>
          <w:sz w:val="24"/>
          <w:szCs w:val="24"/>
          <w:lang w:val="en-US" w:eastAsia="zh-CN" w:bidi="ar-SA"/>
          <w14:ligatures w14:val="standardContextual"/>
        </w:rPr>
        <w:t>. 2023;6(3):e232145. doi:10.1001/jamanetworkopen.2023.2145</w:t>
      </w:r>
    </w:p>
    <w:p w14:paraId="3FB6551E">
      <w:pPr>
        <w:pStyle w:val="41"/>
        <w:bidi w:val="0"/>
        <w:spacing w:line="480" w:lineRule="auto"/>
        <w:ind w:left="0" w:firstLine="0"/>
        <w:rPr>
          <w:rFonts w:hint="default" w:ascii="Times New Roman" w:hAnsi="Times New Roman" w:eastAsia="等线" w:cs="Times New Roman"/>
          <w:color w:val="auto"/>
          <w:kern w:val="2"/>
          <w:sz w:val="24"/>
          <w:szCs w:val="24"/>
          <w:lang w:val="en-US" w:eastAsia="zh-CN" w:bidi="ar-SA"/>
          <w14:ligatures w14:val="standardContextual"/>
        </w:rPr>
      </w:pPr>
      <w:r>
        <w:rPr>
          <w:rFonts w:hint="default" w:ascii="Times New Roman" w:hAnsi="Times New Roman" w:eastAsia="等线" w:cs="Times New Roman"/>
          <w:color w:val="auto"/>
          <w:kern w:val="2"/>
          <w:sz w:val="24"/>
          <w:szCs w:val="24"/>
          <w:lang w:val="en-US" w:eastAsia="zh-CN" w:bidi="ar-SA"/>
          <w14:ligatures w14:val="standardContextual"/>
        </w:rPr>
        <w:t>13.</w:t>
      </w:r>
      <w:r>
        <w:rPr>
          <w:rFonts w:hint="default" w:ascii="Times New Roman" w:hAnsi="Times New Roman" w:eastAsia="等线" w:cs="Times New Roman"/>
          <w:color w:val="auto"/>
          <w:kern w:val="2"/>
          <w:sz w:val="24"/>
          <w:szCs w:val="24"/>
          <w:lang w:val="en-US" w:eastAsia="zh-CN" w:bidi="ar-SA"/>
          <w14:ligatures w14:val="standardContextual"/>
        </w:rPr>
        <w:tab/>
      </w:r>
      <w:r>
        <w:rPr>
          <w:rFonts w:hint="default" w:ascii="Times New Roman" w:hAnsi="Times New Roman" w:eastAsia="等线" w:cs="Times New Roman"/>
          <w:color w:val="auto"/>
          <w:kern w:val="2"/>
          <w:sz w:val="24"/>
          <w:szCs w:val="24"/>
          <w:lang w:val="en-US" w:eastAsia="zh-CN" w:bidi="ar-SA"/>
          <w14:ligatures w14:val="standardContextual"/>
        </w:rPr>
        <w:t xml:space="preserve">de Ferranti SD, Gauvreau K, Ludwig DS, Neufeld EJ, Newburger JW, Rifai N. Prevalence of the metabolic syndrome in American adolescents: findings from the Third National Health and Nutrition Examination Survey. </w:t>
      </w:r>
      <w:r>
        <w:rPr>
          <w:rFonts w:hint="default" w:ascii="Times New Roman" w:hAnsi="Times New Roman" w:eastAsia="等线" w:cs="Times New Roman"/>
          <w:i/>
          <w:color w:val="auto"/>
          <w:kern w:val="2"/>
          <w:sz w:val="24"/>
          <w:szCs w:val="24"/>
          <w:lang w:val="en-US" w:eastAsia="zh-CN" w:bidi="ar-SA"/>
          <w14:ligatures w14:val="standardContextual"/>
        </w:rPr>
        <w:t>Circulation</w:t>
      </w:r>
      <w:r>
        <w:rPr>
          <w:rFonts w:hint="default" w:ascii="Times New Roman" w:hAnsi="Times New Roman" w:eastAsia="等线" w:cs="Times New Roman"/>
          <w:color w:val="auto"/>
          <w:kern w:val="2"/>
          <w:sz w:val="24"/>
          <w:szCs w:val="24"/>
          <w:lang w:val="en-US" w:eastAsia="zh-CN" w:bidi="ar-SA"/>
          <w14:ligatures w14:val="standardContextual"/>
        </w:rPr>
        <w:t xml:space="preserve">. 2004;110(16):2494-2497. </w:t>
      </w:r>
    </w:p>
    <w:p w14:paraId="0584879B">
      <w:pPr>
        <w:pStyle w:val="41"/>
        <w:bidi w:val="0"/>
        <w:spacing w:line="480" w:lineRule="auto"/>
        <w:ind w:left="0" w:firstLine="0"/>
        <w:rPr>
          <w:rFonts w:hint="default" w:ascii="Times New Roman" w:hAnsi="Times New Roman" w:eastAsia="等线" w:cs="Times New Roman"/>
          <w:color w:val="auto"/>
          <w:kern w:val="2"/>
          <w:sz w:val="24"/>
          <w:szCs w:val="24"/>
          <w:lang w:val="en-US" w:eastAsia="zh-CN" w:bidi="ar-SA"/>
          <w14:ligatures w14:val="standardContextual"/>
        </w:rPr>
      </w:pPr>
      <w:r>
        <w:rPr>
          <w:rFonts w:hint="default" w:ascii="Times New Roman" w:hAnsi="Times New Roman" w:eastAsia="等线" w:cs="Times New Roman"/>
          <w:color w:val="auto"/>
          <w:kern w:val="2"/>
          <w:sz w:val="24"/>
          <w:szCs w:val="24"/>
          <w:lang w:val="en-US" w:eastAsia="zh-CN" w:bidi="ar-SA"/>
          <w14:ligatures w14:val="standardContextual"/>
        </w:rPr>
        <w:t>14.</w:t>
      </w:r>
      <w:r>
        <w:rPr>
          <w:rFonts w:hint="default" w:ascii="Times New Roman" w:hAnsi="Times New Roman" w:eastAsia="等线" w:cs="Times New Roman"/>
          <w:color w:val="auto"/>
          <w:kern w:val="2"/>
          <w:sz w:val="24"/>
          <w:szCs w:val="24"/>
          <w:lang w:val="en-US" w:eastAsia="zh-CN" w:bidi="ar-SA"/>
          <w14:ligatures w14:val="standardContextual"/>
        </w:rPr>
        <w:tab/>
      </w:r>
      <w:r>
        <w:rPr>
          <w:rFonts w:hint="default" w:ascii="Times New Roman" w:hAnsi="Times New Roman" w:eastAsia="等线" w:cs="Times New Roman"/>
          <w:color w:val="auto"/>
          <w:kern w:val="2"/>
          <w:sz w:val="24"/>
          <w:szCs w:val="24"/>
          <w:lang w:val="en-US" w:eastAsia="zh-CN" w:bidi="ar-SA"/>
          <w14:ligatures w14:val="standardContextual"/>
        </w:rPr>
        <w:t xml:space="preserve">Weiss R, Dziura J, Burgert TS, et al. Obesity and the metabolic syndrome in children and adolescents. </w:t>
      </w:r>
      <w:r>
        <w:rPr>
          <w:rFonts w:hint="default" w:ascii="Times New Roman" w:hAnsi="Times New Roman" w:eastAsia="等线" w:cs="Times New Roman"/>
          <w:i/>
          <w:color w:val="auto"/>
          <w:kern w:val="2"/>
          <w:sz w:val="24"/>
          <w:szCs w:val="24"/>
          <w:lang w:val="en-US" w:eastAsia="zh-CN" w:bidi="ar-SA"/>
          <w14:ligatures w14:val="standardContextual"/>
        </w:rPr>
        <w:t>N Engl J Med</w:t>
      </w:r>
      <w:r>
        <w:rPr>
          <w:rFonts w:hint="default" w:ascii="Times New Roman" w:hAnsi="Times New Roman" w:eastAsia="等线" w:cs="Times New Roman"/>
          <w:color w:val="auto"/>
          <w:kern w:val="2"/>
          <w:sz w:val="24"/>
          <w:szCs w:val="24"/>
          <w:lang w:val="en-US" w:eastAsia="zh-CN" w:bidi="ar-SA"/>
          <w14:ligatures w14:val="standardContextual"/>
        </w:rPr>
        <w:t xml:space="preserve">. 2004;350(23):2362-2374. </w:t>
      </w:r>
    </w:p>
    <w:p w14:paraId="2EC427C8">
      <w:pPr>
        <w:pStyle w:val="41"/>
        <w:bidi w:val="0"/>
        <w:spacing w:line="480" w:lineRule="auto"/>
        <w:ind w:left="0" w:firstLine="0"/>
        <w:rPr>
          <w:rFonts w:hint="default" w:ascii="Times New Roman" w:hAnsi="Times New Roman" w:eastAsia="等线" w:cs="Times New Roman"/>
          <w:color w:val="auto"/>
          <w:kern w:val="2"/>
          <w:sz w:val="24"/>
          <w:szCs w:val="24"/>
          <w:lang w:val="en-US" w:eastAsia="zh-CN" w:bidi="ar-SA"/>
          <w14:ligatures w14:val="standardContextual"/>
        </w:rPr>
      </w:pPr>
      <w:r>
        <w:rPr>
          <w:rFonts w:hint="default" w:ascii="Times New Roman" w:hAnsi="Times New Roman" w:eastAsia="等线" w:cs="Times New Roman"/>
          <w:color w:val="auto"/>
          <w:kern w:val="2"/>
          <w:sz w:val="24"/>
          <w:szCs w:val="24"/>
          <w:lang w:val="en-US" w:eastAsia="zh-CN" w:bidi="ar-SA"/>
          <w14:ligatures w14:val="standardContextual"/>
        </w:rPr>
        <w:t>15.</w:t>
      </w:r>
      <w:r>
        <w:rPr>
          <w:rFonts w:hint="default" w:ascii="Times New Roman" w:hAnsi="Times New Roman" w:eastAsia="等线" w:cs="Times New Roman"/>
          <w:color w:val="auto"/>
          <w:kern w:val="2"/>
          <w:sz w:val="24"/>
          <w:szCs w:val="24"/>
          <w:lang w:val="en-US" w:eastAsia="zh-CN" w:bidi="ar-SA"/>
          <w14:ligatures w14:val="standardContextual"/>
        </w:rPr>
        <w:tab/>
      </w:r>
      <w:r>
        <w:rPr>
          <w:rFonts w:hint="default" w:ascii="Times New Roman" w:hAnsi="Times New Roman" w:eastAsia="等线" w:cs="Times New Roman"/>
          <w:color w:val="auto"/>
          <w:kern w:val="2"/>
          <w:sz w:val="24"/>
          <w:szCs w:val="24"/>
          <w:lang w:val="en-US" w:eastAsia="zh-CN" w:bidi="ar-SA"/>
          <w14:ligatures w14:val="standardContextual"/>
        </w:rPr>
        <w:t xml:space="preserve">Cruz ML, Weigensberg MJ, Huang TTK, Ball G, Shaibi GQ, Goran MI. The metabolic syndrome in overweight Hispanic youth and the role of insulin sensitivity. </w:t>
      </w:r>
      <w:r>
        <w:rPr>
          <w:rFonts w:hint="default" w:ascii="Times New Roman" w:hAnsi="Times New Roman" w:eastAsia="等线" w:cs="Times New Roman"/>
          <w:i/>
          <w:color w:val="auto"/>
          <w:kern w:val="2"/>
          <w:sz w:val="24"/>
          <w:szCs w:val="24"/>
          <w:lang w:val="en-US" w:eastAsia="zh-CN" w:bidi="ar-SA"/>
          <w14:ligatures w14:val="standardContextual"/>
        </w:rPr>
        <w:t>J Clin Endocrinol Metab</w:t>
      </w:r>
      <w:r>
        <w:rPr>
          <w:rFonts w:hint="default" w:ascii="Times New Roman" w:hAnsi="Times New Roman" w:eastAsia="等线" w:cs="Times New Roman"/>
          <w:color w:val="auto"/>
          <w:kern w:val="2"/>
          <w:sz w:val="24"/>
          <w:szCs w:val="24"/>
          <w:lang w:val="en-US" w:eastAsia="zh-CN" w:bidi="ar-SA"/>
          <w14:ligatures w14:val="standardContextual"/>
        </w:rPr>
        <w:t xml:space="preserve">. 2004;89(1):108-113. </w:t>
      </w:r>
    </w:p>
    <w:p w14:paraId="781B9552">
      <w:pPr>
        <w:pStyle w:val="41"/>
        <w:bidi w:val="0"/>
        <w:spacing w:line="480" w:lineRule="auto"/>
        <w:ind w:left="0" w:firstLine="0"/>
        <w:rPr>
          <w:rFonts w:hint="default" w:ascii="Times New Roman" w:hAnsi="Times New Roman" w:eastAsia="等线" w:cs="Times New Roman"/>
          <w:color w:val="auto"/>
          <w:kern w:val="2"/>
          <w:sz w:val="24"/>
          <w:szCs w:val="24"/>
          <w:lang w:val="en-US" w:eastAsia="zh-CN" w:bidi="ar-SA"/>
          <w14:ligatures w14:val="standardContextual"/>
        </w:rPr>
      </w:pPr>
      <w:r>
        <w:rPr>
          <w:rFonts w:hint="default" w:ascii="Times New Roman" w:hAnsi="Times New Roman" w:eastAsia="等线" w:cs="Times New Roman"/>
          <w:color w:val="auto"/>
          <w:kern w:val="2"/>
          <w:sz w:val="24"/>
          <w:szCs w:val="24"/>
          <w:lang w:val="en-US" w:eastAsia="zh-CN" w:bidi="ar-SA"/>
          <w14:ligatures w14:val="standardContextual"/>
        </w:rPr>
        <w:t>16.</w:t>
      </w:r>
      <w:r>
        <w:rPr>
          <w:rFonts w:hint="default" w:ascii="Times New Roman" w:hAnsi="Times New Roman" w:eastAsia="等线" w:cs="Times New Roman"/>
          <w:color w:val="auto"/>
          <w:kern w:val="2"/>
          <w:sz w:val="24"/>
          <w:szCs w:val="24"/>
          <w:lang w:val="en-US" w:eastAsia="zh-CN" w:bidi="ar-SA"/>
          <w14:ligatures w14:val="standardContextual"/>
        </w:rPr>
        <w:tab/>
      </w:r>
      <w:r>
        <w:rPr>
          <w:rFonts w:hint="default" w:ascii="Times New Roman" w:hAnsi="Times New Roman" w:eastAsia="等线" w:cs="Times New Roman"/>
          <w:color w:val="auto"/>
          <w:kern w:val="2"/>
          <w:sz w:val="24"/>
          <w:szCs w:val="24"/>
          <w:lang w:val="en-US" w:eastAsia="zh-CN" w:bidi="ar-SA"/>
          <w14:ligatures w14:val="standardContextual"/>
        </w:rPr>
        <w:t xml:space="preserve">Ford ES, Ajani UA, Mokdad AH. The metabolic syndrome and concentrations of C-reactive protein among U.S. youth. </w:t>
      </w:r>
      <w:r>
        <w:rPr>
          <w:rFonts w:hint="default" w:ascii="Times New Roman" w:hAnsi="Times New Roman" w:eastAsia="等线" w:cs="Times New Roman"/>
          <w:i/>
          <w:color w:val="auto"/>
          <w:kern w:val="2"/>
          <w:sz w:val="24"/>
          <w:szCs w:val="24"/>
          <w:lang w:val="en-US" w:eastAsia="zh-CN" w:bidi="ar-SA"/>
          <w14:ligatures w14:val="standardContextual"/>
        </w:rPr>
        <w:t>Diabetes Care</w:t>
      </w:r>
      <w:r>
        <w:rPr>
          <w:rFonts w:hint="default" w:ascii="Times New Roman" w:hAnsi="Times New Roman" w:eastAsia="等线" w:cs="Times New Roman"/>
          <w:color w:val="auto"/>
          <w:kern w:val="2"/>
          <w:sz w:val="24"/>
          <w:szCs w:val="24"/>
          <w:lang w:val="en-US" w:eastAsia="zh-CN" w:bidi="ar-SA"/>
          <w14:ligatures w14:val="standardContextual"/>
        </w:rPr>
        <w:t xml:space="preserve">. 2005;28(4):878-881. </w:t>
      </w:r>
    </w:p>
    <w:p w14:paraId="5826372C">
      <w:pPr>
        <w:pStyle w:val="41"/>
        <w:bidi w:val="0"/>
        <w:spacing w:line="480" w:lineRule="auto"/>
        <w:ind w:left="0" w:firstLine="0"/>
        <w:rPr>
          <w:rFonts w:hint="default" w:ascii="Times New Roman" w:hAnsi="Times New Roman" w:eastAsia="等线" w:cs="Times New Roman"/>
          <w:color w:val="auto"/>
          <w:kern w:val="2"/>
          <w:sz w:val="24"/>
          <w:szCs w:val="24"/>
          <w:lang w:val="en-US" w:eastAsia="zh-CN" w:bidi="ar-SA"/>
          <w14:ligatures w14:val="standardContextual"/>
        </w:rPr>
      </w:pPr>
      <w:r>
        <w:rPr>
          <w:rFonts w:hint="default" w:ascii="Times New Roman" w:hAnsi="Times New Roman" w:eastAsia="等线" w:cs="Times New Roman"/>
          <w:color w:val="auto"/>
          <w:kern w:val="2"/>
          <w:sz w:val="24"/>
          <w:szCs w:val="24"/>
          <w:lang w:val="en-US" w:eastAsia="zh-CN" w:bidi="ar-SA"/>
          <w14:ligatures w14:val="standardContextual"/>
        </w:rPr>
        <w:t>17.</w:t>
      </w:r>
      <w:r>
        <w:rPr>
          <w:rFonts w:hint="default" w:ascii="Times New Roman" w:hAnsi="Times New Roman" w:eastAsia="等线" w:cs="Times New Roman"/>
          <w:color w:val="auto"/>
          <w:kern w:val="2"/>
          <w:sz w:val="24"/>
          <w:szCs w:val="24"/>
          <w:lang w:val="en-US" w:eastAsia="zh-CN" w:bidi="ar-SA"/>
          <w14:ligatures w14:val="standardContextual"/>
        </w:rPr>
        <w:tab/>
      </w:r>
      <w:r>
        <w:rPr>
          <w:rFonts w:hint="default" w:ascii="Times New Roman" w:hAnsi="Times New Roman" w:eastAsia="等线" w:cs="Times New Roman"/>
          <w:color w:val="auto"/>
          <w:kern w:val="2"/>
          <w:sz w:val="24"/>
          <w:szCs w:val="24"/>
          <w:lang w:val="en-US" w:eastAsia="zh-CN" w:bidi="ar-SA"/>
          <w14:ligatures w14:val="standardContextual"/>
        </w:rPr>
        <w:t xml:space="preserve">Kranz S, Mahood LJ, Wagstaff DA. Diagnostic criteria patterns of U.S. children with Metabolic Syndrome: NHANES 1999-2002. </w:t>
      </w:r>
      <w:r>
        <w:rPr>
          <w:rFonts w:hint="default" w:ascii="Times New Roman" w:hAnsi="Times New Roman" w:eastAsia="等线" w:cs="Times New Roman"/>
          <w:i/>
          <w:color w:val="auto"/>
          <w:kern w:val="2"/>
          <w:sz w:val="24"/>
          <w:szCs w:val="24"/>
          <w:lang w:val="en-US" w:eastAsia="zh-CN" w:bidi="ar-SA"/>
          <w14:ligatures w14:val="standardContextual"/>
        </w:rPr>
        <w:t>Nutr J</w:t>
      </w:r>
      <w:r>
        <w:rPr>
          <w:rFonts w:hint="default" w:ascii="Times New Roman" w:hAnsi="Times New Roman" w:eastAsia="等线" w:cs="Times New Roman"/>
          <w:color w:val="auto"/>
          <w:kern w:val="2"/>
          <w:sz w:val="24"/>
          <w:szCs w:val="24"/>
          <w:lang w:val="en-US" w:eastAsia="zh-CN" w:bidi="ar-SA"/>
          <w14:ligatures w14:val="standardContextual"/>
        </w:rPr>
        <w:t xml:space="preserve">. 2007;6:38. </w:t>
      </w:r>
    </w:p>
    <w:p w14:paraId="3D625936">
      <w:pPr>
        <w:pStyle w:val="41"/>
        <w:bidi w:val="0"/>
        <w:spacing w:line="480" w:lineRule="auto"/>
        <w:ind w:left="0" w:firstLine="0"/>
        <w:rPr>
          <w:rFonts w:hint="default" w:ascii="Times New Roman" w:hAnsi="Times New Roman" w:eastAsia="等线" w:cs="Times New Roman"/>
          <w:color w:val="auto"/>
          <w:kern w:val="2"/>
          <w:sz w:val="24"/>
          <w:szCs w:val="24"/>
          <w:lang w:val="en-US" w:eastAsia="zh-CN" w:bidi="ar-SA"/>
          <w14:ligatures w14:val="standardContextual"/>
        </w:rPr>
      </w:pPr>
      <w:r>
        <w:rPr>
          <w:rFonts w:hint="default" w:ascii="Times New Roman" w:hAnsi="Times New Roman" w:eastAsia="等线" w:cs="Times New Roman"/>
          <w:color w:val="auto"/>
          <w:kern w:val="2"/>
          <w:sz w:val="24"/>
          <w:szCs w:val="24"/>
          <w:lang w:val="en-US" w:eastAsia="zh-CN" w:bidi="ar-SA"/>
          <w14:ligatures w14:val="standardContextual"/>
        </w:rPr>
        <w:t>18.</w:t>
      </w:r>
      <w:r>
        <w:rPr>
          <w:rFonts w:hint="default" w:ascii="Times New Roman" w:hAnsi="Times New Roman" w:eastAsia="等线" w:cs="Times New Roman"/>
          <w:color w:val="auto"/>
          <w:kern w:val="2"/>
          <w:sz w:val="24"/>
          <w:szCs w:val="24"/>
          <w:lang w:val="en-US" w:eastAsia="zh-CN" w:bidi="ar-SA"/>
          <w14:ligatures w14:val="standardContextual"/>
        </w:rPr>
        <w:tab/>
      </w:r>
      <w:r>
        <w:rPr>
          <w:rFonts w:hint="default" w:ascii="Times New Roman" w:hAnsi="Times New Roman" w:eastAsia="等线" w:cs="Times New Roman"/>
          <w:color w:val="auto"/>
          <w:kern w:val="2"/>
          <w:sz w:val="24"/>
          <w:szCs w:val="24"/>
          <w:lang w:val="en-US" w:eastAsia="zh-CN" w:bidi="ar-SA"/>
          <w14:ligatures w14:val="standardContextual"/>
        </w:rPr>
        <w:t xml:space="preserve">Ahrens W, Moreno LA, Mårild S, et al. Metabolic syndrome in young children: definitions and results of the IDEFICS study. </w:t>
      </w:r>
      <w:r>
        <w:rPr>
          <w:rFonts w:hint="default" w:ascii="Times New Roman" w:hAnsi="Times New Roman" w:eastAsia="等线" w:cs="Times New Roman"/>
          <w:i/>
          <w:color w:val="auto"/>
          <w:kern w:val="2"/>
          <w:sz w:val="24"/>
          <w:szCs w:val="24"/>
          <w:lang w:val="en-US" w:eastAsia="zh-CN" w:bidi="ar-SA"/>
          <w14:ligatures w14:val="standardContextual"/>
        </w:rPr>
        <w:t>Int J Obes (Lond)</w:t>
      </w:r>
      <w:r>
        <w:rPr>
          <w:rFonts w:hint="default" w:ascii="Times New Roman" w:hAnsi="Times New Roman" w:eastAsia="等线" w:cs="Times New Roman"/>
          <w:color w:val="auto"/>
          <w:kern w:val="2"/>
          <w:sz w:val="24"/>
          <w:szCs w:val="24"/>
          <w:lang w:val="en-US" w:eastAsia="zh-CN" w:bidi="ar-SA"/>
          <w14:ligatures w14:val="standardContextual"/>
        </w:rPr>
        <w:t>. 2014;38 Suppl 2:S4-14. doi:10.1038/ijo.2014.130</w:t>
      </w:r>
    </w:p>
    <w:p w14:paraId="432C0573">
      <w:pPr>
        <w:keepNext w:val="0"/>
        <w:keepLines w:val="0"/>
        <w:pageBreakBefore w:val="0"/>
        <w:kinsoku/>
        <w:wordWrap/>
        <w:overflowPunct/>
        <w:topLinePunct w:val="0"/>
        <w:autoSpaceDE/>
        <w:autoSpaceDN/>
        <w:bidi w:val="0"/>
        <w:adjustRightInd/>
        <w:snapToGrid/>
        <w:spacing w:line="480" w:lineRule="auto"/>
        <w:ind w:left="0" w:firstLine="0"/>
        <w:jc w:val="left"/>
        <w:textAlignment w:val="auto"/>
        <w:rPr>
          <w:rFonts w:hint="default" w:ascii="Times New Roman" w:hAnsi="Times New Roman" w:cs="Times New Roman"/>
          <w:color w:val="auto"/>
          <w:sz w:val="24"/>
          <w:szCs w:val="24"/>
          <w:lang w:val="en-US" w:eastAsia="zh-CN"/>
        </w:rPr>
      </w:pPr>
      <w:r>
        <w:rPr>
          <w:rFonts w:hint="default" w:ascii="Times New Roman" w:hAnsi="Times New Roman" w:eastAsia="Times New Roman Uni" w:cs="Times New Roman"/>
          <w:color w:val="auto"/>
          <w:sz w:val="24"/>
          <w:szCs w:val="24"/>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Times New Roman Uni">
    <w:panose1 w:val="02020603050405020304"/>
    <w:charset w:val="86"/>
    <w:family w:val="roman"/>
    <w:pitch w:val="default"/>
    <w:sig w:usb0="B334AAFF" w:usb1="F9FFFFFF" w:usb2="0000003E" w:usb3="00000000" w:csb0="601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B5BB1">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61D911">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361D911">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A 11th&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e90wv2z22r5ebexw9qxs223dp025a0ezzzp&quot;&gt;My EndNote Library_paper writing&lt;record-ids&gt;&lt;item&gt;68&lt;/item&gt;&lt;item&gt;74&lt;/item&gt;&lt;item&gt;82&lt;/item&gt;&lt;item&gt;95&lt;/item&gt;&lt;item&gt;96&lt;/item&gt;&lt;item&gt;97&lt;/item&gt;&lt;item&gt;98&lt;/item&gt;&lt;item&gt;100&lt;/item&gt;&lt;item&gt;101&lt;/item&gt;&lt;item&gt;103&lt;/item&gt;&lt;item&gt;105&lt;/item&gt;&lt;item&gt;106&lt;/item&gt;&lt;item&gt;107&lt;/item&gt;&lt;item&gt;125&lt;/item&gt;&lt;item&gt;126&lt;/item&gt;&lt;item&gt;127&lt;/item&gt;&lt;item&gt;128&lt;/item&gt;&lt;item&gt;129&lt;/item&gt;&lt;item&gt;134&lt;/item&gt;&lt;/record-ids&gt;&lt;/item&gt;&lt;/Libraries&gt;"/>
  </w:docVars>
  <w:rsids>
    <w:rsidRoot w:val="00D57DE0"/>
    <w:rsid w:val="000E4380"/>
    <w:rsid w:val="001032C6"/>
    <w:rsid w:val="002B1485"/>
    <w:rsid w:val="003B47B2"/>
    <w:rsid w:val="005251AA"/>
    <w:rsid w:val="005C6089"/>
    <w:rsid w:val="00680C99"/>
    <w:rsid w:val="007A51B4"/>
    <w:rsid w:val="00C91C98"/>
    <w:rsid w:val="00D57DE0"/>
    <w:rsid w:val="00D73020"/>
    <w:rsid w:val="00DD0EC0"/>
    <w:rsid w:val="00DE6BBA"/>
    <w:rsid w:val="00E0001D"/>
    <w:rsid w:val="00E24E08"/>
    <w:rsid w:val="00E700CE"/>
    <w:rsid w:val="0141564A"/>
    <w:rsid w:val="0199213C"/>
    <w:rsid w:val="01A73D87"/>
    <w:rsid w:val="01C012ED"/>
    <w:rsid w:val="01C86B55"/>
    <w:rsid w:val="025435F0"/>
    <w:rsid w:val="02BD75DA"/>
    <w:rsid w:val="02FB7436"/>
    <w:rsid w:val="03074550"/>
    <w:rsid w:val="03BE10E3"/>
    <w:rsid w:val="04935B01"/>
    <w:rsid w:val="049E3B15"/>
    <w:rsid w:val="04F512AE"/>
    <w:rsid w:val="050A762D"/>
    <w:rsid w:val="059C50E2"/>
    <w:rsid w:val="05BC1DCB"/>
    <w:rsid w:val="05FE7CD4"/>
    <w:rsid w:val="06431CCA"/>
    <w:rsid w:val="06D724A1"/>
    <w:rsid w:val="073E702B"/>
    <w:rsid w:val="07DE7931"/>
    <w:rsid w:val="084F6F27"/>
    <w:rsid w:val="08AF0DE8"/>
    <w:rsid w:val="08CD5FEE"/>
    <w:rsid w:val="08DA0F98"/>
    <w:rsid w:val="0977527D"/>
    <w:rsid w:val="0A325820"/>
    <w:rsid w:val="0B4E7969"/>
    <w:rsid w:val="0B671B1F"/>
    <w:rsid w:val="0BF262CB"/>
    <w:rsid w:val="0BFC6A96"/>
    <w:rsid w:val="0CA16A68"/>
    <w:rsid w:val="0CC47B94"/>
    <w:rsid w:val="0D481991"/>
    <w:rsid w:val="0D651B97"/>
    <w:rsid w:val="0D8562F4"/>
    <w:rsid w:val="0E77390B"/>
    <w:rsid w:val="0EAC1532"/>
    <w:rsid w:val="0ED233FC"/>
    <w:rsid w:val="0ED34D3B"/>
    <w:rsid w:val="0F9D056F"/>
    <w:rsid w:val="0F9E5886"/>
    <w:rsid w:val="107E32D1"/>
    <w:rsid w:val="111F61C6"/>
    <w:rsid w:val="112F3558"/>
    <w:rsid w:val="118C1A02"/>
    <w:rsid w:val="11A80F8D"/>
    <w:rsid w:val="12232749"/>
    <w:rsid w:val="12AB7293"/>
    <w:rsid w:val="13F53FEC"/>
    <w:rsid w:val="142A124A"/>
    <w:rsid w:val="14802DE2"/>
    <w:rsid w:val="14A06D31"/>
    <w:rsid w:val="14D11732"/>
    <w:rsid w:val="15A15C63"/>
    <w:rsid w:val="15D46CBD"/>
    <w:rsid w:val="15F81224"/>
    <w:rsid w:val="165C6DF4"/>
    <w:rsid w:val="168B2074"/>
    <w:rsid w:val="169F12BF"/>
    <w:rsid w:val="16EC1A73"/>
    <w:rsid w:val="17017F86"/>
    <w:rsid w:val="17EE4066"/>
    <w:rsid w:val="180B0603"/>
    <w:rsid w:val="18AE7C99"/>
    <w:rsid w:val="191441F9"/>
    <w:rsid w:val="1AFB1154"/>
    <w:rsid w:val="1C4C3E23"/>
    <w:rsid w:val="1C786FD6"/>
    <w:rsid w:val="1C821221"/>
    <w:rsid w:val="1CC25AC1"/>
    <w:rsid w:val="1D8D7182"/>
    <w:rsid w:val="1DC064A5"/>
    <w:rsid w:val="1E043F4D"/>
    <w:rsid w:val="1E2D340E"/>
    <w:rsid w:val="1E7D7EF2"/>
    <w:rsid w:val="1E851AB0"/>
    <w:rsid w:val="1EA43A4E"/>
    <w:rsid w:val="1F403C04"/>
    <w:rsid w:val="1FD004F5"/>
    <w:rsid w:val="20113A0B"/>
    <w:rsid w:val="21DC6C01"/>
    <w:rsid w:val="21F842A6"/>
    <w:rsid w:val="23B45B1F"/>
    <w:rsid w:val="245505F4"/>
    <w:rsid w:val="25AA4B69"/>
    <w:rsid w:val="25FA451E"/>
    <w:rsid w:val="26AB29E1"/>
    <w:rsid w:val="2758774E"/>
    <w:rsid w:val="27FD48FE"/>
    <w:rsid w:val="2835035F"/>
    <w:rsid w:val="28432048"/>
    <w:rsid w:val="28861624"/>
    <w:rsid w:val="28BA184D"/>
    <w:rsid w:val="296B1496"/>
    <w:rsid w:val="2A1937BB"/>
    <w:rsid w:val="2A1F2147"/>
    <w:rsid w:val="2A464DE2"/>
    <w:rsid w:val="2A4C31DA"/>
    <w:rsid w:val="2A6C52BE"/>
    <w:rsid w:val="2A821542"/>
    <w:rsid w:val="2AC232FA"/>
    <w:rsid w:val="2B635F38"/>
    <w:rsid w:val="2B8A39A7"/>
    <w:rsid w:val="2BA525DC"/>
    <w:rsid w:val="2BFA5B25"/>
    <w:rsid w:val="2D4A3298"/>
    <w:rsid w:val="2E21436B"/>
    <w:rsid w:val="2E296978"/>
    <w:rsid w:val="2E2A34C6"/>
    <w:rsid w:val="2E4A0ACA"/>
    <w:rsid w:val="2E4A2626"/>
    <w:rsid w:val="2ED2543C"/>
    <w:rsid w:val="2EFE507F"/>
    <w:rsid w:val="2F184130"/>
    <w:rsid w:val="2F5A3C00"/>
    <w:rsid w:val="303005C8"/>
    <w:rsid w:val="30390D68"/>
    <w:rsid w:val="304A60A2"/>
    <w:rsid w:val="304A7E50"/>
    <w:rsid w:val="306233EC"/>
    <w:rsid w:val="31B53264"/>
    <w:rsid w:val="31ED28B7"/>
    <w:rsid w:val="321437BA"/>
    <w:rsid w:val="32174F59"/>
    <w:rsid w:val="324C7D2D"/>
    <w:rsid w:val="32F0034E"/>
    <w:rsid w:val="33087A5B"/>
    <w:rsid w:val="339F2041"/>
    <w:rsid w:val="33BF7745"/>
    <w:rsid w:val="33FB4D1F"/>
    <w:rsid w:val="343808D4"/>
    <w:rsid w:val="346A361C"/>
    <w:rsid w:val="3481007D"/>
    <w:rsid w:val="349F0ABF"/>
    <w:rsid w:val="34A51925"/>
    <w:rsid w:val="34DD06D1"/>
    <w:rsid w:val="35374FBB"/>
    <w:rsid w:val="354632DC"/>
    <w:rsid w:val="35975258"/>
    <w:rsid w:val="365030D3"/>
    <w:rsid w:val="373C5504"/>
    <w:rsid w:val="378348FC"/>
    <w:rsid w:val="37851A23"/>
    <w:rsid w:val="37B747BB"/>
    <w:rsid w:val="38080D1C"/>
    <w:rsid w:val="38086A4E"/>
    <w:rsid w:val="38783580"/>
    <w:rsid w:val="387E4B3B"/>
    <w:rsid w:val="38B2415D"/>
    <w:rsid w:val="38E97B69"/>
    <w:rsid w:val="38F81FB5"/>
    <w:rsid w:val="390A63CE"/>
    <w:rsid w:val="3926303E"/>
    <w:rsid w:val="3A0B5DDD"/>
    <w:rsid w:val="3A6B10EF"/>
    <w:rsid w:val="3B4200A1"/>
    <w:rsid w:val="3B9C482B"/>
    <w:rsid w:val="3BD76792"/>
    <w:rsid w:val="3BF563C1"/>
    <w:rsid w:val="3C326168"/>
    <w:rsid w:val="3C36192E"/>
    <w:rsid w:val="3C7C5002"/>
    <w:rsid w:val="3C840C10"/>
    <w:rsid w:val="3D0C0B50"/>
    <w:rsid w:val="3E9C2418"/>
    <w:rsid w:val="3EDE53EF"/>
    <w:rsid w:val="3F1B1479"/>
    <w:rsid w:val="3F6251B6"/>
    <w:rsid w:val="3F7F7B16"/>
    <w:rsid w:val="3FA05CDE"/>
    <w:rsid w:val="40A50042"/>
    <w:rsid w:val="40D21EC7"/>
    <w:rsid w:val="410276E6"/>
    <w:rsid w:val="41892CED"/>
    <w:rsid w:val="41FD69D9"/>
    <w:rsid w:val="42673CC3"/>
    <w:rsid w:val="42680135"/>
    <w:rsid w:val="42F35B45"/>
    <w:rsid w:val="433E5BBA"/>
    <w:rsid w:val="436239D7"/>
    <w:rsid w:val="43981F12"/>
    <w:rsid w:val="43EF0FE2"/>
    <w:rsid w:val="44DE19E8"/>
    <w:rsid w:val="45672E0C"/>
    <w:rsid w:val="45F633D8"/>
    <w:rsid w:val="463E35F5"/>
    <w:rsid w:val="46B50DCA"/>
    <w:rsid w:val="46EB727E"/>
    <w:rsid w:val="47134FE8"/>
    <w:rsid w:val="475C6CB6"/>
    <w:rsid w:val="47807C9A"/>
    <w:rsid w:val="4789501D"/>
    <w:rsid w:val="47B408ED"/>
    <w:rsid w:val="4872249E"/>
    <w:rsid w:val="494A6D51"/>
    <w:rsid w:val="49766EAE"/>
    <w:rsid w:val="49AE4995"/>
    <w:rsid w:val="49D66DB1"/>
    <w:rsid w:val="4B220A9C"/>
    <w:rsid w:val="4B542EFC"/>
    <w:rsid w:val="4C1E06B7"/>
    <w:rsid w:val="4D62577D"/>
    <w:rsid w:val="4D6D5F10"/>
    <w:rsid w:val="4DE6652F"/>
    <w:rsid w:val="4E223559"/>
    <w:rsid w:val="4E2F717A"/>
    <w:rsid w:val="4FFC0517"/>
    <w:rsid w:val="51010D79"/>
    <w:rsid w:val="51DB27D9"/>
    <w:rsid w:val="521340C1"/>
    <w:rsid w:val="523D116B"/>
    <w:rsid w:val="52601F3A"/>
    <w:rsid w:val="526F5A52"/>
    <w:rsid w:val="527F3D11"/>
    <w:rsid w:val="529F04E1"/>
    <w:rsid w:val="52C102E9"/>
    <w:rsid w:val="52F04F96"/>
    <w:rsid w:val="531342F1"/>
    <w:rsid w:val="531777B8"/>
    <w:rsid w:val="5340172C"/>
    <w:rsid w:val="5383285C"/>
    <w:rsid w:val="53B257C3"/>
    <w:rsid w:val="547A66A6"/>
    <w:rsid w:val="54AE1E21"/>
    <w:rsid w:val="5566128E"/>
    <w:rsid w:val="55976973"/>
    <w:rsid w:val="55C633D4"/>
    <w:rsid w:val="56452E20"/>
    <w:rsid w:val="5689702C"/>
    <w:rsid w:val="574905CB"/>
    <w:rsid w:val="579D7BE7"/>
    <w:rsid w:val="5838442D"/>
    <w:rsid w:val="583B146D"/>
    <w:rsid w:val="58652B61"/>
    <w:rsid w:val="58D73051"/>
    <w:rsid w:val="590A7D57"/>
    <w:rsid w:val="59353372"/>
    <w:rsid w:val="59835DCC"/>
    <w:rsid w:val="59B02035"/>
    <w:rsid w:val="59F46BD0"/>
    <w:rsid w:val="59FE7432"/>
    <w:rsid w:val="5A4F5EDF"/>
    <w:rsid w:val="5A820063"/>
    <w:rsid w:val="5ABC4F25"/>
    <w:rsid w:val="5ADF3707"/>
    <w:rsid w:val="5B335679"/>
    <w:rsid w:val="5C387897"/>
    <w:rsid w:val="5C62203D"/>
    <w:rsid w:val="5D6F71BD"/>
    <w:rsid w:val="5DBE5856"/>
    <w:rsid w:val="5E8C5E86"/>
    <w:rsid w:val="5EA5667A"/>
    <w:rsid w:val="5F206BD3"/>
    <w:rsid w:val="5FE143DB"/>
    <w:rsid w:val="600A62B1"/>
    <w:rsid w:val="60413CB1"/>
    <w:rsid w:val="606C1AC2"/>
    <w:rsid w:val="60866FE9"/>
    <w:rsid w:val="60917251"/>
    <w:rsid w:val="60D04179"/>
    <w:rsid w:val="60DD69D1"/>
    <w:rsid w:val="611064A0"/>
    <w:rsid w:val="61657696"/>
    <w:rsid w:val="625D3CB0"/>
    <w:rsid w:val="63A13A48"/>
    <w:rsid w:val="63A9455A"/>
    <w:rsid w:val="64675F32"/>
    <w:rsid w:val="65126BD3"/>
    <w:rsid w:val="652E102B"/>
    <w:rsid w:val="65BA2D5B"/>
    <w:rsid w:val="65E676F8"/>
    <w:rsid w:val="66595C75"/>
    <w:rsid w:val="665C1BB2"/>
    <w:rsid w:val="67033240"/>
    <w:rsid w:val="6737477D"/>
    <w:rsid w:val="67C73A32"/>
    <w:rsid w:val="67FE7033"/>
    <w:rsid w:val="680F2C59"/>
    <w:rsid w:val="68260E02"/>
    <w:rsid w:val="68ED4A3F"/>
    <w:rsid w:val="69146D78"/>
    <w:rsid w:val="692D6692"/>
    <w:rsid w:val="69452B04"/>
    <w:rsid w:val="698653BA"/>
    <w:rsid w:val="69894F6A"/>
    <w:rsid w:val="69E44DCD"/>
    <w:rsid w:val="6A3F0A8E"/>
    <w:rsid w:val="6A6D2626"/>
    <w:rsid w:val="6AD166CF"/>
    <w:rsid w:val="6BAF5B30"/>
    <w:rsid w:val="6C093B22"/>
    <w:rsid w:val="6C990025"/>
    <w:rsid w:val="6CA24FC7"/>
    <w:rsid w:val="6D064F7A"/>
    <w:rsid w:val="6D0E5786"/>
    <w:rsid w:val="6D8C3E55"/>
    <w:rsid w:val="6E2576AC"/>
    <w:rsid w:val="6EE834A7"/>
    <w:rsid w:val="6EFE371D"/>
    <w:rsid w:val="6F4831D1"/>
    <w:rsid w:val="6F623F09"/>
    <w:rsid w:val="6FA5218B"/>
    <w:rsid w:val="701E162F"/>
    <w:rsid w:val="70A04FBC"/>
    <w:rsid w:val="70D34D1C"/>
    <w:rsid w:val="714316B1"/>
    <w:rsid w:val="7167055D"/>
    <w:rsid w:val="71FC4BCC"/>
    <w:rsid w:val="72360529"/>
    <w:rsid w:val="72CB0CEB"/>
    <w:rsid w:val="732D4A53"/>
    <w:rsid w:val="746C5BB4"/>
    <w:rsid w:val="74962C31"/>
    <w:rsid w:val="74AD7522"/>
    <w:rsid w:val="74EB35B2"/>
    <w:rsid w:val="751C057A"/>
    <w:rsid w:val="75336D45"/>
    <w:rsid w:val="755A4CB9"/>
    <w:rsid w:val="75735ADA"/>
    <w:rsid w:val="75DE08C4"/>
    <w:rsid w:val="770A351D"/>
    <w:rsid w:val="77206AD2"/>
    <w:rsid w:val="77737780"/>
    <w:rsid w:val="77A967D7"/>
    <w:rsid w:val="781529CB"/>
    <w:rsid w:val="78174329"/>
    <w:rsid w:val="785976E3"/>
    <w:rsid w:val="78D13B60"/>
    <w:rsid w:val="78E260ED"/>
    <w:rsid w:val="79201A5D"/>
    <w:rsid w:val="796B7AD1"/>
    <w:rsid w:val="79DE6C0E"/>
    <w:rsid w:val="7A6C06BC"/>
    <w:rsid w:val="7A6D502C"/>
    <w:rsid w:val="7AC12CD7"/>
    <w:rsid w:val="7AE9460E"/>
    <w:rsid w:val="7B4A4ECA"/>
    <w:rsid w:val="7B883702"/>
    <w:rsid w:val="7BD1454E"/>
    <w:rsid w:val="7CA0289E"/>
    <w:rsid w:val="7D754ECC"/>
    <w:rsid w:val="7DC1616A"/>
    <w:rsid w:val="7E1E40A6"/>
    <w:rsid w:val="7EAB552B"/>
    <w:rsid w:val="7F533BF8"/>
    <w:rsid w:val="7FF822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5"/>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6"/>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9"/>
    <w:unhideWhenUsed/>
    <w:qFormat/>
    <w:uiPriority w:val="99"/>
    <w:pPr>
      <w:tabs>
        <w:tab w:val="center" w:pos="4153"/>
        <w:tab w:val="right" w:pos="8306"/>
      </w:tabs>
      <w:snapToGrid w:val="0"/>
      <w:jc w:val="left"/>
    </w:pPr>
    <w:rPr>
      <w:sz w:val="18"/>
      <w:szCs w:val="18"/>
    </w:rPr>
  </w:style>
  <w:style w:type="paragraph" w:styleId="12">
    <w:name w:val="header"/>
    <w:basedOn w:val="1"/>
    <w:link w:val="38"/>
    <w:unhideWhenUsed/>
    <w:qFormat/>
    <w:uiPriority w:val="99"/>
    <w:pPr>
      <w:tabs>
        <w:tab w:val="center" w:pos="4153"/>
        <w:tab w:val="right" w:pos="8306"/>
      </w:tabs>
      <w:snapToGrid w:val="0"/>
      <w:jc w:val="center"/>
    </w:pPr>
    <w:rPr>
      <w:sz w:val="18"/>
      <w:szCs w:val="18"/>
    </w:rPr>
  </w:style>
  <w:style w:type="paragraph" w:styleId="13">
    <w:name w:val="toc 1"/>
    <w:basedOn w:val="1"/>
    <w:next w:val="1"/>
    <w:semiHidden/>
    <w:unhideWhenUsed/>
    <w:qFormat/>
    <w:uiPriority w:val="39"/>
  </w:style>
  <w:style w:type="paragraph" w:styleId="14">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8">
    <w:name w:val="Strong"/>
    <w:basedOn w:val="17"/>
    <w:qFormat/>
    <w:uiPriority w:val="22"/>
    <w:rPr>
      <w:b/>
    </w:rPr>
  </w:style>
  <w:style w:type="character" w:styleId="19">
    <w:name w:val="Hyperlink"/>
    <w:basedOn w:val="17"/>
    <w:semiHidden/>
    <w:unhideWhenUsed/>
    <w:qFormat/>
    <w:uiPriority w:val="99"/>
    <w:rPr>
      <w:color w:val="0000FF"/>
      <w:u w:val="single"/>
    </w:rPr>
  </w:style>
  <w:style w:type="character" w:customStyle="1" w:styleId="20">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21">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2">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3">
    <w:name w:val="标题 4 字符"/>
    <w:basedOn w:val="17"/>
    <w:link w:val="5"/>
    <w:semiHidden/>
    <w:qFormat/>
    <w:uiPriority w:val="9"/>
    <w:rPr>
      <w:rFonts w:cstheme="majorBidi"/>
      <w:color w:val="2F5597" w:themeColor="accent1" w:themeShade="BF"/>
      <w:sz w:val="28"/>
      <w:szCs w:val="28"/>
    </w:rPr>
  </w:style>
  <w:style w:type="character" w:customStyle="1" w:styleId="24">
    <w:name w:val="标题 5 字符"/>
    <w:basedOn w:val="17"/>
    <w:link w:val="6"/>
    <w:semiHidden/>
    <w:qFormat/>
    <w:uiPriority w:val="9"/>
    <w:rPr>
      <w:rFonts w:cstheme="majorBidi"/>
      <w:color w:val="2F5597" w:themeColor="accent1" w:themeShade="BF"/>
      <w:sz w:val="24"/>
      <w:szCs w:val="24"/>
    </w:rPr>
  </w:style>
  <w:style w:type="character" w:customStyle="1" w:styleId="25">
    <w:name w:val="标题 6 字符"/>
    <w:basedOn w:val="17"/>
    <w:link w:val="7"/>
    <w:semiHidden/>
    <w:qFormat/>
    <w:uiPriority w:val="9"/>
    <w:rPr>
      <w:rFonts w:cstheme="majorBidi"/>
      <w:b/>
      <w:bCs/>
      <w:color w:val="2F5597" w:themeColor="accent1" w:themeShade="BF"/>
    </w:rPr>
  </w:style>
  <w:style w:type="character" w:customStyle="1" w:styleId="26">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7"/>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明显强调1"/>
    <w:basedOn w:val="17"/>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明显引用 字符"/>
    <w:basedOn w:val="17"/>
    <w:link w:val="35"/>
    <w:qFormat/>
    <w:uiPriority w:val="30"/>
    <w:rPr>
      <w:i/>
      <w:iCs/>
      <w:color w:val="2F5597" w:themeColor="accent1" w:themeShade="BF"/>
    </w:rPr>
  </w:style>
  <w:style w:type="character" w:customStyle="1" w:styleId="37">
    <w:name w:val="明显参考1"/>
    <w:basedOn w:val="17"/>
    <w:qFormat/>
    <w:uiPriority w:val="32"/>
    <w:rPr>
      <w:b/>
      <w:bCs/>
      <w:smallCaps/>
      <w:color w:val="2F5597" w:themeColor="accent1" w:themeShade="BF"/>
      <w:spacing w:val="5"/>
    </w:rPr>
  </w:style>
  <w:style w:type="character" w:customStyle="1" w:styleId="38">
    <w:name w:val="页眉 字符"/>
    <w:basedOn w:val="17"/>
    <w:link w:val="12"/>
    <w:qFormat/>
    <w:uiPriority w:val="99"/>
    <w:rPr>
      <w:sz w:val="18"/>
      <w:szCs w:val="18"/>
    </w:rPr>
  </w:style>
  <w:style w:type="character" w:customStyle="1" w:styleId="39">
    <w:name w:val="页脚 字符"/>
    <w:basedOn w:val="17"/>
    <w:link w:val="11"/>
    <w:qFormat/>
    <w:uiPriority w:val="99"/>
    <w:rPr>
      <w:sz w:val="18"/>
      <w:szCs w:val="18"/>
    </w:rPr>
  </w:style>
  <w:style w:type="paragraph" w:customStyle="1" w:styleId="40">
    <w:name w:val="EndNote Bibliography Title"/>
    <w:qFormat/>
    <w:uiPriority w:val="0"/>
    <w:pPr>
      <w:jc w:val="center"/>
    </w:pPr>
    <w:rPr>
      <w:rFonts w:hint="eastAsia" w:ascii="等线" w:hAnsi="等线" w:eastAsia="等线" w:cs="等线"/>
      <w:kern w:val="2"/>
      <w:szCs w:val="22"/>
      <w:lang w:val="en-US" w:eastAsia="zh-CN" w:bidi="ar-SA"/>
      <w14:ligatures w14:val="standardContextual"/>
    </w:rPr>
  </w:style>
  <w:style w:type="paragraph" w:customStyle="1" w:styleId="41">
    <w:name w:val="EndNote Bibliography"/>
    <w:qFormat/>
    <w:uiPriority w:val="0"/>
    <w:rPr>
      <w:rFonts w:hint="eastAsia" w:ascii="等线" w:hAnsi="等线" w:eastAsia="等线" w:cs="等线"/>
      <w:kern w:val="2"/>
      <w:szCs w:val="22"/>
      <w:lang w:val="en-US" w:eastAsia="zh-CN" w:bidi="ar-SA"/>
      <w14:ligatures w14:val="standardContextual"/>
    </w:rPr>
  </w:style>
  <w:style w:type="character" w:customStyle="1" w:styleId="42">
    <w:name w:val="font31"/>
    <w:basedOn w:val="17"/>
    <w:qFormat/>
    <w:uiPriority w:val="0"/>
    <w:rPr>
      <w:rFonts w:hint="default" w:ascii="Times New Roman" w:hAnsi="Times New Roman" w:cs="Times New Roman"/>
      <w:color w:val="000000"/>
      <w:sz w:val="24"/>
      <w:szCs w:val="24"/>
      <w:u w:val="none"/>
    </w:rPr>
  </w:style>
  <w:style w:type="character" w:customStyle="1" w:styleId="43">
    <w:name w:val="font11"/>
    <w:basedOn w:val="17"/>
    <w:qFormat/>
    <w:uiPriority w:val="0"/>
    <w:rPr>
      <w:rFonts w:hint="default" w:ascii="Segoe UI" w:hAnsi="Segoe UI" w:eastAsia="Segoe UI" w:cs="Segoe UI"/>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emf"/><Relationship Id="rId8" Type="http://schemas.openxmlformats.org/officeDocument/2006/relationships/image" Target="media/image4.emf"/><Relationship Id="rId7" Type="http://schemas.openxmlformats.org/officeDocument/2006/relationships/image" Target="media/image3.emf"/><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41D2F5-C8D3-4801-82C9-698FC149C73C}">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1620</Words>
  <Characters>8927</Characters>
  <Lines>1</Lines>
  <Paragraphs>1</Paragraphs>
  <TotalTime>0</TotalTime>
  <ScaleCrop>false</ScaleCrop>
  <LinksUpToDate>false</LinksUpToDate>
  <CharactersWithSpaces>10301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2025-05-17T08:00:00Z</dcterms:created>
  <dc:creator>Danwei Zhang</dc:creator>
  <cp:lastModifiedBy>zhdanw</cp:lastModifiedBy>
  <dcterms:modified xsi:type="dcterms:W3CDTF">2025-09-08T08:25:31Z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eyJoZGlkIjoiOTRlMzMxYzRjY2Y1ZjE5YWRhMTgxNDg2MWQ3MDVlZTgiLCJ1c2VySWQiOiIyMzU2MjI3MzAifQ==</vt:lpwstr>
  </property>
  <property fmtid="{D5CDD505-2E9C-101B-9397-08002B2CF9AE}" pid="3" name="KSOProductBuildVer">
    <vt:lpwstr>2052-12.1.0.22529</vt:lpwstr>
  </property>
  <property fmtid="{D5CDD505-2E9C-101B-9397-08002B2CF9AE}" pid="4" name="ICV">
    <vt:lpwstr>124014FEA07842FDAAB40980BFAD293E_13</vt:lpwstr>
  </property>
</Properties>
</file>