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FEC4A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A81C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tLeast"/>
        <w:jc w:val="center"/>
        <w:textAlignment w:val="auto"/>
        <w:rPr>
          <w:rStyle w:val="7"/>
          <w:rFonts w:hint="default" w:ascii="Times New Roman" w:hAnsi="Times New Roman" w:cs="Times New Roman"/>
          <w:b/>
          <w:bCs w:val="0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b/>
          <w:bCs w:val="0"/>
          <w:sz w:val="24"/>
          <w:szCs w:val="24"/>
        </w:rPr>
        <w:t>Table S1. Definitions, calculation formulas, and reference ranges for inflammation-related hematological indices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0249"/>
        <w:gridCol w:w="2442"/>
      </w:tblGrid>
      <w:tr w14:paraId="35BCF4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0" w:type="auto"/>
            <w:vAlign w:val="center"/>
          </w:tcPr>
          <w:p w14:paraId="00BD815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Variable</w:t>
            </w:r>
          </w:p>
        </w:tc>
        <w:tc>
          <w:tcPr>
            <w:tcW w:w="0" w:type="auto"/>
            <w:vAlign w:val="center"/>
          </w:tcPr>
          <w:p w14:paraId="28570A1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Definition / Calculation</w:t>
            </w:r>
          </w:p>
        </w:tc>
        <w:tc>
          <w:tcPr>
            <w:tcW w:w="0" w:type="auto"/>
            <w:vAlign w:val="center"/>
          </w:tcPr>
          <w:p w14:paraId="712B722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Reference Range</w:t>
            </w:r>
          </w:p>
        </w:tc>
      </w:tr>
      <w:tr w14:paraId="495130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bottom w:val="nil"/>
            </w:tcBorders>
            <w:shd w:val="clear" w:color="auto" w:fill="auto"/>
            <w:vAlign w:val="center"/>
          </w:tcPr>
          <w:p w14:paraId="02633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AISI</w:t>
            </w:r>
          </w:p>
        </w:tc>
        <w:tc>
          <w:tcPr>
            <w:tcW w:w="10268" w:type="dxa"/>
            <w:tcBorders>
              <w:bottom w:val="nil"/>
            </w:tcBorders>
            <w:shd w:val="clear" w:color="auto" w:fill="auto"/>
            <w:vAlign w:val="center"/>
          </w:tcPr>
          <w:p w14:paraId="4A46D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Aggregate inflammatory systemic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(NEUT# (×10⁹/L) × MONO# (×10⁹/L) × PLT (×10⁹/L)) / LYMPH# (×10⁹/L)</w:t>
            </w:r>
          </w:p>
        </w:tc>
        <w:tc>
          <w:tcPr>
            <w:tcW w:w="2445" w:type="dxa"/>
            <w:tcBorders>
              <w:bottom w:val="nil"/>
            </w:tcBorders>
            <w:shd w:val="clear" w:color="auto" w:fill="auto"/>
            <w:vAlign w:val="center"/>
          </w:tcPr>
          <w:p w14:paraId="4387B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1681A4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E46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BASO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F69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  <w:r>
              <w:rPr>
                <w:rStyle w:val="8"/>
                <w:rFonts w:eastAsia="宋体"/>
                <w:lang w:val="en-US" w:eastAsia="zh-CN" w:bidi="ar"/>
              </w:rPr>
              <w:t>asophil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E86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0-0.1</w:t>
            </w:r>
          </w:p>
        </w:tc>
      </w:tr>
      <w:tr w14:paraId="7ECAC7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A565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BASO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5BBA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Basophil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FC40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0-1.0</w:t>
            </w:r>
          </w:p>
        </w:tc>
      </w:tr>
      <w:tr w14:paraId="5CB6D5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6691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CALLY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678B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hsCRP–Albumin–Lymphocyte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Albumin (g/L) × LYMPH#(×10⁹/L) / hsCRP (mg/L) × 10</w:t>
            </w:r>
            <w:r>
              <w:rPr>
                <w:rStyle w:val="9"/>
                <w:rFonts w:eastAsia="宋体"/>
                <w:lang w:val="en-US" w:eastAsia="zh-CN" w:bidi="ar"/>
              </w:rPr>
              <w:t>4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C7FF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CDDA6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D713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793C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hsCRP</w:t>
            </w:r>
            <w:r>
              <w:rPr>
                <w:rStyle w:val="8"/>
                <w:rFonts w:eastAsia="宋体"/>
                <w:lang w:val="en-US" w:eastAsia="zh-CN" w:bidi="ar"/>
              </w:rPr>
              <w:t>-to-Albumin ratio = hsCRP (mg/L) / Albumin (g/L)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FCB6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E005A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FD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4EA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hsCRP-to-lymphocyte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hsCRP (mg/L) / LYMPH#(×10⁹/L)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92B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18C628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B0A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CWR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4C9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hsCRP-to-WBC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hsCRP(mg/L) / WBC(×10⁹/L)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91B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0703D3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8765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DELTA</w:t>
            </w:r>
            <w:r>
              <w:rPr>
                <w:rStyle w:val="8"/>
                <w:rFonts w:eastAsia="宋体"/>
                <w:lang w:val="en-US" w:eastAsia="zh-CN" w:bidi="ar"/>
              </w:rPr>
              <w:t>-HE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ABB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DELTA</w:t>
            </w:r>
            <w:r>
              <w:rPr>
                <w:rStyle w:val="8"/>
                <w:rFonts w:eastAsia="宋体"/>
                <w:lang w:val="en-US" w:eastAsia="zh-CN" w:bidi="ar"/>
              </w:rPr>
              <w:t>-HE = RET-He (pg) − RBC-He (pg)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6B21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0EAD74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B8C2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dNLR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8ECD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Derived Neutrophil-to-Lymphocyte Ratio = NEUT</w:t>
            </w:r>
            <w:r>
              <w:rPr>
                <w:rStyle w:val="8"/>
                <w:rFonts w:eastAsia="宋体"/>
                <w:lang w:val="en-US" w:eastAsia="zh-CN" w:bidi="ar"/>
              </w:rPr>
              <w:t># (×10⁹/L) / (WBC (×10⁹/L) −LYMPH# (×10⁹/L))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50A2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76370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4096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EO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B5E7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Style w:val="8"/>
                <w:rFonts w:eastAsia="宋体"/>
                <w:lang w:val="en-US" w:eastAsia="zh-CN" w:bidi="ar"/>
              </w:rPr>
              <w:t>osinophil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7523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0.02-0.50</w:t>
            </w:r>
          </w:p>
        </w:tc>
      </w:tr>
      <w:tr w14:paraId="325E75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A95B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EO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BA18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Eosinophil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3ACF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0.5-5.0</w:t>
            </w:r>
          </w:p>
        </w:tc>
      </w:tr>
      <w:tr w14:paraId="5F2FBA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DFDF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HCT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D0D7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Hematocrit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3EFE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35.0-50.0</w:t>
            </w:r>
          </w:p>
        </w:tc>
      </w:tr>
      <w:tr w14:paraId="2DAD3F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49E5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HFLC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CC20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fluorescence lymphocytes (absolute)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AE18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1DAC0B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A268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HFLC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DA2D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fluorescence lymphocytes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0B52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708166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B0C7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75D6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High fluorescence reticulocytes </w:t>
            </w:r>
            <w:r>
              <w:rPr>
                <w:rStyle w:val="8"/>
                <w:rFonts w:eastAsia="宋体"/>
                <w:lang w:val="en-US" w:eastAsia="zh-CN" w:bidi="ar"/>
              </w:rPr>
              <w:t>percentage(%)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66AB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</w:t>
            </w:r>
          </w:p>
        </w:tc>
      </w:tr>
      <w:tr w14:paraId="3756E1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C8DE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HGB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4306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Hemoglobin (g/dL)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0F99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Male: 120-160; Female: 110-150</w:t>
            </w:r>
          </w:p>
        </w:tc>
      </w:tr>
      <w:tr w14:paraId="2BA27D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C0C3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HsCRP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4D39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High-sensitivity C-reactive protein (mg/L)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AD6C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0-5</w:t>
            </w:r>
          </w:p>
        </w:tc>
      </w:tr>
      <w:tr w14:paraId="195AC76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AC8D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IBI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1174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Inflammatory burden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(hsCRP(mg/L) × NEUT# (×10⁹/L) ) / LYMPH#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4316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AEFB1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70D2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BFF6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Immature granulocyte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15D1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182E01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2FE8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2530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Immature granulocyte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A6A1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EAE54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9C52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IRF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04B8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Immature reticulocyte fraction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81C6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2B677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AFBA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LFR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58E1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 fluorescence reticulocytes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D27F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7A03F4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4D7A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LMR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269F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Lymphocyte-to-monocyte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LYMPH# (×10⁹/L) / MONO#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62B7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7CBE7B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E627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C82B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  <w:r>
              <w:rPr>
                <w:rStyle w:val="8"/>
                <w:rFonts w:eastAsia="宋体"/>
                <w:lang w:val="en-US" w:eastAsia="zh-CN" w:bidi="ar"/>
              </w:rPr>
              <w:t>ymphocyte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B827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0.8-4.0</w:t>
            </w:r>
          </w:p>
        </w:tc>
      </w:tr>
      <w:tr w14:paraId="5021CC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A793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87AC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B329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20-40</w:t>
            </w:r>
          </w:p>
        </w:tc>
      </w:tr>
      <w:tr w14:paraId="1D0A6D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988B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</w:t>
            </w:r>
            <w:r>
              <w:rPr>
                <w:rStyle w:val="8"/>
                <w:rFonts w:eastAsia="宋体"/>
                <w:lang w:val="en-US" w:eastAsia="zh-CN" w:bidi="ar"/>
              </w:rPr>
              <w:t>-WX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5032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 width index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34DF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1FA59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74E2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</w:t>
            </w:r>
            <w:r>
              <w:rPr>
                <w:rStyle w:val="8"/>
                <w:rFonts w:eastAsia="宋体"/>
                <w:lang w:val="en-US" w:eastAsia="zh-CN" w:bidi="ar"/>
              </w:rPr>
              <w:t>-X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382B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 scatter X-axis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E86C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5C6DD3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72D9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</w:t>
            </w:r>
            <w:r>
              <w:rPr>
                <w:rStyle w:val="8"/>
                <w:rFonts w:eastAsia="宋体"/>
                <w:lang w:val="en-US" w:eastAsia="zh-CN" w:bidi="ar"/>
              </w:rPr>
              <w:t>-Y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C41C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 scatter Y-axis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9B97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5E9A6D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508A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</w:t>
            </w:r>
            <w:r>
              <w:rPr>
                <w:rStyle w:val="8"/>
                <w:rFonts w:eastAsia="宋体"/>
                <w:lang w:val="en-US" w:eastAsia="zh-CN" w:bidi="ar"/>
              </w:rPr>
              <w:t>-Z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0822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 scatter Z-axis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CA7E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5A9126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AD33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MACROR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0D77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Macrocytic red cell ratio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628F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19E1D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7ED5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MCH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DAEA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corpuscular hemoglobin (pg)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C585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27.0-32.0</w:t>
            </w:r>
          </w:p>
        </w:tc>
      </w:tr>
      <w:tr w14:paraId="4741FC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7990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MCHC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8120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corpuscular hemoglobin concentration (g/dL)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B449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320-360</w:t>
            </w:r>
          </w:p>
        </w:tc>
      </w:tr>
      <w:tr w14:paraId="71FDB2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163C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MCV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0B6D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corpuscular volume (fL)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1070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82.0-97.0</w:t>
            </w:r>
          </w:p>
        </w:tc>
      </w:tr>
      <w:tr w14:paraId="70DFCF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D938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6E9E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Medium fluorescence reticulocytes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02B4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DAFC7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7780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MHR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A01C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Monocyte-to-HDL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MONO# (×10⁹/L) / HDL-C (mmol/L)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F9F5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0FBC87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7773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MICROR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52C9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Microcytic red cell ratio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0DA6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52A8E9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126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EF7A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8"/>
                <w:rFonts w:eastAsia="宋体"/>
                <w:lang w:val="en-US" w:eastAsia="zh-CN" w:bidi="ar"/>
              </w:rPr>
              <w:t>onocyte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B9D2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0.12-0.80</w:t>
            </w:r>
          </w:p>
        </w:tc>
      </w:tr>
      <w:tr w14:paraId="2B0C42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9433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B921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25CA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3.0-8.0</w:t>
            </w:r>
          </w:p>
        </w:tc>
      </w:tr>
      <w:tr w14:paraId="2F8615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6E19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</w:t>
            </w:r>
            <w:r>
              <w:rPr>
                <w:rStyle w:val="8"/>
                <w:rFonts w:eastAsia="宋体"/>
                <w:lang w:val="en-US" w:eastAsia="zh-CN" w:bidi="ar"/>
              </w:rPr>
              <w:t>-X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0438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 scatter parameter X-axis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171A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E9C02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6FAC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</w:t>
            </w:r>
            <w:r>
              <w:rPr>
                <w:rStyle w:val="8"/>
                <w:rFonts w:eastAsia="宋体"/>
                <w:lang w:val="en-US" w:eastAsia="zh-CN" w:bidi="ar"/>
              </w:rPr>
              <w:t>-Y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3EED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 scatter parameter Y-axis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3CC6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C7018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D61F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</w:t>
            </w:r>
            <w:r>
              <w:rPr>
                <w:rStyle w:val="8"/>
                <w:rFonts w:eastAsia="宋体"/>
                <w:lang w:val="en-US" w:eastAsia="zh-CN" w:bidi="ar"/>
              </w:rPr>
              <w:t>-Z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87A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 scatter parameter Z-axis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8EE8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1812E3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BB60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MPV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CF85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platelet volume (fL)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F59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7.0-13.0</w:t>
            </w:r>
          </w:p>
        </w:tc>
      </w:tr>
      <w:tr w14:paraId="496291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4020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</w:t>
            </w:r>
            <w:r>
              <w:rPr>
                <w:rStyle w:val="8"/>
                <w:rFonts w:eastAsia="宋体"/>
                <w:lang w:val="en-US" w:eastAsia="zh-CN" w:bidi="ar"/>
              </w:rPr>
              <w:t>-SFL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EF54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 fluorescence (instrument parameter)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6B80A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641D4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FAE8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270C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  <w:r>
              <w:rPr>
                <w:rStyle w:val="8"/>
                <w:rFonts w:eastAsia="宋体"/>
                <w:lang w:val="en-US" w:eastAsia="zh-CN" w:bidi="ar"/>
              </w:rPr>
              <w:t>eutrophil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3BC8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2.0-7.5</w:t>
            </w:r>
          </w:p>
        </w:tc>
      </w:tr>
      <w:tr w14:paraId="7A014D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85A6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FE35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BC86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50.0-75.0</w:t>
            </w:r>
          </w:p>
        </w:tc>
      </w:tr>
      <w:tr w14:paraId="27CF48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06C4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</w:t>
            </w:r>
            <w:r>
              <w:rPr>
                <w:rStyle w:val="8"/>
                <w:rFonts w:eastAsia="宋体"/>
                <w:lang w:val="en-US" w:eastAsia="zh-CN" w:bidi="ar"/>
              </w:rPr>
              <w:t>-WX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5E53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 width (instrument parameter)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0876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297FC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3D7B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NHR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4B7E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Neutrophil-to-HDL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NEUT# (×10⁹/L) / HDL-C (mmol/L)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AB32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6CB921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DD3D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5A649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Neutrophil-to-lymphocyte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NEUT#(×10⁹/L) / LYMPH#(×10⁹/L)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0A3A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71C5F9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A710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NMLR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A891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  <w:r>
              <w:rPr>
                <w:rStyle w:val="8"/>
                <w:rFonts w:eastAsia="宋体"/>
                <w:lang w:val="en-US" w:eastAsia="zh-CN" w:bidi="ar"/>
              </w:rPr>
              <w:t>eutrophil–monocyte-to-lymphocyte ratio = (NEUT# (×10⁹/L) + MONO# (×10⁹/L)) / LYMPH#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4CE7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559E11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5748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NPAR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5146A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 percentage-to-albumin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NEUT% / Albumin (g/L)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2B09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8E024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2B6D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857E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Neutrophil-to-platelet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NEUT#(×10⁹/L) / PLT(×10⁹/L)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F9FF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6CA8BD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E9C2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NRBC</w:t>
            </w:r>
            <w:r>
              <w:rPr>
                <w:rStyle w:val="8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56F95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  <w:r>
              <w:rPr>
                <w:rStyle w:val="8"/>
                <w:rFonts w:eastAsia="宋体"/>
                <w:lang w:val="en-US" w:eastAsia="zh-CN" w:bidi="ar"/>
              </w:rPr>
              <w:t>ucleated red blood cell count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569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86367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04D8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NRBC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938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Nucleated RBC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D602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358607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B4B1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5652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Platelet-to-albumin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PLT(×10⁹/L) / Albumin (g/L)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108E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3CFEC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0985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PCT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29BD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Plateletcrit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D797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0.11-0.28</w:t>
            </w:r>
          </w:p>
        </w:tc>
      </w:tr>
      <w:tr w14:paraId="12726E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6B18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PDW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D3BA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 distribution width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7127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9.0-17.0</w:t>
            </w:r>
          </w:p>
        </w:tc>
      </w:tr>
      <w:tr w14:paraId="7A92DE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4144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Style w:val="8"/>
                <w:rFonts w:eastAsia="宋体"/>
                <w:lang w:val="en-US" w:eastAsia="zh-CN" w:bidi="ar"/>
              </w:rPr>
              <w:t>-LCR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4D156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 large cell ratio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CF27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10-50</w:t>
            </w:r>
          </w:p>
        </w:tc>
      </w:tr>
      <w:tr w14:paraId="7BFBB9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4366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C1E1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Platelet-to-lymphocyte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PLT(×10⁹/L) / LYMPH#(×10⁹/L)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7665B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3F8D4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6BE8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PLT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2578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43F76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100-300</w:t>
            </w:r>
          </w:p>
        </w:tc>
      </w:tr>
      <w:tr w14:paraId="69F3DE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CD34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PNI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744A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Prognostic nutritional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Albumin (g/L) + 5×LYMPH#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A099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C22ED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D2AB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PWR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DB93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Platelet-to-WBC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PLT(×10⁹/L) / WBC(×10⁹/L)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CA99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E08EE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8141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RAR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4F6D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RDW-to-albumin ratio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RDW-SD (fl) / Albumin (g/L)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B79F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3B3A0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19F2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DC44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Red blood cell count (×10¹²/L)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629F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3.5-5.0</w:t>
            </w:r>
          </w:p>
        </w:tc>
      </w:tr>
      <w:tr w14:paraId="785D32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0648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</w:t>
            </w:r>
            <w:r>
              <w:rPr>
                <w:rStyle w:val="8"/>
                <w:rFonts w:eastAsia="宋体"/>
                <w:lang w:val="en-US" w:eastAsia="zh-CN" w:bidi="ar"/>
              </w:rPr>
              <w:t>-HE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2C45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Hemoglobin content per RBC (pg)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44C2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DBC86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BBE8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</w:t>
            </w:r>
            <w:r>
              <w:rPr>
                <w:rStyle w:val="8"/>
                <w:rFonts w:eastAsia="宋体"/>
                <w:lang w:val="en-US" w:eastAsia="zh-CN" w:bidi="ar"/>
              </w:rPr>
              <w:t>-O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7C6F8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 optical parameter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ACC4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0AF5EE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4819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RDW</w:t>
            </w:r>
            <w:r>
              <w:rPr>
                <w:rStyle w:val="8"/>
                <w:rFonts w:eastAsia="宋体"/>
                <w:lang w:val="en-US" w:eastAsia="zh-CN" w:bidi="ar"/>
              </w:rPr>
              <w:t>-CV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6DD3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Red cell distribution width (coefficient of variation)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849F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11.0-16.0</w:t>
            </w:r>
          </w:p>
        </w:tc>
      </w:tr>
      <w:tr w14:paraId="620BCD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1DDC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RDW</w:t>
            </w:r>
            <w:r>
              <w:rPr>
                <w:rStyle w:val="8"/>
                <w:rFonts w:eastAsia="宋体"/>
                <w:lang w:val="en-US" w:eastAsia="zh-CN" w:bidi="ar"/>
              </w:rPr>
              <w:t>-SD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2A04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Red cell distribution width (standard deviation)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(fl)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17603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35.0-56.0</w:t>
            </w:r>
          </w:p>
        </w:tc>
      </w:tr>
      <w:tr w14:paraId="47B6B5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E524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RET#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E708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Style w:val="8"/>
                <w:rFonts w:eastAsia="宋体"/>
                <w:lang w:val="en-US" w:eastAsia="zh-CN" w:bidi="ar"/>
              </w:rPr>
              <w:t>eticulocyte count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(×10</w:t>
            </w:r>
            <w:r>
              <w:rPr>
                <w:rStyle w:val="11"/>
                <w:rFonts w:eastAsia="宋体"/>
                <w:lang w:val="en-US" w:eastAsia="zh-CN" w:bidi="ar"/>
              </w:rPr>
              <w:t>12</w:t>
            </w:r>
            <w:r>
              <w:rPr>
                <w:rStyle w:val="10"/>
                <w:rFonts w:eastAsia="宋体"/>
                <w:lang w:val="en-US" w:eastAsia="zh-CN" w:bidi="ar"/>
              </w:rPr>
              <w:t>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E8B3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0.024-0.084</w:t>
            </w:r>
          </w:p>
        </w:tc>
      </w:tr>
      <w:tr w14:paraId="450BFC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FCBC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</w:t>
            </w:r>
            <w:r>
              <w:rPr>
                <w:rStyle w:val="8"/>
                <w:rFonts w:eastAsia="宋体"/>
                <w:lang w:val="en-US" w:eastAsia="zh-CN" w:bidi="ar"/>
              </w:rPr>
              <w:t>%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1124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Reticulocyte percentage (%)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6F89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71CD4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A56A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</w:t>
            </w:r>
            <w:r>
              <w:rPr>
                <w:rStyle w:val="8"/>
                <w:rFonts w:eastAsia="宋体"/>
                <w:lang w:val="en-US" w:eastAsia="zh-CN" w:bidi="ar"/>
              </w:rPr>
              <w:t>-HE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0ACFC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Reticulocyte hemoglobin content (pg)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D597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C7A79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26CC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</w:t>
            </w:r>
            <w:r>
              <w:rPr>
                <w:rStyle w:val="8"/>
                <w:rFonts w:eastAsia="宋体"/>
                <w:lang w:val="en-US" w:eastAsia="zh-CN" w:bidi="ar"/>
              </w:rPr>
              <w:t>-RBC-Y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D464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Reticulocyte fluorescence parameter (instrument-derived)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4BA9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7992A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2034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RPI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3988C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RPI = (RET#(×10⁹/L) / MTOR) × (HCT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(%) / 0.45), MTOR = Maturation Time of RBC (days): 1 if HCT ≥40; 1.5 if 30≤HCT&lt;40; 2 if 20≤HCT&lt;30; 2.5 if HCT&lt;20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CA2F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7FC652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DEEE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SII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641D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Systemic immune–inflammation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(PLT (×10⁹/L) × NEUT# (×10⁹/L) ) / LYMPH#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05EAA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48E894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238D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SIRI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61AE7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Systemic inflammatory response index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 = (NEUT# (×10⁹/L) × MONO# (×10⁹/L)) / LYMPH#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39845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66E576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A0DC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10FEF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White blood cell count (×10⁹/L)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20D88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4.0-10.0</w:t>
            </w:r>
          </w:p>
        </w:tc>
      </w:tr>
      <w:tr w14:paraId="39F5C0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9B66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  <w:r>
              <w:rPr>
                <w:rStyle w:val="8"/>
                <w:rFonts w:eastAsia="宋体"/>
                <w:lang w:val="en-US" w:eastAsia="zh-CN" w:bidi="ar"/>
              </w:rPr>
              <w:t>-D</w:t>
            </w:r>
          </w:p>
        </w:tc>
        <w:tc>
          <w:tcPr>
            <w:tcW w:w="10268" w:type="dxa"/>
            <w:tcBorders>
              <w:top w:val="nil"/>
              <w:bottom w:val="nil"/>
            </w:tcBorders>
            <w:vAlign w:val="center"/>
          </w:tcPr>
          <w:p w14:paraId="20D6C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 differential count</w:t>
            </w:r>
          </w:p>
        </w:tc>
        <w:tc>
          <w:tcPr>
            <w:tcW w:w="2445" w:type="dxa"/>
            <w:tcBorders>
              <w:top w:val="nil"/>
              <w:bottom w:val="nil"/>
            </w:tcBorders>
            <w:vAlign w:val="center"/>
          </w:tcPr>
          <w:p w14:paraId="51C3A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  <w:tr w14:paraId="271FA5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461" w:type="dxa"/>
            <w:tcBorders>
              <w:top w:val="nil"/>
            </w:tcBorders>
            <w:vAlign w:val="center"/>
          </w:tcPr>
          <w:p w14:paraId="2D3D9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  <w:r>
              <w:rPr>
                <w:rStyle w:val="8"/>
                <w:rFonts w:eastAsia="宋体"/>
                <w:lang w:val="en-US" w:eastAsia="zh-CN" w:bidi="ar"/>
              </w:rPr>
              <w:t>-N</w:t>
            </w:r>
          </w:p>
        </w:tc>
        <w:tc>
          <w:tcPr>
            <w:tcW w:w="10268" w:type="dxa"/>
            <w:tcBorders>
              <w:top w:val="nil"/>
            </w:tcBorders>
            <w:vAlign w:val="center"/>
          </w:tcPr>
          <w:p w14:paraId="4ABDE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 count in neutrophil gate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 w14:paraId="5C4AF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</w:tr>
    </w:tbl>
    <w:p w14:paraId="5099AE3D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  <w:t>Abbreviations: HDL-C, high-density lipoprotein cholesterol</w:t>
      </w:r>
      <w:r>
        <w:rPr>
          <w:rStyle w:val="7"/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.</w:t>
      </w:r>
    </w:p>
    <w:p w14:paraId="33BB5665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3848BC09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18491D13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2BED74EA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2B0FA5B5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DC18753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4942AED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</w:p>
    <w:p w14:paraId="74FF8780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</w:p>
    <w:p w14:paraId="4DAD4C36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val="en-US" w:eastAsia="zh-CN"/>
        </w:rPr>
      </w:pPr>
    </w:p>
    <w:p w14:paraId="50BC88A2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138B9CFC">
      <w:pPr>
        <w:jc w:val="center"/>
        <w:rPr>
          <w:rStyle w:val="7"/>
          <w:rFonts w:hint="default" w:ascii="Times New Roman" w:hAnsi="Times New Roman" w:cs="Times New Roman"/>
          <w:b/>
          <w:bCs w:val="0"/>
          <w:sz w:val="24"/>
          <w:szCs w:val="24"/>
          <w:lang w:val="en-US"/>
        </w:rPr>
      </w:pPr>
      <w:r>
        <w:rPr>
          <w:rStyle w:val="7"/>
          <w:rFonts w:hint="default" w:ascii="Times New Roman" w:hAnsi="Times New Roman" w:cs="Times New Roman"/>
          <w:b/>
          <w:bCs w:val="0"/>
          <w:sz w:val="24"/>
          <w:szCs w:val="24"/>
        </w:rPr>
        <w:t xml:space="preserve">Table S2. 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4"/>
          <w:szCs w:val="24"/>
          <w:lang w:eastAsia="zh-CN"/>
        </w:rPr>
        <w:t>Definition of cardiovascular-kidney-metabolic syndrome</w:t>
      </w:r>
      <w:r>
        <w:rPr>
          <w:rFonts w:hint="eastAsia" w:ascii="Times New Roman" w:hAnsi="Times New Roman" w:eastAsia="宋体" w:cs="Times New Roman"/>
          <w:b/>
          <w:bCs w:val="0"/>
          <w:kern w:val="2"/>
          <w:sz w:val="24"/>
          <w:szCs w:val="24"/>
          <w:lang w:val="en-US" w:eastAsia="zh-CN"/>
        </w:rPr>
        <w:t xml:space="preserve"> s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4"/>
          <w:szCs w:val="24"/>
          <w:lang w:eastAsia="zh-CN"/>
        </w:rPr>
        <w:t>tage</w:t>
      </w:r>
      <w:r>
        <w:rPr>
          <w:rFonts w:hint="eastAsia" w:ascii="Times New Roman" w:hAnsi="Times New Roman" w:eastAsia="宋体" w:cs="Times New Roman"/>
          <w:b/>
          <w:bCs w:val="0"/>
          <w:kern w:val="2"/>
          <w:sz w:val="24"/>
          <w:szCs w:val="24"/>
          <w:lang w:val="en-US" w:eastAsia="zh-CN"/>
        </w:rPr>
        <w:t>s</w:t>
      </w:r>
    </w:p>
    <w:tbl>
      <w:tblPr>
        <w:tblStyle w:val="5"/>
        <w:tblW w:w="34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090"/>
      </w:tblGrid>
      <w:tr w14:paraId="2520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pct"/>
            <w:tcBorders>
              <w:top w:val="single" w:color="auto" w:sz="8" w:space="0"/>
              <w:left w:val="nil"/>
            </w:tcBorders>
            <w:vAlign w:val="center"/>
          </w:tcPr>
          <w:p w14:paraId="77B94E7F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/>
              </w:rPr>
              <w:t>Stage</w:t>
            </w:r>
          </w:p>
        </w:tc>
        <w:tc>
          <w:tcPr>
            <w:tcW w:w="4191" w:type="pct"/>
            <w:tcBorders>
              <w:top w:val="single" w:color="auto" w:sz="8" w:space="0"/>
            </w:tcBorders>
            <w:vAlign w:val="center"/>
          </w:tcPr>
          <w:p w14:paraId="5EF550A3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/>
              </w:rPr>
              <w:t>Criteria</w:t>
            </w:r>
          </w:p>
        </w:tc>
      </w:tr>
      <w:tr w14:paraId="31AB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pct"/>
            <w:tcBorders>
              <w:left w:val="nil"/>
              <w:bottom w:val="nil"/>
            </w:tcBorders>
            <w:vAlign w:val="center"/>
          </w:tcPr>
          <w:p w14:paraId="3489A59C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Stage 2</w:t>
            </w:r>
          </w:p>
        </w:tc>
        <w:tc>
          <w:tcPr>
            <w:tcW w:w="4191" w:type="pct"/>
            <w:tcBorders>
              <w:bottom w:val="nil"/>
            </w:tcBorders>
            <w:vAlign w:val="center"/>
          </w:tcPr>
          <w:p w14:paraId="6E3F9BD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Presence of any of the following: </w:t>
            </w: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diabetes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hypertension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, </w:t>
            </w: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hypertriglyceridaemia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, metabolic syndrome, or an eGFR of </w:t>
            </w: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30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-</w:t>
            </w:r>
            <w:r>
              <w:rPr>
                <w:rStyle w:val="7"/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60</w:t>
            </w: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mL/min/1.73 m²</w:t>
            </w:r>
          </w:p>
        </w:tc>
      </w:tr>
      <w:tr w14:paraId="740E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pct"/>
            <w:tcBorders>
              <w:top w:val="nil"/>
              <w:left w:val="nil"/>
              <w:bottom w:val="nil"/>
            </w:tcBorders>
            <w:vAlign w:val="center"/>
          </w:tcPr>
          <w:p w14:paraId="2C938ABF"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Stage 1</w:t>
            </w:r>
          </w:p>
        </w:tc>
        <w:tc>
          <w:tcPr>
            <w:tcW w:w="4191" w:type="pct"/>
            <w:tcBorders>
              <w:top w:val="nil"/>
              <w:bottom w:val="nil"/>
            </w:tcBorders>
            <w:vAlign w:val="center"/>
          </w:tcPr>
          <w:p w14:paraId="1BF93FC0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Overweight/obesity or prediabetes without meeting criteria for stage 2</w:t>
            </w:r>
          </w:p>
        </w:tc>
      </w:tr>
      <w:tr w14:paraId="10C41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pct"/>
            <w:tcBorders>
              <w:top w:val="nil"/>
              <w:left w:val="nil"/>
              <w:bottom w:val="single" w:color="auto" w:sz="8" w:space="0"/>
            </w:tcBorders>
            <w:vAlign w:val="center"/>
          </w:tcPr>
          <w:p w14:paraId="73B66FF5">
            <w:pPr>
              <w:widowControl w:val="0"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 xml:space="preserve">Stage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191" w:type="pct"/>
            <w:tcBorders>
              <w:top w:val="nil"/>
              <w:bottom w:val="single" w:color="auto" w:sz="8" w:space="0"/>
            </w:tcBorders>
            <w:vAlign w:val="center"/>
          </w:tcPr>
          <w:p w14:paraId="24AAAE29"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Absence of CKM risk factors, including normal weight (BMI &lt; 23 kg/m²), normoglycemia (no diabetes or prediabetes), normotriglyceridemia, normotensive, and eGFR ≥ 60 mL/min/1.73 m²</w:t>
            </w:r>
          </w:p>
        </w:tc>
      </w:tr>
    </w:tbl>
    <w:p w14:paraId="54DC0625">
      <w:pPr>
        <w:widowControl w:val="0"/>
        <w:spacing w:after="0" w:line="240" w:lineRule="auto"/>
        <w:jc w:val="both"/>
        <w:rPr>
          <w:rStyle w:val="7"/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  <w:t xml:space="preserve">Abbreviations: </w:t>
      </w:r>
      <w:r>
        <w:rPr>
          <w:rStyle w:val="7"/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BMI, body mass index; CKM, cardiovascular-kidney-metabolic syndrome; eGFR, </w:t>
      </w:r>
      <w:r>
        <w:rPr>
          <w:rStyle w:val="7"/>
          <w:rFonts w:hint="default" w:ascii="Times New Roman" w:hAnsi="Times New Roman" w:cs="Times New Roman"/>
          <w:b w:val="0"/>
          <w:bCs/>
          <w:sz w:val="24"/>
          <w:szCs w:val="24"/>
          <w:highlight w:val="none"/>
        </w:rPr>
        <w:t>estimated glomerular filtration rate</w:t>
      </w:r>
      <w:r>
        <w:rPr>
          <w:rStyle w:val="7"/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. </w:t>
      </w:r>
    </w:p>
    <w:p w14:paraId="6855CB16">
      <w:pPr>
        <w:widowControl w:val="0"/>
        <w:spacing w:after="0" w:line="240" w:lineRule="auto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p w14:paraId="13B4A359">
      <w:pPr>
        <w:widowControl w:val="0"/>
        <w:spacing w:after="0" w:line="240" w:lineRule="auto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p w14:paraId="5C970C89">
      <w:pPr>
        <w:widowControl w:val="0"/>
        <w:spacing w:after="0" w:line="240" w:lineRule="auto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p w14:paraId="32D035BF">
      <w:pPr>
        <w:tabs>
          <w:tab w:val="left" w:pos="1854"/>
        </w:tabs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  <w:tab/>
      </w:r>
    </w:p>
    <w:p w14:paraId="779B07F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9" w:lineRule="atLeast"/>
        <w:jc w:val="both"/>
        <w:textAlignment w:val="auto"/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  <w: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  <w:drawing>
          <wp:inline distT="0" distB="0" distL="114300" distR="114300">
            <wp:extent cx="6510020" cy="6510020"/>
            <wp:effectExtent l="0" t="0" r="5080" b="5080"/>
            <wp:docPr id="3" name="图片 3" descr="C:/Users/13574/Downloads/correlation3_page-0001.jpgcorrelation3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3574/Downloads/correlation3_page-0001.jpgcorrelation3_page-0001"/>
                    <pic:cNvPicPr>
                      <a:picLocks noChangeAspect="1"/>
                    </pic:cNvPicPr>
                  </pic:nvPicPr>
                  <pic:blipFill>
                    <a:blip r:embed="rId4"/>
                    <a:srcRect t="5" b="5"/>
                    <a:stretch>
                      <a:fillRect/>
                    </a:stretch>
                  </pic:blipFill>
                  <pic:spPr>
                    <a:xfrm>
                      <a:off x="0" y="0"/>
                      <a:ext cx="6510020" cy="651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ans-serif" w:cs="Times New Roman"/>
          <w:b/>
          <w:bCs/>
        </w:rPr>
        <w:t>Figure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</w:rPr>
        <w:t>S1. Spearman correlation heatmap of inflammation-related hematological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 xml:space="preserve"> profiles</w:t>
      </w:r>
      <w:r>
        <w:rPr>
          <w:rFonts w:hint="default" w:ascii="Times New Roman" w:hAnsi="Times New Roman" w:eastAsia="sans-serif" w:cs="Times New Roman"/>
        </w:rPr>
        <w:t xml:space="preserve">. </w:t>
      </w:r>
    </w:p>
    <w:p w14:paraId="5095847F">
      <w:pPr>
        <w:widowControl w:val="0"/>
        <w:spacing w:after="0" w:line="240" w:lineRule="auto"/>
        <w:jc w:val="center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Table S3. Machine-learning hyperparameter grids and final selected parameters</w:t>
      </w:r>
    </w:p>
    <w:p w14:paraId="0F6B7008">
      <w:pPr>
        <w:widowControl w:val="0"/>
        <w:spacing w:after="0" w:line="240" w:lineRule="auto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tbl>
      <w:tblPr>
        <w:tblStyle w:val="5"/>
        <w:tblW w:w="4999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2589"/>
        <w:gridCol w:w="2183"/>
        <w:gridCol w:w="1857"/>
        <w:gridCol w:w="5294"/>
      </w:tblGrid>
      <w:tr w14:paraId="4C69E7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25BA5DF5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913" w:type="pct"/>
            <w:vAlign w:val="center"/>
          </w:tcPr>
          <w:p w14:paraId="429B8FDA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Hyperparameter</w:t>
            </w:r>
          </w:p>
        </w:tc>
        <w:tc>
          <w:tcPr>
            <w:tcW w:w="770" w:type="pct"/>
            <w:vAlign w:val="center"/>
          </w:tcPr>
          <w:p w14:paraId="500C6C1D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Grid/Search Space</w:t>
            </w:r>
          </w:p>
        </w:tc>
        <w:tc>
          <w:tcPr>
            <w:tcW w:w="655" w:type="pct"/>
            <w:vAlign w:val="center"/>
          </w:tcPr>
          <w:p w14:paraId="52BB4E27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Final Selected Value</w:t>
            </w:r>
          </w:p>
        </w:tc>
        <w:tc>
          <w:tcPr>
            <w:tcW w:w="1867" w:type="pct"/>
            <w:vAlign w:val="center"/>
          </w:tcPr>
          <w:p w14:paraId="5DE5B525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Selection Method</w:t>
            </w:r>
          </w:p>
        </w:tc>
      </w:tr>
      <w:tr w14:paraId="7E4D88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77B21AFC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Random Forest</w:t>
            </w:r>
          </w:p>
        </w:tc>
        <w:tc>
          <w:tcPr>
            <w:tcW w:w="913" w:type="pct"/>
            <w:vAlign w:val="center"/>
          </w:tcPr>
          <w:p w14:paraId="219D6087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ntree</w:t>
            </w:r>
          </w:p>
        </w:tc>
        <w:tc>
          <w:tcPr>
            <w:tcW w:w="770" w:type="pct"/>
            <w:vAlign w:val="center"/>
          </w:tcPr>
          <w:p w14:paraId="20145E2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Fixed value</w:t>
            </w:r>
          </w:p>
        </w:tc>
        <w:tc>
          <w:tcPr>
            <w:tcW w:w="655" w:type="pct"/>
            <w:vAlign w:val="center"/>
          </w:tcPr>
          <w:p w14:paraId="56CC50C7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1867" w:type="pct"/>
            <w:vAlign w:val="center"/>
          </w:tcPr>
          <w:p w14:paraId="7A592916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Predefined number of trees for model training</w:t>
            </w:r>
          </w:p>
        </w:tc>
      </w:tr>
      <w:tr w14:paraId="1F6318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677385C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446148EC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mtry</w:t>
            </w:r>
          </w:p>
        </w:tc>
        <w:tc>
          <w:tcPr>
            <w:tcW w:w="770" w:type="pct"/>
            <w:vAlign w:val="center"/>
          </w:tcPr>
          <w:p w14:paraId="67BCF9E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Automatic tuning via caret</w:t>
            </w:r>
          </w:p>
        </w:tc>
        <w:tc>
          <w:tcPr>
            <w:tcW w:w="655" w:type="pct"/>
            <w:vAlign w:val="center"/>
          </w:tcPr>
          <w:p w14:paraId="147A1C3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Caret-optimized value</w:t>
            </w:r>
          </w:p>
        </w:tc>
        <w:tc>
          <w:tcPr>
            <w:tcW w:w="1867" w:type="pct"/>
            <w:vAlign w:val="center"/>
          </w:tcPr>
          <w:p w14:paraId="2BCF6C0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Optimized through 10-fold cross-validation using caret package</w:t>
            </w:r>
          </w:p>
        </w:tc>
      </w:tr>
      <w:tr w14:paraId="1377D8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46E74E9D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38735630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nodesize</w:t>
            </w:r>
          </w:p>
        </w:tc>
        <w:tc>
          <w:tcPr>
            <w:tcW w:w="770" w:type="pct"/>
            <w:vAlign w:val="center"/>
          </w:tcPr>
          <w:p w14:paraId="06469640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Default settings</w:t>
            </w:r>
          </w:p>
        </w:tc>
        <w:tc>
          <w:tcPr>
            <w:tcW w:w="655" w:type="pct"/>
            <w:vAlign w:val="center"/>
          </w:tcPr>
          <w:p w14:paraId="18E7A88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Default value</w:t>
            </w:r>
          </w:p>
        </w:tc>
        <w:tc>
          <w:tcPr>
            <w:tcW w:w="1867" w:type="pct"/>
            <w:vAlign w:val="center"/>
          </w:tcPr>
          <w:p w14:paraId="5F84DF16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Used randomForest package default node size parameters</w:t>
            </w:r>
          </w:p>
        </w:tc>
      </w:tr>
      <w:tr w14:paraId="5F83D8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1679375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2F7E68D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importance</w:t>
            </w:r>
          </w:p>
        </w:tc>
        <w:tc>
          <w:tcPr>
            <w:tcW w:w="770" w:type="pct"/>
            <w:vAlign w:val="center"/>
          </w:tcPr>
          <w:p w14:paraId="568EFA2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TRUE</w:t>
            </w:r>
          </w:p>
        </w:tc>
        <w:tc>
          <w:tcPr>
            <w:tcW w:w="655" w:type="pct"/>
            <w:vAlign w:val="center"/>
          </w:tcPr>
          <w:p w14:paraId="5B6C00F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TRUE</w:t>
            </w:r>
          </w:p>
        </w:tc>
        <w:tc>
          <w:tcPr>
            <w:tcW w:w="1867" w:type="pct"/>
            <w:vAlign w:val="center"/>
          </w:tcPr>
          <w:p w14:paraId="3D13F3B0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Variable importance calculation enabled</w:t>
            </w:r>
          </w:p>
        </w:tc>
      </w:tr>
      <w:tr w14:paraId="454FC3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1C9AE03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0F7D6BF1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Cross-validation</w:t>
            </w:r>
          </w:p>
        </w:tc>
        <w:tc>
          <w:tcPr>
            <w:tcW w:w="770" w:type="pct"/>
            <w:vAlign w:val="center"/>
          </w:tcPr>
          <w:p w14:paraId="2DD7BC2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10-fold CV</w:t>
            </w:r>
          </w:p>
        </w:tc>
        <w:tc>
          <w:tcPr>
            <w:tcW w:w="655" w:type="pct"/>
            <w:vAlign w:val="center"/>
          </w:tcPr>
          <w:p w14:paraId="43A2886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 folds</w:t>
            </w:r>
          </w:p>
        </w:tc>
        <w:tc>
          <w:tcPr>
            <w:tcW w:w="1867" w:type="pct"/>
            <w:vAlign w:val="center"/>
          </w:tcPr>
          <w:p w14:paraId="1E489876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10-fold cross-validation for model validation</w:t>
            </w:r>
          </w:p>
        </w:tc>
      </w:tr>
      <w:tr w14:paraId="3441C6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324F3AC8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LASSO Regression</w:t>
            </w:r>
          </w:p>
        </w:tc>
        <w:tc>
          <w:tcPr>
            <w:tcW w:w="913" w:type="pct"/>
            <w:vAlign w:val="center"/>
          </w:tcPr>
          <w:p w14:paraId="4C0309C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alpha</w:t>
            </w:r>
          </w:p>
        </w:tc>
        <w:tc>
          <w:tcPr>
            <w:tcW w:w="770" w:type="pct"/>
            <w:vAlign w:val="center"/>
          </w:tcPr>
          <w:p w14:paraId="42FBB49C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Fixed at 1</w:t>
            </w:r>
          </w:p>
        </w:tc>
        <w:tc>
          <w:tcPr>
            <w:tcW w:w="655" w:type="pct"/>
            <w:vAlign w:val="center"/>
          </w:tcPr>
          <w:p w14:paraId="70756997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67" w:type="pct"/>
            <w:vAlign w:val="center"/>
          </w:tcPr>
          <w:p w14:paraId="2B20D2D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alpha=1 for pure LASSO regularization</w:t>
            </w:r>
          </w:p>
        </w:tc>
      </w:tr>
      <w:tr w14:paraId="160D2D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799F1AF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373A7B0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lambda</w:t>
            </w:r>
          </w:p>
        </w:tc>
        <w:tc>
          <w:tcPr>
            <w:tcW w:w="770" w:type="pct"/>
            <w:vAlign w:val="center"/>
          </w:tcPr>
          <w:p w14:paraId="10A5B750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Automatic via 10-fold CV</w:t>
            </w:r>
          </w:p>
        </w:tc>
        <w:tc>
          <w:tcPr>
            <w:tcW w:w="655" w:type="pct"/>
            <w:vAlign w:val="center"/>
          </w:tcPr>
          <w:p w14:paraId="07C249C4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0.01384</w:t>
            </w:r>
          </w:p>
        </w:tc>
        <w:tc>
          <w:tcPr>
            <w:tcW w:w="1867" w:type="pct"/>
            <w:vAlign w:val="center"/>
          </w:tcPr>
          <w:p w14:paraId="114DE8A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Selected lambda.min that minimizes misclassification error</w:t>
            </w:r>
          </w:p>
        </w:tc>
      </w:tr>
      <w:tr w14:paraId="599B43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0657D106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442D5E28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family</w:t>
            </w:r>
          </w:p>
        </w:tc>
        <w:tc>
          <w:tcPr>
            <w:tcW w:w="770" w:type="pct"/>
            <w:vAlign w:val="center"/>
          </w:tcPr>
          <w:p w14:paraId="037A8D7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binomial</w:t>
            </w:r>
          </w:p>
        </w:tc>
        <w:tc>
          <w:tcPr>
            <w:tcW w:w="655" w:type="pct"/>
            <w:vAlign w:val="center"/>
          </w:tcPr>
          <w:p w14:paraId="77A0338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binomial</w:t>
            </w:r>
          </w:p>
        </w:tc>
        <w:tc>
          <w:tcPr>
            <w:tcW w:w="1867" w:type="pct"/>
            <w:vAlign w:val="center"/>
          </w:tcPr>
          <w:p w14:paraId="62F9F974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Binary classification problem specification</w:t>
            </w:r>
          </w:p>
        </w:tc>
      </w:tr>
      <w:tr w14:paraId="178D68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08C8E58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4C48126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type.measure</w:t>
            </w:r>
          </w:p>
        </w:tc>
        <w:tc>
          <w:tcPr>
            <w:tcW w:w="770" w:type="pct"/>
            <w:vAlign w:val="center"/>
          </w:tcPr>
          <w:p w14:paraId="60A9739B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class</w:t>
            </w:r>
          </w:p>
        </w:tc>
        <w:tc>
          <w:tcPr>
            <w:tcW w:w="655" w:type="pct"/>
            <w:vAlign w:val="center"/>
          </w:tcPr>
          <w:p w14:paraId="34B0564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class</w:t>
            </w:r>
          </w:p>
        </w:tc>
        <w:tc>
          <w:tcPr>
            <w:tcW w:w="1867" w:type="pct"/>
            <w:vAlign w:val="center"/>
          </w:tcPr>
          <w:p w14:paraId="649D80E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Misclassification error used as evaluation metric</w:t>
            </w:r>
          </w:p>
        </w:tc>
      </w:tr>
      <w:tr w14:paraId="7E7052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25E4E8E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07FE211D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nfolds</w:t>
            </w:r>
          </w:p>
        </w:tc>
        <w:tc>
          <w:tcPr>
            <w:tcW w:w="770" w:type="pct"/>
            <w:vAlign w:val="center"/>
          </w:tcPr>
          <w:p w14:paraId="2CEE2328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55" w:type="pct"/>
            <w:vAlign w:val="center"/>
          </w:tcPr>
          <w:p w14:paraId="2757BB07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67" w:type="pct"/>
            <w:vAlign w:val="center"/>
          </w:tcPr>
          <w:p w14:paraId="3924473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10-fold cross-validation for lambda selection</w:t>
            </w:r>
          </w:p>
        </w:tc>
      </w:tr>
      <w:tr w14:paraId="54D505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197402AD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XGBoost</w:t>
            </w:r>
          </w:p>
        </w:tc>
        <w:tc>
          <w:tcPr>
            <w:tcW w:w="913" w:type="pct"/>
            <w:vAlign w:val="center"/>
          </w:tcPr>
          <w:p w14:paraId="55A9EB3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objective</w:t>
            </w:r>
          </w:p>
        </w:tc>
        <w:tc>
          <w:tcPr>
            <w:tcW w:w="770" w:type="pct"/>
            <w:vAlign w:val="center"/>
          </w:tcPr>
          <w:p w14:paraId="3AFF570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binary:logistic</w:t>
            </w:r>
          </w:p>
        </w:tc>
        <w:tc>
          <w:tcPr>
            <w:tcW w:w="655" w:type="pct"/>
            <w:vAlign w:val="center"/>
          </w:tcPr>
          <w:p w14:paraId="164D1C2C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binary:logistic</w:t>
            </w:r>
          </w:p>
        </w:tc>
        <w:tc>
          <w:tcPr>
            <w:tcW w:w="1867" w:type="pct"/>
            <w:vAlign w:val="center"/>
          </w:tcPr>
          <w:p w14:paraId="22EE56E1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Binary logistic regression objective function</w:t>
            </w:r>
          </w:p>
        </w:tc>
      </w:tr>
      <w:tr w14:paraId="1471EA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6D726CD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521BA36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eval_metric</w:t>
            </w:r>
          </w:p>
        </w:tc>
        <w:tc>
          <w:tcPr>
            <w:tcW w:w="770" w:type="pct"/>
            <w:vAlign w:val="center"/>
          </w:tcPr>
          <w:p w14:paraId="24E6D27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rmse</w:t>
            </w:r>
          </w:p>
        </w:tc>
        <w:tc>
          <w:tcPr>
            <w:tcW w:w="655" w:type="pct"/>
            <w:vAlign w:val="center"/>
          </w:tcPr>
          <w:p w14:paraId="48E47B9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rmse</w:t>
            </w:r>
          </w:p>
        </w:tc>
        <w:tc>
          <w:tcPr>
            <w:tcW w:w="1867" w:type="pct"/>
            <w:vAlign w:val="center"/>
          </w:tcPr>
          <w:p w14:paraId="0E56C214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Root mean square error as evaluation metric</w:t>
            </w:r>
          </w:p>
        </w:tc>
      </w:tr>
      <w:tr w14:paraId="54A6D4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72B3AD3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269F7C7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eta</w:t>
            </w:r>
          </w:p>
        </w:tc>
        <w:tc>
          <w:tcPr>
            <w:tcW w:w="770" w:type="pct"/>
            <w:vAlign w:val="center"/>
          </w:tcPr>
          <w:p w14:paraId="4AEC2FE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Fixed value</w:t>
            </w:r>
          </w:p>
        </w:tc>
        <w:tc>
          <w:tcPr>
            <w:tcW w:w="655" w:type="pct"/>
            <w:vAlign w:val="center"/>
          </w:tcPr>
          <w:p w14:paraId="2214064B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67" w:type="pct"/>
            <w:vAlign w:val="center"/>
          </w:tcPr>
          <w:p w14:paraId="4918964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Learning rate set to 1</w:t>
            </w:r>
          </w:p>
        </w:tc>
      </w:tr>
      <w:tr w14:paraId="3ABFA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162F8272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6803C75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max_depth</w:t>
            </w:r>
          </w:p>
        </w:tc>
        <w:tc>
          <w:tcPr>
            <w:tcW w:w="770" w:type="pct"/>
            <w:vAlign w:val="center"/>
          </w:tcPr>
          <w:p w14:paraId="50E9DA10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Fixed value</w:t>
            </w:r>
          </w:p>
        </w:tc>
        <w:tc>
          <w:tcPr>
            <w:tcW w:w="655" w:type="pct"/>
            <w:vAlign w:val="center"/>
          </w:tcPr>
          <w:p w14:paraId="1B04344F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67" w:type="pct"/>
            <w:vAlign w:val="center"/>
          </w:tcPr>
          <w:p w14:paraId="4C9FF48B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Maximum tree depth limited to 3</w:t>
            </w:r>
          </w:p>
        </w:tc>
      </w:tr>
      <w:tr w14:paraId="35262F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509F18F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3F2976A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nrounds</w:t>
            </w:r>
          </w:p>
        </w:tc>
        <w:tc>
          <w:tcPr>
            <w:tcW w:w="770" w:type="pct"/>
            <w:vAlign w:val="center"/>
          </w:tcPr>
          <w:p w14:paraId="604C49D6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Determined by CV with early stopping</w:t>
            </w:r>
          </w:p>
        </w:tc>
        <w:tc>
          <w:tcPr>
            <w:tcW w:w="655" w:type="pct"/>
            <w:vAlign w:val="center"/>
          </w:tcPr>
          <w:p w14:paraId="1AA10DF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CV-determined</w:t>
            </w:r>
          </w:p>
        </w:tc>
        <w:tc>
          <w:tcPr>
            <w:tcW w:w="1867" w:type="pct"/>
            <w:vAlign w:val="center"/>
          </w:tcPr>
          <w:p w14:paraId="022BDC4B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Optimal iterations determined through 10-fold CV with early stopping</w:t>
            </w:r>
          </w:p>
        </w:tc>
      </w:tr>
      <w:tr w14:paraId="087369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2BADB294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16B0192E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early_stopping_rounds</w:t>
            </w:r>
          </w:p>
        </w:tc>
        <w:tc>
          <w:tcPr>
            <w:tcW w:w="770" w:type="pct"/>
            <w:vAlign w:val="center"/>
          </w:tcPr>
          <w:p w14:paraId="1BD3B0FA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55" w:type="pct"/>
            <w:vAlign w:val="center"/>
          </w:tcPr>
          <w:p w14:paraId="1D6C145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67" w:type="pct"/>
            <w:vAlign w:val="center"/>
          </w:tcPr>
          <w:p w14:paraId="646BA5E3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Early stopping rounds to prevent overfitting</w:t>
            </w:r>
          </w:p>
        </w:tc>
      </w:tr>
      <w:tr w14:paraId="1B991C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3" w:type="pct"/>
            <w:vAlign w:val="center"/>
          </w:tcPr>
          <w:p w14:paraId="005B95D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3" w:type="pct"/>
            <w:vAlign w:val="center"/>
          </w:tcPr>
          <w:p w14:paraId="4FC3EEE9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nfold</w:t>
            </w:r>
          </w:p>
        </w:tc>
        <w:tc>
          <w:tcPr>
            <w:tcW w:w="770" w:type="pct"/>
            <w:vAlign w:val="center"/>
          </w:tcPr>
          <w:p w14:paraId="6EFEDA61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55" w:type="pct"/>
            <w:vAlign w:val="center"/>
          </w:tcPr>
          <w:p w14:paraId="5D40719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67" w:type="pct"/>
            <w:vAlign w:val="center"/>
          </w:tcPr>
          <w:p w14:paraId="4F55DC65">
            <w:pP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10-fold cross-validation structure</w:t>
            </w:r>
          </w:p>
        </w:tc>
      </w:tr>
    </w:tbl>
    <w:p w14:paraId="4AF94B7A">
      <w:pPr>
        <w:widowControl w:val="0"/>
        <w:spacing w:after="0" w:line="240" w:lineRule="auto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p w14:paraId="15BEE1F3">
      <w:pPr>
        <w:keepNext/>
        <w:widowControl w:val="0"/>
        <w:autoSpaceDE w:val="0"/>
        <w:autoSpaceDN w:val="0"/>
        <w:adjustRightInd w:val="0"/>
        <w:spacing w:before="67" w:beforeLines="0" w:after="67" w:afterLines="0" w:line="220" w:lineRule="exact"/>
        <w:jc w:val="center"/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Table S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 xml:space="preserve">4 Sensitivity analysis excluding participants using antihypertensive, antidiabetic, or lipid-lowering medications in the associations between </w:t>
      </w:r>
      <w:r>
        <w:rPr>
          <w:rFonts w:hint="eastAsia" w:ascii="Times New Roman" w:hAnsi="Times New Roman" w:eastAsia="MYingHei_18030_C-Medium" w:cs="Times New Roman"/>
          <w:b/>
          <w:color w:val="000000"/>
          <w:sz w:val="24"/>
          <w:szCs w:val="24"/>
          <w:lang w:val="en-US" w:eastAsia="zh-CN"/>
        </w:rPr>
        <w:t xml:space="preserve">inflammatory </w:t>
      </w:r>
      <w:r>
        <w:rPr>
          <w:rFonts w:hint="eastAsia" w:ascii="Times New Roman" w:hAnsi="Times New Roman" w:eastAsia="MYingHei_18030_C-Medium"/>
          <w:b/>
          <w:color w:val="000000"/>
          <w:sz w:val="24"/>
          <w:szCs w:val="24"/>
          <w:lang w:val="en-US" w:eastAsia="zh-CN"/>
        </w:rPr>
        <w:t>indices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 xml:space="preserve"> and early-stage CKM syndrome.</w:t>
      </w:r>
    </w:p>
    <w:tbl>
      <w:tblPr>
        <w:tblStyle w:val="4"/>
        <w:tblW w:w="4998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937"/>
        <w:gridCol w:w="1602"/>
        <w:gridCol w:w="2335"/>
        <w:gridCol w:w="2335"/>
        <w:gridCol w:w="2335"/>
        <w:gridCol w:w="2129"/>
      </w:tblGrid>
      <w:tr w14:paraId="30EA6F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01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95C7D1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bookmarkStart w:id="0" w:name="IDX"/>
            <w:bookmarkEnd w:id="0"/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Variable</w:t>
            </w:r>
          </w:p>
        </w:tc>
        <w:tc>
          <w:tcPr>
            <w:tcW w:w="687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E3A0C9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Model</w:t>
            </w:r>
          </w:p>
        </w:tc>
        <w:tc>
          <w:tcPr>
            <w:tcW w:w="568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5FD4F8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Q1</w:t>
            </w:r>
          </w:p>
        </w:tc>
        <w:tc>
          <w:tcPr>
            <w:tcW w:w="828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A0C6F3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Q2</w:t>
            </w:r>
          </w:p>
        </w:tc>
        <w:tc>
          <w:tcPr>
            <w:tcW w:w="828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DDC467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Q3</w:t>
            </w:r>
          </w:p>
        </w:tc>
        <w:tc>
          <w:tcPr>
            <w:tcW w:w="828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EFD0D8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Q4</w:t>
            </w:r>
          </w:p>
        </w:tc>
        <w:tc>
          <w:tcPr>
            <w:tcW w:w="755" w:type="pct"/>
            <w:tcBorders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C5B55E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i/>
                <w:iCs/>
                <w:color w:val="000000"/>
                <w:kern w:val="0"/>
                <w:sz w:val="22"/>
                <w:szCs w:val="24"/>
                <w:lang w:val="en-US" w:eastAsia="zh-CN" w:bidi="ar-SA"/>
              </w:rPr>
              <w:t>P</w:t>
            </w: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 xml:space="preserve"> for trend</w:t>
            </w:r>
          </w:p>
        </w:tc>
      </w:tr>
      <w:tr w14:paraId="79AC8F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AD33F1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NHR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CD446C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9580B8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B518F8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61A066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12418B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D7A8B6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431A9C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95D2C1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0BA706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DAB16B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6F91F0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1.98 (1.68,2.33)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DAA0F3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2.73 (2.32,3.22)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E5EECD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5.55 (4.65,6.62)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ECD9A4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11F0F8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F8A95C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61323E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DCF68A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3507EF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2.44 (2.04,2.93)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8B9D72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3.64 (3.03,4.38)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6E9866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9.78 (7.98,12.0)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223847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3A2AA4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A99896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184599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E24385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D6B645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2.38 (1.98,2.86)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E9971F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3.53 (2.92,4.27)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DAA85B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9.84 (7.96,12.1)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1AC643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1404EF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4A759F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MHR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0A37DE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4F1760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AF42C3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9A5CB9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ED1819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0C1B6A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190425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1023EC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78FAF7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CAF887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18B244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1.88 (1.60,2.21)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A6D614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2.66 (2.26,3.14)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0C66BC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5.25 (4.41,6.26)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55A067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E60A4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0CE441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12376B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B67816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C7215F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2.06 (1.73,2.46)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C1F5AA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3.26 (2.72,3.91)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45265C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7.51 (6.18,9.14)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96F7B9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B8ECF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3E1395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AEFE70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B697BA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2FB6FD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1.97 (1.64,2.36)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4ECD5F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3.13 (2.60,3.76)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404992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7.26 (5.93,8.90)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505261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0D5DA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FF5868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RET#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5B3300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1C19B6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735B61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C1697D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4E5CA8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7AA550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64C30B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205612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F4003D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8EA4B5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999FA8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1.98 (1.68,2.32)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1E241E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3.23 (2.74,3.81)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AF93D4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5.00 (4.20,5.94)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0D6B90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DBE9A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136F73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59D1BA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D57294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6AE99F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2.16 (1.81,2.59)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378F69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3.83 (3.19,4.61)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3949DE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6.79 (5.60,8.24)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69BEC7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44A02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B67F7B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6D358E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434FCD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7678FE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2.08 (1.73,2.49)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CADF22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3.62 (3.00,4.37)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482673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6.43 (5.28,7.84)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A96152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5F9E21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4CE4DE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RPI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F5A8FC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D8E5D9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B457D3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A177C3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CFA2B4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7E28C4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4B656D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54613D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3F3F50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70EC1F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2CC415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1.55 (1.32,1.82)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688F67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2.77 (2.35,3.26)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9F3FCB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4.49 (3.78,5.34)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C30636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3DA7FB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F21BFA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BEE42F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3C6A73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CFF4F4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1.55 (1.30,1.84)</w:t>
            </w:r>
          </w:p>
        </w:tc>
        <w:tc>
          <w:tcPr>
            <w:tcW w:w="82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DF38DF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2.86 (2.39,3.43)</w:t>
            </w:r>
          </w:p>
        </w:tc>
        <w:tc>
          <w:tcPr>
            <w:tcW w:w="82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B3B538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5.16 (4.27,6.23)</w:t>
            </w:r>
          </w:p>
        </w:tc>
        <w:tc>
          <w:tcPr>
            <w:tcW w:w="75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FAE4B7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98E0F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AD6655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414FF9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4B9706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CB3CC1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1.50 (1.25,1.79)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93A492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2.71 (2.26,3.26)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B6133A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4.86 (4.01,5.89)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23AE8B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52BD5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44D092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HFR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BE33D1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DFA574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008799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0389DA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E82996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F2CDC8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19D36F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97186E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80EE91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A54155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85CEB5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1.58 (1.35,1.85)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5F3E14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2.30 (1.95,2.71)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7F102A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3.62 (3.06,4.29)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67E26D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5818D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059A11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297094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655CD4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1200A2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1.50 (1.26,1.79)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E3C72D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2.31 (1.93,2.77)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7421E4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3.96 (3.29,4.76)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ACFCAA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790F3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5AE873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7D3111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F3C15C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F1C56A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1.46 (1.23,1.75)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7552B5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2.25 (1.87,2.71)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0F240A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3.82 (3.16,4.61)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553C72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2458B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0D0F28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CAR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F01921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4E2BB2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A74AB3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FF88DD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6FAF82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D762EC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4BC1D4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B3C3B3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B5E26A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27B9FF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A09C98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2.07 (1.76,2.43)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7DC26B4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3.22 (2.72,3.79)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EE2470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4.36 (3.67,5.17)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6030BE7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23B8A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DBCD25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4AE894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4A3C81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7C68AD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1.86 (1.56,2.21)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557B9BB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2.92 (2.44,3.50)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4D6A62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4.36 (3.62,5.24)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B77186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47D40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501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550B74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687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1E9620E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568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200FE2D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828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45C6E48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1.83 (1.53,2.19)</w:t>
            </w:r>
          </w:p>
        </w:tc>
        <w:tc>
          <w:tcPr>
            <w:tcW w:w="828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0B02E60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2.97 (2.47,3.57)</w:t>
            </w:r>
          </w:p>
        </w:tc>
        <w:tc>
          <w:tcPr>
            <w:tcW w:w="828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FF1B1E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4.30 (3.56,5.20)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center"/>
          </w:tcPr>
          <w:p w14:paraId="3D9C744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</w:tbl>
    <w:p w14:paraId="0CB60A09">
      <w:pPr>
        <w:widowControl w:val="0"/>
        <w:adjustRightInd w:val="0"/>
        <w:spacing w:beforeLines="0" w:afterLine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Data are presented as odds ratio (95% confidence interval). Crude Model: There are no covariates were adjusted. Model 1: adjusted for age and sex. Model 2: further adjusted for Model 2: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xcluding participants taking antihypertensive, antidiabetic, or lipid-lowering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medications.Abbreviations: NHR, Neutrophil-to-HDL ratio;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MHR, Monocyte-to-HDL ratio; RET#, Reticulocyte count; RPI, Reticulocyte production index; HFR, High-fluorescence reticulocyte ratio; CAR, C-reactive protein to albumin ratio.</w:t>
      </w:r>
      <w:r>
        <w:rPr>
          <w:rFonts w:hint="default" w:ascii="Times New Roman" w:hAnsi="Times New Roman" w:cs="Times New Roman"/>
          <w:sz w:val="24"/>
          <w:szCs w:val="24"/>
        </w:rPr>
        <w:t>
</w:t>
      </w:r>
    </w:p>
    <w:p w14:paraId="4514A921">
      <w:pPr>
        <w:widowControl w:val="0"/>
        <w:adjustRightInd w:val="0"/>
        <w:spacing w:beforeLines="0" w:afterLines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A334C7F">
      <w:pPr>
        <w:widowControl w:val="0"/>
        <w:adjustRightInd w:val="0"/>
        <w:spacing w:beforeLines="0" w:afterLines="0"/>
        <w:jc w:val="left"/>
        <w:rPr>
          <w:rFonts w:hint="default"/>
          <w:sz w:val="24"/>
          <w:szCs w:val="24"/>
        </w:rPr>
      </w:pPr>
    </w:p>
    <w:p w14:paraId="3171FAE1">
      <w:pPr>
        <w:widowControl w:val="0"/>
        <w:adjustRightInd w:val="0"/>
        <w:spacing w:beforeLines="0" w:afterLines="0"/>
        <w:jc w:val="left"/>
        <w:rPr>
          <w:rFonts w:hint="default"/>
          <w:sz w:val="24"/>
          <w:szCs w:val="24"/>
        </w:rPr>
      </w:pPr>
    </w:p>
    <w:p w14:paraId="3F5223AC">
      <w:pPr>
        <w:widowControl w:val="0"/>
        <w:adjustRightInd w:val="0"/>
        <w:spacing w:beforeLines="0" w:afterLines="0"/>
        <w:jc w:val="left"/>
        <w:rPr>
          <w:rFonts w:hint="default"/>
          <w:sz w:val="24"/>
          <w:szCs w:val="24"/>
        </w:rPr>
      </w:pPr>
    </w:p>
    <w:p w14:paraId="33DABFD8">
      <w:pPr>
        <w:keepNext/>
        <w:widowControl w:val="0"/>
        <w:autoSpaceDE w:val="0"/>
        <w:autoSpaceDN w:val="0"/>
        <w:adjustRightInd w:val="0"/>
        <w:spacing w:before="67" w:beforeLines="0" w:after="67" w:afterLines="0" w:line="220" w:lineRule="exact"/>
        <w:jc w:val="center"/>
        <w:rPr>
          <w:rFonts w:hint="eastAsia" w:ascii="MYingHei_18030_C-Medium" w:hAnsi="MYingHei_18030_C-Medium" w:eastAsia="MYingHei_18030_C-Medium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 xml:space="preserve">Table S5. Sensitivity analysis excluding participants with cancer, mental disorders, liver, respiratory, or autoimmune diseases in the associations between </w:t>
      </w:r>
      <w:r>
        <w:rPr>
          <w:rFonts w:hint="eastAsia" w:ascii="Times New Roman" w:hAnsi="Times New Roman" w:eastAsia="MYingHei_18030_C-Medium" w:cs="Times New Roman"/>
          <w:b/>
          <w:color w:val="000000"/>
          <w:sz w:val="24"/>
          <w:szCs w:val="24"/>
          <w:lang w:val="en-US" w:eastAsia="zh-CN"/>
        </w:rPr>
        <w:t xml:space="preserve">inflammatory </w:t>
      </w:r>
      <w:r>
        <w:rPr>
          <w:rFonts w:hint="eastAsia" w:ascii="Times New Roman" w:hAnsi="Times New Roman" w:eastAsia="MYingHei_18030_C-Medium"/>
          <w:b/>
          <w:color w:val="000000"/>
          <w:sz w:val="24"/>
          <w:szCs w:val="24"/>
          <w:lang w:val="en-US" w:eastAsia="zh-CN"/>
        </w:rPr>
        <w:t>indices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 xml:space="preserve"> and early-stage CKM syndrome.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"/>
        <w:gridCol w:w="1310"/>
        <w:gridCol w:w="1083"/>
        <w:gridCol w:w="1578"/>
        <w:gridCol w:w="1578"/>
        <w:gridCol w:w="1578"/>
        <w:gridCol w:w="1501"/>
      </w:tblGrid>
      <w:tr w14:paraId="66B9C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95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7E3B246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Variable</w:t>
            </w:r>
          </w:p>
        </w:tc>
        <w:tc>
          <w:tcPr>
            <w:tcW w:w="13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6E6AB7D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Model</w:t>
            </w:r>
          </w:p>
        </w:tc>
        <w:tc>
          <w:tcPr>
            <w:tcW w:w="10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38C397D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Q1</w:t>
            </w: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1FE4192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Q2</w:t>
            </w: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6C8176D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Q3</w:t>
            </w:r>
          </w:p>
        </w:tc>
        <w:tc>
          <w:tcPr>
            <w:tcW w:w="15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5B828DD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Q4</w:t>
            </w:r>
          </w:p>
        </w:tc>
        <w:tc>
          <w:tcPr>
            <w:tcW w:w="150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bottom"/>
          </w:tcPr>
          <w:p w14:paraId="3077BEE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/>
                <w:color w:val="000000"/>
                <w:kern w:val="0"/>
                <w:sz w:val="22"/>
                <w:szCs w:val="24"/>
                <w:lang w:val="en-US" w:eastAsia="zh-CN" w:bidi="ar-SA"/>
              </w:rPr>
              <w:t>P for trend</w:t>
            </w:r>
          </w:p>
        </w:tc>
      </w:tr>
      <w:tr w14:paraId="09F6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9F1A96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NHR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4AE28C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5179F7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495FF8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83EE89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6B0072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082D1C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718E9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9093E5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A440C4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D99ABB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13EE86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1.89 (1.62,2.20)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FD6D86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2.90 (2.48,3.40)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7A7CF5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5.87 (4.92,7.00)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0C59D9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5E715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67F453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BC84DC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7C2C55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24321E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2.33 (1.96,2.77)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BD7C3C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3.98 (3.32,4.78)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A61FC3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10.5 (8.54,12.9)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D0D826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78D32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4B8D86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D1D77C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592DE6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5B8F7C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2.30 (1.93,2.75)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F4BA0C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3.90 (3.24,4.70)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B649E2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10.4 (8.44,12.9)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42BBC1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010F0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59CCAE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MHR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64B66F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C8331F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96F1BF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CC645F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D540D1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029A2F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30C16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BD766F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6807D4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36A4BE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91B518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1.84 (1.58,2.15)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1A3652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2.57 (2.20,3.01)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E17347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5.42 (4.55,6.45)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D4D748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226F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0625D5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695270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2B3805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452F82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2.09 (1.76,2.48)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099437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3.24 (2.71,3.87)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CBFE95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8.02 (6.58,9.77)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5CFEA0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3AF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56AA0C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4E5F8F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D7D2D9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07985E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2.00 (1.67,2.38)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7548F8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3.12 (2.60,3.74)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2A665E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7.63 (6.23,9.35)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A410DE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1F0E5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921F84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RET#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41D625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C5E87D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6940B8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F0C514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7D67E7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03BDC0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704EC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F8CAC3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2EB477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C5C102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BC71B3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2.02 (1.73,2.35)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C5B42F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3.28 (2.80,3.85)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C36A0E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5.40 (4.55,6.41)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87A295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29BFE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90CEFF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750728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FCEBC4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2AF53C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2.27 (1.90,2.70)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81BA4B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4.05 (3.38,4.85)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518760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7.62 (6.27,9.24)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3890BE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35B3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30C121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DE9F36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38D438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A10BEA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2.16 (1.81,2.59)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1A188F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3.87 (3.22,4.66)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583B8C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7.28 (5.96,8.88)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EA61A1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F38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5C2838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RPI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1A9B1F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FB33B0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A7EEE1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728C81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60C477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03ADB3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4696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6A39E8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E42880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B0C8EE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887309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1.58 (1.36,1.84)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6BE8DC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2.90 (2.47,3.40)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03D9CD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4.73 (3.99,5.62)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6D0654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33FF4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84CF66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A1BF35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327384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9A367D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1.57 (1.32,1.86)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7C0E6F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3.08 (2.58,3.68)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7BD4AD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5.46 (4.53,6.60)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969F58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32DCE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954953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8AF416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53BC9C6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2902C9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1.52 (1.28,1.81)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9BDB4C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2.95 (2.46,3.54)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23C48B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5.20 (4.28,6.31)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D5026A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9448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E1F28B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HFR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086871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9B62A1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7046E5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5FD3AB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A13107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9A9496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6518C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BF0214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78CFC5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97C500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A27C68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1.61 (1.38,1.87)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E39F13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2.32 (1.98,2.71)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36330C8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4.05 (3.41,4.81)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968D96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1D05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A8797D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6BE76E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1D6629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6E743D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1.51 (1.27,1.79)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DB8422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2.33 (1.96,2.78)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1185F1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4.38 (3.63,5.29)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04D081C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6E69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6A3BC8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B8F671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38E0314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A008C6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1.47 (1.23,1.75)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9D18E1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2.27 (1.90,2.72)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F9B30F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4.19 (3.46,5.09)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4C5358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247AC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E40DC0D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CAR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4C2CD5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4E67E2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521CA7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CF646A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A0CBAA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3914C9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</w:tr>
      <w:tr w14:paraId="495A3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C8982F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E39519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Crude Model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521DF0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44879B9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2.10 (1.80,2.45)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366815A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3.16 (2.70,3.71)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454D05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4.35 (3.68,5.14)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B9B48BE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2986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1B1CB3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99F78D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AB96DE1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CB25EB0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1.86 (1.57,2.21)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1F70213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2.87 (2.41,3.42)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00852E12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4.42 (3.68,5.31)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9319DF5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  <w:tr w14:paraId="4BAE6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56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110B573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2B5B9AD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Model 2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A6B80EA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Ref.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5BF5501F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1.86 (1.56,2.21)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46C3A61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2.90 (2.42,3.47)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7BD63417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4.39 (3.64,5.30)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tcMar>
              <w:left w:w="67" w:type="dxa"/>
              <w:right w:w="67" w:type="dxa"/>
            </w:tcMar>
            <w:vAlign w:val="top"/>
          </w:tcPr>
          <w:p w14:paraId="6375B26B">
            <w:pPr>
              <w:keepNext/>
              <w:widowControl w:val="0"/>
              <w:autoSpaceDE w:val="0"/>
              <w:autoSpaceDN w:val="0"/>
              <w:adjustRightInd w:val="0"/>
              <w:spacing w:before="67" w:beforeLines="0" w:after="67" w:afterLines="0" w:line="220" w:lineRule="exact"/>
              <w:jc w:val="center"/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MYingHei_18030_C-Medium" w:cs="Times New Roman"/>
                <w:b w:val="0"/>
                <w:bCs/>
                <w:color w:val="000000"/>
                <w:kern w:val="0"/>
                <w:sz w:val="22"/>
                <w:szCs w:val="24"/>
                <w:lang w:val="en-US" w:eastAsia="zh-CN" w:bidi="ar-SA"/>
              </w:rPr>
              <w:t>&lt;0.0001</w:t>
            </w:r>
          </w:p>
        </w:tc>
      </w:tr>
    </w:tbl>
    <w:p w14:paraId="51D01FBF">
      <w:pPr>
        <w:widowControl w:val="0"/>
        <w:adjustRightInd w:val="0"/>
        <w:spacing w:beforeLines="0" w:afterLines="0"/>
        <w:rPr>
          <w:rFonts w:hint="default" w:ascii="Times New Roman" w:hAnsi="Times New Roman" w:eastAsia="MYingHei_18030_C-Medium" w:cs="Times New Roman"/>
          <w:color w:val="000000"/>
          <w:sz w:val="20"/>
          <w:szCs w:val="24"/>
        </w:rPr>
      </w:pPr>
    </w:p>
    <w:p w14:paraId="10845C3D">
      <w:pPr>
        <w:widowControl w:val="0"/>
        <w:adjustRightInd w:val="0"/>
        <w:spacing w:beforeLines="0" w:afterLine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Data are presented as odds ratio (95% confidence interval). Crude Model: There are no covariates were adjusted. Model 1: adjusted for age and sex. Model 2: further adjusted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>xcluding participants with cancer, mental disorders, liver diseases, respiratory diseases, and autoimmune diseases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Abbreviations: NHR, Neutrophil-to-HDL ratio;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MHR, Monocyte-to-HDL ratio; RET#, Reticulocyte count; RPI, Reticulocyte production index; HFR, High-fluorescence reticulocyte ratio; CAR, C-reactive protein to albumin ratio.</w:t>
      </w:r>
    </w:p>
    <w:p w14:paraId="6AF94C1B">
      <w:pPr>
        <w:widowControl w:val="0"/>
        <w:adjustRightInd w:val="0"/>
        <w:spacing w:beforeLines="0" w:afterLines="0"/>
        <w:jc w:val="center"/>
        <w:rPr>
          <w:rFonts w:hint="default"/>
          <w:sz w:val="24"/>
          <w:szCs w:val="24"/>
        </w:rPr>
      </w:pPr>
    </w:p>
    <w:p w14:paraId="19811EE2">
      <w:pPr>
        <w:widowControl w:val="0"/>
        <w:adjustRightInd w:val="0"/>
        <w:spacing w:beforeLines="0" w:afterLines="0"/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cr/>
      </w:r>
      <w:r>
        <w:rPr>
          <w:rFonts w:hint="default"/>
          <w:sz w:val="24"/>
          <w:szCs w:val="24"/>
        </w:rPr>
        <w:t>
</w:t>
      </w:r>
    </w:p>
    <w:p w14:paraId="2BC041A2">
      <w:pPr>
        <w:widowControl w:val="0"/>
        <w:adjustRightInd w:val="0"/>
        <w:spacing w:beforeLines="0" w:afterLines="0"/>
        <w:jc w:val="left"/>
        <w:rPr>
          <w:rFonts w:hint="default"/>
          <w:sz w:val="24"/>
          <w:szCs w:val="24"/>
        </w:rPr>
      </w:pPr>
    </w:p>
    <w:p w14:paraId="43DF3391">
      <w:pP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eastAsia="zh-CN"/>
        </w:rPr>
      </w:pPr>
    </w:p>
    <w:p w14:paraId="17596474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6BB2A646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466D2942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35ECD2D3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</w:pPr>
    </w:p>
    <w:p w14:paraId="3FF1C3BE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45F4AEFC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C73C43F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3CEE8339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6E2DB8F6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4F16350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CAC8189">
      <w:pPr>
        <w:rPr>
          <w:rStyle w:val="7"/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68AC6CDB">
      <w:pPr>
        <w:jc w:val="center"/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  <w:drawing>
          <wp:inline distT="0" distB="0" distL="114300" distR="114300">
            <wp:extent cx="7356475" cy="4138295"/>
            <wp:effectExtent l="0" t="0" r="15875" b="14605"/>
            <wp:docPr id="5" name="图片 5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6475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24C61">
      <w:pP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Times New Roman" w:hAnsi="Times New Roman" w:cs="Times New Roman" w:eastAsiaTheme="minorEastAsia"/>
          <w:b w:val="0"/>
          <w:bCs/>
          <w:sz w:val="24"/>
          <w:szCs w:val="24"/>
          <w:lang w:eastAsia="zh-CN"/>
        </w:rPr>
        <w:t>Figure S2. Assessment of prediction model performance for early-stage CKM. (A) Receiver Operating Characteristic (ROC) curve analysis for the prediction model. The diagonal dashed line represents a random guess (AUC = 0.5). (B) Calibration plot of the prediction model. The y-axis represents the observed frequency of early-stage CKM, and the x-axis represents the predicted probability. The dashed diagonal line indicates a perfectly calibrated model.</w:t>
      </w:r>
      <w:bookmarkStart w:id="1" w:name="_GoBack"/>
      <w:bookmarkEnd w:id="1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ingHei_18030_C-Medium">
    <w:altName w:val="宋体"/>
    <w:panose1 w:val="020A0304000101010101"/>
    <w:charset w:val="86"/>
    <w:family w:val="roman"/>
    <w:pitch w:val="default"/>
    <w:sig w:usb0="00000000" w:usb1="00000000" w:usb2="0000001E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01969"/>
    <w:rsid w:val="019F250B"/>
    <w:rsid w:val="01AB579F"/>
    <w:rsid w:val="02C06C91"/>
    <w:rsid w:val="038D4777"/>
    <w:rsid w:val="05E12078"/>
    <w:rsid w:val="05EF21A1"/>
    <w:rsid w:val="066D7B9C"/>
    <w:rsid w:val="06F316D8"/>
    <w:rsid w:val="071C6FC5"/>
    <w:rsid w:val="07F615C4"/>
    <w:rsid w:val="08C47915"/>
    <w:rsid w:val="09CF3E95"/>
    <w:rsid w:val="09E21E49"/>
    <w:rsid w:val="0A3960E0"/>
    <w:rsid w:val="0A4B5296"/>
    <w:rsid w:val="0B7F7B23"/>
    <w:rsid w:val="0C6B5D12"/>
    <w:rsid w:val="0C8D3B1B"/>
    <w:rsid w:val="0CF836D5"/>
    <w:rsid w:val="0D16364C"/>
    <w:rsid w:val="0DA46DE1"/>
    <w:rsid w:val="0F2A31FB"/>
    <w:rsid w:val="0F492922"/>
    <w:rsid w:val="1047079D"/>
    <w:rsid w:val="10DE709A"/>
    <w:rsid w:val="129C3D23"/>
    <w:rsid w:val="12DE15D3"/>
    <w:rsid w:val="13B86493"/>
    <w:rsid w:val="147F207F"/>
    <w:rsid w:val="14D01969"/>
    <w:rsid w:val="14D964F6"/>
    <w:rsid w:val="177F691D"/>
    <w:rsid w:val="17944162"/>
    <w:rsid w:val="189310B2"/>
    <w:rsid w:val="18E768BB"/>
    <w:rsid w:val="19F56590"/>
    <w:rsid w:val="1A005DD5"/>
    <w:rsid w:val="1BFB31F6"/>
    <w:rsid w:val="1D036806"/>
    <w:rsid w:val="1DAE2A5E"/>
    <w:rsid w:val="1DE27A9B"/>
    <w:rsid w:val="1E3F4CD3"/>
    <w:rsid w:val="1E4E3AB1"/>
    <w:rsid w:val="1E56548E"/>
    <w:rsid w:val="1EE07C90"/>
    <w:rsid w:val="1F583209"/>
    <w:rsid w:val="1F6E1F58"/>
    <w:rsid w:val="1FB45B95"/>
    <w:rsid w:val="1FCF6E73"/>
    <w:rsid w:val="21222BCF"/>
    <w:rsid w:val="213D1BBA"/>
    <w:rsid w:val="227D2BB6"/>
    <w:rsid w:val="228522AC"/>
    <w:rsid w:val="23E44FBD"/>
    <w:rsid w:val="24343749"/>
    <w:rsid w:val="2451792E"/>
    <w:rsid w:val="24D942F0"/>
    <w:rsid w:val="24DF4095"/>
    <w:rsid w:val="251917A4"/>
    <w:rsid w:val="262E5F76"/>
    <w:rsid w:val="2835183D"/>
    <w:rsid w:val="28932B31"/>
    <w:rsid w:val="2A844BD4"/>
    <w:rsid w:val="2BC90536"/>
    <w:rsid w:val="2BCF1FA9"/>
    <w:rsid w:val="2C5F31FE"/>
    <w:rsid w:val="2DB87198"/>
    <w:rsid w:val="2DBF3FA5"/>
    <w:rsid w:val="2DF950BB"/>
    <w:rsid w:val="2E273353"/>
    <w:rsid w:val="2E2A302D"/>
    <w:rsid w:val="2E951288"/>
    <w:rsid w:val="2ECB248A"/>
    <w:rsid w:val="2FA95D3E"/>
    <w:rsid w:val="30676C54"/>
    <w:rsid w:val="306A3A56"/>
    <w:rsid w:val="31964C6B"/>
    <w:rsid w:val="31D05FA6"/>
    <w:rsid w:val="31F167D5"/>
    <w:rsid w:val="323B1174"/>
    <w:rsid w:val="32FD0BAA"/>
    <w:rsid w:val="33B170C3"/>
    <w:rsid w:val="34A4697C"/>
    <w:rsid w:val="35812566"/>
    <w:rsid w:val="35B71478"/>
    <w:rsid w:val="363472E4"/>
    <w:rsid w:val="36687282"/>
    <w:rsid w:val="36BA5D2F"/>
    <w:rsid w:val="37CB5D1A"/>
    <w:rsid w:val="38196A86"/>
    <w:rsid w:val="38350D42"/>
    <w:rsid w:val="394A2C6F"/>
    <w:rsid w:val="3A25237D"/>
    <w:rsid w:val="3AFA0DF0"/>
    <w:rsid w:val="3C6B1A66"/>
    <w:rsid w:val="3CB2084F"/>
    <w:rsid w:val="3D510A70"/>
    <w:rsid w:val="3EB3242B"/>
    <w:rsid w:val="3F772F6F"/>
    <w:rsid w:val="40D53766"/>
    <w:rsid w:val="40FA369A"/>
    <w:rsid w:val="41984EBF"/>
    <w:rsid w:val="419E1DAA"/>
    <w:rsid w:val="41B06F61"/>
    <w:rsid w:val="41D43A1D"/>
    <w:rsid w:val="44C63123"/>
    <w:rsid w:val="45763769"/>
    <w:rsid w:val="459040FF"/>
    <w:rsid w:val="461E170B"/>
    <w:rsid w:val="463B1C84"/>
    <w:rsid w:val="471A0124"/>
    <w:rsid w:val="47BA3749"/>
    <w:rsid w:val="48350E4B"/>
    <w:rsid w:val="484F71FC"/>
    <w:rsid w:val="49E33A8D"/>
    <w:rsid w:val="4A0A26D2"/>
    <w:rsid w:val="4A2E69CA"/>
    <w:rsid w:val="4A3D3EC0"/>
    <w:rsid w:val="4B0B6702"/>
    <w:rsid w:val="4B230CEF"/>
    <w:rsid w:val="4B434D8A"/>
    <w:rsid w:val="4C263544"/>
    <w:rsid w:val="4D096C71"/>
    <w:rsid w:val="4D3758D7"/>
    <w:rsid w:val="4D4B1038"/>
    <w:rsid w:val="4D677E3B"/>
    <w:rsid w:val="4E44703E"/>
    <w:rsid w:val="4F2D7EFC"/>
    <w:rsid w:val="501F49FD"/>
    <w:rsid w:val="50896AE8"/>
    <w:rsid w:val="5107568B"/>
    <w:rsid w:val="513933BD"/>
    <w:rsid w:val="51E47CAD"/>
    <w:rsid w:val="52716224"/>
    <w:rsid w:val="52F3262B"/>
    <w:rsid w:val="537A2677"/>
    <w:rsid w:val="5385247B"/>
    <w:rsid w:val="538A7261"/>
    <w:rsid w:val="53B86DC2"/>
    <w:rsid w:val="53EA40ED"/>
    <w:rsid w:val="54BC6A3F"/>
    <w:rsid w:val="54E658DC"/>
    <w:rsid w:val="54FF66BC"/>
    <w:rsid w:val="55F06C20"/>
    <w:rsid w:val="57C3022A"/>
    <w:rsid w:val="57CF0AB7"/>
    <w:rsid w:val="58F30A95"/>
    <w:rsid w:val="597162CA"/>
    <w:rsid w:val="5A4C0D53"/>
    <w:rsid w:val="5C8A56BD"/>
    <w:rsid w:val="5CE93AB2"/>
    <w:rsid w:val="5D863495"/>
    <w:rsid w:val="5DDF5E8A"/>
    <w:rsid w:val="5E0C4813"/>
    <w:rsid w:val="5E253E84"/>
    <w:rsid w:val="5E604B5F"/>
    <w:rsid w:val="608A5EC3"/>
    <w:rsid w:val="62775FD3"/>
    <w:rsid w:val="62F11E22"/>
    <w:rsid w:val="631344F6"/>
    <w:rsid w:val="63472010"/>
    <w:rsid w:val="63F62B3F"/>
    <w:rsid w:val="64E060B2"/>
    <w:rsid w:val="6646288C"/>
    <w:rsid w:val="66487257"/>
    <w:rsid w:val="67C779FD"/>
    <w:rsid w:val="67D27562"/>
    <w:rsid w:val="68D24E1F"/>
    <w:rsid w:val="68E008B3"/>
    <w:rsid w:val="68E5013A"/>
    <w:rsid w:val="69241F2F"/>
    <w:rsid w:val="69690DBA"/>
    <w:rsid w:val="69E93980"/>
    <w:rsid w:val="6A31115D"/>
    <w:rsid w:val="6A9F65AE"/>
    <w:rsid w:val="6B404561"/>
    <w:rsid w:val="6B80504A"/>
    <w:rsid w:val="6C2E004A"/>
    <w:rsid w:val="6CA410BF"/>
    <w:rsid w:val="6DCD73EF"/>
    <w:rsid w:val="6DF363E7"/>
    <w:rsid w:val="6F1B5024"/>
    <w:rsid w:val="70844289"/>
    <w:rsid w:val="735A7977"/>
    <w:rsid w:val="739B4217"/>
    <w:rsid w:val="73C7068B"/>
    <w:rsid w:val="73ED07EB"/>
    <w:rsid w:val="73F53A42"/>
    <w:rsid w:val="73F7126C"/>
    <w:rsid w:val="73FC73C3"/>
    <w:rsid w:val="74816A99"/>
    <w:rsid w:val="755D1A92"/>
    <w:rsid w:val="77933457"/>
    <w:rsid w:val="779571D0"/>
    <w:rsid w:val="77FC2E2F"/>
    <w:rsid w:val="78B13B95"/>
    <w:rsid w:val="79C73F87"/>
    <w:rsid w:val="7AF4244A"/>
    <w:rsid w:val="7B1A2A95"/>
    <w:rsid w:val="7B2D3A97"/>
    <w:rsid w:val="7D41294B"/>
    <w:rsid w:val="7EA321D2"/>
    <w:rsid w:val="7FC2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font1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4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10">
    <w:name w:val="font3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5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924</Words>
  <Characters>5799</Characters>
  <Lines>0</Lines>
  <Paragraphs>0</Paragraphs>
  <TotalTime>3</TotalTime>
  <ScaleCrop>false</ScaleCrop>
  <LinksUpToDate>false</LinksUpToDate>
  <CharactersWithSpaces>6395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2025-10-18T02:56:00Z</dcterms:created>
  <dc:creator>HLH</dc:creator>
  <cp:lastModifiedBy>HLH</cp:lastModifiedBy>
  <dcterms:modified xsi:type="dcterms:W3CDTF">2025-11-17T15:09:22Z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80E1C26B8EC1456FBC1DDD36D16DB912_13</vt:lpwstr>
  </property>
  <property fmtid="{D5CDD505-2E9C-101B-9397-08002B2CF9AE}" pid="4" name="KSOTemplateDocerSaveRecord">
    <vt:lpwstr>eyJoZGlkIjoiMmI0YWE2OGU3OGFhY2VhMTE4MTU0Y2YzNGIxZGEzNmQiLCJ1c2VySWQiOiIyOTI1MTA3NjQifQ==</vt:lpwstr>
  </property>
</Properties>
</file>