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DF802" w14:textId="16AC342D" w:rsidR="00541050" w:rsidRDefault="006C120B" w:rsidP="00541050">
      <w:pPr>
        <w:pStyle w:val="Caption"/>
        <w:keepNext/>
      </w:pPr>
      <w:proofErr w:type="spellStart"/>
      <w:r>
        <w:t>Supplementaer</w:t>
      </w:r>
      <w:proofErr w:type="spellEnd"/>
      <w:r>
        <w:t xml:space="preserve"> </w:t>
      </w:r>
      <w:r w:rsidR="00541050" w:rsidRPr="00466991">
        <w:t xml:space="preserve">Table </w:t>
      </w:r>
      <w:fldSimple w:instr=" SEQ Table \* ARABIC ">
        <w:r w:rsidR="00235987" w:rsidRPr="00466991">
          <w:rPr>
            <w:noProof/>
          </w:rPr>
          <w:t>1</w:t>
        </w:r>
      </w:fldSimple>
      <w:r w:rsidR="004522E1">
        <w:rPr>
          <w:noProof/>
        </w:rPr>
        <w:t xml:space="preserve">a (SP </w:t>
      </w:r>
      <w:bookmarkStart w:id="0" w:name="_GoBack"/>
      <w:bookmarkEnd w:id="0"/>
      <w:r>
        <w:rPr>
          <w:noProof/>
        </w:rPr>
        <w:t>1a)</w:t>
      </w:r>
      <w:r w:rsidR="00541050" w:rsidRPr="00466991">
        <w:t>: High-quality Evidence</w:t>
      </w:r>
    </w:p>
    <w:tbl>
      <w:tblPr>
        <w:tblStyle w:val="TableGrid"/>
        <w:tblW w:w="11624" w:type="dxa"/>
        <w:tblInd w:w="-1281" w:type="dxa"/>
        <w:tblLook w:val="04A0" w:firstRow="1" w:lastRow="0" w:firstColumn="1" w:lastColumn="0" w:noHBand="0" w:noVBand="1"/>
      </w:tblPr>
      <w:tblGrid>
        <w:gridCol w:w="1357"/>
        <w:gridCol w:w="1536"/>
        <w:gridCol w:w="1176"/>
        <w:gridCol w:w="2353"/>
        <w:gridCol w:w="2325"/>
        <w:gridCol w:w="2877"/>
      </w:tblGrid>
      <w:tr w:rsidR="00541050" w:rsidRPr="000457B1" w14:paraId="1B658D6E" w14:textId="77777777" w:rsidTr="00677100">
        <w:trPr>
          <w:trHeight w:val="300"/>
        </w:trPr>
        <w:tc>
          <w:tcPr>
            <w:tcW w:w="1357" w:type="dxa"/>
            <w:noWrap/>
            <w:hideMark/>
          </w:tcPr>
          <w:p w14:paraId="36404AB4" w14:textId="77777777" w:rsidR="00541050" w:rsidRPr="000457B1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1536" w:type="dxa"/>
            <w:noWrap/>
            <w:hideMark/>
          </w:tcPr>
          <w:p w14:paraId="5B7EBD65" w14:textId="77777777" w:rsidR="00541050" w:rsidRPr="000457B1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b/>
                <w:sz w:val="24"/>
                <w:szCs w:val="24"/>
              </w:rPr>
              <w:t>Design</w:t>
            </w:r>
          </w:p>
        </w:tc>
        <w:tc>
          <w:tcPr>
            <w:tcW w:w="1176" w:type="dxa"/>
            <w:noWrap/>
            <w:hideMark/>
          </w:tcPr>
          <w:p w14:paraId="2834BC03" w14:textId="77777777" w:rsidR="00541050" w:rsidRPr="000457B1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b/>
                <w:sz w:val="24"/>
                <w:szCs w:val="24"/>
              </w:rPr>
              <w:t>Sample Size</w:t>
            </w:r>
          </w:p>
        </w:tc>
        <w:tc>
          <w:tcPr>
            <w:tcW w:w="2353" w:type="dxa"/>
            <w:noWrap/>
            <w:hideMark/>
          </w:tcPr>
          <w:p w14:paraId="0A1D7D49" w14:textId="77777777" w:rsidR="00541050" w:rsidRPr="000457B1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b/>
                <w:sz w:val="24"/>
                <w:szCs w:val="24"/>
              </w:rPr>
              <w:t>Key Outcome</w:t>
            </w:r>
          </w:p>
        </w:tc>
        <w:tc>
          <w:tcPr>
            <w:tcW w:w="2325" w:type="dxa"/>
            <w:noWrap/>
            <w:hideMark/>
          </w:tcPr>
          <w:p w14:paraId="285C03DB" w14:textId="77777777" w:rsidR="00541050" w:rsidRPr="000457B1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b/>
                <w:sz w:val="24"/>
                <w:szCs w:val="24"/>
              </w:rPr>
              <w:t>Main Finding</w:t>
            </w:r>
          </w:p>
        </w:tc>
        <w:tc>
          <w:tcPr>
            <w:tcW w:w="2877" w:type="dxa"/>
            <w:noWrap/>
            <w:hideMark/>
          </w:tcPr>
          <w:p w14:paraId="6D0CB415" w14:textId="77777777" w:rsidR="00541050" w:rsidRPr="000457B1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b/>
                <w:sz w:val="24"/>
                <w:szCs w:val="24"/>
              </w:rPr>
              <w:t>Limitations</w:t>
            </w:r>
          </w:p>
        </w:tc>
      </w:tr>
      <w:tr w:rsidR="00541050" w:rsidRPr="000457B1" w14:paraId="079EB38C" w14:textId="77777777" w:rsidTr="00677100">
        <w:trPr>
          <w:trHeight w:val="900"/>
        </w:trPr>
        <w:tc>
          <w:tcPr>
            <w:tcW w:w="1357" w:type="dxa"/>
            <w:noWrap/>
            <w:hideMark/>
          </w:tcPr>
          <w:p w14:paraId="21EF7BEC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Ahuja et al., 2021</w:t>
            </w:r>
          </w:p>
        </w:tc>
        <w:tc>
          <w:tcPr>
            <w:tcW w:w="1536" w:type="dxa"/>
            <w:noWrap/>
            <w:hideMark/>
          </w:tcPr>
          <w:p w14:paraId="7B71C0BB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Meta-analysis</w:t>
            </w:r>
          </w:p>
        </w:tc>
        <w:tc>
          <w:tcPr>
            <w:tcW w:w="1176" w:type="dxa"/>
            <w:noWrap/>
            <w:hideMark/>
          </w:tcPr>
          <w:p w14:paraId="55FBC862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35,551</w:t>
            </w:r>
          </w:p>
        </w:tc>
        <w:tc>
          <w:tcPr>
            <w:tcW w:w="2353" w:type="dxa"/>
            <w:hideMark/>
          </w:tcPr>
          <w:p w14:paraId="37433A95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The optimal cut-off 1-h post-load glucose for predicting T2DM</w:t>
            </w:r>
          </w:p>
        </w:tc>
        <w:tc>
          <w:tcPr>
            <w:tcW w:w="2325" w:type="dxa"/>
            <w:hideMark/>
          </w:tcPr>
          <w:p w14:paraId="292B3DF2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1-h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postprandial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glucose of ≥ 11.6 mmol/L during OGTT showed good sensitivity (0.92) and specificity (0.91)</w:t>
            </w:r>
          </w:p>
        </w:tc>
        <w:tc>
          <w:tcPr>
            <w:tcW w:w="2877" w:type="dxa"/>
            <w:hideMark/>
          </w:tcPr>
          <w:p w14:paraId="7AF44241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The total number of studies included was relatively small and the funnel plot showed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asymmetry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, indicating sampling bias. Bias may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also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arise from the use of aggregate measures.</w:t>
            </w:r>
          </w:p>
        </w:tc>
      </w:tr>
      <w:tr w:rsidR="00541050" w:rsidRPr="000457B1" w14:paraId="231C6EFC" w14:textId="77777777" w:rsidTr="00677100">
        <w:trPr>
          <w:trHeight w:val="900"/>
        </w:trPr>
        <w:tc>
          <w:tcPr>
            <w:tcW w:w="1357" w:type="dxa"/>
            <w:noWrap/>
            <w:hideMark/>
          </w:tcPr>
          <w:p w14:paraId="6E5AC61E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Cavelot</w:t>
            </w:r>
            <w:proofErr w:type="spellEnd"/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et al., </w:t>
            </w:r>
          </w:p>
        </w:tc>
        <w:tc>
          <w:tcPr>
            <w:tcW w:w="1536" w:type="dxa"/>
            <w:hideMark/>
          </w:tcPr>
          <w:p w14:paraId="2B6F58F2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Prospective cohort</w:t>
            </w:r>
          </w:p>
        </w:tc>
        <w:tc>
          <w:tcPr>
            <w:tcW w:w="1176" w:type="dxa"/>
            <w:noWrap/>
            <w:hideMark/>
          </w:tcPr>
          <w:p w14:paraId="69B4130E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2353" w:type="dxa"/>
            <w:hideMark/>
          </w:tcPr>
          <w:p w14:paraId="3C4BE371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Cardiovascular events and all-cause mortality</w:t>
            </w:r>
          </w:p>
        </w:tc>
        <w:tc>
          <w:tcPr>
            <w:tcW w:w="2325" w:type="dxa"/>
            <w:hideMark/>
          </w:tcPr>
          <w:p w14:paraId="46613A58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2-h Postprandial glucose and HbA1c predict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cardiovascular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events and all-cause mortality in T2DM</w:t>
            </w:r>
          </w:p>
        </w:tc>
        <w:tc>
          <w:tcPr>
            <w:tcW w:w="2877" w:type="dxa"/>
            <w:hideMark/>
          </w:tcPr>
          <w:p w14:paraId="1B082913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Causality </w:t>
            </w:r>
            <w:proofErr w:type="spellStart"/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can not</w:t>
            </w:r>
            <w:proofErr w:type="spellEnd"/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be proven due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epidemiological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nature of the study</w:t>
            </w:r>
          </w:p>
        </w:tc>
      </w:tr>
      <w:tr w:rsidR="00541050" w:rsidRPr="000457B1" w14:paraId="59CCCBD3" w14:textId="77777777" w:rsidTr="00677100">
        <w:trPr>
          <w:trHeight w:val="600"/>
        </w:trPr>
        <w:tc>
          <w:tcPr>
            <w:tcW w:w="1357" w:type="dxa"/>
            <w:noWrap/>
            <w:hideMark/>
          </w:tcPr>
          <w:p w14:paraId="14DA6C0D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Khaw</w:t>
            </w:r>
            <w:proofErr w:type="spellEnd"/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et al., 2001</w:t>
            </w:r>
          </w:p>
        </w:tc>
        <w:tc>
          <w:tcPr>
            <w:tcW w:w="1536" w:type="dxa"/>
            <w:hideMark/>
          </w:tcPr>
          <w:p w14:paraId="1A6FF289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Prospective population study</w:t>
            </w:r>
          </w:p>
        </w:tc>
        <w:tc>
          <w:tcPr>
            <w:tcW w:w="1176" w:type="dxa"/>
            <w:noWrap/>
            <w:hideMark/>
          </w:tcPr>
          <w:p w14:paraId="53B83401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4,662</w:t>
            </w:r>
          </w:p>
        </w:tc>
        <w:tc>
          <w:tcPr>
            <w:tcW w:w="2353" w:type="dxa"/>
            <w:hideMark/>
          </w:tcPr>
          <w:p w14:paraId="5CAFFA14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Mortality, all-cause, cardiovascular disease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ischemic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heart disease</w:t>
            </w:r>
          </w:p>
        </w:tc>
        <w:tc>
          <w:tcPr>
            <w:tcW w:w="2325" w:type="dxa"/>
            <w:hideMark/>
          </w:tcPr>
          <w:p w14:paraId="6619CACC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1% increase in HbA1c is associated with a 28% increased risk of death</w:t>
            </w:r>
          </w:p>
        </w:tc>
        <w:tc>
          <w:tcPr>
            <w:tcW w:w="2877" w:type="dxa"/>
            <w:hideMark/>
          </w:tcPr>
          <w:p w14:paraId="0685E5C8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Analysis was restricted to male participants due to insufficient events in women for robust analysis</w:t>
            </w:r>
          </w:p>
        </w:tc>
      </w:tr>
      <w:tr w:rsidR="00541050" w:rsidRPr="000457B1" w14:paraId="37D6C5F5" w14:textId="77777777" w:rsidTr="00677100">
        <w:trPr>
          <w:trHeight w:val="1200"/>
        </w:trPr>
        <w:tc>
          <w:tcPr>
            <w:tcW w:w="1357" w:type="dxa"/>
            <w:noWrap/>
            <w:hideMark/>
          </w:tcPr>
          <w:p w14:paraId="20B430E6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Kim et al., 2023</w:t>
            </w:r>
          </w:p>
        </w:tc>
        <w:tc>
          <w:tcPr>
            <w:tcW w:w="1536" w:type="dxa"/>
            <w:hideMark/>
          </w:tcPr>
          <w:p w14:paraId="3BC4B9D4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Retrospective cohort</w:t>
            </w:r>
          </w:p>
        </w:tc>
        <w:tc>
          <w:tcPr>
            <w:tcW w:w="1176" w:type="dxa"/>
            <w:noWrap/>
            <w:hideMark/>
          </w:tcPr>
          <w:p w14:paraId="0519BE6E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2,801,153</w:t>
            </w:r>
          </w:p>
        </w:tc>
        <w:tc>
          <w:tcPr>
            <w:tcW w:w="2353" w:type="dxa"/>
            <w:hideMark/>
          </w:tcPr>
          <w:p w14:paraId="47AB2F38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Sudden Cardiac Arrest</w:t>
            </w:r>
          </w:p>
        </w:tc>
        <w:tc>
          <w:tcPr>
            <w:tcW w:w="2325" w:type="dxa"/>
            <w:hideMark/>
          </w:tcPr>
          <w:p w14:paraId="0D3F4619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Long-term increases in fasting plasma glucose are significantly 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associated with an increased risk of sudden cardiac arrest in people with diabetes</w:t>
            </w:r>
          </w:p>
        </w:tc>
        <w:tc>
          <w:tcPr>
            <w:tcW w:w="2877" w:type="dxa"/>
            <w:hideMark/>
          </w:tcPr>
          <w:p w14:paraId="4F70DCE3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cohort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was predominantly of East Asian descent. Reliance on claims-based data has the 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inherent risk of coding errors</w:t>
            </w:r>
          </w:p>
        </w:tc>
      </w:tr>
      <w:tr w:rsidR="00541050" w:rsidRPr="000457B1" w14:paraId="5A6FAA43" w14:textId="77777777" w:rsidTr="00677100">
        <w:trPr>
          <w:trHeight w:val="900"/>
        </w:trPr>
        <w:tc>
          <w:tcPr>
            <w:tcW w:w="1357" w:type="dxa"/>
            <w:noWrap/>
            <w:hideMark/>
          </w:tcPr>
          <w:p w14:paraId="45752B82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Pareek</w:t>
            </w:r>
            <w:proofErr w:type="spellEnd"/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 et al., 2018</w:t>
            </w:r>
          </w:p>
        </w:tc>
        <w:tc>
          <w:tcPr>
            <w:tcW w:w="1536" w:type="dxa"/>
            <w:hideMark/>
          </w:tcPr>
          <w:p w14:paraId="3B12FC75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Prospective population Cohort</w:t>
            </w:r>
          </w:p>
        </w:tc>
        <w:tc>
          <w:tcPr>
            <w:tcW w:w="1176" w:type="dxa"/>
            <w:noWrap/>
            <w:hideMark/>
          </w:tcPr>
          <w:p w14:paraId="626BF35D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4,867</w:t>
            </w:r>
          </w:p>
        </w:tc>
        <w:tc>
          <w:tcPr>
            <w:tcW w:w="2353" w:type="dxa"/>
            <w:hideMark/>
          </w:tcPr>
          <w:p w14:paraId="62640EF9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Predicting T2D2, vascular complications and mortality</w:t>
            </w:r>
          </w:p>
        </w:tc>
        <w:tc>
          <w:tcPr>
            <w:tcW w:w="2325" w:type="dxa"/>
            <w:hideMark/>
          </w:tcPr>
          <w:p w14:paraId="339F5EA5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1-hour post-load glucose is a stronger predictor of T2DM, complications and mortality than 2-h</w:t>
            </w:r>
          </w:p>
        </w:tc>
        <w:tc>
          <w:tcPr>
            <w:tcW w:w="2877" w:type="dxa"/>
            <w:hideMark/>
          </w:tcPr>
          <w:p w14:paraId="03FEA0E9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Gender bias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sample with male participants outnumbering female participants</w:t>
            </w:r>
          </w:p>
        </w:tc>
      </w:tr>
      <w:tr w:rsidR="00541050" w:rsidRPr="000457B1" w14:paraId="140C5654" w14:textId="77777777" w:rsidTr="00677100">
        <w:trPr>
          <w:trHeight w:val="900"/>
        </w:trPr>
        <w:tc>
          <w:tcPr>
            <w:tcW w:w="1357" w:type="dxa"/>
            <w:noWrap/>
            <w:hideMark/>
          </w:tcPr>
          <w:p w14:paraId="08E3BF35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Selvin et al., 2010</w:t>
            </w:r>
          </w:p>
        </w:tc>
        <w:tc>
          <w:tcPr>
            <w:tcW w:w="1536" w:type="dxa"/>
            <w:hideMark/>
          </w:tcPr>
          <w:p w14:paraId="242B1931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Prospective Cohort</w:t>
            </w:r>
          </w:p>
        </w:tc>
        <w:tc>
          <w:tcPr>
            <w:tcW w:w="1176" w:type="dxa"/>
            <w:noWrap/>
            <w:hideMark/>
          </w:tcPr>
          <w:p w14:paraId="24722479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11,092</w:t>
            </w:r>
          </w:p>
        </w:tc>
        <w:tc>
          <w:tcPr>
            <w:tcW w:w="2353" w:type="dxa"/>
            <w:hideMark/>
          </w:tcPr>
          <w:p w14:paraId="49EE0E39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Diabetes, coronary heart disease, stroke and mortality</w:t>
            </w:r>
          </w:p>
        </w:tc>
        <w:tc>
          <w:tcPr>
            <w:tcW w:w="2325" w:type="dxa"/>
            <w:hideMark/>
          </w:tcPr>
          <w:p w14:paraId="4CA4797F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HbA1c had a stronger association with cardiovascular disease risk and mortality than fasting glucose in nondiabetic adults</w:t>
            </w:r>
          </w:p>
        </w:tc>
        <w:tc>
          <w:tcPr>
            <w:tcW w:w="2877" w:type="dxa"/>
            <w:hideMark/>
          </w:tcPr>
          <w:p w14:paraId="5CD5E057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Reliance on a single measurement of HbA1c and blood glucose at baseline and no long-term follow-up</w:t>
            </w:r>
          </w:p>
        </w:tc>
      </w:tr>
      <w:tr w:rsidR="00541050" w:rsidRPr="000457B1" w14:paraId="1476866C" w14:textId="77777777" w:rsidTr="00677100">
        <w:trPr>
          <w:trHeight w:val="600"/>
        </w:trPr>
        <w:tc>
          <w:tcPr>
            <w:tcW w:w="1357" w:type="dxa"/>
            <w:noWrap/>
            <w:hideMark/>
          </w:tcPr>
          <w:p w14:paraId="38589D7F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Tong et al., 2022</w:t>
            </w:r>
          </w:p>
        </w:tc>
        <w:tc>
          <w:tcPr>
            <w:tcW w:w="1536" w:type="dxa"/>
            <w:noWrap/>
            <w:hideMark/>
          </w:tcPr>
          <w:p w14:paraId="3A9EE7D4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Retrospective analysis</w:t>
            </w:r>
          </w:p>
        </w:tc>
        <w:tc>
          <w:tcPr>
            <w:tcW w:w="1176" w:type="dxa"/>
            <w:noWrap/>
            <w:hideMark/>
          </w:tcPr>
          <w:p w14:paraId="7D308FEC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48,444</w:t>
            </w:r>
          </w:p>
        </w:tc>
        <w:tc>
          <w:tcPr>
            <w:tcW w:w="2353" w:type="dxa"/>
            <w:hideMark/>
          </w:tcPr>
          <w:p w14:paraId="4B0E3DC1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The association between fasting plasma glucose and Gestational Diabetes Mellitus</w:t>
            </w:r>
          </w:p>
        </w:tc>
        <w:tc>
          <w:tcPr>
            <w:tcW w:w="2325" w:type="dxa"/>
            <w:hideMark/>
          </w:tcPr>
          <w:p w14:paraId="7C63FA0A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 xml:space="preserve">Risk of GDM increased with FPG as low as 4.19 to 4.63 mmol/L (OR 1.137, p&gt; 0.05) </w:t>
            </w:r>
          </w:p>
        </w:tc>
        <w:tc>
          <w:tcPr>
            <w:tcW w:w="2877" w:type="dxa"/>
            <w:hideMark/>
          </w:tcPr>
          <w:p w14:paraId="227C452D" w14:textId="77777777" w:rsidR="00541050" w:rsidRPr="000457B1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7B1">
              <w:rPr>
                <w:rFonts w:ascii="Times New Roman" w:hAnsi="Times New Roman" w:cs="Times New Roman"/>
                <w:sz w:val="24"/>
                <w:szCs w:val="24"/>
              </w:rPr>
              <w:t>FPG was only tested once per patient. Nutritional status data were not available.</w:t>
            </w:r>
          </w:p>
        </w:tc>
      </w:tr>
    </w:tbl>
    <w:p w14:paraId="199A835D" w14:textId="77777777" w:rsidR="006C120B" w:rsidRDefault="006C120B" w:rsidP="00541050">
      <w:pPr>
        <w:pStyle w:val="Caption"/>
        <w:keepNext/>
        <w:rPr>
          <w:rFonts w:cs="Times New Roman"/>
          <w:b w:val="0"/>
          <w:iCs w:val="0"/>
          <w:szCs w:val="24"/>
          <w:lang w:val="en-CA"/>
        </w:rPr>
      </w:pPr>
    </w:p>
    <w:p w14:paraId="68BC91DA" w14:textId="1277230C" w:rsidR="00541050" w:rsidRDefault="006C120B" w:rsidP="00541050">
      <w:pPr>
        <w:pStyle w:val="Caption"/>
        <w:keepNext/>
      </w:pPr>
      <w:r>
        <w:t xml:space="preserve">Supplementary </w:t>
      </w:r>
      <w:r w:rsidR="00541050" w:rsidRPr="00466991">
        <w:t xml:space="preserve">Table </w:t>
      </w:r>
      <w:r w:rsidR="004522E1">
        <w:t xml:space="preserve">1b (ST </w:t>
      </w:r>
      <w:r>
        <w:t>1b)</w:t>
      </w:r>
      <w:r w:rsidR="00541050" w:rsidRPr="00466991">
        <w:t>: Moderate-quality Evidence</w:t>
      </w:r>
    </w:p>
    <w:tbl>
      <w:tblPr>
        <w:tblStyle w:val="TableGrid"/>
        <w:tblW w:w="11627" w:type="dxa"/>
        <w:tblInd w:w="-1281" w:type="dxa"/>
        <w:tblLook w:val="04A0" w:firstRow="1" w:lastRow="0" w:firstColumn="1" w:lastColumn="0" w:noHBand="0" w:noVBand="1"/>
      </w:tblPr>
      <w:tblGrid>
        <w:gridCol w:w="1282"/>
        <w:gridCol w:w="1560"/>
        <w:gridCol w:w="1129"/>
        <w:gridCol w:w="2487"/>
        <w:gridCol w:w="2189"/>
        <w:gridCol w:w="2980"/>
      </w:tblGrid>
      <w:tr w:rsidR="00541050" w:rsidRPr="004C1A28" w14:paraId="3125C4B3" w14:textId="77777777" w:rsidTr="00677100">
        <w:trPr>
          <w:trHeight w:val="300"/>
        </w:trPr>
        <w:tc>
          <w:tcPr>
            <w:tcW w:w="1282" w:type="dxa"/>
            <w:noWrap/>
            <w:hideMark/>
          </w:tcPr>
          <w:p w14:paraId="25344644" w14:textId="77777777" w:rsidR="00541050" w:rsidRPr="004C1A28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1560" w:type="dxa"/>
            <w:noWrap/>
            <w:hideMark/>
          </w:tcPr>
          <w:p w14:paraId="61787206" w14:textId="77777777" w:rsidR="00541050" w:rsidRPr="004C1A28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b/>
                <w:sz w:val="24"/>
                <w:szCs w:val="24"/>
              </w:rPr>
              <w:t>Design</w:t>
            </w:r>
          </w:p>
        </w:tc>
        <w:tc>
          <w:tcPr>
            <w:tcW w:w="1129" w:type="dxa"/>
            <w:noWrap/>
            <w:hideMark/>
          </w:tcPr>
          <w:p w14:paraId="64BB296B" w14:textId="77777777" w:rsidR="00541050" w:rsidRPr="004C1A28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b/>
                <w:sz w:val="24"/>
                <w:szCs w:val="24"/>
              </w:rPr>
              <w:t>Sample Size</w:t>
            </w:r>
          </w:p>
        </w:tc>
        <w:tc>
          <w:tcPr>
            <w:tcW w:w="2487" w:type="dxa"/>
            <w:noWrap/>
            <w:hideMark/>
          </w:tcPr>
          <w:p w14:paraId="7B30D485" w14:textId="77777777" w:rsidR="00541050" w:rsidRPr="004C1A28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b/>
                <w:sz w:val="24"/>
                <w:szCs w:val="24"/>
              </w:rPr>
              <w:t>Key Outcome</w:t>
            </w:r>
          </w:p>
        </w:tc>
        <w:tc>
          <w:tcPr>
            <w:tcW w:w="2189" w:type="dxa"/>
            <w:noWrap/>
            <w:hideMark/>
          </w:tcPr>
          <w:p w14:paraId="1B55ECAD" w14:textId="77777777" w:rsidR="00541050" w:rsidRPr="004C1A28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b/>
                <w:sz w:val="24"/>
                <w:szCs w:val="24"/>
              </w:rPr>
              <w:t>Main Finding</w:t>
            </w:r>
          </w:p>
        </w:tc>
        <w:tc>
          <w:tcPr>
            <w:tcW w:w="2980" w:type="dxa"/>
            <w:noWrap/>
            <w:hideMark/>
          </w:tcPr>
          <w:p w14:paraId="4A657426" w14:textId="77777777" w:rsidR="00541050" w:rsidRPr="004C1A28" w:rsidRDefault="00541050" w:rsidP="006771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b/>
                <w:sz w:val="24"/>
                <w:szCs w:val="24"/>
              </w:rPr>
              <w:t>Limitations</w:t>
            </w:r>
          </w:p>
        </w:tc>
      </w:tr>
      <w:tr w:rsidR="00541050" w:rsidRPr="004C1A28" w14:paraId="26F33035" w14:textId="77777777" w:rsidTr="00677100">
        <w:trPr>
          <w:trHeight w:val="1200"/>
        </w:trPr>
        <w:tc>
          <w:tcPr>
            <w:tcW w:w="1282" w:type="dxa"/>
            <w:noWrap/>
            <w:hideMark/>
          </w:tcPr>
          <w:p w14:paraId="10F7DA47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Cayonu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et al., 2025</w:t>
            </w:r>
          </w:p>
        </w:tc>
        <w:tc>
          <w:tcPr>
            <w:tcW w:w="1560" w:type="dxa"/>
            <w:noWrap/>
            <w:hideMark/>
          </w:tcPr>
          <w:p w14:paraId="0F7D81B4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Prospective Cohort</w:t>
            </w:r>
          </w:p>
        </w:tc>
        <w:tc>
          <w:tcPr>
            <w:tcW w:w="1129" w:type="dxa"/>
            <w:noWrap/>
            <w:hideMark/>
          </w:tcPr>
          <w:p w14:paraId="5CE59ACC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2487" w:type="dxa"/>
            <w:hideMark/>
          </w:tcPr>
          <w:p w14:paraId="6F707E17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Diagnosis of Gestational Diabetes Mellitus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Adverse Obstetric Outcomes</w:t>
            </w:r>
          </w:p>
        </w:tc>
        <w:tc>
          <w:tcPr>
            <w:tcW w:w="2189" w:type="dxa"/>
            <w:hideMark/>
          </w:tcPr>
          <w:p w14:paraId="49A22D78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Using an HbA1c </w:t>
            </w: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cutoff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of ≥ 5.7% was less accurate in diagnosing GDM than OGTT. HbA1c was also found to be associated with higher BMI and polyhydramnios</w:t>
            </w:r>
          </w:p>
        </w:tc>
        <w:tc>
          <w:tcPr>
            <w:tcW w:w="2980" w:type="dxa"/>
            <w:hideMark/>
          </w:tcPr>
          <w:p w14:paraId="6DB72AD5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The results were not compared with those of patients who do not have a GDM diagnosis. </w:t>
            </w:r>
          </w:p>
        </w:tc>
      </w:tr>
      <w:tr w:rsidR="00541050" w:rsidRPr="004C1A28" w14:paraId="6954C456" w14:textId="77777777" w:rsidTr="00677100">
        <w:trPr>
          <w:trHeight w:val="1500"/>
        </w:trPr>
        <w:tc>
          <w:tcPr>
            <w:tcW w:w="1282" w:type="dxa"/>
            <w:noWrap/>
            <w:hideMark/>
          </w:tcPr>
          <w:p w14:paraId="5A8D1A6C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Ellis 2013</w:t>
            </w:r>
          </w:p>
        </w:tc>
        <w:tc>
          <w:tcPr>
            <w:tcW w:w="1560" w:type="dxa"/>
            <w:noWrap/>
            <w:hideMark/>
          </w:tcPr>
          <w:p w14:paraId="723B91C6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Prospective Cohort</w:t>
            </w:r>
          </w:p>
        </w:tc>
        <w:tc>
          <w:tcPr>
            <w:tcW w:w="1129" w:type="dxa"/>
            <w:noWrap/>
            <w:hideMark/>
          </w:tcPr>
          <w:p w14:paraId="72545263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87" w:type="dxa"/>
            <w:hideMark/>
          </w:tcPr>
          <w:p w14:paraId="27E98ABD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The accuracy of point-of-care testing for blood glucose</w:t>
            </w:r>
          </w:p>
        </w:tc>
        <w:tc>
          <w:tcPr>
            <w:tcW w:w="2189" w:type="dxa"/>
            <w:hideMark/>
          </w:tcPr>
          <w:p w14:paraId="457C485B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Capillary point-of-care testing showed unacceptable (88.3%) agreement with laboratory/arterial testing. The use of more than 2 medications significantly reduced the accuracy of arterial </w:t>
            </w: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point-of-care testing. </w:t>
            </w:r>
          </w:p>
        </w:tc>
        <w:tc>
          <w:tcPr>
            <w:tcW w:w="2980" w:type="dxa"/>
            <w:hideMark/>
          </w:tcPr>
          <w:p w14:paraId="4BF0A0C7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Lack of multiple repeated measures</w:t>
            </w:r>
          </w:p>
        </w:tc>
      </w:tr>
      <w:tr w:rsidR="00541050" w:rsidRPr="004C1A28" w14:paraId="34260190" w14:textId="77777777" w:rsidTr="00677100">
        <w:trPr>
          <w:trHeight w:val="900"/>
        </w:trPr>
        <w:tc>
          <w:tcPr>
            <w:tcW w:w="1282" w:type="dxa"/>
            <w:noWrap/>
            <w:hideMark/>
          </w:tcPr>
          <w:p w14:paraId="73FD1378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Ghazenfari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et al., 2010</w:t>
            </w:r>
          </w:p>
        </w:tc>
        <w:tc>
          <w:tcPr>
            <w:tcW w:w="1560" w:type="dxa"/>
            <w:noWrap/>
            <w:hideMark/>
          </w:tcPr>
          <w:p w14:paraId="4EE0E8F1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Cross-sectional study</w:t>
            </w:r>
          </w:p>
        </w:tc>
        <w:tc>
          <w:tcPr>
            <w:tcW w:w="1129" w:type="dxa"/>
            <w:noWrap/>
            <w:hideMark/>
          </w:tcPr>
          <w:p w14:paraId="25553341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2487" w:type="dxa"/>
            <w:hideMark/>
          </w:tcPr>
          <w:p w14:paraId="509C05F3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Association between HbA1c and FBS for diagnosis of T2DM</w:t>
            </w:r>
          </w:p>
        </w:tc>
        <w:tc>
          <w:tcPr>
            <w:tcW w:w="2189" w:type="dxa"/>
            <w:hideMark/>
          </w:tcPr>
          <w:p w14:paraId="0C9D241B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Analysis showed a strong and positive correlation between FBS and HbA1c</w:t>
            </w:r>
          </w:p>
        </w:tc>
        <w:tc>
          <w:tcPr>
            <w:tcW w:w="2980" w:type="dxa"/>
            <w:hideMark/>
          </w:tcPr>
          <w:p w14:paraId="037ED7B6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The study did not control for the impact of anaemia or abnormal haemoglobin on the HbA1c results. The study did not use multiple tests.</w:t>
            </w:r>
          </w:p>
        </w:tc>
      </w:tr>
      <w:tr w:rsidR="00541050" w:rsidRPr="004C1A28" w14:paraId="7A239D4B" w14:textId="77777777" w:rsidTr="00677100">
        <w:trPr>
          <w:trHeight w:val="1200"/>
        </w:trPr>
        <w:tc>
          <w:tcPr>
            <w:tcW w:w="1282" w:type="dxa"/>
            <w:noWrap/>
            <w:hideMark/>
          </w:tcPr>
          <w:p w14:paraId="3116BDBE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Juarez et al., 2014</w:t>
            </w:r>
          </w:p>
        </w:tc>
        <w:tc>
          <w:tcPr>
            <w:tcW w:w="1560" w:type="dxa"/>
            <w:noWrap/>
            <w:hideMark/>
          </w:tcPr>
          <w:p w14:paraId="5079DFFD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Systematic Review</w:t>
            </w:r>
          </w:p>
        </w:tc>
        <w:tc>
          <w:tcPr>
            <w:tcW w:w="1129" w:type="dxa"/>
            <w:noWrap/>
            <w:hideMark/>
          </w:tcPr>
          <w:p w14:paraId="6E92CF10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487" w:type="dxa"/>
            <w:hideMark/>
          </w:tcPr>
          <w:p w14:paraId="111E9712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Evaluating the strengths and weaknesses of HbA1c</w:t>
            </w:r>
          </w:p>
        </w:tc>
        <w:tc>
          <w:tcPr>
            <w:tcW w:w="2189" w:type="dxa"/>
            <w:hideMark/>
          </w:tcPr>
          <w:p w14:paraId="5D964390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HbA1c directly predicts microvascular complications and both convenient and effective in community and acute care settings</w:t>
            </w:r>
          </w:p>
        </w:tc>
        <w:tc>
          <w:tcPr>
            <w:tcW w:w="2980" w:type="dxa"/>
            <w:hideMark/>
          </w:tcPr>
          <w:p w14:paraId="68AAC3BA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HbA1c may underestimate impaired glucose regulation in some ethnic groups and may not be valid for certain subgroups (children, pregnant women and patients with HIV or anaemia)</w:t>
            </w:r>
          </w:p>
        </w:tc>
      </w:tr>
      <w:tr w:rsidR="00541050" w:rsidRPr="004C1A28" w14:paraId="5D40219B" w14:textId="77777777" w:rsidTr="00677100">
        <w:trPr>
          <w:trHeight w:val="900"/>
        </w:trPr>
        <w:tc>
          <w:tcPr>
            <w:tcW w:w="1282" w:type="dxa"/>
            <w:noWrap/>
            <w:hideMark/>
          </w:tcPr>
          <w:p w14:paraId="43564793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Martens et al., 2025</w:t>
            </w:r>
          </w:p>
        </w:tc>
        <w:tc>
          <w:tcPr>
            <w:tcW w:w="1560" w:type="dxa"/>
            <w:noWrap/>
            <w:hideMark/>
          </w:tcPr>
          <w:p w14:paraId="600499A8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Retrospective Cohort</w:t>
            </w:r>
          </w:p>
        </w:tc>
        <w:tc>
          <w:tcPr>
            <w:tcW w:w="1129" w:type="dxa"/>
            <w:noWrap/>
            <w:hideMark/>
          </w:tcPr>
          <w:p w14:paraId="2B87B845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87" w:type="dxa"/>
            <w:hideMark/>
          </w:tcPr>
          <w:p w14:paraId="10B4FAAC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CGM-based versus FBG-based basal insulin titration</w:t>
            </w:r>
          </w:p>
        </w:tc>
        <w:tc>
          <w:tcPr>
            <w:tcW w:w="2189" w:type="dxa"/>
            <w:hideMark/>
          </w:tcPr>
          <w:p w14:paraId="0A015687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CGM and FBG were equivalent for titration</w:t>
            </w:r>
          </w:p>
        </w:tc>
        <w:tc>
          <w:tcPr>
            <w:tcW w:w="2980" w:type="dxa"/>
            <w:hideMark/>
          </w:tcPr>
          <w:p w14:paraId="70613BCD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The study does not consider </w:t>
            </w: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hypoglycemia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for down-titration and precludes comparison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hypoglycemic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events</w:t>
            </w:r>
          </w:p>
        </w:tc>
      </w:tr>
      <w:tr w:rsidR="00541050" w:rsidRPr="004C1A28" w14:paraId="67178AA0" w14:textId="77777777" w:rsidTr="00677100">
        <w:trPr>
          <w:trHeight w:val="900"/>
        </w:trPr>
        <w:tc>
          <w:tcPr>
            <w:tcW w:w="1282" w:type="dxa"/>
            <w:noWrap/>
            <w:hideMark/>
          </w:tcPr>
          <w:p w14:paraId="00561426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Rhee et al., 2019</w:t>
            </w:r>
          </w:p>
        </w:tc>
        <w:tc>
          <w:tcPr>
            <w:tcW w:w="1560" w:type="dxa"/>
            <w:noWrap/>
            <w:hideMark/>
          </w:tcPr>
          <w:p w14:paraId="014FAB4F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Retrospective Cohort</w:t>
            </w:r>
          </w:p>
        </w:tc>
        <w:tc>
          <w:tcPr>
            <w:tcW w:w="1129" w:type="dxa"/>
            <w:noWrap/>
            <w:hideMark/>
          </w:tcPr>
          <w:p w14:paraId="686B9D56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942,446</w:t>
            </w:r>
          </w:p>
        </w:tc>
        <w:tc>
          <w:tcPr>
            <w:tcW w:w="2487" w:type="dxa"/>
            <w:hideMark/>
          </w:tcPr>
          <w:p w14:paraId="037FD7D5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Prediction of T2DM</w:t>
            </w:r>
          </w:p>
        </w:tc>
        <w:tc>
          <w:tcPr>
            <w:tcW w:w="2189" w:type="dxa"/>
            <w:hideMark/>
          </w:tcPr>
          <w:p w14:paraId="5A87A82C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Random plasma glucose was significantly more </w:t>
            </w: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accurate than demographic factors alone for predicting T2DM diagnosis within 3 to 5 years</w:t>
            </w:r>
          </w:p>
        </w:tc>
        <w:tc>
          <w:tcPr>
            <w:tcW w:w="2980" w:type="dxa"/>
            <w:hideMark/>
          </w:tcPr>
          <w:p w14:paraId="214B76C1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study was restricted to veterans, which has implications for RPG </w:t>
            </w: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variability due to nutrition and stress</w:t>
            </w:r>
          </w:p>
        </w:tc>
      </w:tr>
      <w:tr w:rsidR="00541050" w:rsidRPr="004C1A28" w14:paraId="0DC69C7E" w14:textId="77777777" w:rsidTr="00677100">
        <w:trPr>
          <w:trHeight w:val="1200"/>
        </w:trPr>
        <w:tc>
          <w:tcPr>
            <w:tcW w:w="1282" w:type="dxa"/>
            <w:noWrap/>
            <w:hideMark/>
          </w:tcPr>
          <w:p w14:paraId="0D2E0507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Vajravelu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et al., 2023</w:t>
            </w:r>
          </w:p>
        </w:tc>
        <w:tc>
          <w:tcPr>
            <w:tcW w:w="1560" w:type="dxa"/>
            <w:noWrap/>
            <w:hideMark/>
          </w:tcPr>
          <w:p w14:paraId="39839C69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Longitudinal study</w:t>
            </w:r>
          </w:p>
        </w:tc>
        <w:tc>
          <w:tcPr>
            <w:tcW w:w="1129" w:type="dxa"/>
            <w:noWrap/>
            <w:hideMark/>
          </w:tcPr>
          <w:p w14:paraId="09142AD6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487" w:type="dxa"/>
            <w:hideMark/>
          </w:tcPr>
          <w:p w14:paraId="65BBFA2E" w14:textId="18561495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Performance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="009079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fasting biomarker of </w:t>
            </w: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dysglycemia</w:t>
            </w:r>
            <w:proofErr w:type="spellEnd"/>
          </w:p>
        </w:tc>
        <w:tc>
          <w:tcPr>
            <w:tcW w:w="2189" w:type="dxa"/>
            <w:hideMark/>
          </w:tcPr>
          <w:p w14:paraId="77799784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1-h glucose challenge test was the strongest biomarker of </w:t>
            </w: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dysglycemia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in children and adolescents, while HbA1c and random glucose performed similarly</w:t>
            </w:r>
          </w:p>
        </w:tc>
        <w:tc>
          <w:tcPr>
            <w:tcW w:w="2980" w:type="dxa"/>
            <w:hideMark/>
          </w:tcPr>
          <w:p w14:paraId="0EB696DF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OGTT reproducibility was poor, and T2DM incidence was low. There was variation in follow-up time, which may have impacted the results</w:t>
            </w:r>
          </w:p>
        </w:tc>
      </w:tr>
      <w:tr w:rsidR="00541050" w:rsidRPr="004C1A28" w14:paraId="090596AA" w14:textId="77777777" w:rsidTr="00677100">
        <w:trPr>
          <w:trHeight w:val="900"/>
        </w:trPr>
        <w:tc>
          <w:tcPr>
            <w:tcW w:w="1282" w:type="dxa"/>
            <w:noWrap/>
            <w:hideMark/>
          </w:tcPr>
          <w:p w14:paraId="176E3916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Xiao et al., 2025</w:t>
            </w:r>
          </w:p>
        </w:tc>
        <w:tc>
          <w:tcPr>
            <w:tcW w:w="1560" w:type="dxa"/>
            <w:hideMark/>
          </w:tcPr>
          <w:p w14:paraId="7A90B404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Systematic</w:t>
            </w: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review and meta-analysis</w:t>
            </w:r>
          </w:p>
        </w:tc>
        <w:tc>
          <w:tcPr>
            <w:tcW w:w="1129" w:type="dxa"/>
            <w:noWrap/>
            <w:hideMark/>
          </w:tcPr>
          <w:p w14:paraId="1C56F20B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1,669</w:t>
            </w:r>
          </w:p>
        </w:tc>
        <w:tc>
          <w:tcPr>
            <w:tcW w:w="2487" w:type="dxa"/>
            <w:hideMark/>
          </w:tcPr>
          <w:p w14:paraId="4E905BBF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HbA1c, fasting blood sugar, 2-h postprandial blood sugar and BMI</w:t>
            </w:r>
          </w:p>
        </w:tc>
        <w:tc>
          <w:tcPr>
            <w:tcW w:w="2189" w:type="dxa"/>
            <w:hideMark/>
          </w:tcPr>
          <w:p w14:paraId="131CA0BB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Improvements in blood glucose and BMI in patients with T2DM through digital diabetes management technology relative to </w:t>
            </w: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tradictional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care</w:t>
            </w:r>
          </w:p>
        </w:tc>
        <w:tc>
          <w:tcPr>
            <w:tcW w:w="2980" w:type="dxa"/>
            <w:hideMark/>
          </w:tcPr>
          <w:p w14:paraId="4C4EE074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Potential </w:t>
            </w:r>
            <w:proofErr w:type="spellStart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publuication</w:t>
            </w:r>
            <w:proofErr w:type="spellEnd"/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 bias due to heavy reliance on studies in China</w:t>
            </w:r>
          </w:p>
        </w:tc>
      </w:tr>
      <w:tr w:rsidR="00541050" w:rsidRPr="004C1A28" w14:paraId="31B25854" w14:textId="77777777" w:rsidTr="00677100">
        <w:trPr>
          <w:trHeight w:val="900"/>
        </w:trPr>
        <w:tc>
          <w:tcPr>
            <w:tcW w:w="1282" w:type="dxa"/>
            <w:noWrap/>
            <w:hideMark/>
          </w:tcPr>
          <w:p w14:paraId="3671A70A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Yao et al., 2020</w:t>
            </w:r>
          </w:p>
        </w:tc>
        <w:tc>
          <w:tcPr>
            <w:tcW w:w="1560" w:type="dxa"/>
            <w:noWrap/>
            <w:hideMark/>
          </w:tcPr>
          <w:p w14:paraId="4121F5B6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Retrospective Cohort</w:t>
            </w:r>
          </w:p>
        </w:tc>
        <w:tc>
          <w:tcPr>
            <w:tcW w:w="1129" w:type="dxa"/>
            <w:noWrap/>
            <w:hideMark/>
          </w:tcPr>
          <w:p w14:paraId="4EDC211B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</w:p>
        </w:tc>
        <w:tc>
          <w:tcPr>
            <w:tcW w:w="2487" w:type="dxa"/>
            <w:hideMark/>
          </w:tcPr>
          <w:p w14:paraId="6DEEE86A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t xml:space="preserve">Predictive value of fasting plasma glucose </w:t>
            </w: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on functional outcome in patients with acute ischemic stroke and diabetes</w:t>
            </w:r>
          </w:p>
        </w:tc>
        <w:tc>
          <w:tcPr>
            <w:tcW w:w="2189" w:type="dxa"/>
            <w:hideMark/>
          </w:tcPr>
          <w:p w14:paraId="01572206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Fasting plasma glucose at </w:t>
            </w: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admission was an independent predictor of poor functional outcomes and mortality </w:t>
            </w:r>
          </w:p>
        </w:tc>
        <w:tc>
          <w:tcPr>
            <w:tcW w:w="2980" w:type="dxa"/>
            <w:hideMark/>
          </w:tcPr>
          <w:p w14:paraId="06C0E8DF" w14:textId="77777777" w:rsidR="00541050" w:rsidRPr="004C1A28" w:rsidRDefault="00541050" w:rsidP="006771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study was conducted in a single facility. </w:t>
            </w:r>
          </w:p>
        </w:tc>
      </w:tr>
    </w:tbl>
    <w:p w14:paraId="10915CD6" w14:textId="77777777" w:rsidR="00541050" w:rsidRDefault="00541050" w:rsidP="00541050">
      <w:pPr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sectPr w:rsidR="00541050" w:rsidSect="00171A56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BE6D85" w16cex:dateUtc="2026-02-19T07:58:00Z"/>
  <w16cex:commentExtensible w16cex:durableId="28572D96" w16cex:dateUtc="2026-02-19T08:11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43E0D" w14:textId="77777777" w:rsidR="005704D6" w:rsidRDefault="005704D6" w:rsidP="006E1A3B">
      <w:pPr>
        <w:spacing w:after="0" w:line="240" w:lineRule="auto"/>
      </w:pPr>
      <w:r>
        <w:separator/>
      </w:r>
    </w:p>
  </w:endnote>
  <w:endnote w:type="continuationSeparator" w:id="0">
    <w:p w14:paraId="4CDE1C37" w14:textId="77777777" w:rsidR="005704D6" w:rsidRDefault="005704D6" w:rsidP="006E1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6429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30BC36" w14:textId="6441A1F8" w:rsidR="006B0F39" w:rsidRDefault="006B0F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2E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28919D0" w14:textId="77777777" w:rsidR="006B0F39" w:rsidRDefault="006B0F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93385E" w14:textId="77777777" w:rsidR="005704D6" w:rsidRDefault="005704D6" w:rsidP="006E1A3B">
      <w:pPr>
        <w:spacing w:after="0" w:line="240" w:lineRule="auto"/>
      </w:pPr>
      <w:r>
        <w:separator/>
      </w:r>
    </w:p>
  </w:footnote>
  <w:footnote w:type="continuationSeparator" w:id="0">
    <w:p w14:paraId="1F89E4E7" w14:textId="77777777" w:rsidR="005704D6" w:rsidRDefault="005704D6" w:rsidP="006E1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A7010"/>
    <w:multiLevelType w:val="hybridMultilevel"/>
    <w:tmpl w:val="4788A804"/>
    <w:lvl w:ilvl="0" w:tplc="FCDE7E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5A2F79"/>
    <w:multiLevelType w:val="hybridMultilevel"/>
    <w:tmpl w:val="1262A67E"/>
    <w:lvl w:ilvl="0" w:tplc="8294D0A6">
      <w:start w:val="1"/>
      <w:numFmt w:val="bullet"/>
      <w:suff w:val="space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17935"/>
    <w:multiLevelType w:val="hybridMultilevel"/>
    <w:tmpl w:val="7E923CAE"/>
    <w:lvl w:ilvl="0" w:tplc="5FCCADF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3A75FE"/>
    <w:multiLevelType w:val="hybridMultilevel"/>
    <w:tmpl w:val="8E70E2E8"/>
    <w:lvl w:ilvl="0" w:tplc="8294D0A6">
      <w:start w:val="1"/>
      <w:numFmt w:val="bullet"/>
      <w:suff w:val="space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DA14CF"/>
    <w:multiLevelType w:val="hybridMultilevel"/>
    <w:tmpl w:val="9AF2A588"/>
    <w:lvl w:ilvl="0" w:tplc="1B167066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60F32403"/>
    <w:multiLevelType w:val="hybridMultilevel"/>
    <w:tmpl w:val="74AA1258"/>
    <w:lvl w:ilvl="0" w:tplc="495CCA9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F15E49"/>
    <w:multiLevelType w:val="hybridMultilevel"/>
    <w:tmpl w:val="C4F8F872"/>
    <w:lvl w:ilvl="0" w:tplc="C33EA386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AxNrQ0MzY0MzEyMDBS0lEKTi0uzszPAykwNK8FANpv/iQ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fax52zfpr2tw4evtfy5920c2vpfx9e5psde&quot;&gt;My EndNote Library&lt;record-ids&gt;&lt;item&gt;21&lt;/item&gt;&lt;item&gt;23&lt;/item&gt;&lt;item&gt;24&lt;/item&gt;&lt;item&gt;25&lt;/item&gt;&lt;item&gt;28&lt;/item&gt;&lt;item&gt;30&lt;/item&gt;&lt;item&gt;33&lt;/item&gt;&lt;item&gt;35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50&lt;/item&gt;&lt;item&gt;51&lt;/item&gt;&lt;item&gt;52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9&lt;/item&gt;&lt;item&gt;70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102&lt;/item&gt;&lt;item&gt;103&lt;/item&gt;&lt;item&gt;104&lt;/item&gt;&lt;item&gt;105&lt;/item&gt;&lt;item&gt;106&lt;/item&gt;&lt;item&gt;108&lt;/item&gt;&lt;item&gt;109&lt;/item&gt;&lt;item&gt;110&lt;/item&gt;&lt;item&gt;111&lt;/item&gt;&lt;item&gt;112&lt;/item&gt;&lt;item&gt;114&lt;/item&gt;&lt;item&gt;115&lt;/item&gt;&lt;item&gt;116&lt;/item&gt;&lt;item&gt;117&lt;/item&gt;&lt;item&gt;119&lt;/item&gt;&lt;item&gt;120&lt;/item&gt;&lt;item&gt;121&lt;/item&gt;&lt;item&gt;122&lt;/item&gt;&lt;item&gt;123&lt;/item&gt;&lt;item&gt;124&lt;/item&gt;&lt;item&gt;125&lt;/item&gt;&lt;item&gt;127&lt;/item&gt;&lt;item&gt;129&lt;/item&gt;&lt;item&gt;130&lt;/item&gt;&lt;item&gt;131&lt;/item&gt;&lt;item&gt;132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/record-ids&gt;&lt;/item&gt;&lt;/Libraries&gt;"/>
  </w:docVars>
  <w:rsids>
    <w:rsidRoot w:val="00F52CD6"/>
    <w:rsid w:val="00004B47"/>
    <w:rsid w:val="00011330"/>
    <w:rsid w:val="00012560"/>
    <w:rsid w:val="00020C97"/>
    <w:rsid w:val="00023181"/>
    <w:rsid w:val="00025310"/>
    <w:rsid w:val="00025FFF"/>
    <w:rsid w:val="0003178C"/>
    <w:rsid w:val="00034291"/>
    <w:rsid w:val="00036458"/>
    <w:rsid w:val="00037110"/>
    <w:rsid w:val="00040925"/>
    <w:rsid w:val="000434EC"/>
    <w:rsid w:val="000461F6"/>
    <w:rsid w:val="000468F7"/>
    <w:rsid w:val="00047DBB"/>
    <w:rsid w:val="00051CB2"/>
    <w:rsid w:val="00052BB7"/>
    <w:rsid w:val="000548FB"/>
    <w:rsid w:val="00055D58"/>
    <w:rsid w:val="0005739D"/>
    <w:rsid w:val="00057F94"/>
    <w:rsid w:val="0006120F"/>
    <w:rsid w:val="00065D33"/>
    <w:rsid w:val="00070901"/>
    <w:rsid w:val="00075565"/>
    <w:rsid w:val="00076014"/>
    <w:rsid w:val="00077E24"/>
    <w:rsid w:val="00082CE6"/>
    <w:rsid w:val="00084155"/>
    <w:rsid w:val="00085A5F"/>
    <w:rsid w:val="000879D8"/>
    <w:rsid w:val="00090E77"/>
    <w:rsid w:val="00091E54"/>
    <w:rsid w:val="00095C56"/>
    <w:rsid w:val="0009643C"/>
    <w:rsid w:val="00097E46"/>
    <w:rsid w:val="000A7C06"/>
    <w:rsid w:val="000B637E"/>
    <w:rsid w:val="000C148B"/>
    <w:rsid w:val="000C36F3"/>
    <w:rsid w:val="000C4E81"/>
    <w:rsid w:val="000C712F"/>
    <w:rsid w:val="000D304F"/>
    <w:rsid w:val="000D325E"/>
    <w:rsid w:val="000D5D64"/>
    <w:rsid w:val="000D794E"/>
    <w:rsid w:val="000E0EFB"/>
    <w:rsid w:val="000E212E"/>
    <w:rsid w:val="000F1143"/>
    <w:rsid w:val="000F42B7"/>
    <w:rsid w:val="000F47B7"/>
    <w:rsid w:val="000F6693"/>
    <w:rsid w:val="00104159"/>
    <w:rsid w:val="00104E22"/>
    <w:rsid w:val="00111EA6"/>
    <w:rsid w:val="00115880"/>
    <w:rsid w:val="0011783D"/>
    <w:rsid w:val="00117B4F"/>
    <w:rsid w:val="00120DD7"/>
    <w:rsid w:val="00121065"/>
    <w:rsid w:val="00122169"/>
    <w:rsid w:val="00122C6C"/>
    <w:rsid w:val="00124B97"/>
    <w:rsid w:val="00130114"/>
    <w:rsid w:val="001313AA"/>
    <w:rsid w:val="00133AD7"/>
    <w:rsid w:val="001362E5"/>
    <w:rsid w:val="00142246"/>
    <w:rsid w:val="00144B2F"/>
    <w:rsid w:val="00150735"/>
    <w:rsid w:val="00152B89"/>
    <w:rsid w:val="001572F7"/>
    <w:rsid w:val="0016423E"/>
    <w:rsid w:val="00165DAC"/>
    <w:rsid w:val="00171A56"/>
    <w:rsid w:val="00183893"/>
    <w:rsid w:val="00184592"/>
    <w:rsid w:val="00184FAE"/>
    <w:rsid w:val="001859D3"/>
    <w:rsid w:val="00187B99"/>
    <w:rsid w:val="00190478"/>
    <w:rsid w:val="00191C2E"/>
    <w:rsid w:val="00195588"/>
    <w:rsid w:val="001A2085"/>
    <w:rsid w:val="001A31EB"/>
    <w:rsid w:val="001A3C21"/>
    <w:rsid w:val="001A525B"/>
    <w:rsid w:val="001B24F5"/>
    <w:rsid w:val="001B364F"/>
    <w:rsid w:val="001C1177"/>
    <w:rsid w:val="001D2419"/>
    <w:rsid w:val="001D58D4"/>
    <w:rsid w:val="001E28BA"/>
    <w:rsid w:val="001E3504"/>
    <w:rsid w:val="001E78E9"/>
    <w:rsid w:val="001F17E8"/>
    <w:rsid w:val="001F1FEC"/>
    <w:rsid w:val="001F258C"/>
    <w:rsid w:val="001F3C81"/>
    <w:rsid w:val="001F694F"/>
    <w:rsid w:val="001F6CA2"/>
    <w:rsid w:val="002000FD"/>
    <w:rsid w:val="00200475"/>
    <w:rsid w:val="00202750"/>
    <w:rsid w:val="00205766"/>
    <w:rsid w:val="00205AA0"/>
    <w:rsid w:val="00207E44"/>
    <w:rsid w:val="002126CB"/>
    <w:rsid w:val="00213C3C"/>
    <w:rsid w:val="00215E46"/>
    <w:rsid w:val="00216FC1"/>
    <w:rsid w:val="00220AE9"/>
    <w:rsid w:val="002238B2"/>
    <w:rsid w:val="00226ACA"/>
    <w:rsid w:val="00227C71"/>
    <w:rsid w:val="002314F8"/>
    <w:rsid w:val="002345AE"/>
    <w:rsid w:val="0023524D"/>
    <w:rsid w:val="00235987"/>
    <w:rsid w:val="00236A12"/>
    <w:rsid w:val="002414AB"/>
    <w:rsid w:val="00242907"/>
    <w:rsid w:val="00243437"/>
    <w:rsid w:val="00247442"/>
    <w:rsid w:val="00247E99"/>
    <w:rsid w:val="002536D7"/>
    <w:rsid w:val="00256292"/>
    <w:rsid w:val="002613F2"/>
    <w:rsid w:val="00266B9F"/>
    <w:rsid w:val="00267229"/>
    <w:rsid w:val="00267624"/>
    <w:rsid w:val="002758FB"/>
    <w:rsid w:val="00277C01"/>
    <w:rsid w:val="0028518D"/>
    <w:rsid w:val="00291263"/>
    <w:rsid w:val="00295D9C"/>
    <w:rsid w:val="002A1587"/>
    <w:rsid w:val="002A1EB0"/>
    <w:rsid w:val="002A33A2"/>
    <w:rsid w:val="002A3F1F"/>
    <w:rsid w:val="002A5A35"/>
    <w:rsid w:val="002A621C"/>
    <w:rsid w:val="002B2F29"/>
    <w:rsid w:val="002B5FC7"/>
    <w:rsid w:val="002C144D"/>
    <w:rsid w:val="002C3199"/>
    <w:rsid w:val="002C4199"/>
    <w:rsid w:val="002C424A"/>
    <w:rsid w:val="002D0797"/>
    <w:rsid w:val="002D2D08"/>
    <w:rsid w:val="002D37B3"/>
    <w:rsid w:val="002E07E1"/>
    <w:rsid w:val="002E1025"/>
    <w:rsid w:val="002E167E"/>
    <w:rsid w:val="002E5305"/>
    <w:rsid w:val="002E5DB9"/>
    <w:rsid w:val="002E6162"/>
    <w:rsid w:val="002E72B2"/>
    <w:rsid w:val="002F189F"/>
    <w:rsid w:val="002F4480"/>
    <w:rsid w:val="002F5278"/>
    <w:rsid w:val="003013A7"/>
    <w:rsid w:val="00301589"/>
    <w:rsid w:val="003024A4"/>
    <w:rsid w:val="00303EAE"/>
    <w:rsid w:val="0030415E"/>
    <w:rsid w:val="00305ADC"/>
    <w:rsid w:val="00307E9F"/>
    <w:rsid w:val="003160F2"/>
    <w:rsid w:val="00317C4F"/>
    <w:rsid w:val="003200CA"/>
    <w:rsid w:val="00323028"/>
    <w:rsid w:val="003255D5"/>
    <w:rsid w:val="0033056A"/>
    <w:rsid w:val="00332A6F"/>
    <w:rsid w:val="00337EBF"/>
    <w:rsid w:val="003405FC"/>
    <w:rsid w:val="00342266"/>
    <w:rsid w:val="003422A3"/>
    <w:rsid w:val="0034302E"/>
    <w:rsid w:val="00346D51"/>
    <w:rsid w:val="00352537"/>
    <w:rsid w:val="0036036E"/>
    <w:rsid w:val="00362654"/>
    <w:rsid w:val="003640AC"/>
    <w:rsid w:val="003646B0"/>
    <w:rsid w:val="00365DFD"/>
    <w:rsid w:val="00371BB8"/>
    <w:rsid w:val="00373F5B"/>
    <w:rsid w:val="00374703"/>
    <w:rsid w:val="00377379"/>
    <w:rsid w:val="0038578E"/>
    <w:rsid w:val="003918E3"/>
    <w:rsid w:val="00391E14"/>
    <w:rsid w:val="00393B68"/>
    <w:rsid w:val="00395721"/>
    <w:rsid w:val="003973A4"/>
    <w:rsid w:val="00397479"/>
    <w:rsid w:val="00397F11"/>
    <w:rsid w:val="003A2E38"/>
    <w:rsid w:val="003A37CA"/>
    <w:rsid w:val="003A5AEE"/>
    <w:rsid w:val="003A732C"/>
    <w:rsid w:val="003A7AC6"/>
    <w:rsid w:val="003A7E6A"/>
    <w:rsid w:val="003B2901"/>
    <w:rsid w:val="003B40F5"/>
    <w:rsid w:val="003B5975"/>
    <w:rsid w:val="003C2038"/>
    <w:rsid w:val="003C6A14"/>
    <w:rsid w:val="003D0990"/>
    <w:rsid w:val="003D301A"/>
    <w:rsid w:val="003D3B26"/>
    <w:rsid w:val="003D65EB"/>
    <w:rsid w:val="003E083E"/>
    <w:rsid w:val="003E0F6E"/>
    <w:rsid w:val="003E3B76"/>
    <w:rsid w:val="003E5767"/>
    <w:rsid w:val="003F011B"/>
    <w:rsid w:val="003F068E"/>
    <w:rsid w:val="003F1F1B"/>
    <w:rsid w:val="003F43E6"/>
    <w:rsid w:val="003F69F7"/>
    <w:rsid w:val="003F7DBE"/>
    <w:rsid w:val="003F7FC9"/>
    <w:rsid w:val="004031B6"/>
    <w:rsid w:val="004047BE"/>
    <w:rsid w:val="00404B54"/>
    <w:rsid w:val="00404EBE"/>
    <w:rsid w:val="004067D2"/>
    <w:rsid w:val="00410198"/>
    <w:rsid w:val="00411B92"/>
    <w:rsid w:val="004148B1"/>
    <w:rsid w:val="00420CCE"/>
    <w:rsid w:val="0042157B"/>
    <w:rsid w:val="00421C9E"/>
    <w:rsid w:val="0042220D"/>
    <w:rsid w:val="00424DC0"/>
    <w:rsid w:val="00426ECA"/>
    <w:rsid w:val="00430776"/>
    <w:rsid w:val="0043285B"/>
    <w:rsid w:val="00432BED"/>
    <w:rsid w:val="0043307E"/>
    <w:rsid w:val="00433934"/>
    <w:rsid w:val="004447C3"/>
    <w:rsid w:val="0044645A"/>
    <w:rsid w:val="004522E1"/>
    <w:rsid w:val="0045271E"/>
    <w:rsid w:val="00454CA1"/>
    <w:rsid w:val="00457FB2"/>
    <w:rsid w:val="00461309"/>
    <w:rsid w:val="0046661E"/>
    <w:rsid w:val="00466991"/>
    <w:rsid w:val="00466AA0"/>
    <w:rsid w:val="004673D3"/>
    <w:rsid w:val="0046743E"/>
    <w:rsid w:val="00473D09"/>
    <w:rsid w:val="004770CD"/>
    <w:rsid w:val="0048465C"/>
    <w:rsid w:val="004850C0"/>
    <w:rsid w:val="00485689"/>
    <w:rsid w:val="004873A0"/>
    <w:rsid w:val="00487B37"/>
    <w:rsid w:val="00490143"/>
    <w:rsid w:val="00491221"/>
    <w:rsid w:val="004916B7"/>
    <w:rsid w:val="0049255D"/>
    <w:rsid w:val="0049405A"/>
    <w:rsid w:val="00495C99"/>
    <w:rsid w:val="004A1886"/>
    <w:rsid w:val="004A2180"/>
    <w:rsid w:val="004A4EF9"/>
    <w:rsid w:val="004B0F3B"/>
    <w:rsid w:val="004B2211"/>
    <w:rsid w:val="004B2D06"/>
    <w:rsid w:val="004B610C"/>
    <w:rsid w:val="004B74E0"/>
    <w:rsid w:val="004B7A77"/>
    <w:rsid w:val="004C27AE"/>
    <w:rsid w:val="004C4564"/>
    <w:rsid w:val="004C67E3"/>
    <w:rsid w:val="004D023A"/>
    <w:rsid w:val="004D09E9"/>
    <w:rsid w:val="004D0D70"/>
    <w:rsid w:val="004D146C"/>
    <w:rsid w:val="004D2501"/>
    <w:rsid w:val="004D28B3"/>
    <w:rsid w:val="004D64C9"/>
    <w:rsid w:val="004D6938"/>
    <w:rsid w:val="004D7D3F"/>
    <w:rsid w:val="004E312A"/>
    <w:rsid w:val="004E31D9"/>
    <w:rsid w:val="004E38D3"/>
    <w:rsid w:val="004E54BA"/>
    <w:rsid w:val="004F019F"/>
    <w:rsid w:val="004F09D5"/>
    <w:rsid w:val="004F12A4"/>
    <w:rsid w:val="004F12B6"/>
    <w:rsid w:val="004F6E61"/>
    <w:rsid w:val="004F708A"/>
    <w:rsid w:val="00501470"/>
    <w:rsid w:val="00502536"/>
    <w:rsid w:val="00503315"/>
    <w:rsid w:val="00503CDA"/>
    <w:rsid w:val="005040C6"/>
    <w:rsid w:val="00504872"/>
    <w:rsid w:val="00504B5E"/>
    <w:rsid w:val="00510EB0"/>
    <w:rsid w:val="0051455F"/>
    <w:rsid w:val="00517661"/>
    <w:rsid w:val="0051781B"/>
    <w:rsid w:val="005241E5"/>
    <w:rsid w:val="00524588"/>
    <w:rsid w:val="00527673"/>
    <w:rsid w:val="00530F17"/>
    <w:rsid w:val="00531B10"/>
    <w:rsid w:val="00541050"/>
    <w:rsid w:val="0054516C"/>
    <w:rsid w:val="00551104"/>
    <w:rsid w:val="00556560"/>
    <w:rsid w:val="00567206"/>
    <w:rsid w:val="00567429"/>
    <w:rsid w:val="005704D6"/>
    <w:rsid w:val="00571375"/>
    <w:rsid w:val="005729D9"/>
    <w:rsid w:val="00576A67"/>
    <w:rsid w:val="00576B9D"/>
    <w:rsid w:val="005840A9"/>
    <w:rsid w:val="005850C9"/>
    <w:rsid w:val="005878E7"/>
    <w:rsid w:val="00587B88"/>
    <w:rsid w:val="00591F0B"/>
    <w:rsid w:val="005954D0"/>
    <w:rsid w:val="005A0A81"/>
    <w:rsid w:val="005A1686"/>
    <w:rsid w:val="005A32A9"/>
    <w:rsid w:val="005A37F9"/>
    <w:rsid w:val="005A6055"/>
    <w:rsid w:val="005B427C"/>
    <w:rsid w:val="005B5B80"/>
    <w:rsid w:val="005B7351"/>
    <w:rsid w:val="005C0DB4"/>
    <w:rsid w:val="005C4888"/>
    <w:rsid w:val="005D243B"/>
    <w:rsid w:val="005D3B05"/>
    <w:rsid w:val="005D3CB7"/>
    <w:rsid w:val="005D7ED6"/>
    <w:rsid w:val="005E1918"/>
    <w:rsid w:val="005E2536"/>
    <w:rsid w:val="005E420B"/>
    <w:rsid w:val="005E6356"/>
    <w:rsid w:val="005E7D0C"/>
    <w:rsid w:val="005F4F03"/>
    <w:rsid w:val="005F5E30"/>
    <w:rsid w:val="005F6837"/>
    <w:rsid w:val="005F6F72"/>
    <w:rsid w:val="005F7DEE"/>
    <w:rsid w:val="006021CC"/>
    <w:rsid w:val="0060231E"/>
    <w:rsid w:val="00602A24"/>
    <w:rsid w:val="00603B3D"/>
    <w:rsid w:val="00612979"/>
    <w:rsid w:val="00620E11"/>
    <w:rsid w:val="00622431"/>
    <w:rsid w:val="00631827"/>
    <w:rsid w:val="00631F79"/>
    <w:rsid w:val="006339F8"/>
    <w:rsid w:val="00636B43"/>
    <w:rsid w:val="00636EEF"/>
    <w:rsid w:val="0063793A"/>
    <w:rsid w:val="00641316"/>
    <w:rsid w:val="006427E4"/>
    <w:rsid w:val="006430FD"/>
    <w:rsid w:val="006468D9"/>
    <w:rsid w:val="006533BF"/>
    <w:rsid w:val="006547B6"/>
    <w:rsid w:val="00655F34"/>
    <w:rsid w:val="006631E6"/>
    <w:rsid w:val="00670797"/>
    <w:rsid w:val="0067421E"/>
    <w:rsid w:val="00677100"/>
    <w:rsid w:val="00677E9C"/>
    <w:rsid w:val="006835DF"/>
    <w:rsid w:val="00683A96"/>
    <w:rsid w:val="00685212"/>
    <w:rsid w:val="00686A46"/>
    <w:rsid w:val="00686D49"/>
    <w:rsid w:val="006870DE"/>
    <w:rsid w:val="00695E1D"/>
    <w:rsid w:val="00696E4E"/>
    <w:rsid w:val="006A0F18"/>
    <w:rsid w:val="006A2787"/>
    <w:rsid w:val="006A3AF9"/>
    <w:rsid w:val="006A3FD8"/>
    <w:rsid w:val="006A4C99"/>
    <w:rsid w:val="006A6244"/>
    <w:rsid w:val="006B0F39"/>
    <w:rsid w:val="006B3859"/>
    <w:rsid w:val="006C03A4"/>
    <w:rsid w:val="006C0CC6"/>
    <w:rsid w:val="006C120B"/>
    <w:rsid w:val="006C215E"/>
    <w:rsid w:val="006C6059"/>
    <w:rsid w:val="006D1F82"/>
    <w:rsid w:val="006D3623"/>
    <w:rsid w:val="006D7977"/>
    <w:rsid w:val="006E082F"/>
    <w:rsid w:val="006E1A3B"/>
    <w:rsid w:val="006E3B1A"/>
    <w:rsid w:val="006E4E93"/>
    <w:rsid w:val="006F1569"/>
    <w:rsid w:val="007057D6"/>
    <w:rsid w:val="0070698F"/>
    <w:rsid w:val="007076BE"/>
    <w:rsid w:val="00711281"/>
    <w:rsid w:val="007155F7"/>
    <w:rsid w:val="00717BEF"/>
    <w:rsid w:val="0072224F"/>
    <w:rsid w:val="0072464C"/>
    <w:rsid w:val="007262D9"/>
    <w:rsid w:val="00732F7A"/>
    <w:rsid w:val="00733575"/>
    <w:rsid w:val="00734A82"/>
    <w:rsid w:val="007352C3"/>
    <w:rsid w:val="00736B9F"/>
    <w:rsid w:val="00737E53"/>
    <w:rsid w:val="00741568"/>
    <w:rsid w:val="007428E1"/>
    <w:rsid w:val="0074470C"/>
    <w:rsid w:val="00744C83"/>
    <w:rsid w:val="00752392"/>
    <w:rsid w:val="00752BBB"/>
    <w:rsid w:val="00754D55"/>
    <w:rsid w:val="007601E0"/>
    <w:rsid w:val="00760247"/>
    <w:rsid w:val="007602BE"/>
    <w:rsid w:val="00762FF9"/>
    <w:rsid w:val="00773803"/>
    <w:rsid w:val="007860CD"/>
    <w:rsid w:val="00787579"/>
    <w:rsid w:val="00792E8F"/>
    <w:rsid w:val="0079570A"/>
    <w:rsid w:val="00795960"/>
    <w:rsid w:val="007B1961"/>
    <w:rsid w:val="007B4BF6"/>
    <w:rsid w:val="007C2545"/>
    <w:rsid w:val="007C72DF"/>
    <w:rsid w:val="007C7D74"/>
    <w:rsid w:val="007D245F"/>
    <w:rsid w:val="007D3C5F"/>
    <w:rsid w:val="007E0E36"/>
    <w:rsid w:val="007E18A2"/>
    <w:rsid w:val="007E4F09"/>
    <w:rsid w:val="007E605D"/>
    <w:rsid w:val="007E6D69"/>
    <w:rsid w:val="007E7730"/>
    <w:rsid w:val="007E7FB0"/>
    <w:rsid w:val="00806B7A"/>
    <w:rsid w:val="00807234"/>
    <w:rsid w:val="0081014B"/>
    <w:rsid w:val="00811571"/>
    <w:rsid w:val="00811DDE"/>
    <w:rsid w:val="008149A8"/>
    <w:rsid w:val="008204EE"/>
    <w:rsid w:val="008221CA"/>
    <w:rsid w:val="008234C4"/>
    <w:rsid w:val="008234E6"/>
    <w:rsid w:val="008240A7"/>
    <w:rsid w:val="0082792B"/>
    <w:rsid w:val="00833D6D"/>
    <w:rsid w:val="0083541F"/>
    <w:rsid w:val="00836F9B"/>
    <w:rsid w:val="00840278"/>
    <w:rsid w:val="008403AC"/>
    <w:rsid w:val="0084159C"/>
    <w:rsid w:val="00841FD1"/>
    <w:rsid w:val="008447ED"/>
    <w:rsid w:val="0084587B"/>
    <w:rsid w:val="00846446"/>
    <w:rsid w:val="00846DFF"/>
    <w:rsid w:val="008479FC"/>
    <w:rsid w:val="008508A4"/>
    <w:rsid w:val="00855C34"/>
    <w:rsid w:val="00855EAE"/>
    <w:rsid w:val="008564B6"/>
    <w:rsid w:val="00860FE9"/>
    <w:rsid w:val="00861176"/>
    <w:rsid w:val="00861BC8"/>
    <w:rsid w:val="00862D61"/>
    <w:rsid w:val="0086576F"/>
    <w:rsid w:val="0086653B"/>
    <w:rsid w:val="00866698"/>
    <w:rsid w:val="008671F2"/>
    <w:rsid w:val="00872E73"/>
    <w:rsid w:val="008740B7"/>
    <w:rsid w:val="00882CB9"/>
    <w:rsid w:val="00884F31"/>
    <w:rsid w:val="00885A8E"/>
    <w:rsid w:val="00885C5B"/>
    <w:rsid w:val="008865FE"/>
    <w:rsid w:val="008869F2"/>
    <w:rsid w:val="00886CD1"/>
    <w:rsid w:val="008910AF"/>
    <w:rsid w:val="008920C9"/>
    <w:rsid w:val="00896CB2"/>
    <w:rsid w:val="0089719E"/>
    <w:rsid w:val="008A0D23"/>
    <w:rsid w:val="008A74C9"/>
    <w:rsid w:val="008B1B82"/>
    <w:rsid w:val="008B2284"/>
    <w:rsid w:val="008B292D"/>
    <w:rsid w:val="008B75F1"/>
    <w:rsid w:val="008C3BB0"/>
    <w:rsid w:val="008C3D56"/>
    <w:rsid w:val="008D486C"/>
    <w:rsid w:val="008D4E8F"/>
    <w:rsid w:val="008D732C"/>
    <w:rsid w:val="008E010F"/>
    <w:rsid w:val="008E0E60"/>
    <w:rsid w:val="008E12D0"/>
    <w:rsid w:val="008E4471"/>
    <w:rsid w:val="008F0C57"/>
    <w:rsid w:val="008F4C0E"/>
    <w:rsid w:val="009065AA"/>
    <w:rsid w:val="009079C9"/>
    <w:rsid w:val="00907CFF"/>
    <w:rsid w:val="009143DB"/>
    <w:rsid w:val="00914779"/>
    <w:rsid w:val="00922830"/>
    <w:rsid w:val="0092370B"/>
    <w:rsid w:val="00924647"/>
    <w:rsid w:val="00925242"/>
    <w:rsid w:val="00925704"/>
    <w:rsid w:val="00926775"/>
    <w:rsid w:val="009308FA"/>
    <w:rsid w:val="00931946"/>
    <w:rsid w:val="0093403E"/>
    <w:rsid w:val="0094390A"/>
    <w:rsid w:val="00947169"/>
    <w:rsid w:val="0094719F"/>
    <w:rsid w:val="009535A8"/>
    <w:rsid w:val="009551EE"/>
    <w:rsid w:val="00955CA4"/>
    <w:rsid w:val="0096010E"/>
    <w:rsid w:val="00962575"/>
    <w:rsid w:val="00962DD0"/>
    <w:rsid w:val="00964E18"/>
    <w:rsid w:val="009704A7"/>
    <w:rsid w:val="00970F00"/>
    <w:rsid w:val="0097201B"/>
    <w:rsid w:val="0097320E"/>
    <w:rsid w:val="00974DAE"/>
    <w:rsid w:val="00976CEA"/>
    <w:rsid w:val="00976DE3"/>
    <w:rsid w:val="009773FB"/>
    <w:rsid w:val="00977C5E"/>
    <w:rsid w:val="009818E8"/>
    <w:rsid w:val="009827E5"/>
    <w:rsid w:val="0098302D"/>
    <w:rsid w:val="00985797"/>
    <w:rsid w:val="009857C3"/>
    <w:rsid w:val="00985AAB"/>
    <w:rsid w:val="009876F5"/>
    <w:rsid w:val="00994AA5"/>
    <w:rsid w:val="0099525D"/>
    <w:rsid w:val="0099717F"/>
    <w:rsid w:val="00997705"/>
    <w:rsid w:val="00997D72"/>
    <w:rsid w:val="009A07D7"/>
    <w:rsid w:val="009A2613"/>
    <w:rsid w:val="009B2CC6"/>
    <w:rsid w:val="009B3743"/>
    <w:rsid w:val="009B4E75"/>
    <w:rsid w:val="009B4FAD"/>
    <w:rsid w:val="009B5997"/>
    <w:rsid w:val="009C034A"/>
    <w:rsid w:val="009C1C29"/>
    <w:rsid w:val="009D016E"/>
    <w:rsid w:val="009D35AB"/>
    <w:rsid w:val="009D48A1"/>
    <w:rsid w:val="009D5A40"/>
    <w:rsid w:val="009D6B1D"/>
    <w:rsid w:val="009D7E6D"/>
    <w:rsid w:val="009E66B8"/>
    <w:rsid w:val="009F0BCA"/>
    <w:rsid w:val="009F14F7"/>
    <w:rsid w:val="009F17F0"/>
    <w:rsid w:val="009F1F60"/>
    <w:rsid w:val="009F25AB"/>
    <w:rsid w:val="009F39CF"/>
    <w:rsid w:val="009F3B70"/>
    <w:rsid w:val="00A0496E"/>
    <w:rsid w:val="00A128EB"/>
    <w:rsid w:val="00A13496"/>
    <w:rsid w:val="00A14F45"/>
    <w:rsid w:val="00A150EC"/>
    <w:rsid w:val="00A2225E"/>
    <w:rsid w:val="00A22CCD"/>
    <w:rsid w:val="00A24DC4"/>
    <w:rsid w:val="00A25553"/>
    <w:rsid w:val="00A30620"/>
    <w:rsid w:val="00A32C55"/>
    <w:rsid w:val="00A35B3F"/>
    <w:rsid w:val="00A3661F"/>
    <w:rsid w:val="00A37EA6"/>
    <w:rsid w:val="00A42041"/>
    <w:rsid w:val="00A43B10"/>
    <w:rsid w:val="00A4608B"/>
    <w:rsid w:val="00A465CF"/>
    <w:rsid w:val="00A512B5"/>
    <w:rsid w:val="00A53421"/>
    <w:rsid w:val="00A53A50"/>
    <w:rsid w:val="00A548F2"/>
    <w:rsid w:val="00A563C9"/>
    <w:rsid w:val="00A579DC"/>
    <w:rsid w:val="00A57ED7"/>
    <w:rsid w:val="00A60599"/>
    <w:rsid w:val="00A61E7E"/>
    <w:rsid w:val="00A62558"/>
    <w:rsid w:val="00A625EC"/>
    <w:rsid w:val="00A62B3F"/>
    <w:rsid w:val="00A63D5D"/>
    <w:rsid w:val="00A6479C"/>
    <w:rsid w:val="00A654FA"/>
    <w:rsid w:val="00A65708"/>
    <w:rsid w:val="00A6616B"/>
    <w:rsid w:val="00A66F2A"/>
    <w:rsid w:val="00A6760C"/>
    <w:rsid w:val="00A67BCE"/>
    <w:rsid w:val="00A7019E"/>
    <w:rsid w:val="00A73B36"/>
    <w:rsid w:val="00A75CB0"/>
    <w:rsid w:val="00A76DD6"/>
    <w:rsid w:val="00A81D20"/>
    <w:rsid w:val="00A82F3A"/>
    <w:rsid w:val="00A839E9"/>
    <w:rsid w:val="00A84A1A"/>
    <w:rsid w:val="00A84E0C"/>
    <w:rsid w:val="00A97872"/>
    <w:rsid w:val="00AA07E0"/>
    <w:rsid w:val="00AA4807"/>
    <w:rsid w:val="00AA49F9"/>
    <w:rsid w:val="00AB0953"/>
    <w:rsid w:val="00AB2E7C"/>
    <w:rsid w:val="00AC21CB"/>
    <w:rsid w:val="00AC2DBF"/>
    <w:rsid w:val="00AC59EE"/>
    <w:rsid w:val="00AC5E9B"/>
    <w:rsid w:val="00AC7F5A"/>
    <w:rsid w:val="00AD01B6"/>
    <w:rsid w:val="00AD1F1A"/>
    <w:rsid w:val="00AD35A0"/>
    <w:rsid w:val="00AE1CFB"/>
    <w:rsid w:val="00AE3267"/>
    <w:rsid w:val="00AF11D1"/>
    <w:rsid w:val="00AF39AF"/>
    <w:rsid w:val="00AF4C8E"/>
    <w:rsid w:val="00B02839"/>
    <w:rsid w:val="00B0296F"/>
    <w:rsid w:val="00B10D1B"/>
    <w:rsid w:val="00B1168D"/>
    <w:rsid w:val="00B14F4B"/>
    <w:rsid w:val="00B150A1"/>
    <w:rsid w:val="00B200FC"/>
    <w:rsid w:val="00B24FC9"/>
    <w:rsid w:val="00B275CC"/>
    <w:rsid w:val="00B27B29"/>
    <w:rsid w:val="00B27D3A"/>
    <w:rsid w:val="00B31DF1"/>
    <w:rsid w:val="00B32558"/>
    <w:rsid w:val="00B3257E"/>
    <w:rsid w:val="00B46673"/>
    <w:rsid w:val="00B471E1"/>
    <w:rsid w:val="00B47596"/>
    <w:rsid w:val="00B477B9"/>
    <w:rsid w:val="00B516EA"/>
    <w:rsid w:val="00B51FCE"/>
    <w:rsid w:val="00B52A69"/>
    <w:rsid w:val="00B52D2E"/>
    <w:rsid w:val="00B52D6B"/>
    <w:rsid w:val="00B622A1"/>
    <w:rsid w:val="00B6444F"/>
    <w:rsid w:val="00B6703E"/>
    <w:rsid w:val="00B73AC6"/>
    <w:rsid w:val="00B75F12"/>
    <w:rsid w:val="00B76F16"/>
    <w:rsid w:val="00B76FBC"/>
    <w:rsid w:val="00B77F32"/>
    <w:rsid w:val="00B82B2C"/>
    <w:rsid w:val="00B83FD6"/>
    <w:rsid w:val="00B84779"/>
    <w:rsid w:val="00B85E1A"/>
    <w:rsid w:val="00B8623C"/>
    <w:rsid w:val="00B862B2"/>
    <w:rsid w:val="00B90D3C"/>
    <w:rsid w:val="00B92CD9"/>
    <w:rsid w:val="00BA06A1"/>
    <w:rsid w:val="00BA12B1"/>
    <w:rsid w:val="00BA43FE"/>
    <w:rsid w:val="00BA5F9C"/>
    <w:rsid w:val="00BB2FE3"/>
    <w:rsid w:val="00BB3E5E"/>
    <w:rsid w:val="00BB509A"/>
    <w:rsid w:val="00BB52A8"/>
    <w:rsid w:val="00BC1C69"/>
    <w:rsid w:val="00BC1D3F"/>
    <w:rsid w:val="00BC541B"/>
    <w:rsid w:val="00BC560D"/>
    <w:rsid w:val="00BC5B0F"/>
    <w:rsid w:val="00BC7BF2"/>
    <w:rsid w:val="00BC7FE0"/>
    <w:rsid w:val="00BD1CD1"/>
    <w:rsid w:val="00BD2A79"/>
    <w:rsid w:val="00BD476D"/>
    <w:rsid w:val="00BD5D58"/>
    <w:rsid w:val="00BD7BF8"/>
    <w:rsid w:val="00BD7CFF"/>
    <w:rsid w:val="00BE3D85"/>
    <w:rsid w:val="00BE417B"/>
    <w:rsid w:val="00BE4338"/>
    <w:rsid w:val="00BE449C"/>
    <w:rsid w:val="00BE4C6F"/>
    <w:rsid w:val="00BE6AB7"/>
    <w:rsid w:val="00BF0448"/>
    <w:rsid w:val="00BF0BAA"/>
    <w:rsid w:val="00BF16A7"/>
    <w:rsid w:val="00BF5440"/>
    <w:rsid w:val="00BF5AD5"/>
    <w:rsid w:val="00BF6F96"/>
    <w:rsid w:val="00BF712D"/>
    <w:rsid w:val="00BF7EB1"/>
    <w:rsid w:val="00C04D2D"/>
    <w:rsid w:val="00C05113"/>
    <w:rsid w:val="00C05441"/>
    <w:rsid w:val="00C059D0"/>
    <w:rsid w:val="00C10757"/>
    <w:rsid w:val="00C1265E"/>
    <w:rsid w:val="00C1794A"/>
    <w:rsid w:val="00C20F63"/>
    <w:rsid w:val="00C20FCD"/>
    <w:rsid w:val="00C22783"/>
    <w:rsid w:val="00C23F92"/>
    <w:rsid w:val="00C241C3"/>
    <w:rsid w:val="00C26874"/>
    <w:rsid w:val="00C31BA3"/>
    <w:rsid w:val="00C3538D"/>
    <w:rsid w:val="00C35C4A"/>
    <w:rsid w:val="00C37A70"/>
    <w:rsid w:val="00C42DEE"/>
    <w:rsid w:val="00C4376E"/>
    <w:rsid w:val="00C47646"/>
    <w:rsid w:val="00C51681"/>
    <w:rsid w:val="00C51B9E"/>
    <w:rsid w:val="00C522DE"/>
    <w:rsid w:val="00C54C8A"/>
    <w:rsid w:val="00C62748"/>
    <w:rsid w:val="00C65D62"/>
    <w:rsid w:val="00C65D85"/>
    <w:rsid w:val="00C6615E"/>
    <w:rsid w:val="00C67CBB"/>
    <w:rsid w:val="00C70D0B"/>
    <w:rsid w:val="00C73D8F"/>
    <w:rsid w:val="00C74644"/>
    <w:rsid w:val="00C75508"/>
    <w:rsid w:val="00C828B5"/>
    <w:rsid w:val="00C83AAF"/>
    <w:rsid w:val="00C840EB"/>
    <w:rsid w:val="00C86C63"/>
    <w:rsid w:val="00C9059F"/>
    <w:rsid w:val="00C912DD"/>
    <w:rsid w:val="00C9483F"/>
    <w:rsid w:val="00CA283C"/>
    <w:rsid w:val="00CA2BD8"/>
    <w:rsid w:val="00CA322D"/>
    <w:rsid w:val="00CA3779"/>
    <w:rsid w:val="00CA6D74"/>
    <w:rsid w:val="00CA71FD"/>
    <w:rsid w:val="00CB18D1"/>
    <w:rsid w:val="00CB5C15"/>
    <w:rsid w:val="00CB6608"/>
    <w:rsid w:val="00CC10A2"/>
    <w:rsid w:val="00CC1B25"/>
    <w:rsid w:val="00CC491D"/>
    <w:rsid w:val="00CD226D"/>
    <w:rsid w:val="00CD2F49"/>
    <w:rsid w:val="00CD4875"/>
    <w:rsid w:val="00CD5513"/>
    <w:rsid w:val="00CD70E8"/>
    <w:rsid w:val="00CD7C53"/>
    <w:rsid w:val="00CE0956"/>
    <w:rsid w:val="00CE2A99"/>
    <w:rsid w:val="00CF003B"/>
    <w:rsid w:val="00CF12E3"/>
    <w:rsid w:val="00CF521B"/>
    <w:rsid w:val="00D004D4"/>
    <w:rsid w:val="00D05E19"/>
    <w:rsid w:val="00D1474D"/>
    <w:rsid w:val="00D1635B"/>
    <w:rsid w:val="00D165CC"/>
    <w:rsid w:val="00D21F77"/>
    <w:rsid w:val="00D229C5"/>
    <w:rsid w:val="00D23C53"/>
    <w:rsid w:val="00D23ED0"/>
    <w:rsid w:val="00D247CA"/>
    <w:rsid w:val="00D25BE8"/>
    <w:rsid w:val="00D26B46"/>
    <w:rsid w:val="00D27837"/>
    <w:rsid w:val="00D32E3E"/>
    <w:rsid w:val="00D37547"/>
    <w:rsid w:val="00D45C34"/>
    <w:rsid w:val="00D521D0"/>
    <w:rsid w:val="00D52320"/>
    <w:rsid w:val="00D54642"/>
    <w:rsid w:val="00D564FE"/>
    <w:rsid w:val="00D56F33"/>
    <w:rsid w:val="00D60277"/>
    <w:rsid w:val="00D61606"/>
    <w:rsid w:val="00D65E31"/>
    <w:rsid w:val="00D725A7"/>
    <w:rsid w:val="00D73068"/>
    <w:rsid w:val="00D769CE"/>
    <w:rsid w:val="00D77B80"/>
    <w:rsid w:val="00D80B4B"/>
    <w:rsid w:val="00D81E2F"/>
    <w:rsid w:val="00D82CF1"/>
    <w:rsid w:val="00D834BE"/>
    <w:rsid w:val="00D8509E"/>
    <w:rsid w:val="00D90D56"/>
    <w:rsid w:val="00D915B0"/>
    <w:rsid w:val="00D91AAF"/>
    <w:rsid w:val="00D91B47"/>
    <w:rsid w:val="00D93F10"/>
    <w:rsid w:val="00D94430"/>
    <w:rsid w:val="00D948BC"/>
    <w:rsid w:val="00DA0520"/>
    <w:rsid w:val="00DA15FB"/>
    <w:rsid w:val="00DA23ED"/>
    <w:rsid w:val="00DB7888"/>
    <w:rsid w:val="00DB7F1D"/>
    <w:rsid w:val="00DC2E57"/>
    <w:rsid w:val="00DC30B6"/>
    <w:rsid w:val="00DC426A"/>
    <w:rsid w:val="00DC6D74"/>
    <w:rsid w:val="00DD019B"/>
    <w:rsid w:val="00DD03A0"/>
    <w:rsid w:val="00DD2718"/>
    <w:rsid w:val="00DE0CCD"/>
    <w:rsid w:val="00DE14CC"/>
    <w:rsid w:val="00DE2CCA"/>
    <w:rsid w:val="00DE31A9"/>
    <w:rsid w:val="00DE3C3D"/>
    <w:rsid w:val="00DE6EB4"/>
    <w:rsid w:val="00DF7ACB"/>
    <w:rsid w:val="00E01205"/>
    <w:rsid w:val="00E05303"/>
    <w:rsid w:val="00E10ED2"/>
    <w:rsid w:val="00E1116A"/>
    <w:rsid w:val="00E13B4F"/>
    <w:rsid w:val="00E1558C"/>
    <w:rsid w:val="00E20772"/>
    <w:rsid w:val="00E20CBC"/>
    <w:rsid w:val="00E23522"/>
    <w:rsid w:val="00E236B4"/>
    <w:rsid w:val="00E26E60"/>
    <w:rsid w:val="00E27A58"/>
    <w:rsid w:val="00E27C02"/>
    <w:rsid w:val="00E30D77"/>
    <w:rsid w:val="00E3131B"/>
    <w:rsid w:val="00E41E00"/>
    <w:rsid w:val="00E46437"/>
    <w:rsid w:val="00E478CC"/>
    <w:rsid w:val="00E5016C"/>
    <w:rsid w:val="00E507FC"/>
    <w:rsid w:val="00E512D2"/>
    <w:rsid w:val="00E51A83"/>
    <w:rsid w:val="00E5318A"/>
    <w:rsid w:val="00E540DA"/>
    <w:rsid w:val="00E545AD"/>
    <w:rsid w:val="00E54D9D"/>
    <w:rsid w:val="00E556C7"/>
    <w:rsid w:val="00E56278"/>
    <w:rsid w:val="00E57C22"/>
    <w:rsid w:val="00E61B6C"/>
    <w:rsid w:val="00E61CD3"/>
    <w:rsid w:val="00E64DAE"/>
    <w:rsid w:val="00E66D7C"/>
    <w:rsid w:val="00E700B7"/>
    <w:rsid w:val="00E7017C"/>
    <w:rsid w:val="00E72FD6"/>
    <w:rsid w:val="00E777D0"/>
    <w:rsid w:val="00E80FF1"/>
    <w:rsid w:val="00E870C2"/>
    <w:rsid w:val="00E87FD2"/>
    <w:rsid w:val="00E93E75"/>
    <w:rsid w:val="00E94E80"/>
    <w:rsid w:val="00E96AEC"/>
    <w:rsid w:val="00EA18BC"/>
    <w:rsid w:val="00EA7C74"/>
    <w:rsid w:val="00EB0808"/>
    <w:rsid w:val="00EB08F5"/>
    <w:rsid w:val="00EB1E27"/>
    <w:rsid w:val="00EB2813"/>
    <w:rsid w:val="00EB45EE"/>
    <w:rsid w:val="00EC014A"/>
    <w:rsid w:val="00EC3F24"/>
    <w:rsid w:val="00EC53DD"/>
    <w:rsid w:val="00EC6F00"/>
    <w:rsid w:val="00ED4AE3"/>
    <w:rsid w:val="00ED7575"/>
    <w:rsid w:val="00ED7D79"/>
    <w:rsid w:val="00EE2FCA"/>
    <w:rsid w:val="00EE4F25"/>
    <w:rsid w:val="00EE517E"/>
    <w:rsid w:val="00EF0342"/>
    <w:rsid w:val="00EF43E0"/>
    <w:rsid w:val="00EF4B8C"/>
    <w:rsid w:val="00F057C4"/>
    <w:rsid w:val="00F10390"/>
    <w:rsid w:val="00F105FB"/>
    <w:rsid w:val="00F11313"/>
    <w:rsid w:val="00F131EC"/>
    <w:rsid w:val="00F14CAF"/>
    <w:rsid w:val="00F15BF7"/>
    <w:rsid w:val="00F161F4"/>
    <w:rsid w:val="00F2019E"/>
    <w:rsid w:val="00F317BA"/>
    <w:rsid w:val="00F36377"/>
    <w:rsid w:val="00F41255"/>
    <w:rsid w:val="00F424F3"/>
    <w:rsid w:val="00F44448"/>
    <w:rsid w:val="00F52CD6"/>
    <w:rsid w:val="00F548E2"/>
    <w:rsid w:val="00F55724"/>
    <w:rsid w:val="00F57F74"/>
    <w:rsid w:val="00F61BAE"/>
    <w:rsid w:val="00F63AA7"/>
    <w:rsid w:val="00F649DB"/>
    <w:rsid w:val="00F65CCD"/>
    <w:rsid w:val="00F72ABF"/>
    <w:rsid w:val="00F8150B"/>
    <w:rsid w:val="00F87C6D"/>
    <w:rsid w:val="00F91679"/>
    <w:rsid w:val="00F936A9"/>
    <w:rsid w:val="00F94299"/>
    <w:rsid w:val="00F95A12"/>
    <w:rsid w:val="00FA1878"/>
    <w:rsid w:val="00FA2A62"/>
    <w:rsid w:val="00FA42CD"/>
    <w:rsid w:val="00FA49BD"/>
    <w:rsid w:val="00FA73C2"/>
    <w:rsid w:val="00FB3B18"/>
    <w:rsid w:val="00FB4915"/>
    <w:rsid w:val="00FC090A"/>
    <w:rsid w:val="00FC2AC5"/>
    <w:rsid w:val="00FC41B4"/>
    <w:rsid w:val="00FC4464"/>
    <w:rsid w:val="00FD2530"/>
    <w:rsid w:val="00FD63EB"/>
    <w:rsid w:val="00FE2926"/>
    <w:rsid w:val="00FF1143"/>
    <w:rsid w:val="00FF137E"/>
    <w:rsid w:val="00FF27FB"/>
    <w:rsid w:val="00FF38E2"/>
    <w:rsid w:val="00FF682C"/>
    <w:rsid w:val="00FF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80B524"/>
  <w15:chartTrackingRefBased/>
  <w15:docId w15:val="{4669083E-684A-4874-8515-BA1CCA52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0B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AC59E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59E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C59E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C59EE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841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C3BB0"/>
    <w:pPr>
      <w:spacing w:after="200" w:line="240" w:lineRule="auto"/>
    </w:pPr>
    <w:rPr>
      <w:rFonts w:ascii="Times New Roman" w:hAnsi="Times New Roman"/>
      <w:b/>
      <w:iCs/>
      <w:sz w:val="24"/>
      <w:szCs w:val="18"/>
    </w:rPr>
  </w:style>
  <w:style w:type="paragraph" w:styleId="ListParagraph">
    <w:name w:val="List Paragraph"/>
    <w:basedOn w:val="Normal"/>
    <w:uiPriority w:val="34"/>
    <w:qFormat/>
    <w:rsid w:val="00DB7F1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13F2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3B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1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A3B"/>
  </w:style>
  <w:style w:type="paragraph" w:styleId="Footer">
    <w:name w:val="footer"/>
    <w:basedOn w:val="Normal"/>
    <w:link w:val="FooterChar"/>
    <w:uiPriority w:val="99"/>
    <w:unhideWhenUsed/>
    <w:rsid w:val="006E1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A3B"/>
  </w:style>
  <w:style w:type="paragraph" w:styleId="NoSpacing">
    <w:name w:val="No Spacing"/>
    <w:uiPriority w:val="1"/>
    <w:qFormat/>
    <w:rsid w:val="00EB08F5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86576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C30B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PlaceholderText">
    <w:name w:val="Placeholder Text"/>
    <w:basedOn w:val="DefaultParagraphFont"/>
    <w:uiPriority w:val="99"/>
    <w:semiHidden/>
    <w:rsid w:val="00A150EC"/>
    <w:rPr>
      <w:color w:val="666666"/>
    </w:rPr>
  </w:style>
  <w:style w:type="character" w:customStyle="1" w:styleId="cf01">
    <w:name w:val="cf01"/>
    <w:basedOn w:val="DefaultParagraphFont"/>
    <w:rsid w:val="00317C4F"/>
    <w:rPr>
      <w:rFonts w:ascii="Segoe UI" w:hAnsi="Segoe UI" w:cs="Segoe UI" w:hint="default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71A56"/>
  </w:style>
  <w:style w:type="character" w:styleId="Hyperlink">
    <w:name w:val="Hyperlink"/>
    <w:basedOn w:val="DefaultParagraphFont"/>
    <w:uiPriority w:val="99"/>
    <w:unhideWhenUsed/>
    <w:rsid w:val="001A3C2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410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10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10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0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0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3AB3EC-F708-403E-B647-3E84BCB8E57F}">
  <we:reference id="WA200001361" version="2.129.3.0" store="Omex" storeType="OMEX"/>
  <we:alternateReferences>
    <we:reference id="WA200001361" version="2.129.3.0" store="WA200001361" storeType="OMEX"/>
  </we:alternateReferences>
  <we:properties>
    <we:property name="paperpal-document-id" value="&quot;d4e92a5e-7ae1-4862-b369-dc25188970e5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08D73-200E-477C-B4FB-9BAAF133A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Decker</dc:creator>
  <cp:keywords/>
  <dc:description/>
  <cp:lastModifiedBy>NanaYaw</cp:lastModifiedBy>
  <cp:revision>48</cp:revision>
  <cp:lastPrinted>2025-12-15T20:50:00Z</cp:lastPrinted>
  <dcterms:created xsi:type="dcterms:W3CDTF">2026-02-19T07:52:00Z</dcterms:created>
  <dcterms:modified xsi:type="dcterms:W3CDTF">2026-02-22T10:07:00Z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d47253c8-b1da-43a6-858c-848f4655df29</vt:lpwstr>
  </property>
</Properties>
</file>