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FACE8B">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ascii="Times New Roman" w:hAnsi="Times New Roman" w:cs="Times New Roman"/>
          <w:sz w:val="20"/>
          <w:szCs w:val="20"/>
        </w:rPr>
      </w:pPr>
      <w:bookmarkStart w:id="1" w:name="_GoBack"/>
      <w:bookmarkEnd w:id="1"/>
      <w:r>
        <w:rPr>
          <w:rFonts w:ascii="Times New Roman" w:hAnsi="Times New Roman" w:cs="Times New Roman"/>
          <w:b/>
          <w:bCs/>
          <w:sz w:val="20"/>
          <w:szCs w:val="20"/>
        </w:rPr>
        <w:t>Supplemental Methods</w:t>
      </w:r>
    </w:p>
    <w:p w14:paraId="3ED29844">
      <w:pPr>
        <w:keepLines w:val="0"/>
        <w:pageBreakBefore w:val="0"/>
        <w:kinsoku/>
        <w:overflowPunct/>
        <w:topLinePunct w:val="0"/>
        <w:autoSpaceDE/>
        <w:autoSpaceDN/>
        <w:bidi w:val="0"/>
        <w:adjustRightInd/>
        <w:snapToGrid/>
        <w:textAlignment w:val="auto"/>
        <w:rPr>
          <w:rFonts w:ascii="Times New Roman" w:hAnsi="Times New Roman" w:cs="Times New Roman"/>
          <w:b/>
          <w:bCs/>
          <w:sz w:val="20"/>
          <w:szCs w:val="20"/>
        </w:rPr>
      </w:pPr>
      <w:r>
        <w:rPr>
          <w:rFonts w:ascii="Times New Roman" w:hAnsi="Times New Roman" w:cs="Times New Roman"/>
          <w:b/>
          <w:bCs/>
          <w:sz w:val="20"/>
          <w:szCs w:val="20"/>
        </w:rPr>
        <w:t>Assessment of Lifestyle Factors</w:t>
      </w:r>
    </w:p>
    <w:p w14:paraId="30284684">
      <w:pPr>
        <w:keepLines w:val="0"/>
        <w:pageBreakBefore w:val="0"/>
        <w:kinsoku/>
        <w:overflowPunct/>
        <w:topLinePunct w:val="0"/>
        <w:autoSpaceDE/>
        <w:autoSpaceDN/>
        <w:bidi w:val="0"/>
        <w:adjustRightInd/>
        <w:snapToGrid/>
        <w:textAlignment w:val="auto"/>
        <w:rPr>
          <w:rFonts w:ascii="Times New Roman" w:hAnsi="Times New Roman" w:cs="Times New Roman"/>
          <w:b/>
          <w:bCs/>
          <w:sz w:val="20"/>
          <w:szCs w:val="20"/>
        </w:rPr>
      </w:pPr>
    </w:p>
    <w:p w14:paraId="1425F951">
      <w:pPr>
        <w:keepLines w:val="0"/>
        <w:pageBreakBefore w:val="0"/>
        <w:kinsoku/>
        <w:overflowPunct/>
        <w:topLinePunct w:val="0"/>
        <w:autoSpaceDE/>
        <w:autoSpaceDN/>
        <w:bidi w:val="0"/>
        <w:adjustRightInd/>
        <w:snapToGrid/>
        <w:textAlignment w:val="auto"/>
        <w:rPr>
          <w:rFonts w:hint="eastAsia" w:ascii="Times New Roman" w:hAnsi="Times New Roman" w:cs="Times New Roman" w:eastAsiaTheme="minorEastAsia"/>
          <w:sz w:val="20"/>
          <w:szCs w:val="20"/>
          <w:lang w:val="en-US" w:eastAsia="zh-CN"/>
        </w:rPr>
      </w:pPr>
      <w:r>
        <w:rPr>
          <w:rFonts w:ascii="Times New Roman" w:hAnsi="Times New Roman" w:cs="Times New Roman"/>
          <w:b/>
          <w:bCs/>
          <w:sz w:val="20"/>
          <w:szCs w:val="20"/>
        </w:rPr>
        <w:t>Smoking status</w:t>
      </w:r>
      <w:r>
        <w:rPr>
          <w:rFonts w:ascii="Times New Roman" w:hAnsi="Times New Roman" w:cs="Times New Roman"/>
          <w:sz w:val="20"/>
          <w:szCs w:val="20"/>
        </w:rPr>
        <w:t>: Smoking status was assessed using a touchscreen questionnaire at baseline. Derived variables combining current and past smoking status were used for classification. Participants were classified as never smokers if current tobacco smoking was "no" and past tobacco smoking was "just tried once or twice"</w:t>
      </w:r>
      <w:r>
        <w:rPr>
          <w:rFonts w:hint="eastAsia" w:ascii="Times New Roman" w:hAnsi="Times New Roman" w:cs="Times New Roman"/>
          <w:sz w:val="20"/>
          <w:szCs w:val="20"/>
        </w:rPr>
        <w:t xml:space="preserve"> or </w:t>
      </w:r>
      <w:r>
        <w:rPr>
          <w:rFonts w:ascii="Times New Roman" w:hAnsi="Times New Roman" w:cs="Times New Roman"/>
          <w:sz w:val="20"/>
          <w:szCs w:val="20"/>
        </w:rPr>
        <w:t>"I have never smoked". Former smokers were defined as those with current smoking "no" and past smoking "smoked on most or all days"</w:t>
      </w:r>
      <w:r>
        <w:rPr>
          <w:rFonts w:hint="eastAsia" w:ascii="Times New Roman" w:hAnsi="Times New Roman" w:cs="Times New Roman"/>
          <w:sz w:val="20"/>
          <w:szCs w:val="20"/>
        </w:rPr>
        <w:t xml:space="preserve"> </w:t>
      </w:r>
      <w:r>
        <w:rPr>
          <w:rFonts w:ascii="Times New Roman" w:hAnsi="Times New Roman" w:cs="Times New Roman"/>
          <w:sz w:val="20"/>
          <w:szCs w:val="20"/>
        </w:rPr>
        <w:t>or "smoked occasionally". Current smokers were defined as those with current smoking "yes, on most or all days" or "only occasionally". For th</w:t>
      </w:r>
      <w:r>
        <w:rPr>
          <w:rFonts w:hint="eastAsia" w:ascii="Times New Roman" w:hAnsi="Times New Roman" w:cs="Times New Roman"/>
          <w:sz w:val="20"/>
          <w:szCs w:val="20"/>
          <w:lang w:val="en-US" w:eastAsia="zh-CN"/>
        </w:rPr>
        <w:t>is</w:t>
      </w:r>
      <w:r>
        <w:rPr>
          <w:rFonts w:ascii="Times New Roman" w:hAnsi="Times New Roman" w:cs="Times New Roman"/>
          <w:sz w:val="20"/>
          <w:szCs w:val="20"/>
        </w:rPr>
        <w:t xml:space="preserve"> </w:t>
      </w:r>
      <w:r>
        <w:rPr>
          <w:rFonts w:hint="eastAsia" w:ascii="Times New Roman" w:hAnsi="Times New Roman" w:cs="Times New Roman"/>
          <w:sz w:val="20"/>
          <w:szCs w:val="20"/>
          <w:lang w:val="en-US" w:eastAsia="zh-CN"/>
        </w:rPr>
        <w:t>study</w:t>
      </w:r>
      <w:r>
        <w:rPr>
          <w:rFonts w:ascii="Times New Roman" w:hAnsi="Times New Roman" w:cs="Times New Roman"/>
          <w:sz w:val="20"/>
          <w:szCs w:val="20"/>
        </w:rPr>
        <w:t xml:space="preserve">, </w:t>
      </w:r>
      <w:r>
        <w:rPr>
          <w:rFonts w:hint="eastAsia" w:ascii="Times New Roman" w:hAnsi="Times New Roman" w:cs="Times New Roman"/>
          <w:sz w:val="20"/>
          <w:szCs w:val="20"/>
        </w:rPr>
        <w:t>smoking status was dichotomized into a healthy group (never smokers) and an unhealthy group (former and current smokers combined, reference group).</w:t>
      </w:r>
      <w:r>
        <w:rPr>
          <w:rFonts w:hint="eastAsia" w:ascii="Times New Roman" w:hAnsi="Times New Roman" w:cs="Times New Roman"/>
          <w:sz w:val="20"/>
          <w:szCs w:val="20"/>
          <w:lang w:val="en-US" w:eastAsia="zh-CN"/>
        </w:rPr>
        <w:t>, This classification was based on previous UK Biobank lifestyle studies and reflected long-term smoking exposure rather than experimental or minimal lifetime use.</w:t>
      </w:r>
      <w:r>
        <w:rPr>
          <w:rFonts w:ascii="Times New Roman" w:hAnsi="Times New Roman" w:cs="Times New Roman"/>
          <w:sz w:val="20"/>
          <w:szCs w:val="20"/>
        </w:rPr>
        <w:fldChar w:fldCharType="begin"/>
      </w:r>
      <w:r>
        <w:rPr>
          <w:rFonts w:hint="eastAsia" w:ascii="Times New Roman" w:hAnsi="Times New Roman" w:cs="Times New Roman"/>
          <w:sz w:val="20"/>
          <w:szCs w:val="20"/>
          <w:lang w:eastAsia="zh-CN"/>
        </w:rPr>
        <w:instrText xml:space="preserve"> ADDIN EN.CITE </w:instrText>
      </w:r>
      <w:r>
        <w:rPr>
          <w:rFonts w:hint="eastAsia" w:ascii="Times New Roman" w:hAnsi="Times New Roman" w:cs="Times New Roman"/>
          <w:sz w:val="20"/>
          <w:szCs w:val="20"/>
          <w:lang w:eastAsia="zh-CN"/>
        </w:rPr>
        <w:fldChar w:fldCharType="begin">
          <w:fldData xml:space="preserve">PEVuZE5vdGU+PENpdGU+PEF1dGhvcj5IZTwvQXV0aG9yPjxZZWFyPjIwMjM8L1llYXI+PFJlY051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=
</w:fldData>
        </w:fldChar>
      </w:r>
      <w:r>
        <w:rPr>
          <w:rFonts w:hint="eastAsia" w:ascii="Times New Roman" w:hAnsi="Times New Roman" w:cs="Times New Roman"/>
          <w:sz w:val="20"/>
          <w:szCs w:val="20"/>
          <w:lang w:eastAsia="zh-CN"/>
        </w:rPr>
        <w:instrText xml:space="preserve"> ADDIN EN.CITE.DATA </w:instrText>
      </w:r>
      <w:r>
        <w:rPr>
          <w:rFonts w:hint="eastAsia" w:ascii="Times New Roman" w:hAnsi="Times New Roman" w:cs="Times New Roman"/>
          <w:sz w:val="20"/>
          <w:szCs w:val="20"/>
          <w:lang w:eastAsia="zh-CN"/>
        </w:rPr>
        <w:fldChar w:fldCharType="separate"/>
      </w:r>
      <w:r>
        <w:rPr>
          <w:rFonts w:hint="eastAsia" w:ascii="Times New Roman" w:hAnsi="Times New Roman" w:cs="Times New Roman"/>
          <w:sz w:val="20"/>
          <w:szCs w:val="20"/>
          <w:lang w:eastAsia="zh-CN"/>
        </w:rPr>
        <w:fldChar w:fldCharType="end"/>
      </w:r>
      <w:r>
        <w:rPr>
          <w:rFonts w:ascii="Times New Roman" w:hAnsi="Times New Roman" w:cs="Times New Roman"/>
          <w:sz w:val="20"/>
          <w:szCs w:val="20"/>
        </w:rPr>
        <w:fldChar w:fldCharType="separate"/>
      </w:r>
      <w:r>
        <w:rPr>
          <w:rFonts w:hint="eastAsia" w:ascii="Times New Roman" w:hAnsi="Times New Roman" w:cs="Times New Roman" w:eastAsiaTheme="minorEastAsia"/>
          <w:kern w:val="2"/>
          <w:sz w:val="20"/>
          <w:szCs w:val="20"/>
          <w:vertAlign w:val="superscript"/>
          <w:lang w:val="en-US" w:eastAsia="zh-CN" w:bidi="ar-SA"/>
        </w:rPr>
        <w:t>[1, 2]</w:t>
      </w:r>
      <w:r>
        <w:rPr>
          <w:rFonts w:ascii="Times New Roman" w:hAnsi="Times New Roman" w:cs="Times New Roman"/>
          <w:sz w:val="20"/>
          <w:szCs w:val="20"/>
        </w:rPr>
        <w:fldChar w:fldCharType="end"/>
      </w:r>
    </w:p>
    <w:p w14:paraId="0FDA5738">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4650BB10">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
          <w:bCs/>
          <w:sz w:val="20"/>
          <w:szCs w:val="20"/>
        </w:rPr>
        <w:t>Alcohol consumption</w:t>
      </w:r>
      <w:r>
        <w:rPr>
          <w:rFonts w:ascii="Times New Roman" w:hAnsi="Times New Roman" w:cs="Times New Roman"/>
          <w:sz w:val="20"/>
          <w:szCs w:val="20"/>
        </w:rPr>
        <w:t>: Alcohol consumption was assessed using a baseline touchscreen questionnaire. Participants were first asked: "About how often do you drink alcohol?" with response options including "daily or almost daily", "3 or 4 times a week", "once or twice weekly", "1 to 3 times monthly", "special occasions only", or "never". Participants who reported drinking alcohol were then asked about their average weekly intake of specific beverage types, including red wine, champagne/white wine, beer/cider, spirits, fortified wine, and other alcoholic drinks. For each beverage type, the number of glasses, pints, or measures consumed per week was recorded. Total weekly alcohol intake in grams was calculated by summing the intake of all beverage types</w:t>
      </w:r>
      <w:r>
        <w:rPr>
          <w:rFonts w:hint="eastAsia" w:ascii="Times New Roman" w:hAnsi="Times New Roman" w:cs="Times New Roman"/>
          <w:sz w:val="20"/>
          <w:szCs w:val="20"/>
          <w:lang w:val="en-US" w:eastAsia="zh-CN"/>
        </w:rPr>
        <w:t xml:space="preserve"> and converting them to United Kingdom units</w:t>
      </w:r>
      <w:r>
        <w:rPr>
          <w:rFonts w:ascii="Times New Roman" w:hAnsi="Times New Roman" w:cs="Times New Roman"/>
          <w:sz w:val="20"/>
          <w:szCs w:val="20"/>
        </w:rPr>
        <w:t>.</w:t>
      </w:r>
      <w:r>
        <w:rPr>
          <w:rFonts w:hint="eastAsia" w:ascii="Times New Roman" w:hAnsi="Times New Roman" w:cs="Times New Roman"/>
          <w:sz w:val="20"/>
          <w:szCs w:val="20"/>
          <w:lang w:val="en-US" w:eastAsia="zh-CN"/>
        </w:rPr>
        <w:t xml:space="preserve"> Detailed conversion criteria are </w:t>
      </w:r>
      <w:r>
        <w:rPr>
          <w:rFonts w:hint="eastAsia" w:ascii="Times New Roman" w:hAnsi="Times New Roman" w:cs="Times New Roman"/>
          <w:sz w:val="20"/>
          <w:szCs w:val="20"/>
        </w:rPr>
        <w:t xml:space="preserve">as follows: red wine or champagne and white wine = 1.7 units; </w:t>
      </w:r>
      <w:r>
        <w:rPr>
          <w:rFonts w:ascii="Times New Roman" w:hAnsi="Times New Roman" w:cs="Times New Roman"/>
          <w:sz w:val="20"/>
          <w:szCs w:val="20"/>
        </w:rPr>
        <w:t>beer/cider</w:t>
      </w:r>
      <w:r>
        <w:rPr>
          <w:rFonts w:hint="eastAsia" w:ascii="Times New Roman" w:hAnsi="Times New Roman" w:cs="Times New Roman"/>
          <w:sz w:val="20"/>
          <w:szCs w:val="20"/>
        </w:rPr>
        <w:t xml:space="preserve"> = 2.4 units; spirits = 1 unit; fortified wine = 1.2 units; other = 1.2 units.</w:t>
      </w:r>
      <w:r>
        <w:rPr>
          <w:rFonts w:ascii="Times New Roman" w:hAnsi="Times New Roman" w:cs="Times New Roman"/>
          <w:sz w:val="20"/>
          <w:szCs w:val="20"/>
        </w:rPr>
        <w:t xml:space="preserve"> </w:t>
      </w:r>
      <w:r>
        <w:rPr>
          <w:rFonts w:hint="eastAsia" w:ascii="Times New Roman" w:hAnsi="Times New Roman" w:cs="Times New Roman"/>
          <w:sz w:val="20"/>
          <w:szCs w:val="20"/>
        </w:rPr>
        <w:t>F</w:t>
      </w:r>
      <w:r>
        <w:rPr>
          <w:rFonts w:ascii="Times New Roman" w:hAnsi="Times New Roman" w:cs="Times New Roman"/>
          <w:sz w:val="20"/>
          <w:szCs w:val="20"/>
        </w:rPr>
        <w:t>ollowing UK dietary guidelines</w:t>
      </w:r>
      <w:r>
        <w:rPr>
          <w:rFonts w:hint="eastAsia" w:ascii="Times New Roman" w:hAnsi="Times New Roman" w:cs="Times New Roman"/>
          <w:sz w:val="20"/>
          <w:szCs w:val="20"/>
        </w:rPr>
        <w:t>, m</w:t>
      </w:r>
      <w:r>
        <w:rPr>
          <w:rFonts w:ascii="Times New Roman" w:hAnsi="Times New Roman" w:cs="Times New Roman"/>
          <w:sz w:val="20"/>
          <w:szCs w:val="20"/>
        </w:rPr>
        <w:t>oderate alcohol consumption (healthy) was defined as ≤14 g/day for women and ≤28 g/day for men</w:t>
      </w:r>
      <w:r>
        <w:rPr>
          <w:rFonts w:ascii="Times New Roman" w:hAnsi="Times New Roman" w:cs="Times New Roman"/>
          <w:sz w:val="20"/>
          <w:szCs w:val="20"/>
        </w:rPr>
        <w:fldChar w:fldCharType="begin"/>
      </w:r>
      <w:r>
        <w:rPr>
          <w:rFonts w:hint="eastAsia" w:ascii="Times New Roman" w:hAnsi="Times New Roman" w:cs="Times New Roman"/>
          <w:sz w:val="20"/>
          <w:szCs w:val="20"/>
          <w:lang w:eastAsia="zh-CN"/>
        </w:rPr>
        <w:instrText xml:space="preserve"> ADDIN EN.CITE &lt;EndNote&gt;&lt;Cite&gt;&lt;Author&gt;Phillips&lt;/Author&gt;&lt;Year&gt;2021&lt;/Year&gt;&lt;RecNum&gt;2&lt;/RecNum&gt;&lt;DisplayText&gt;&lt;style face="superscript"&gt;[3]&lt;/style&gt;&lt;/DisplayText&gt;&lt;record&gt;&lt;rec-number&gt;2&lt;/rec-number&gt;&lt;foreign-keys&gt;&lt;key app="EN" db-id="vdr9aststxwxtiez9wr5drwwszfxdvft0a0s" timestamp="1779936319"&gt;2&lt;/key&gt;&lt;/foreign-keys&gt;&lt;ref-type name="Journal Article"&gt;17&lt;/ref-type&gt;&lt;contributors&gt;&lt;authors&gt;&lt;author&gt;Phillips, J. A.&lt;/author&gt;&lt;/authors&gt;&lt;/contributors&gt;&lt;auth-address&gt;The University of Alabama at Birmingham.&lt;/auth-address&gt;&lt;titles&gt;&lt;title&gt;Dietary Guidelines for Americans, 2020-2025&lt;/title&gt;&lt;secondary-title&gt;Workplace Health Saf&lt;/secondary-title&gt;&lt;/titles&gt;&lt;periodical&gt;&lt;full-title&gt;Workplace Health Saf&lt;/full-title&gt;&lt;/periodical&gt;&lt;pages&gt;395&lt;/pages&gt;&lt;volume&gt;69&lt;/volume&gt;&lt;number&gt;8&lt;/number&gt;&lt;keywords&gt;&lt;keyword&gt;Diet&lt;/keyword&gt;&lt;keyword&gt;*Health Promotion&lt;/keyword&gt;&lt;keyword&gt;Humans&lt;/keyword&gt;&lt;keyword&gt;*Nutrition Policy&lt;/keyword&gt;&lt;keyword&gt;United States&lt;/keyword&gt;&lt;keyword&gt;chronic illnesses&lt;/keyword&gt;&lt;keyword&gt;diabetes&lt;/keyword&gt;&lt;keyword&gt;employee health&lt;/keyword&gt;&lt;keyword&gt;evidence-based practice&lt;/keyword&gt;&lt;keyword&gt;health education&lt;/keyword&gt;&lt;keyword&gt;health promotion/disease prevention&lt;/keyword&gt;&lt;/keywords&gt;&lt;dates&gt;&lt;year&gt;2021&lt;/year&gt;&lt;pub-dates&gt;&lt;date&gt;Aug&lt;/date&gt;&lt;/pub-dates&gt;&lt;/dates&gt;&lt;isbn&gt;2165-0969 (Electronic)&amp;#xD;2165-0799 (Linking)&lt;/isbn&gt;&lt;accession-num&gt;34279148&lt;/accession-num&gt;&lt;urls&gt;&lt;related-urls&gt;&lt;url&gt;https://www.ncbi.nlm.nih.gov/pubmed/34279148&lt;/url&gt;&lt;/related-urls&gt;&lt;/urls&gt;&lt;electronic-resource-num&gt;10.1177/21650799211026980&lt;/electronic-resource-num&gt;&lt;remote-database-name&gt;Medline&lt;/remote-database-name&gt;&lt;remote-database-provider&gt;NLM&lt;/remote-database-provider&gt;&lt;/record&gt;&lt;/Cite&gt;&lt;/EndNote&gt;</w:instrText>
      </w:r>
      <w:r>
        <w:rPr>
          <w:rFonts w:ascii="Times New Roman" w:hAnsi="Times New Roman" w:cs="Times New Roman"/>
          <w:sz w:val="20"/>
          <w:szCs w:val="20"/>
        </w:rPr>
        <w:fldChar w:fldCharType="separate"/>
      </w:r>
      <w:r>
        <w:rPr>
          <w:rFonts w:hint="eastAsia" w:ascii="Times New Roman" w:hAnsi="Times New Roman" w:cs="Times New Roman" w:eastAsiaTheme="minorEastAsia"/>
          <w:kern w:val="2"/>
          <w:sz w:val="20"/>
          <w:szCs w:val="20"/>
          <w:vertAlign w:val="superscript"/>
          <w:lang w:val="en-US" w:eastAsia="zh-CN" w:bidi="ar-SA"/>
        </w:rPr>
        <w:t>[3]</w:t>
      </w:r>
      <w:r>
        <w:rPr>
          <w:rFonts w:ascii="Times New Roman" w:hAnsi="Times New Roman" w:cs="Times New Roman"/>
          <w:sz w:val="20"/>
          <w:szCs w:val="20"/>
        </w:rPr>
        <w:fldChar w:fldCharType="end"/>
      </w:r>
      <w:r>
        <w:rPr>
          <w:rFonts w:ascii="Times New Roman" w:hAnsi="Times New Roman" w:cs="Times New Roman"/>
          <w:sz w:val="20"/>
          <w:szCs w:val="20"/>
        </w:rPr>
        <w:t>; consumption exceeding these thresholds was defined as excessive (unhealthy)</w:t>
      </w:r>
      <w:r>
        <w:rPr>
          <w:rFonts w:ascii="Times New Roman" w:hAnsi="Times New Roman" w:cs="Times New Roman"/>
          <w:sz w:val="20"/>
          <w:szCs w:val="20"/>
        </w:rPr>
        <w:fldChar w:fldCharType="begin"/>
      </w:r>
      <w:r>
        <w:rPr>
          <w:rFonts w:hint="eastAsia" w:ascii="Times New Roman" w:hAnsi="Times New Roman" w:cs="Times New Roman"/>
          <w:sz w:val="20"/>
          <w:szCs w:val="20"/>
          <w:lang w:eastAsia="zh-CN"/>
        </w:rPr>
        <w:instrText xml:space="preserve"> ADDIN EN.CITE </w:instrText>
      </w:r>
      <w:r>
        <w:rPr>
          <w:rFonts w:hint="eastAsia" w:ascii="Times New Roman" w:hAnsi="Times New Roman" w:cs="Times New Roman"/>
          <w:sz w:val="20"/>
          <w:szCs w:val="20"/>
          <w:lang w:eastAsia="zh-CN"/>
        </w:rPr>
        <w:fldChar w:fldCharType="begin">
          <w:fldData xml:space="preserve">PEVuZE5vdGU+PENpdGU+PEF1dGhvcj5IZTwvQXV0aG9yPjxZZWFyPjIwMjM8L1llYXI+PFJlY051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</w:fldData>
        </w:fldChar>
      </w:r>
      <w:r>
        <w:rPr>
          <w:rFonts w:hint="eastAsia" w:ascii="Times New Roman" w:hAnsi="Times New Roman" w:cs="Times New Roman"/>
          <w:sz w:val="20"/>
          <w:szCs w:val="20"/>
          <w:lang w:eastAsia="zh-CN"/>
        </w:rPr>
        <w:instrText xml:space="preserve"> ADDIN EN.CITE.DATA </w:instrText>
      </w:r>
      <w:r>
        <w:rPr>
          <w:rFonts w:hint="eastAsia" w:ascii="Times New Roman" w:hAnsi="Times New Roman" w:cs="Times New Roman"/>
          <w:sz w:val="20"/>
          <w:szCs w:val="20"/>
          <w:lang w:eastAsia="zh-CN"/>
        </w:rPr>
        <w:fldChar w:fldCharType="separate"/>
      </w:r>
      <w:r>
        <w:rPr>
          <w:rFonts w:hint="eastAsia" w:ascii="Times New Roman" w:hAnsi="Times New Roman" w:cs="Times New Roman"/>
          <w:sz w:val="20"/>
          <w:szCs w:val="20"/>
          <w:lang w:eastAsia="zh-CN"/>
        </w:rPr>
        <w:fldChar w:fldCharType="end"/>
      </w:r>
      <w:r>
        <w:rPr>
          <w:rFonts w:ascii="Times New Roman" w:hAnsi="Times New Roman" w:cs="Times New Roman"/>
          <w:sz w:val="20"/>
          <w:szCs w:val="20"/>
        </w:rPr>
        <w:fldChar w:fldCharType="separate"/>
      </w:r>
      <w:r>
        <w:rPr>
          <w:rFonts w:hint="eastAsia" w:ascii="Times New Roman" w:hAnsi="Times New Roman" w:cs="Times New Roman" w:eastAsiaTheme="minorEastAsia"/>
          <w:kern w:val="2"/>
          <w:sz w:val="20"/>
          <w:szCs w:val="20"/>
          <w:vertAlign w:val="superscript"/>
          <w:lang w:val="en-US" w:eastAsia="zh-CN" w:bidi="ar-SA"/>
        </w:rPr>
        <w:t>[1]</w:t>
      </w:r>
      <w:r>
        <w:rPr>
          <w:rFonts w:ascii="Times New Roman" w:hAnsi="Times New Roman" w:cs="Times New Roman"/>
          <w:sz w:val="20"/>
          <w:szCs w:val="20"/>
        </w:rPr>
        <w:fldChar w:fldCharType="end"/>
      </w:r>
      <w:r>
        <w:rPr>
          <w:rFonts w:ascii="Times New Roman" w:hAnsi="Times New Roman" w:cs="Times New Roman"/>
          <w:sz w:val="20"/>
          <w:szCs w:val="20"/>
        </w:rPr>
        <w:t xml:space="preserve">. In </w:t>
      </w:r>
      <w:r>
        <w:rPr>
          <w:rFonts w:hint="eastAsia" w:ascii="Times New Roman" w:hAnsi="Times New Roman" w:cs="Times New Roman"/>
          <w:sz w:val="20"/>
          <w:szCs w:val="20"/>
        </w:rPr>
        <w:t>this study</w:t>
      </w:r>
      <w:r>
        <w:rPr>
          <w:rFonts w:ascii="Times New Roman" w:hAnsi="Times New Roman" w:cs="Times New Roman"/>
          <w:sz w:val="20"/>
          <w:szCs w:val="20"/>
        </w:rPr>
        <w:t>, excessive drinkers served as the reference category.</w:t>
      </w:r>
    </w:p>
    <w:p w14:paraId="222525BD">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06257DBC">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hint="eastAsia" w:ascii="Times New Roman" w:hAnsi="Times New Roman" w:cs="Times New Roman"/>
          <w:b/>
          <w:bCs/>
          <w:sz w:val="20"/>
          <w:szCs w:val="20"/>
        </w:rPr>
        <w:t>BMI</w:t>
      </w:r>
      <w:r>
        <w:rPr>
          <w:rFonts w:hint="eastAsia" w:ascii="Times New Roman" w:hAnsi="Times New Roman" w:cs="Times New Roman"/>
          <w:sz w:val="20"/>
          <w:szCs w:val="20"/>
        </w:rPr>
        <w:t xml:space="preserve">: Height and weight were measured by trained staff during the baseline assessment centre visit using standard protocols. BMI was calculated as weight in kilograms divided by height in meters squared. </w:t>
      </w:r>
      <w:r>
        <w:rPr>
          <w:rFonts w:ascii="Times New Roman" w:hAnsi="Times New Roman" w:cs="Times New Roman"/>
          <w:sz w:val="20"/>
          <w:szCs w:val="20"/>
        </w:rPr>
        <w:t>When analyzing the association of individual BMI with outcomes, BMI was categorized into three groups to more precisely assess the dose-response relationship: obese (BMI ≥30 kg/m², reference), overweight (25 ≤ BMI &lt; 30 kg/m²), and normal weight (18.5 ≤ BMI &lt; 25 kg/m²). Underweight (BMI &lt; 18.5 kg/m²) was not analyzed as a separate group due to the small sample size and was therefore included in the obese weight category. For the composite healthy lifestyle score, BMI was dichotomized: healthy was defined as normal weight (18.5 ≤ BMI &lt; 25 kg/m²); unhealthy was defined as overweight (25 ≤ BMI &lt; 30 kg/m²) or obese (BMI ≥30 kg/m²).</w:t>
      </w:r>
      <w:r>
        <w:rPr>
          <w:rFonts w:hint="eastAsia" w:ascii="Times New Roman" w:hAnsi="Times New Roman" w:cs="Times New Roman"/>
          <w:sz w:val="20"/>
          <w:szCs w:val="20"/>
        </w:rPr>
        <w:t xml:space="preserve"> </w:t>
      </w:r>
      <w:r>
        <w:rPr>
          <w:rFonts w:ascii="Times New Roman" w:hAnsi="Times New Roman" w:cs="Times New Roman"/>
          <w:sz w:val="20"/>
          <w:szCs w:val="20"/>
        </w:rPr>
        <w:t>In the analysis of the composite score, overweight/obese served as the reference category.</w:t>
      </w:r>
    </w:p>
    <w:p w14:paraId="67554001">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4C8554BB">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
          <w:bCs/>
          <w:sz w:val="20"/>
          <w:szCs w:val="20"/>
        </w:rPr>
        <w:t>Dietary</w:t>
      </w:r>
      <w:r>
        <w:rPr>
          <w:rFonts w:ascii="Times New Roman" w:hAnsi="Times New Roman" w:cs="Times New Roman"/>
          <w:sz w:val="20"/>
          <w:szCs w:val="20"/>
        </w:rPr>
        <w:t xml:space="preserve">: Dietary quality were assessed using a baseline food frequency questionnaire (FFQ) administered via touchscreen. The FFQ collected data on the frequency and quantity of consumption of various food groups. Dietary quality was assessed based on </w:t>
      </w:r>
      <w:r>
        <w:rPr>
          <w:rFonts w:hint="eastAsia" w:ascii="Times New Roman" w:hAnsi="Times New Roman" w:cs="Times New Roman"/>
          <w:sz w:val="20"/>
          <w:szCs w:val="20"/>
        </w:rPr>
        <w:t>the dietary recommendations of the American Heart Association</w:t>
      </w:r>
      <w:r>
        <w:rPr>
          <w:rFonts w:ascii="Times New Roman" w:hAnsi="Times New Roman" w:cs="Times New Roman"/>
          <w:sz w:val="20"/>
          <w:szCs w:val="20"/>
        </w:rPr>
        <w:t>, as applied in prior UK Biobank research</w:t>
      </w:r>
      <w:r>
        <w:rPr>
          <w:rFonts w:ascii="Times New Roman" w:hAnsi="Times New Roman" w:cs="Times New Roman"/>
          <w:b/>
          <w:bCs/>
          <w:sz w:val="20"/>
          <w:szCs w:val="20"/>
        </w:rPr>
        <w:fldChar w:fldCharType="begin"/>
      </w:r>
      <w:r>
        <w:rPr>
          <w:rFonts w:hint="eastAsia" w:ascii="Times New Roman" w:hAnsi="Times New Roman" w:cs="Times New Roman"/>
          <w:b/>
          <w:bCs/>
          <w:sz w:val="20"/>
          <w:szCs w:val="20"/>
          <w:lang w:eastAsia="zh-CN"/>
        </w:rPr>
        <w:instrText xml:space="preserve"> ADDIN EN.CITE </w:instrText>
      </w:r>
      <w:r>
        <w:rPr>
          <w:rFonts w:hint="eastAsia" w:ascii="Times New Roman" w:hAnsi="Times New Roman" w:cs="Times New Roman"/>
          <w:b/>
          <w:bCs/>
          <w:sz w:val="20"/>
          <w:szCs w:val="20"/>
          <w:lang w:eastAsia="zh-CN"/>
        </w:rPr>
        <w:fldChar w:fldCharType="begin">
          <w:fldData xml:space="preserve">PEVuZE5vdGU+PENpdGU+PEF1dGhvcj5Nb3phZmZhcmlhbjwvQXV0aG9yPjxZZWFyPjIwMTY8L1ll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</w:fldData>
        </w:fldChar>
      </w:r>
      <w:r>
        <w:rPr>
          <w:rFonts w:hint="eastAsia" w:ascii="Times New Roman" w:hAnsi="Times New Roman" w:cs="Times New Roman"/>
          <w:b/>
          <w:bCs/>
          <w:sz w:val="20"/>
          <w:szCs w:val="20"/>
          <w:lang w:eastAsia="zh-CN"/>
        </w:rPr>
        <w:instrText xml:space="preserve"> ADDIN EN.CITE.DATA </w:instrText>
      </w:r>
      <w:r>
        <w:rPr>
          <w:rFonts w:hint="eastAsia" w:ascii="Times New Roman" w:hAnsi="Times New Roman" w:cs="Times New Roman"/>
          <w:b/>
          <w:bCs/>
          <w:sz w:val="20"/>
          <w:szCs w:val="20"/>
          <w:lang w:eastAsia="zh-CN"/>
        </w:rPr>
        <w:fldChar w:fldCharType="separate"/>
      </w:r>
      <w:r>
        <w:rPr>
          <w:rFonts w:hint="eastAsia" w:ascii="Times New Roman" w:hAnsi="Times New Roman" w:cs="Times New Roman"/>
          <w:b/>
          <w:bCs/>
          <w:sz w:val="20"/>
          <w:szCs w:val="20"/>
          <w:lang w:eastAsia="zh-CN"/>
        </w:rPr>
        <w:fldChar w:fldCharType="end"/>
      </w:r>
      <w:r>
        <w:rPr>
          <w:rFonts w:ascii="Times New Roman" w:hAnsi="Times New Roman" w:cs="Times New Roman"/>
          <w:b/>
          <w:bCs/>
          <w:sz w:val="20"/>
          <w:szCs w:val="20"/>
        </w:rPr>
        <w:fldChar w:fldCharType="separate"/>
      </w:r>
      <w:r>
        <w:rPr>
          <w:rFonts w:hint="eastAsia" w:ascii="Times New Roman" w:hAnsi="Times New Roman" w:cs="Times New Roman" w:eastAsiaTheme="minorEastAsia"/>
          <w:b/>
          <w:bCs/>
          <w:kern w:val="2"/>
          <w:sz w:val="20"/>
          <w:szCs w:val="20"/>
          <w:vertAlign w:val="superscript"/>
          <w:lang w:val="en-US" w:eastAsia="zh-CN" w:bidi="ar-SA"/>
        </w:rPr>
        <w:t>[4]</w:t>
      </w:r>
      <w:r>
        <w:rPr>
          <w:rFonts w:ascii="Times New Roman" w:hAnsi="Times New Roman" w:cs="Times New Roman"/>
          <w:b/>
          <w:bCs/>
          <w:sz w:val="20"/>
          <w:szCs w:val="20"/>
        </w:rPr>
        <w:fldChar w:fldCharType="end"/>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Specific intake goals and the corresponding field IDs, and serving sizes for each dietary component are detailed in</w:t>
      </w:r>
      <w:r>
        <w:rPr>
          <w:rFonts w:ascii="Times New Roman" w:hAnsi="Times New Roman" w:cs="Times New Roman"/>
          <w:color w:val="0000FF"/>
          <w:sz w:val="20"/>
          <w:szCs w:val="20"/>
        </w:rPr>
        <w:t xml:space="preserve"> </w:t>
      </w:r>
      <w:r>
        <w:rPr>
          <w:rFonts w:ascii="Times New Roman" w:hAnsi="Times New Roman" w:cs="Times New Roman"/>
          <w:b/>
          <w:bCs/>
          <w:color w:val="auto"/>
          <w:sz w:val="20"/>
          <w:szCs w:val="20"/>
        </w:rPr>
        <w:t xml:space="preserve">Supplementary Table </w:t>
      </w:r>
      <w:r>
        <w:rPr>
          <w:rFonts w:hint="eastAsia" w:ascii="Times New Roman" w:hAnsi="Times New Roman" w:cs="Times New Roman"/>
          <w:b/>
          <w:bCs/>
          <w:color w:val="auto"/>
          <w:sz w:val="20"/>
          <w:szCs w:val="20"/>
        </w:rPr>
        <w:t>2</w:t>
      </w:r>
      <w:r>
        <w:rPr>
          <w:rFonts w:ascii="Times New Roman" w:hAnsi="Times New Roman" w:cs="Times New Roman"/>
          <w:color w:val="0000FF"/>
          <w:sz w:val="20"/>
          <w:szCs w:val="20"/>
        </w:rPr>
        <w:t>.</w:t>
      </w:r>
      <w:r>
        <w:rPr>
          <w:rFonts w:hint="eastAsia" w:ascii="Times New Roman" w:hAnsi="Times New Roman" w:cs="Times New Roman"/>
          <w:color w:val="0000FF"/>
          <w:sz w:val="20"/>
          <w:szCs w:val="20"/>
        </w:rPr>
        <w:t xml:space="preserve"> </w:t>
      </w:r>
      <w:r>
        <w:rPr>
          <w:rFonts w:ascii="Times New Roman" w:hAnsi="Times New Roman" w:cs="Times New Roman"/>
          <w:sz w:val="20"/>
          <w:szCs w:val="20"/>
        </w:rPr>
        <w:t>In</w:t>
      </w:r>
      <w:r>
        <w:rPr>
          <w:rFonts w:hint="eastAsia" w:ascii="Times New Roman" w:hAnsi="Times New Roman" w:cs="Times New Roman"/>
          <w:sz w:val="20"/>
          <w:szCs w:val="20"/>
        </w:rPr>
        <w:t xml:space="preserve"> </w:t>
      </w:r>
      <w:r>
        <w:rPr>
          <w:rFonts w:ascii="Times New Roman" w:hAnsi="Times New Roman" w:cs="Times New Roman"/>
          <w:sz w:val="20"/>
          <w:szCs w:val="20"/>
        </w:rPr>
        <w:t>take of fruits and vegetables was estimated using daily consumption of fresh and dried fruits, cooked vegetables, and raw salad (measured in pieces or tablespoons). Whole grain consumption was based on weekly intake of whole grain bread and cereals (e.g., bran, oats, muesli). Fish intake included frequency of oily and non-oily fish consumption. Dairy intake was assessed via cheese consumption frequency and milk use. Use of vegetable oils was inferred from spreads used on bread, including options such as olive oil–based, polyunsaturated, or plant sterol–enriched spreads. Refined grain intake included white, brown, or other bread and biscuit-type cereals. Processed and unprocessed meat consumption was assessed by frequency and whether the participant had ceased meat intake (based on reported age when last consumed). Sugar-sweetened beverage intake was inferred from self-reported avoidance of sugary foods or drinks. A healthy diet was defined as meeting ≥5 dietary recommendations (at least 5 items), reflecting adherence to the majority of dietary components rather than requiring fulfillment of all individual targets</w:t>
      </w:r>
      <w:r>
        <w:rPr>
          <w:rFonts w:ascii="Times New Roman" w:hAnsi="Times New Roman" w:cs="Times New Roman"/>
          <w:b/>
          <w:bCs/>
          <w:sz w:val="20"/>
          <w:szCs w:val="20"/>
        </w:rPr>
        <w:fldChar w:fldCharType="begin"/>
      </w:r>
      <w:r>
        <w:rPr>
          <w:rFonts w:hint="eastAsia" w:ascii="Times New Roman" w:hAnsi="Times New Roman" w:cs="Times New Roman"/>
          <w:b/>
          <w:bCs/>
          <w:sz w:val="20"/>
          <w:szCs w:val="20"/>
          <w:lang w:eastAsia="zh-CN"/>
        </w:rPr>
        <w:instrText xml:space="preserve"> ADDIN EN.CITE </w:instrText>
      </w:r>
      <w:r>
        <w:rPr>
          <w:rFonts w:hint="eastAsia" w:ascii="Times New Roman" w:hAnsi="Times New Roman" w:cs="Times New Roman"/>
          <w:b/>
          <w:bCs/>
          <w:sz w:val="20"/>
          <w:szCs w:val="20"/>
          <w:lang w:eastAsia="zh-CN"/>
        </w:rPr>
        <w:fldChar w:fldCharType="begin">
          <w:fldData xml:space="preserve">PEVuZE5vdGU+PENpdGU+PEF1dGhvcj5TYWlkPC9BdXRob3I+PFllYXI+MjAxODwvWWVhcj48UmVj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</w:fldData>
        </w:fldChar>
      </w:r>
      <w:r>
        <w:rPr>
          <w:rFonts w:hint="eastAsia" w:ascii="Times New Roman" w:hAnsi="Times New Roman" w:cs="Times New Roman"/>
          <w:b/>
          <w:bCs/>
          <w:sz w:val="20"/>
          <w:szCs w:val="20"/>
          <w:lang w:eastAsia="zh-CN"/>
        </w:rPr>
        <w:instrText xml:space="preserve"> ADDIN EN.CITE.DATA </w:instrText>
      </w:r>
      <w:r>
        <w:rPr>
          <w:rFonts w:hint="eastAsia" w:ascii="Times New Roman" w:hAnsi="Times New Roman" w:cs="Times New Roman"/>
          <w:b/>
          <w:bCs/>
          <w:sz w:val="20"/>
          <w:szCs w:val="20"/>
          <w:lang w:eastAsia="zh-CN"/>
        </w:rPr>
        <w:fldChar w:fldCharType="separate"/>
      </w:r>
      <w:r>
        <w:rPr>
          <w:rFonts w:hint="eastAsia" w:ascii="Times New Roman" w:hAnsi="Times New Roman" w:cs="Times New Roman"/>
          <w:b/>
          <w:bCs/>
          <w:sz w:val="20"/>
          <w:szCs w:val="20"/>
          <w:lang w:eastAsia="zh-CN"/>
        </w:rPr>
        <w:fldChar w:fldCharType="end"/>
      </w:r>
      <w:r>
        <w:rPr>
          <w:rFonts w:ascii="Times New Roman" w:hAnsi="Times New Roman" w:cs="Times New Roman"/>
          <w:b/>
          <w:bCs/>
          <w:sz w:val="20"/>
          <w:szCs w:val="20"/>
        </w:rPr>
        <w:fldChar w:fldCharType="separate"/>
      </w:r>
      <w:r>
        <w:rPr>
          <w:rFonts w:hint="eastAsia" w:ascii="Times New Roman" w:hAnsi="Times New Roman" w:cs="Times New Roman" w:eastAsiaTheme="minorEastAsia"/>
          <w:b/>
          <w:bCs/>
          <w:kern w:val="2"/>
          <w:sz w:val="20"/>
          <w:szCs w:val="20"/>
          <w:vertAlign w:val="superscript"/>
          <w:lang w:val="en-US" w:eastAsia="zh-CN" w:bidi="ar-SA"/>
        </w:rPr>
        <w:t>[5]</w:t>
      </w:r>
      <w:r>
        <w:rPr>
          <w:rFonts w:ascii="Times New Roman" w:hAnsi="Times New Roman" w:cs="Times New Roman"/>
          <w:b/>
          <w:bCs/>
          <w:sz w:val="20"/>
          <w:szCs w:val="20"/>
        </w:rPr>
        <w:fldChar w:fldCharType="end"/>
      </w:r>
      <w:r>
        <w:rPr>
          <w:rFonts w:ascii="Times New Roman" w:hAnsi="Times New Roman" w:cs="Times New Roman"/>
          <w:sz w:val="20"/>
          <w:szCs w:val="20"/>
        </w:rPr>
        <w:t>. This approach was used to capture overall dietary quality while accounting for the multidimensional nature of diet.</w:t>
      </w:r>
      <w:r>
        <w:rPr>
          <w:rFonts w:hint="eastAsia" w:ascii="Times New Roman" w:hAnsi="Times New Roman" w:cs="Times New Roman"/>
          <w:sz w:val="20"/>
          <w:szCs w:val="20"/>
        </w:rPr>
        <w:t xml:space="preserve"> In t</w:t>
      </w:r>
      <w:r>
        <w:rPr>
          <w:rFonts w:hint="eastAsia" w:ascii="Times New Roman" w:hAnsi="Times New Roman" w:cs="Times New Roman"/>
          <w:sz w:val="20"/>
          <w:szCs w:val="20"/>
          <w:lang w:val="en-US" w:eastAsia="zh-CN"/>
        </w:rPr>
        <w:t>his</w:t>
      </w:r>
      <w:r>
        <w:rPr>
          <w:rFonts w:hint="eastAsia" w:ascii="Times New Roman" w:hAnsi="Times New Roman" w:cs="Times New Roman"/>
          <w:sz w:val="20"/>
          <w:szCs w:val="20"/>
        </w:rPr>
        <w:t xml:space="preserve"> </w:t>
      </w:r>
      <w:r>
        <w:rPr>
          <w:rFonts w:hint="eastAsia" w:ascii="Times New Roman" w:hAnsi="Times New Roman" w:cs="Times New Roman"/>
          <w:sz w:val="20"/>
          <w:szCs w:val="20"/>
          <w:lang w:val="en-US" w:eastAsia="zh-CN"/>
        </w:rPr>
        <w:t>study</w:t>
      </w:r>
      <w:r>
        <w:rPr>
          <w:rFonts w:hint="eastAsia" w:ascii="Times New Roman" w:hAnsi="Times New Roman" w:cs="Times New Roman"/>
          <w:sz w:val="20"/>
          <w:szCs w:val="20"/>
        </w:rPr>
        <w:t>, participants with an unhealthy diet (adherence to &lt;5 dietary recommendations) served as the reference category.</w:t>
      </w:r>
    </w:p>
    <w:p w14:paraId="32107921">
      <w:pPr>
        <w:keepNext/>
        <w:keepLines w:val="0"/>
        <w:pageBreakBefore w:val="0"/>
        <w:kinsoku/>
        <w:overflowPunct/>
        <w:topLinePunct w:val="0"/>
        <w:autoSpaceDE/>
        <w:autoSpaceDN/>
        <w:bidi w:val="0"/>
        <w:adjustRightInd/>
        <w:snapToGrid/>
        <w:jc w:val="left"/>
        <w:textAlignment w:val="auto"/>
        <w:rPr>
          <w:rFonts w:ascii="Times New Roman" w:hAnsi="Times New Roman" w:eastAsia="宋体" w:cs="Times New Roman"/>
          <w:b/>
          <w:bCs/>
          <w:sz w:val="20"/>
          <w:szCs w:val="20"/>
        </w:rPr>
      </w:pPr>
      <w:r>
        <w:rPr>
          <w:rFonts w:hint="eastAsia" w:ascii="Times New Roman" w:hAnsi="Times New Roman" w:cs="Times New Roman"/>
          <w:b/>
          <w:bCs/>
          <w:sz w:val="20"/>
          <w:szCs w:val="20"/>
        </w:rPr>
        <w:t xml:space="preserve">Supplementary Table </w:t>
      </w:r>
      <w:r>
        <w:rPr>
          <w:rFonts w:ascii="Times New Roman" w:hAnsi="Times New Roman" w:cs="Times New Roman"/>
          <w:b/>
          <w:bCs/>
          <w:sz w:val="20"/>
          <w:szCs w:val="20"/>
        </w:rPr>
        <w:t>2. Diet component definitions used in the UK Biobank study</w:t>
      </w:r>
      <w:r>
        <w:rPr>
          <w:rFonts w:hint="eastAsia" w:ascii="Times New Roman" w:hAnsi="Times New Roman" w:cs="Times New Roman"/>
          <w:b/>
          <w:bCs/>
          <w:sz w:val="20"/>
          <w:szCs w:val="20"/>
        </w:rPr>
        <w:t>.</w:t>
      </w:r>
    </w:p>
    <w:tbl>
      <w:tblPr>
        <w:tblStyle w:val="7"/>
        <w:tblW w:w="9208"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7"/>
        <w:gridCol w:w="1690"/>
        <w:gridCol w:w="3646"/>
        <w:gridCol w:w="2165"/>
      </w:tblGrid>
      <w:tr w14:paraId="703A37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707" w:type="dxa"/>
            <w:tcBorders>
              <w:bottom w:val="single" w:color="auto" w:sz="4" w:space="0"/>
            </w:tcBorders>
            <w:vAlign w:val="center"/>
          </w:tcPr>
          <w:p w14:paraId="3D03AFBF">
            <w:pPr>
              <w:keepLines w:val="0"/>
              <w:pageBreakBefore w:val="0"/>
              <w:kinsoku/>
              <w:overflowPunct/>
              <w:topLinePunct w:val="0"/>
              <w:autoSpaceDE/>
              <w:autoSpaceDN/>
              <w:bidi w:val="0"/>
              <w:adjustRightInd/>
              <w:snapToGrid/>
              <w:textAlignment w:val="auto"/>
              <w:rPr>
                <w:rFonts w:ascii="Times New Roman" w:hAnsi="Times New Roman" w:cs="Times New Roman"/>
                <w:b/>
                <w:bCs/>
                <w:sz w:val="20"/>
                <w:szCs w:val="20"/>
              </w:rPr>
            </w:pPr>
            <w:bookmarkStart w:id="0" w:name="OLE_LINK9" w:colFirst="0" w:colLast="3"/>
            <w:r>
              <w:rPr>
                <w:rFonts w:ascii="Times New Roman" w:hAnsi="Times New Roman" w:cs="Times New Roman"/>
                <w:b/>
                <w:bCs/>
                <w:sz w:val="20"/>
                <w:szCs w:val="20"/>
              </w:rPr>
              <w:t>Diet component</w:t>
            </w:r>
          </w:p>
        </w:tc>
        <w:tc>
          <w:tcPr>
            <w:tcW w:w="1690" w:type="dxa"/>
            <w:tcBorders>
              <w:bottom w:val="single" w:color="auto" w:sz="4" w:space="0"/>
            </w:tcBorders>
            <w:vAlign w:val="center"/>
          </w:tcPr>
          <w:p w14:paraId="5179F42C">
            <w:pPr>
              <w:keepLines w:val="0"/>
              <w:pageBreakBefore w:val="0"/>
              <w:kinsoku/>
              <w:overflowPunct/>
              <w:topLinePunct w:val="0"/>
              <w:autoSpaceDE/>
              <w:autoSpaceDN/>
              <w:bidi w:val="0"/>
              <w:adjustRightInd/>
              <w:snapToGrid/>
              <w:jc w:val="center"/>
              <w:textAlignment w:val="auto"/>
              <w:rPr>
                <w:rFonts w:ascii="Times New Roman" w:hAnsi="Times New Roman" w:cs="Times New Roman"/>
                <w:b/>
                <w:bCs/>
                <w:sz w:val="20"/>
                <w:szCs w:val="20"/>
              </w:rPr>
            </w:pPr>
            <w:r>
              <w:rPr>
                <w:rFonts w:ascii="Times New Roman" w:hAnsi="Times New Roman" w:cs="Times New Roman"/>
                <w:b/>
                <w:color w:val="000000" w:themeColor="text1"/>
                <w:sz w:val="20"/>
                <w:szCs w:val="20"/>
                <w14:textFill>
                  <w14:solidFill>
                    <w14:schemeClr w14:val="tx1"/>
                  </w14:solidFill>
                </w14:textFill>
              </w:rPr>
              <w:t>Intake goal</w:t>
            </w:r>
          </w:p>
        </w:tc>
        <w:tc>
          <w:tcPr>
            <w:tcW w:w="3646" w:type="dxa"/>
            <w:tcBorders>
              <w:bottom w:val="single" w:color="auto" w:sz="4" w:space="0"/>
            </w:tcBorders>
            <w:vAlign w:val="center"/>
          </w:tcPr>
          <w:p w14:paraId="4E992841">
            <w:pPr>
              <w:keepLines w:val="0"/>
              <w:pageBreakBefore w:val="0"/>
              <w:kinsoku/>
              <w:overflowPunct/>
              <w:topLinePunct w:val="0"/>
              <w:autoSpaceDE/>
              <w:autoSpaceDN/>
              <w:bidi w:val="0"/>
              <w:adjustRightInd/>
              <w:snapToGrid/>
              <w:jc w:val="center"/>
              <w:textAlignment w:val="auto"/>
              <w:rPr>
                <w:rFonts w:ascii="Times New Roman" w:hAnsi="Times New Roman" w:cs="Times New Roman"/>
                <w:b/>
                <w:bCs/>
                <w:sz w:val="20"/>
                <w:szCs w:val="20"/>
              </w:rPr>
            </w:pPr>
            <w:r>
              <w:rPr>
                <w:rFonts w:ascii="Times New Roman" w:hAnsi="Times New Roman" w:cs="Times New Roman"/>
                <w:b/>
                <w:bCs/>
                <w:sz w:val="20"/>
                <w:szCs w:val="20"/>
              </w:rPr>
              <w:t>Field lDs</w:t>
            </w:r>
          </w:p>
        </w:tc>
        <w:tc>
          <w:tcPr>
            <w:tcW w:w="2165" w:type="dxa"/>
            <w:tcBorders>
              <w:bottom w:val="single" w:color="auto" w:sz="4" w:space="0"/>
            </w:tcBorders>
            <w:vAlign w:val="center"/>
          </w:tcPr>
          <w:p w14:paraId="64AA3182">
            <w:pPr>
              <w:keepLines w:val="0"/>
              <w:pageBreakBefore w:val="0"/>
              <w:kinsoku/>
              <w:overflowPunct/>
              <w:topLinePunct w:val="0"/>
              <w:autoSpaceDE/>
              <w:autoSpaceDN/>
              <w:bidi w:val="0"/>
              <w:adjustRightInd/>
              <w:snapToGrid/>
              <w:jc w:val="center"/>
              <w:textAlignment w:val="auto"/>
              <w:rPr>
                <w:rFonts w:ascii="Times New Roman" w:hAnsi="Times New Roman" w:cs="Times New Roman"/>
                <w:b/>
                <w:bCs/>
                <w:sz w:val="20"/>
                <w:szCs w:val="20"/>
              </w:rPr>
            </w:pPr>
            <w:r>
              <w:rPr>
                <w:rFonts w:ascii="Times New Roman" w:hAnsi="Times New Roman" w:cs="Times New Roman"/>
                <w:b/>
                <w:bCs/>
                <w:sz w:val="20"/>
                <w:szCs w:val="20"/>
              </w:rPr>
              <w:t>Amount per serving</w:t>
            </w:r>
          </w:p>
        </w:tc>
      </w:tr>
      <w:tr w14:paraId="432747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7" w:type="dxa"/>
            <w:tcBorders>
              <w:top w:val="single" w:color="auto" w:sz="4" w:space="0"/>
            </w:tcBorders>
            <w:vAlign w:val="center"/>
          </w:tcPr>
          <w:p w14:paraId="0475929B">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Cs/>
                <w:color w:val="000000" w:themeColor="text1"/>
                <w:sz w:val="20"/>
                <w:szCs w:val="20"/>
                <w14:textFill>
                  <w14:solidFill>
                    <w14:schemeClr w14:val="tx1"/>
                  </w14:solidFill>
                </w14:textFill>
              </w:rPr>
              <w:t>Fruit</w:t>
            </w:r>
          </w:p>
        </w:tc>
        <w:tc>
          <w:tcPr>
            <w:tcW w:w="1690" w:type="dxa"/>
            <w:tcBorders>
              <w:top w:val="single" w:color="auto" w:sz="4" w:space="0"/>
            </w:tcBorders>
            <w:vAlign w:val="center"/>
          </w:tcPr>
          <w:p w14:paraId="2D85F9E2">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≥3 servings/day</w:t>
            </w:r>
          </w:p>
        </w:tc>
        <w:tc>
          <w:tcPr>
            <w:tcW w:w="3646" w:type="dxa"/>
            <w:tcBorders>
              <w:top w:val="single" w:color="auto" w:sz="4" w:space="0"/>
            </w:tcBorders>
            <w:vAlign w:val="center"/>
          </w:tcPr>
          <w:p w14:paraId="07D02813">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1309 (pieces fresh fruit/day)</w:t>
            </w:r>
          </w:p>
          <w:p w14:paraId="579E13A1">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1319 (pieces dried fruit/day)</w:t>
            </w:r>
          </w:p>
        </w:tc>
        <w:tc>
          <w:tcPr>
            <w:tcW w:w="2165" w:type="dxa"/>
            <w:tcBorders>
              <w:top w:val="single" w:color="auto" w:sz="4" w:space="0"/>
            </w:tcBorders>
            <w:vAlign w:val="center"/>
          </w:tcPr>
          <w:p w14:paraId="6663E034">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1309 - 1 piece</w:t>
            </w:r>
          </w:p>
          <w:p w14:paraId="209D0721">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1319 - 5 pieces</w:t>
            </w:r>
          </w:p>
        </w:tc>
      </w:tr>
      <w:tr w14:paraId="2DBCE3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7" w:type="dxa"/>
            <w:vAlign w:val="center"/>
          </w:tcPr>
          <w:p w14:paraId="54ED8F33">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Cs/>
                <w:color w:val="000000" w:themeColor="text1"/>
                <w:sz w:val="20"/>
                <w:szCs w:val="20"/>
                <w14:textFill>
                  <w14:solidFill>
                    <w14:schemeClr w14:val="tx1"/>
                  </w14:solidFill>
                </w14:textFill>
              </w:rPr>
              <w:t>Vegetable</w:t>
            </w:r>
          </w:p>
        </w:tc>
        <w:tc>
          <w:tcPr>
            <w:tcW w:w="1690" w:type="dxa"/>
            <w:vAlign w:val="center"/>
          </w:tcPr>
          <w:p w14:paraId="389B71BE">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≥3 servings/day</w:t>
            </w:r>
          </w:p>
        </w:tc>
        <w:tc>
          <w:tcPr>
            <w:tcW w:w="3646" w:type="dxa"/>
            <w:vAlign w:val="center"/>
          </w:tcPr>
          <w:p w14:paraId="3E67542D">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1289 (tablespoons cooked vegetables/day)</w:t>
            </w:r>
          </w:p>
          <w:p w14:paraId="1D150722">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1299 (salad/raw vegetables/day)</w:t>
            </w:r>
          </w:p>
        </w:tc>
        <w:tc>
          <w:tcPr>
            <w:tcW w:w="2165" w:type="dxa"/>
            <w:vAlign w:val="center"/>
          </w:tcPr>
          <w:p w14:paraId="4ABF7373">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3 heaped tablespoons</w:t>
            </w:r>
          </w:p>
        </w:tc>
      </w:tr>
      <w:tr w14:paraId="477721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7" w:type="dxa"/>
            <w:vAlign w:val="center"/>
          </w:tcPr>
          <w:p w14:paraId="42683F8F">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Cs/>
                <w:color w:val="000000" w:themeColor="text1"/>
                <w:sz w:val="20"/>
                <w:szCs w:val="20"/>
                <w14:textFill>
                  <w14:solidFill>
                    <w14:schemeClr w14:val="tx1"/>
                  </w14:solidFill>
                </w14:textFill>
              </w:rPr>
              <w:t>Whole grains</w:t>
            </w:r>
          </w:p>
        </w:tc>
        <w:tc>
          <w:tcPr>
            <w:tcW w:w="1690" w:type="dxa"/>
            <w:vAlign w:val="center"/>
          </w:tcPr>
          <w:p w14:paraId="345B3B33">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3 servings/day</w:t>
            </w:r>
          </w:p>
        </w:tc>
        <w:tc>
          <w:tcPr>
            <w:tcW w:w="3646" w:type="dxa"/>
            <w:vAlign w:val="center"/>
          </w:tcPr>
          <w:p w14:paraId="2AFADCBC">
            <w:pPr>
              <w:keepLines w:val="0"/>
              <w:pageBreakBefore w:val="0"/>
              <w:kinsoku/>
              <w:wordWrap w:val="0"/>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1438, 1448 (whole meal/whole grain bread</w:t>
            </w:r>
          </w:p>
          <w:p w14:paraId="74F2DD87">
            <w:pPr>
              <w:keepLines w:val="0"/>
              <w:pageBreakBefore w:val="0"/>
              <w:kinsoku/>
              <w:wordWrap w:val="0"/>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slices/week)</w:t>
            </w:r>
          </w:p>
          <w:p w14:paraId="24297DF4">
            <w:pPr>
              <w:keepLines w:val="0"/>
              <w:pageBreakBefore w:val="0"/>
              <w:kinsoku/>
              <w:wordWrap w:val="0"/>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1458, 1468 (bran/oat/muesli cereal bowls/week)</w:t>
            </w:r>
          </w:p>
        </w:tc>
        <w:tc>
          <w:tcPr>
            <w:tcW w:w="2165" w:type="dxa"/>
            <w:vAlign w:val="center"/>
          </w:tcPr>
          <w:p w14:paraId="66D1C17F">
            <w:pPr>
              <w:keepLines w:val="0"/>
              <w:pageBreakBefore w:val="0"/>
              <w:kinsoku/>
              <w:wordWrap w:val="0"/>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1438/1448 - 1 slice/day</w:t>
            </w:r>
          </w:p>
          <w:p w14:paraId="17F90665">
            <w:pPr>
              <w:keepLines w:val="0"/>
              <w:pageBreakBefore w:val="0"/>
              <w:kinsoku/>
              <w:wordWrap w:val="0"/>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1458/1468 - 1 bowl/day</w:t>
            </w:r>
          </w:p>
        </w:tc>
      </w:tr>
      <w:tr w14:paraId="12A8F1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7" w:type="dxa"/>
            <w:vAlign w:val="center"/>
          </w:tcPr>
          <w:p w14:paraId="40544457">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Cs/>
                <w:color w:val="000000" w:themeColor="text1"/>
                <w:sz w:val="20"/>
                <w:szCs w:val="20"/>
                <w14:textFill>
                  <w14:solidFill>
                    <w14:schemeClr w14:val="tx1"/>
                  </w14:solidFill>
                </w14:textFill>
              </w:rPr>
              <w:t>(Shell)fish</w:t>
            </w:r>
          </w:p>
        </w:tc>
        <w:tc>
          <w:tcPr>
            <w:tcW w:w="1690" w:type="dxa"/>
            <w:vAlign w:val="center"/>
          </w:tcPr>
          <w:p w14:paraId="7BCE8A8E">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≥2 servings/day</w:t>
            </w:r>
          </w:p>
        </w:tc>
        <w:tc>
          <w:tcPr>
            <w:tcW w:w="3646" w:type="dxa"/>
            <w:vAlign w:val="center"/>
          </w:tcPr>
          <w:p w14:paraId="3DA65855">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1329 (oily fish/week)</w:t>
            </w:r>
          </w:p>
          <w:p w14:paraId="31977A57">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1339 (non-oily fish/week)</w:t>
            </w:r>
          </w:p>
        </w:tc>
        <w:tc>
          <w:tcPr>
            <w:tcW w:w="2165" w:type="dxa"/>
            <w:vAlign w:val="center"/>
          </w:tcPr>
          <w:p w14:paraId="1B3D1DB2">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Once/week</w:t>
            </w:r>
          </w:p>
        </w:tc>
      </w:tr>
      <w:tr w14:paraId="7DFE04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7" w:type="dxa"/>
            <w:vAlign w:val="center"/>
          </w:tcPr>
          <w:p w14:paraId="76358E0A">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Cs/>
                <w:color w:val="000000" w:themeColor="text1"/>
                <w:sz w:val="20"/>
                <w:szCs w:val="20"/>
                <w14:textFill>
                  <w14:solidFill>
                    <w14:schemeClr w14:val="tx1"/>
                  </w14:solidFill>
                </w14:textFill>
              </w:rPr>
              <w:t>Vegetable oils</w:t>
            </w:r>
          </w:p>
        </w:tc>
        <w:tc>
          <w:tcPr>
            <w:tcW w:w="1690" w:type="dxa"/>
            <w:vAlign w:val="center"/>
          </w:tcPr>
          <w:p w14:paraId="7F97068C">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2-6servings/day</w:t>
            </w:r>
          </w:p>
        </w:tc>
        <w:tc>
          <w:tcPr>
            <w:tcW w:w="3646" w:type="dxa"/>
            <w:vAlign w:val="center"/>
          </w:tcPr>
          <w:p w14:paraId="5FE31EDF">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1428 (Flora Pro-Active/Benecol spread)</w:t>
            </w:r>
          </w:p>
          <w:p w14:paraId="27242E26">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2654 (Flora Pro-Active/Benecol, soft margarine olive oil based -,</w:t>
            </w:r>
          </w:p>
          <w:p w14:paraId="320B392E">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polyunsaturated/sunflower oil based -, other low/reduced fat spread)</w:t>
            </w:r>
          </w:p>
          <w:p w14:paraId="739D5739">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1438 (bread slices/week)</w:t>
            </w:r>
          </w:p>
        </w:tc>
        <w:tc>
          <w:tcPr>
            <w:tcW w:w="2165" w:type="dxa"/>
            <w:vAlign w:val="center"/>
          </w:tcPr>
          <w:p w14:paraId="76282AC7">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 serving/day if in combination with eating at least 2 slices of bread (ID 1438)</w:t>
            </w:r>
          </w:p>
        </w:tc>
      </w:tr>
      <w:tr w14:paraId="75598F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7" w:type="dxa"/>
            <w:vAlign w:val="center"/>
          </w:tcPr>
          <w:p w14:paraId="150F38C9">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Cs/>
                <w:color w:val="000000" w:themeColor="text1"/>
                <w:sz w:val="20"/>
                <w:szCs w:val="20"/>
                <w14:textFill>
                  <w14:solidFill>
                    <w14:schemeClr w14:val="tx1"/>
                  </w14:solidFill>
                </w14:textFill>
              </w:rPr>
              <w:t>Dairy</w:t>
            </w:r>
          </w:p>
        </w:tc>
        <w:tc>
          <w:tcPr>
            <w:tcW w:w="1690" w:type="dxa"/>
            <w:vAlign w:val="center"/>
          </w:tcPr>
          <w:p w14:paraId="04023E48">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2-3 servings/day</w:t>
            </w:r>
          </w:p>
        </w:tc>
        <w:tc>
          <w:tcPr>
            <w:tcW w:w="3646" w:type="dxa"/>
            <w:vAlign w:val="center"/>
          </w:tcPr>
          <w:p w14:paraId="651BF9AA">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1408 (cheese/week)</w:t>
            </w:r>
          </w:p>
          <w:p w14:paraId="7D45E0B8">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1418 (milk type)</w:t>
            </w:r>
          </w:p>
        </w:tc>
        <w:tc>
          <w:tcPr>
            <w:tcW w:w="2165" w:type="dxa"/>
            <w:vAlign w:val="center"/>
          </w:tcPr>
          <w:p w14:paraId="7CCAFD9C">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1408 - 1 piece/day</w:t>
            </w:r>
          </w:p>
          <w:p w14:paraId="127032CD">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1418 - 1 glass/day if consumption of anytype of milk</w:t>
            </w:r>
          </w:p>
        </w:tc>
      </w:tr>
      <w:tr w14:paraId="1FF5F3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7" w:type="dxa"/>
            <w:vAlign w:val="center"/>
          </w:tcPr>
          <w:p w14:paraId="07F4674D">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Cs/>
                <w:color w:val="000000" w:themeColor="text1"/>
                <w:sz w:val="20"/>
                <w:szCs w:val="20"/>
                <w14:textFill>
                  <w14:solidFill>
                    <w14:schemeClr w14:val="tx1"/>
                  </w14:solidFill>
                </w14:textFill>
              </w:rPr>
              <w:t>Refined grains</w:t>
            </w:r>
          </w:p>
        </w:tc>
        <w:tc>
          <w:tcPr>
            <w:tcW w:w="1690" w:type="dxa"/>
            <w:vAlign w:val="center"/>
          </w:tcPr>
          <w:p w14:paraId="462B9890">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≤2 servings/day</w:t>
            </w:r>
          </w:p>
        </w:tc>
        <w:tc>
          <w:tcPr>
            <w:tcW w:w="3646" w:type="dxa"/>
            <w:vAlign w:val="center"/>
          </w:tcPr>
          <w:p w14:paraId="1188B0DF">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1438,1448 (white, brown, other bread slices/week)</w:t>
            </w:r>
          </w:p>
          <w:p w14:paraId="43F60559">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1458,1468 (biscuit, other cereals/week)</w:t>
            </w:r>
          </w:p>
        </w:tc>
        <w:tc>
          <w:tcPr>
            <w:tcW w:w="2165" w:type="dxa"/>
            <w:vAlign w:val="center"/>
          </w:tcPr>
          <w:p w14:paraId="5037F2DC">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1438/1448 - 1 slice/day</w:t>
            </w:r>
          </w:p>
          <w:p w14:paraId="0D6CBF5C">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1458/1468 - 1 bowl/day</w:t>
            </w:r>
          </w:p>
        </w:tc>
      </w:tr>
      <w:tr w14:paraId="538921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7" w:type="dxa"/>
            <w:vAlign w:val="center"/>
          </w:tcPr>
          <w:p w14:paraId="3983CABB">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Cs/>
                <w:color w:val="000000" w:themeColor="text1"/>
                <w:sz w:val="20"/>
                <w:szCs w:val="20"/>
                <w14:textFill>
                  <w14:solidFill>
                    <w14:schemeClr w14:val="tx1"/>
                  </w14:solidFill>
                </w14:textFill>
              </w:rPr>
              <w:t>Processed meats</w:t>
            </w:r>
          </w:p>
        </w:tc>
        <w:tc>
          <w:tcPr>
            <w:tcW w:w="1690" w:type="dxa"/>
            <w:vAlign w:val="center"/>
          </w:tcPr>
          <w:p w14:paraId="10054825">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 servings/day</w:t>
            </w:r>
          </w:p>
        </w:tc>
        <w:tc>
          <w:tcPr>
            <w:tcW w:w="3646" w:type="dxa"/>
            <w:vAlign w:val="center"/>
          </w:tcPr>
          <w:p w14:paraId="35AD6F9C">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1349 (processed meat/week or daily)</w:t>
            </w:r>
          </w:p>
          <w:p w14:paraId="599F880A">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3680 (age when last ate meat)</w:t>
            </w:r>
          </w:p>
        </w:tc>
        <w:tc>
          <w:tcPr>
            <w:tcW w:w="2165" w:type="dxa"/>
            <w:vAlign w:val="center"/>
          </w:tcPr>
          <w:p w14:paraId="5832D5B4">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1349 - 1 piece/day</w:t>
            </w:r>
          </w:p>
          <w:p w14:paraId="313D2DB6">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3680 - 0 pieces/day if indicated having</w:t>
            </w:r>
          </w:p>
          <w:p w14:paraId="130F785C">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never eaten meat</w:t>
            </w:r>
          </w:p>
        </w:tc>
      </w:tr>
      <w:tr w14:paraId="409562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7" w:type="dxa"/>
            <w:vAlign w:val="center"/>
          </w:tcPr>
          <w:p w14:paraId="4EDF171C">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Cs/>
                <w:color w:val="000000" w:themeColor="text1"/>
                <w:sz w:val="20"/>
                <w:szCs w:val="20"/>
                <w14:textFill>
                  <w14:solidFill>
                    <w14:schemeClr w14:val="tx1"/>
                  </w14:solidFill>
                </w14:textFill>
              </w:rPr>
              <w:t>Unprocessed meats</w:t>
            </w:r>
          </w:p>
        </w:tc>
        <w:tc>
          <w:tcPr>
            <w:tcW w:w="1690" w:type="dxa"/>
            <w:vAlign w:val="center"/>
          </w:tcPr>
          <w:p w14:paraId="5F867EC3">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≤2 servings/day</w:t>
            </w:r>
          </w:p>
        </w:tc>
        <w:tc>
          <w:tcPr>
            <w:tcW w:w="3646" w:type="dxa"/>
            <w:vAlign w:val="center"/>
          </w:tcPr>
          <w:p w14:paraId="45B9E6C4">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1359 (poultry/week or day)</w:t>
            </w:r>
          </w:p>
          <w:p w14:paraId="07D6C493">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1369 (beef/week or day)</w:t>
            </w:r>
          </w:p>
          <w:p w14:paraId="553FE6EF">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1379 (lamb or mutton/week or day)</w:t>
            </w:r>
          </w:p>
          <w:p w14:paraId="0F8B4D1F">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1389 (pork/week or day)</w:t>
            </w:r>
          </w:p>
          <w:p w14:paraId="6E1A601F">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3680 (age when last ate meat)</w:t>
            </w:r>
          </w:p>
        </w:tc>
        <w:tc>
          <w:tcPr>
            <w:tcW w:w="2165" w:type="dxa"/>
            <w:vAlign w:val="center"/>
          </w:tcPr>
          <w:p w14:paraId="04E67881">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1359-1389 - once/week</w:t>
            </w:r>
          </w:p>
          <w:p w14:paraId="18A9AE6E">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3680 - 0 pieces/day if indicated having never eaten meat</w:t>
            </w:r>
          </w:p>
        </w:tc>
      </w:tr>
      <w:tr w14:paraId="6B1D5D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7" w:type="dxa"/>
            <w:vAlign w:val="center"/>
          </w:tcPr>
          <w:p w14:paraId="3E026FA1">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Cs/>
                <w:color w:val="000000" w:themeColor="text1"/>
                <w:sz w:val="20"/>
                <w:szCs w:val="20"/>
                <w14:textFill>
                  <w14:solidFill>
                    <w14:schemeClr w14:val="tx1"/>
                  </w14:solidFill>
                </w14:textFill>
              </w:rPr>
              <w:t>Sugar-sweetened</w:t>
            </w:r>
          </w:p>
        </w:tc>
        <w:tc>
          <w:tcPr>
            <w:tcW w:w="1690" w:type="dxa"/>
            <w:vAlign w:val="center"/>
          </w:tcPr>
          <w:p w14:paraId="7E813B6A">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Don't drink</w:t>
            </w:r>
          </w:p>
        </w:tc>
        <w:tc>
          <w:tcPr>
            <w:tcW w:w="3646" w:type="dxa"/>
            <w:vAlign w:val="center"/>
          </w:tcPr>
          <w:p w14:paraId="3ED16019">
            <w:pPr>
              <w:keepLines w:val="0"/>
              <w:pageBreakBefore w:val="0"/>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rPr>
              <w:t>6144 (never consumes drinks containing sugar)</w:t>
            </w:r>
          </w:p>
        </w:tc>
        <w:tc>
          <w:tcPr>
            <w:tcW w:w="2165" w:type="dxa"/>
            <w:vAlign w:val="center"/>
          </w:tcPr>
          <w:p w14:paraId="01606C0A">
            <w:pPr>
              <w:keepLines w:val="0"/>
              <w:pageBreakBefore w:val="0"/>
              <w:widowControl/>
              <w:kinsoku/>
              <w:overflowPunct/>
              <w:topLinePunct w:val="0"/>
              <w:autoSpaceDE/>
              <w:autoSpaceDN/>
              <w:bidi w:val="0"/>
              <w:adjustRightInd/>
              <w:snapToGrid/>
              <w:jc w:val="center"/>
              <w:textAlignment w:val="auto"/>
              <w:rPr>
                <w:rFonts w:ascii="Times New Roman" w:hAnsi="Times New Roman" w:cs="Times New Roman"/>
                <w:sz w:val="20"/>
                <w:szCs w:val="20"/>
              </w:rPr>
            </w:pPr>
            <w:r>
              <w:rPr>
                <w:rFonts w:ascii="Times New Roman" w:hAnsi="Times New Roman" w:cs="Times New Roman"/>
                <w:sz w:val="20"/>
                <w:szCs w:val="20"/>
                <w:lang w:bidi="ar"/>
              </w:rPr>
              <w:t>Only 0 servings were possible here.</w:t>
            </w:r>
          </w:p>
        </w:tc>
      </w:tr>
      <w:bookmarkEnd w:id="0"/>
    </w:tbl>
    <w:p w14:paraId="609E94FA">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3EC620F3">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hint="eastAsia" w:ascii="Times New Roman" w:hAnsi="Times New Roman" w:cs="Times New Roman"/>
          <w:b/>
          <w:bCs/>
          <w:sz w:val="20"/>
          <w:szCs w:val="20"/>
        </w:rPr>
        <w:t xml:space="preserve">Physical activity: </w:t>
      </w:r>
      <w:r>
        <w:rPr>
          <w:rFonts w:hint="eastAsia" w:ascii="Times New Roman" w:hAnsi="Times New Roman" w:cs="Times New Roman"/>
          <w:sz w:val="20"/>
          <w:szCs w:val="20"/>
        </w:rPr>
        <w:t>Physical activity was assessed using adapted questions from the short-form International Physical Activity Questionnaire</w:t>
      </w:r>
      <w:r>
        <w:rPr>
          <w:rFonts w:hint="eastAsia" w:ascii="Times New Roman" w:hAnsi="Times New Roman" w:cs="Times New Roman"/>
          <w:b/>
          <w:bCs/>
          <w:sz w:val="20"/>
          <w:szCs w:val="20"/>
        </w:rPr>
        <w:fldChar w:fldCharType="begin"/>
      </w:r>
      <w:r>
        <w:rPr>
          <w:rFonts w:hint="eastAsia" w:ascii="Times New Roman" w:hAnsi="Times New Roman" w:cs="Times New Roman"/>
          <w:b/>
          <w:bCs/>
          <w:sz w:val="20"/>
          <w:szCs w:val="20"/>
          <w:lang w:eastAsia="zh-CN"/>
        </w:rPr>
        <w:instrText xml:space="preserve"> ADDIN EN.CITE </w:instrText>
      </w:r>
      <w:r>
        <w:rPr>
          <w:rFonts w:hint="eastAsia" w:ascii="Times New Roman" w:hAnsi="Times New Roman" w:cs="Times New Roman"/>
          <w:b/>
          <w:bCs/>
          <w:sz w:val="20"/>
          <w:szCs w:val="20"/>
          <w:lang w:eastAsia="zh-CN"/>
        </w:rPr>
        <w:fldChar w:fldCharType="begin">
          <w:fldData xml:space="preserve">PEVuZE5vdGU+PENpdGU+PEF1dGhvcj5DcmFpZzwvQXV0aG9yPjxZZWFyPjIwMDM8L1llYXI+PFJl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</w:fldData>
        </w:fldChar>
      </w:r>
      <w:r>
        <w:rPr>
          <w:rFonts w:hint="eastAsia" w:ascii="Times New Roman" w:hAnsi="Times New Roman" w:cs="Times New Roman"/>
          <w:b/>
          <w:bCs/>
          <w:sz w:val="20"/>
          <w:szCs w:val="20"/>
          <w:lang w:eastAsia="zh-CN"/>
        </w:rPr>
        <w:instrText xml:space="preserve"> ADDIN EN.CITE.DATA </w:instrText>
      </w:r>
      <w:r>
        <w:rPr>
          <w:rFonts w:hint="eastAsia" w:ascii="Times New Roman" w:hAnsi="Times New Roman" w:cs="Times New Roman"/>
          <w:b/>
          <w:bCs/>
          <w:sz w:val="20"/>
          <w:szCs w:val="20"/>
          <w:lang w:eastAsia="zh-CN"/>
        </w:rPr>
        <w:fldChar w:fldCharType="separate"/>
      </w:r>
      <w:r>
        <w:rPr>
          <w:rFonts w:hint="eastAsia" w:ascii="Times New Roman" w:hAnsi="Times New Roman" w:cs="Times New Roman"/>
          <w:b/>
          <w:bCs/>
          <w:sz w:val="20"/>
          <w:szCs w:val="20"/>
          <w:lang w:eastAsia="zh-CN"/>
        </w:rPr>
        <w:fldChar w:fldCharType="end"/>
      </w:r>
      <w:r>
        <w:rPr>
          <w:rFonts w:hint="eastAsia" w:ascii="Times New Roman" w:hAnsi="Times New Roman" w:cs="Times New Roman"/>
          <w:b/>
          <w:bCs/>
          <w:sz w:val="20"/>
          <w:szCs w:val="20"/>
        </w:rPr>
        <w:fldChar w:fldCharType="separate"/>
      </w:r>
      <w:r>
        <w:rPr>
          <w:rFonts w:hint="eastAsia" w:ascii="Times New Roman" w:hAnsi="Times New Roman" w:cs="Times New Roman" w:eastAsiaTheme="minorEastAsia"/>
          <w:b/>
          <w:bCs/>
          <w:kern w:val="2"/>
          <w:sz w:val="20"/>
          <w:szCs w:val="20"/>
          <w:vertAlign w:val="superscript"/>
          <w:lang w:val="en-US" w:eastAsia="zh-CN" w:bidi="ar-SA"/>
        </w:rPr>
        <w:t>[6]</w:t>
      </w:r>
      <w:r>
        <w:rPr>
          <w:rFonts w:hint="eastAsia" w:ascii="Times New Roman" w:hAnsi="Times New Roman" w:cs="Times New Roman"/>
          <w:b/>
          <w:bCs/>
          <w:sz w:val="20"/>
          <w:szCs w:val="20"/>
        </w:rPr>
        <w:fldChar w:fldCharType="end"/>
      </w:r>
      <w:r>
        <w:rPr>
          <w:rFonts w:hint="eastAsia" w:ascii="Times New Roman" w:hAnsi="Times New Roman" w:cs="Times New Roman"/>
          <w:sz w:val="20"/>
          <w:szCs w:val="20"/>
        </w:rPr>
        <w:t xml:space="preserve">. Participants were asked to report the frequency and duration of walking, moderate physical activity, and vigorous physical activity during a typical week. Specifically, participants were asked: </w:t>
      </w:r>
      <w:r>
        <w:rPr>
          <w:rFonts w:ascii="Times New Roman" w:hAnsi="Times New Roman" w:cs="Times New Roman"/>
          <w:sz w:val="20"/>
          <w:szCs w:val="20"/>
        </w:rPr>
        <w:t>(1) "In a typical WEEK, on how many days did you walk for at least 10 minutes at a time?" and "How many minutes did you usually spend walking on a typical DAY?"; (2) "In a typical WEEK, on how many days did you do 10 minutes or more of moderate physical activities like carrying light loads, cycling at normal pace? (Do not include walking)" and "How many minutes did you usually spend doing moderate activities on a typical DAY?"; and (3) "In a typical WEEK, how many days did you do 10 minutes or more of vigorous physical activity? (These are activities that make you sweat or breathe hard such as fast cycling, aerobics, heavy lifting)" and "How many minutes did you usually spend doing vigorous activities on a typical DAY?". The total weekly minutes of moderate-to-vigorous physical activity were calculated, and metabolic equivalent of task (MET)-minutes/week were derived according to standard IPAQ scoring protocols. Participants with ≥600 MET-min/week of moderate-to-vigorous physical activity were considered to have sufficient physical activity (healthy); those with &lt;600 MET-min/week were considered insufficient (unhealthy)</w:t>
      </w:r>
      <w:r>
        <w:rPr>
          <w:rFonts w:ascii="Times New Roman" w:hAnsi="Times New Roman" w:cs="Times New Roman"/>
          <w:b/>
          <w:bCs/>
          <w:sz w:val="20"/>
          <w:szCs w:val="20"/>
        </w:rPr>
        <w:fldChar w:fldCharType="begin"/>
      </w:r>
      <w:r>
        <w:rPr>
          <w:rFonts w:hint="eastAsia" w:ascii="Times New Roman" w:hAnsi="Times New Roman" w:cs="Times New Roman"/>
          <w:b/>
          <w:bCs/>
          <w:sz w:val="20"/>
          <w:szCs w:val="20"/>
          <w:lang w:eastAsia="zh-CN"/>
        </w:rPr>
        <w:instrText xml:space="preserve"> ADDIN EN.CITE </w:instrText>
      </w:r>
      <w:r>
        <w:rPr>
          <w:rFonts w:hint="eastAsia" w:ascii="Times New Roman" w:hAnsi="Times New Roman" w:cs="Times New Roman"/>
          <w:b/>
          <w:bCs/>
          <w:sz w:val="20"/>
          <w:szCs w:val="20"/>
          <w:lang w:eastAsia="zh-CN"/>
        </w:rPr>
        <w:fldChar w:fldCharType="begin">
          <w:fldData xml:space="preserve">PEVuZE5vdGU+PENpdGU+PEF1dGhvcj5DaHVkYXNhbWE8L0F1dGhvcj48WWVhcj4yMDE5PC9ZZWFy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=
</w:fldData>
        </w:fldChar>
      </w:r>
      <w:r>
        <w:rPr>
          <w:rFonts w:hint="eastAsia" w:ascii="Times New Roman" w:hAnsi="Times New Roman" w:cs="Times New Roman"/>
          <w:b/>
          <w:bCs/>
          <w:sz w:val="20"/>
          <w:szCs w:val="20"/>
          <w:lang w:eastAsia="zh-CN"/>
        </w:rPr>
        <w:instrText xml:space="preserve"> ADDIN EN.CITE.DATA </w:instrText>
      </w:r>
      <w:r>
        <w:rPr>
          <w:rFonts w:hint="eastAsia" w:ascii="Times New Roman" w:hAnsi="Times New Roman" w:cs="Times New Roman"/>
          <w:b/>
          <w:bCs/>
          <w:sz w:val="20"/>
          <w:szCs w:val="20"/>
          <w:lang w:eastAsia="zh-CN"/>
        </w:rPr>
        <w:fldChar w:fldCharType="separate"/>
      </w:r>
      <w:r>
        <w:rPr>
          <w:rFonts w:hint="eastAsia" w:ascii="Times New Roman" w:hAnsi="Times New Roman" w:cs="Times New Roman"/>
          <w:b/>
          <w:bCs/>
          <w:sz w:val="20"/>
          <w:szCs w:val="20"/>
          <w:lang w:eastAsia="zh-CN"/>
        </w:rPr>
        <w:fldChar w:fldCharType="end"/>
      </w:r>
      <w:r>
        <w:rPr>
          <w:rFonts w:ascii="Times New Roman" w:hAnsi="Times New Roman" w:cs="Times New Roman"/>
          <w:b/>
          <w:bCs/>
          <w:sz w:val="20"/>
          <w:szCs w:val="20"/>
        </w:rPr>
        <w:fldChar w:fldCharType="separate"/>
      </w:r>
      <w:r>
        <w:rPr>
          <w:rFonts w:hint="eastAsia" w:ascii="Times New Roman" w:hAnsi="Times New Roman" w:cs="Times New Roman" w:eastAsiaTheme="minorEastAsia"/>
          <w:b/>
          <w:bCs/>
          <w:kern w:val="2"/>
          <w:sz w:val="20"/>
          <w:szCs w:val="20"/>
          <w:vertAlign w:val="superscript"/>
          <w:lang w:val="en-US" w:eastAsia="zh-CN" w:bidi="ar-SA"/>
        </w:rPr>
        <w:t>[7]</w:t>
      </w:r>
      <w:r>
        <w:rPr>
          <w:rFonts w:ascii="Times New Roman" w:hAnsi="Times New Roman" w:cs="Times New Roman"/>
          <w:b/>
          <w:bCs/>
          <w:sz w:val="20"/>
          <w:szCs w:val="20"/>
        </w:rPr>
        <w:fldChar w:fldCharType="end"/>
      </w:r>
      <w:r>
        <w:rPr>
          <w:rFonts w:hint="eastAsia" w:ascii="Times New Roman" w:hAnsi="Times New Roman" w:cs="Times New Roman"/>
          <w:sz w:val="20"/>
          <w:szCs w:val="20"/>
        </w:rPr>
        <w:t>. In t</w:t>
      </w:r>
      <w:r>
        <w:rPr>
          <w:rFonts w:hint="eastAsia" w:ascii="Times New Roman" w:hAnsi="Times New Roman" w:cs="Times New Roman"/>
          <w:sz w:val="20"/>
          <w:szCs w:val="20"/>
          <w:lang w:val="en-US" w:eastAsia="zh-CN"/>
        </w:rPr>
        <w:t>his</w:t>
      </w:r>
      <w:r>
        <w:rPr>
          <w:rFonts w:hint="eastAsia" w:ascii="Times New Roman" w:hAnsi="Times New Roman" w:cs="Times New Roman"/>
          <w:sz w:val="20"/>
          <w:szCs w:val="20"/>
        </w:rPr>
        <w:t xml:space="preserve"> </w:t>
      </w:r>
      <w:r>
        <w:rPr>
          <w:rFonts w:hint="eastAsia" w:ascii="Times New Roman" w:hAnsi="Times New Roman" w:cs="Times New Roman"/>
          <w:sz w:val="20"/>
          <w:szCs w:val="20"/>
          <w:lang w:val="en-US" w:eastAsia="zh-CN"/>
        </w:rPr>
        <w:t>study</w:t>
      </w:r>
      <w:r>
        <w:rPr>
          <w:rFonts w:hint="eastAsia" w:ascii="Times New Roman" w:hAnsi="Times New Roman" w:cs="Times New Roman"/>
          <w:sz w:val="20"/>
          <w:szCs w:val="20"/>
        </w:rPr>
        <w:t>, participants with insufficient physical activity (unhealthy) served as the reference category.</w:t>
      </w:r>
    </w:p>
    <w:p w14:paraId="51EAD3DB">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38CE60A2">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
          <w:bCs/>
          <w:sz w:val="20"/>
          <w:szCs w:val="20"/>
        </w:rPr>
        <w:t>Sleep duration</w:t>
      </w:r>
      <w:r>
        <w:rPr>
          <w:rFonts w:ascii="Times New Roman" w:hAnsi="Times New Roman" w:cs="Times New Roman"/>
          <w:sz w:val="20"/>
          <w:szCs w:val="20"/>
        </w:rPr>
        <w:t>:</w:t>
      </w:r>
      <w:r>
        <w:rPr>
          <w:rFonts w:ascii="Times New Roman" w:hAnsi="Times New Roman" w:cs="Times New Roman"/>
          <w:b/>
          <w:bCs/>
          <w:sz w:val="20"/>
          <w:szCs w:val="20"/>
        </w:rPr>
        <w:t xml:space="preserve"> </w:t>
      </w:r>
      <w:r>
        <w:rPr>
          <w:rFonts w:ascii="Times New Roman" w:hAnsi="Times New Roman" w:cs="Times New Roman"/>
          <w:sz w:val="20"/>
          <w:szCs w:val="20"/>
        </w:rPr>
        <w:t>Sleep duration was assessed by asking participants: "About how many hours sleep do you get in every 24 hours? (including naps)", with responses recorded as integer values. Adequate sleep duration (6–8 hours/day) was defined as healthy sleep; short sleep (≤6 hours/day) or long sleep (&gt;8 hours/day) was defined as unhealthy sleep</w:t>
      </w:r>
      <w:r>
        <w:rPr>
          <w:rFonts w:ascii="Times New Roman" w:hAnsi="Times New Roman" w:cs="Times New Roman"/>
          <w:b/>
          <w:bCs/>
          <w:sz w:val="20"/>
          <w:szCs w:val="20"/>
        </w:rPr>
        <w:fldChar w:fldCharType="begin"/>
      </w:r>
      <w:r>
        <w:rPr>
          <w:rFonts w:hint="eastAsia" w:ascii="Times New Roman" w:hAnsi="Times New Roman" w:cs="Times New Roman"/>
          <w:b/>
          <w:bCs/>
          <w:sz w:val="20"/>
          <w:szCs w:val="20"/>
          <w:lang w:eastAsia="zh-CN"/>
        </w:rPr>
        <w:instrText xml:space="preserve"> ADDIN EN.CITE </w:instrText>
      </w:r>
      <w:r>
        <w:rPr>
          <w:rFonts w:hint="eastAsia" w:ascii="Times New Roman" w:hAnsi="Times New Roman" w:cs="Times New Roman"/>
          <w:b/>
          <w:bCs/>
          <w:sz w:val="20"/>
          <w:szCs w:val="20"/>
          <w:lang w:eastAsia="zh-CN"/>
        </w:rPr>
        <w:fldChar w:fldCharType="begin">
          <w:fldData xml:space="preserve">PEVuZE5vdGU+PENpdGU+PEF1dGhvcj5XYW5nPC9BdXRob3I+PFllYXI+MjAxOTwvWWVhcj48UmVj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=
</w:fldData>
        </w:fldChar>
      </w:r>
      <w:r>
        <w:rPr>
          <w:rFonts w:hint="eastAsia" w:ascii="Times New Roman" w:hAnsi="Times New Roman" w:cs="Times New Roman"/>
          <w:b/>
          <w:bCs/>
          <w:sz w:val="20"/>
          <w:szCs w:val="20"/>
          <w:lang w:eastAsia="zh-CN"/>
        </w:rPr>
        <w:instrText xml:space="preserve"> ADDIN EN.CITE.DATA </w:instrText>
      </w:r>
      <w:r>
        <w:rPr>
          <w:rFonts w:hint="eastAsia" w:ascii="Times New Roman" w:hAnsi="Times New Roman" w:cs="Times New Roman"/>
          <w:b/>
          <w:bCs/>
          <w:sz w:val="20"/>
          <w:szCs w:val="20"/>
          <w:lang w:eastAsia="zh-CN"/>
        </w:rPr>
        <w:fldChar w:fldCharType="separate"/>
      </w:r>
      <w:r>
        <w:rPr>
          <w:rFonts w:hint="eastAsia" w:ascii="Times New Roman" w:hAnsi="Times New Roman" w:cs="Times New Roman"/>
          <w:b/>
          <w:bCs/>
          <w:sz w:val="20"/>
          <w:szCs w:val="20"/>
          <w:lang w:eastAsia="zh-CN"/>
        </w:rPr>
        <w:fldChar w:fldCharType="end"/>
      </w:r>
      <w:r>
        <w:rPr>
          <w:rFonts w:ascii="Times New Roman" w:hAnsi="Times New Roman" w:cs="Times New Roman"/>
          <w:b/>
          <w:bCs/>
          <w:sz w:val="20"/>
          <w:szCs w:val="20"/>
        </w:rPr>
        <w:fldChar w:fldCharType="separate"/>
      </w:r>
      <w:r>
        <w:rPr>
          <w:rFonts w:hint="eastAsia" w:ascii="Times New Roman" w:hAnsi="Times New Roman" w:cs="Times New Roman" w:eastAsiaTheme="minorEastAsia"/>
          <w:b/>
          <w:bCs/>
          <w:kern w:val="2"/>
          <w:sz w:val="20"/>
          <w:szCs w:val="20"/>
          <w:vertAlign w:val="superscript"/>
          <w:lang w:val="en-US" w:eastAsia="zh-CN" w:bidi="ar-SA"/>
        </w:rPr>
        <w:t>[8]</w:t>
      </w:r>
      <w:r>
        <w:rPr>
          <w:rFonts w:ascii="Times New Roman" w:hAnsi="Times New Roman" w:cs="Times New Roman"/>
          <w:b/>
          <w:bCs/>
          <w:sz w:val="20"/>
          <w:szCs w:val="20"/>
        </w:rPr>
        <w:fldChar w:fldCharType="end"/>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In the analysis, short sleep (≤6 hours/day) served as the reference category.</w:t>
      </w:r>
    </w:p>
    <w:p w14:paraId="605E0C27">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474A0E1E">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hint="eastAsia" w:ascii="Times New Roman" w:hAnsi="Times New Roman" w:cs="Times New Roman"/>
          <w:b/>
          <w:bCs/>
          <w:sz w:val="20"/>
          <w:szCs w:val="20"/>
        </w:rPr>
        <w:t>Overall h</w:t>
      </w:r>
      <w:r>
        <w:rPr>
          <w:rFonts w:ascii="Times New Roman" w:hAnsi="Times New Roman" w:cs="Times New Roman"/>
          <w:b/>
          <w:bCs/>
          <w:sz w:val="20"/>
          <w:szCs w:val="20"/>
        </w:rPr>
        <w:t>ealthy lifestyle</w:t>
      </w:r>
      <w:r>
        <w:rPr>
          <w:rFonts w:hint="eastAsia" w:ascii="Times New Roman" w:hAnsi="Times New Roman" w:cs="Times New Roman"/>
          <w:sz w:val="20"/>
          <w:szCs w:val="20"/>
        </w:rPr>
        <w:t>: Each lifestyle factor was classified as healthy (1 point) or unhealthy (0 points). The total healthy lifestyle score was derived by summing the scores of the six factors, with a possible range of 0 to 6; higher scores indicated a healthier lifestyle.</w:t>
      </w:r>
      <w:r>
        <w:rPr>
          <w:rFonts w:hint="eastAsia" w:ascii="Times New Roman" w:hAnsi="Times New Roman" w:cs="Times New Roman"/>
          <w:sz w:val="20"/>
          <w:szCs w:val="20"/>
          <w:lang w:val="en-US" w:eastAsia="zh-CN"/>
        </w:rPr>
        <w:t xml:space="preserve"> </w:t>
      </w:r>
      <w:r>
        <w:rPr>
          <w:rFonts w:hint="eastAsia" w:ascii="Times New Roman" w:hAnsi="Times New Roman" w:cs="Times New Roman"/>
          <w:sz w:val="20"/>
          <w:szCs w:val="20"/>
        </w:rPr>
        <w:t>Participants were further divided into three groups according to the total score: low (0–2 points), moderate (3 points) and high (4–6 points). The low-score group (0–2 points) was set as the reference category.</w:t>
      </w:r>
    </w:p>
    <w:p w14:paraId="67B648E5">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556FD729">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7F0C7614">
      <w:pPr>
        <w:keepLines w:val="0"/>
        <w:pageBreakBefore w:val="0"/>
        <w:kinsoku/>
        <w:overflowPunct/>
        <w:topLinePunct w:val="0"/>
        <w:autoSpaceDE/>
        <w:autoSpaceDN/>
        <w:bidi w:val="0"/>
        <w:adjustRightInd/>
        <w:snapToGrid/>
        <w:textAlignment w:val="auto"/>
        <w:rPr>
          <w:rFonts w:ascii="Times New Roman" w:hAnsi="Times New Roman" w:cs="Times New Roman"/>
          <w:b/>
          <w:bCs/>
          <w:sz w:val="20"/>
          <w:szCs w:val="20"/>
        </w:rPr>
      </w:pPr>
      <w:r>
        <w:rPr>
          <w:rFonts w:ascii="Times New Roman" w:hAnsi="Times New Roman" w:cs="Times New Roman"/>
          <w:b/>
          <w:bCs/>
          <w:sz w:val="20"/>
          <w:szCs w:val="20"/>
        </w:rPr>
        <w:t>Assessment of Covariates</w:t>
      </w:r>
    </w:p>
    <w:p w14:paraId="1C1ACDA9">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4B50918E">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hint="eastAsia" w:ascii="Times New Roman" w:hAnsi="Times New Roman" w:cs="Times New Roman"/>
          <w:b/>
          <w:bCs/>
          <w:sz w:val="20"/>
          <w:szCs w:val="20"/>
        </w:rPr>
        <w:t>Race</w:t>
      </w:r>
      <w:r>
        <w:rPr>
          <w:rFonts w:ascii="Times New Roman" w:hAnsi="Times New Roman" w:cs="Times New Roman"/>
          <w:sz w:val="20"/>
          <w:szCs w:val="20"/>
        </w:rPr>
        <w:t xml:space="preserve">: </w:t>
      </w:r>
      <w:r>
        <w:rPr>
          <w:rFonts w:hint="eastAsia" w:ascii="Times New Roman" w:hAnsi="Times New Roman" w:cs="Times New Roman"/>
          <w:sz w:val="20"/>
          <w:szCs w:val="20"/>
        </w:rPr>
        <w:t>Race was categorized as White (including British, Irish, and any other white background) or Other (including mixed, Asian or Asian British, Black or Black British, Chinese, and other ethnic groups).</w:t>
      </w:r>
    </w:p>
    <w:p w14:paraId="6CECC129">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51BB3429">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
          <w:bCs/>
          <w:sz w:val="20"/>
          <w:szCs w:val="20"/>
        </w:rPr>
        <w:t>Townsend Deprivation Index</w:t>
      </w:r>
      <w:r>
        <w:rPr>
          <w:rFonts w:hint="eastAsia" w:ascii="Times New Roman" w:hAnsi="Times New Roman" w:cs="Times New Roman"/>
          <w:sz w:val="20"/>
          <w:szCs w:val="20"/>
        </w:rPr>
        <w:t xml:space="preserve">: </w:t>
      </w:r>
      <w:r>
        <w:rPr>
          <w:rFonts w:ascii="Times New Roman" w:hAnsi="Times New Roman" w:cs="Times New Roman"/>
          <w:sz w:val="20"/>
          <w:szCs w:val="20"/>
        </w:rPr>
        <w:t>served as a measure of area‑level socioeconomic deprivation, calculated from national census data based on participants‘ postcode of residence, with higher scores indicating greater deprivation</w:t>
      </w:r>
      <w:r>
        <w:rPr>
          <w:rFonts w:ascii="Times New Roman" w:hAnsi="Times New Roman" w:cs="Times New Roman"/>
          <w:b/>
          <w:bCs/>
          <w:sz w:val="20"/>
          <w:szCs w:val="20"/>
        </w:rPr>
        <w:fldChar w:fldCharType="begin"/>
      </w:r>
      <w:r>
        <w:rPr>
          <w:rFonts w:hint="eastAsia" w:ascii="Times New Roman" w:hAnsi="Times New Roman" w:cs="Times New Roman"/>
          <w:b/>
          <w:bCs/>
          <w:sz w:val="20"/>
          <w:szCs w:val="20"/>
          <w:lang w:eastAsia="zh-CN"/>
        </w:rPr>
        <w:instrText xml:space="preserve"> ADDIN EN.CITE </w:instrText>
      </w:r>
      <w:r>
        <w:rPr>
          <w:rFonts w:hint="eastAsia" w:ascii="Times New Roman" w:hAnsi="Times New Roman" w:cs="Times New Roman"/>
          <w:b/>
          <w:bCs/>
          <w:sz w:val="20"/>
          <w:szCs w:val="20"/>
          <w:lang w:eastAsia="zh-CN"/>
        </w:rPr>
        <w:fldChar w:fldCharType="begin">
          <w:fldData xml:space="preserve">PEVuZE5vdGU+PENpdGU+PEF1dGhvcj5LaW08L0F1dGhvcj48WWVhcj4yMDI0PC9ZZWFyPjxSZWNO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</w:fldData>
        </w:fldChar>
      </w:r>
      <w:r>
        <w:rPr>
          <w:rFonts w:hint="eastAsia" w:ascii="Times New Roman" w:hAnsi="Times New Roman" w:cs="Times New Roman"/>
          <w:b/>
          <w:bCs/>
          <w:sz w:val="20"/>
          <w:szCs w:val="20"/>
          <w:lang w:eastAsia="zh-CN"/>
        </w:rPr>
        <w:instrText xml:space="preserve"> ADDIN EN.CITE.DATA </w:instrText>
      </w:r>
      <w:r>
        <w:rPr>
          <w:rFonts w:hint="eastAsia" w:ascii="Times New Roman" w:hAnsi="Times New Roman" w:cs="Times New Roman"/>
          <w:b/>
          <w:bCs/>
          <w:sz w:val="20"/>
          <w:szCs w:val="20"/>
          <w:lang w:eastAsia="zh-CN"/>
        </w:rPr>
        <w:fldChar w:fldCharType="separate"/>
      </w:r>
      <w:r>
        <w:rPr>
          <w:rFonts w:hint="eastAsia" w:ascii="Times New Roman" w:hAnsi="Times New Roman" w:cs="Times New Roman"/>
          <w:b/>
          <w:bCs/>
          <w:sz w:val="20"/>
          <w:szCs w:val="20"/>
          <w:lang w:eastAsia="zh-CN"/>
        </w:rPr>
        <w:fldChar w:fldCharType="end"/>
      </w:r>
      <w:r>
        <w:rPr>
          <w:rFonts w:ascii="Times New Roman" w:hAnsi="Times New Roman" w:cs="Times New Roman"/>
          <w:b/>
          <w:bCs/>
          <w:sz w:val="20"/>
          <w:szCs w:val="20"/>
        </w:rPr>
        <w:fldChar w:fldCharType="separate"/>
      </w:r>
      <w:r>
        <w:rPr>
          <w:rFonts w:hint="eastAsia" w:ascii="Times New Roman" w:hAnsi="Times New Roman" w:cs="Times New Roman" w:eastAsiaTheme="minorEastAsia"/>
          <w:b/>
          <w:bCs/>
          <w:kern w:val="2"/>
          <w:sz w:val="20"/>
          <w:szCs w:val="20"/>
          <w:vertAlign w:val="superscript"/>
          <w:lang w:val="en-US" w:eastAsia="zh-CN" w:bidi="ar-SA"/>
        </w:rPr>
        <w:t>[9]</w:t>
      </w:r>
      <w:r>
        <w:rPr>
          <w:rFonts w:ascii="Times New Roman" w:hAnsi="Times New Roman" w:cs="Times New Roman"/>
          <w:b/>
          <w:bCs/>
          <w:sz w:val="20"/>
          <w:szCs w:val="20"/>
        </w:rPr>
        <w:fldChar w:fldCharType="end"/>
      </w:r>
      <w:r>
        <w:rPr>
          <w:rFonts w:hint="eastAsia" w:ascii="Times New Roman" w:hAnsi="Times New Roman" w:cs="Times New Roman"/>
          <w:sz w:val="20"/>
          <w:szCs w:val="20"/>
        </w:rPr>
        <w:t>.</w:t>
      </w:r>
    </w:p>
    <w:p w14:paraId="15CCE2E3">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7028D7B5">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
          <w:bCs/>
          <w:sz w:val="20"/>
          <w:szCs w:val="20"/>
        </w:rPr>
        <w:t>Family history of diabetes</w:t>
      </w:r>
      <w:r>
        <w:rPr>
          <w:rFonts w:ascii="Times New Roman" w:hAnsi="Times New Roman" w:cs="Times New Roman"/>
          <w:sz w:val="20"/>
          <w:szCs w:val="20"/>
        </w:rPr>
        <w:t>: Participants were asked about diabetes history in first‑degree relatives (biological father, mother, or siblings). Family history of diabetes was recorded as a binary variable (present vs. absent).</w:t>
      </w:r>
    </w:p>
    <w:p w14:paraId="69E83243">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0BDD29C2">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r>
        <w:rPr>
          <w:rFonts w:ascii="Times New Roman" w:hAnsi="Times New Roman" w:cs="Times New Roman"/>
          <w:b/>
          <w:bCs/>
          <w:sz w:val="20"/>
          <w:szCs w:val="20"/>
        </w:rPr>
        <w:t>Medication use:</w:t>
      </w:r>
      <w:r>
        <w:rPr>
          <w:rFonts w:ascii="Times New Roman" w:hAnsi="Times New Roman" w:cs="Times New Roman"/>
          <w:sz w:val="20"/>
          <w:szCs w:val="20"/>
        </w:rPr>
        <w:t xml:space="preserve"> Medication use was determined from baseline touchscreen questionnaires and verbal interview.</w:t>
      </w:r>
      <w:r>
        <w:rPr>
          <w:rFonts w:hint="eastAsia" w:ascii="Times New Roman" w:hAnsi="Times New Roman" w:cs="Times New Roman"/>
          <w:sz w:val="20"/>
          <w:szCs w:val="20"/>
        </w:rPr>
        <w:t xml:space="preserve"> </w:t>
      </w:r>
      <w:r>
        <w:rPr>
          <w:rFonts w:ascii="Times New Roman" w:hAnsi="Times New Roman" w:cs="Times New Roman"/>
          <w:sz w:val="20"/>
          <w:szCs w:val="20"/>
        </w:rPr>
        <w:t>Antihypertensive medication use was defined as regular use of any antihypertensive drug class, including angiotensin-converting enzyme inhibitors, angiotensin receptor blockers, beta‑blockers, calcium channel blockers, and diuretics. Insulin use was determined based on self‑reported insulin therapy and, where available, linked prescription records. Cholesterol‑lowering medication use (primarily statins) was similarly ascertained.</w:t>
      </w:r>
    </w:p>
    <w:p w14:paraId="3E979CCB">
      <w:pPr>
        <w:keepLines w:val="0"/>
        <w:pageBreakBefore w:val="0"/>
        <w:kinsoku/>
        <w:overflowPunct/>
        <w:topLinePunct w:val="0"/>
        <w:autoSpaceDE/>
        <w:autoSpaceDN/>
        <w:bidi w:val="0"/>
        <w:adjustRightInd/>
        <w:snapToGrid/>
        <w:textAlignment w:val="auto"/>
        <w:rPr>
          <w:rFonts w:ascii="Times New Roman" w:hAnsi="Times New Roman" w:cs="Times New Roman"/>
          <w:sz w:val="20"/>
          <w:szCs w:val="20"/>
        </w:rPr>
      </w:pPr>
    </w:p>
    <w:p w14:paraId="5966DCC1">
      <w:pPr>
        <w:keepLines w:val="0"/>
        <w:pageBreakBefore w:val="0"/>
        <w:kinsoku/>
        <w:overflowPunct/>
        <w:topLinePunct w:val="0"/>
        <w:autoSpaceDE/>
        <w:autoSpaceDN/>
        <w:bidi w:val="0"/>
        <w:adjustRightInd/>
        <w:snapToGrid/>
        <w:textAlignment w:val="auto"/>
        <w:rPr>
          <w:rFonts w:hint="default" w:ascii="Times New Roman" w:hAnsi="Times New Roman" w:cs="Times New Roman"/>
          <w:sz w:val="20"/>
          <w:szCs w:val="20"/>
        </w:rPr>
      </w:pPr>
      <w:r>
        <w:rPr>
          <w:rFonts w:ascii="Times New Roman" w:hAnsi="Times New Roman" w:cs="Times New Roman"/>
          <w:b/>
          <w:bCs/>
          <w:sz w:val="20"/>
          <w:szCs w:val="20"/>
        </w:rPr>
        <w:t>Blood pressure measurement</w:t>
      </w:r>
      <w:r>
        <w:rPr>
          <w:rFonts w:hint="eastAsia" w:ascii="Times New Roman" w:hAnsi="Times New Roman" w:cs="Times New Roman"/>
          <w:sz w:val="20"/>
          <w:szCs w:val="20"/>
        </w:rPr>
        <w:t xml:space="preserve">: </w:t>
      </w:r>
      <w:r>
        <w:rPr>
          <w:rFonts w:ascii="Times New Roman" w:hAnsi="Times New Roman" w:cs="Times New Roman"/>
          <w:sz w:val="20"/>
          <w:szCs w:val="20"/>
        </w:rPr>
        <w:t>Blood pressure was measured at the baseline assessment centre by trained st</w:t>
      </w:r>
      <w:r>
        <w:rPr>
          <w:rFonts w:hint="default" w:ascii="Times New Roman" w:hAnsi="Times New Roman" w:cs="Times New Roman"/>
          <w:sz w:val="20"/>
          <w:szCs w:val="20"/>
        </w:rPr>
        <w:t>aff using a standardised protocol. Systolic and diastolic blood pressure were measured twice. The average of the two recorded readings was used in the analyses.</w:t>
      </w:r>
    </w:p>
    <w:p w14:paraId="5A2FBD1E">
      <w:pPr>
        <w:keepLines w:val="0"/>
        <w:pageBreakBefore w:val="0"/>
        <w:kinsoku/>
        <w:overflowPunct/>
        <w:topLinePunct w:val="0"/>
        <w:autoSpaceDE/>
        <w:autoSpaceDN/>
        <w:bidi w:val="0"/>
        <w:adjustRightInd/>
        <w:snapToGrid/>
        <w:textAlignment w:val="auto"/>
        <w:rPr>
          <w:rFonts w:hint="default" w:ascii="Times New Roman" w:hAnsi="Times New Roman" w:cs="Times New Roman"/>
          <w:sz w:val="20"/>
          <w:szCs w:val="20"/>
        </w:rPr>
      </w:pPr>
    </w:p>
    <w:p w14:paraId="7476FC0A">
      <w:pPr>
        <w:keepLines w:val="0"/>
        <w:pageBreakBefore w:val="0"/>
        <w:kinsoku/>
        <w:overflowPunct/>
        <w:topLinePunct w:val="0"/>
        <w:autoSpaceDE/>
        <w:autoSpaceDN/>
        <w:bidi w:val="0"/>
        <w:adjustRightInd/>
        <w:snapToGrid/>
        <w:textAlignment w:val="auto"/>
        <w:rPr>
          <w:rFonts w:hint="default" w:ascii="Times New Roman" w:hAnsi="Times New Roman" w:cs="Times New Roman"/>
          <w:sz w:val="20"/>
          <w:szCs w:val="20"/>
        </w:rPr>
      </w:pPr>
      <w:r>
        <w:rPr>
          <w:rFonts w:hint="eastAsia" w:ascii="Times New Roman" w:hAnsi="Times New Roman" w:cs="Times New Roman"/>
          <w:b/>
          <w:bCs/>
          <w:sz w:val="20"/>
          <w:szCs w:val="20"/>
          <w:lang w:val="en-US" w:eastAsia="zh-CN"/>
        </w:rPr>
        <w:t>n</w:t>
      </w:r>
      <w:r>
        <w:rPr>
          <w:rFonts w:hint="default" w:ascii="Times New Roman" w:hAnsi="Times New Roman" w:cs="Times New Roman"/>
          <w:b/>
          <w:bCs/>
          <w:sz w:val="20"/>
          <w:szCs w:val="20"/>
        </w:rPr>
        <w:t>on‑HDL cholesterol (</w:t>
      </w:r>
      <w:r>
        <w:rPr>
          <w:rFonts w:hint="eastAsia" w:ascii="Times New Roman" w:hAnsi="Times New Roman" w:cs="Times New Roman"/>
          <w:b/>
          <w:bCs/>
          <w:sz w:val="20"/>
          <w:szCs w:val="20"/>
          <w:lang w:eastAsia="zh-CN"/>
        </w:rPr>
        <w:t>non-HDL-C</w:t>
      </w:r>
      <w:r>
        <w:rPr>
          <w:rFonts w:hint="default" w:ascii="Times New Roman" w:hAnsi="Times New Roman" w:cs="Times New Roman"/>
          <w:b/>
          <w:bCs/>
          <w:sz w:val="20"/>
          <w:szCs w:val="20"/>
        </w:rPr>
        <w:t xml:space="preserve">): </w:t>
      </w:r>
      <w:r>
        <w:rPr>
          <w:rFonts w:hint="eastAsia" w:ascii="Times New Roman" w:hAnsi="Times New Roman" w:cs="Times New Roman"/>
          <w:sz w:val="20"/>
          <w:szCs w:val="20"/>
          <w:lang w:eastAsia="zh-CN"/>
        </w:rPr>
        <w:t>non-HDL-C</w:t>
      </w:r>
      <w:r>
        <w:rPr>
          <w:rFonts w:hint="default" w:ascii="Times New Roman" w:hAnsi="Times New Roman" w:cs="Times New Roman"/>
          <w:sz w:val="20"/>
          <w:szCs w:val="20"/>
        </w:rPr>
        <w:t xml:space="preserve"> was derived from standard lipid measurements obtained from non‑fasting blood samples collected during the baseline assessment centre visit. Total cholesterol</w:t>
      </w:r>
      <w:r>
        <w:rPr>
          <w:rFonts w:hint="default" w:ascii="Times New Roman" w:hAnsi="Times New Roman" w:cs="Times New Roman"/>
          <w:sz w:val="20"/>
          <w:szCs w:val="20"/>
          <w:lang w:val="en-US" w:eastAsia="zh-CN"/>
        </w:rPr>
        <w:t>(TC)</w:t>
      </w:r>
      <w:r>
        <w:rPr>
          <w:rFonts w:hint="default" w:ascii="Times New Roman" w:hAnsi="Times New Roman" w:cs="Times New Roman"/>
          <w:sz w:val="20"/>
          <w:szCs w:val="20"/>
        </w:rPr>
        <w:t xml:space="preserve"> and high‑density lipoprotein cholesterol (HDL</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C) were measured using enzymatic selective protection assays on a Beckman Coulter AU5800 analyser. </w:t>
      </w:r>
      <w:r>
        <w:rPr>
          <w:rFonts w:hint="eastAsia" w:ascii="Times New Roman" w:hAnsi="Times New Roman" w:cs="Times New Roman"/>
          <w:sz w:val="20"/>
          <w:szCs w:val="20"/>
          <w:lang w:eastAsia="zh-CN"/>
        </w:rPr>
        <w:t>non-HDL-C</w:t>
      </w:r>
      <w:r>
        <w:rPr>
          <w:rFonts w:hint="default" w:ascii="Times New Roman" w:hAnsi="Times New Roman" w:cs="Times New Roman"/>
          <w:sz w:val="20"/>
          <w:szCs w:val="20"/>
        </w:rPr>
        <w:t xml:space="preserve"> was calculated as </w:t>
      </w:r>
      <w:r>
        <w:rPr>
          <w:rFonts w:hint="default" w:ascii="Times New Roman" w:hAnsi="Times New Roman" w:cs="Times New Roman"/>
          <w:sz w:val="20"/>
          <w:szCs w:val="20"/>
          <w:lang w:val="en-US" w:eastAsia="zh-CN"/>
        </w:rPr>
        <w:t>TC</w:t>
      </w:r>
      <w:r>
        <w:rPr>
          <w:rFonts w:hint="default" w:ascii="Times New Roman" w:hAnsi="Times New Roman" w:cs="Times New Roman"/>
          <w:sz w:val="20"/>
          <w:szCs w:val="20"/>
        </w:rPr>
        <w:t>l minus HDL‑C, and expressed in mmol/L. This calculation‑based measure is considered a reliable index of cholesterol carried by all potentially atherogenic lipoprotein particles, including LDL, very‑low‑density lipoprotein (VLDL), intermediate‑density lipoprotein (IDL), and lipoprotein(a).</w:t>
      </w:r>
    </w:p>
    <w:p w14:paraId="13B00B2A">
      <w:pPr>
        <w:keepLines w:val="0"/>
        <w:pageBreakBefore w:val="0"/>
        <w:kinsoku/>
        <w:overflowPunct/>
        <w:topLinePunct w:val="0"/>
        <w:autoSpaceDE/>
        <w:autoSpaceDN/>
        <w:bidi w:val="0"/>
        <w:adjustRightInd/>
        <w:snapToGrid/>
        <w:textAlignment w:val="auto"/>
        <w:rPr>
          <w:rFonts w:hint="default" w:ascii="Times New Roman" w:hAnsi="Times New Roman" w:cs="Times New Roman"/>
          <w:sz w:val="20"/>
          <w:szCs w:val="20"/>
        </w:rPr>
      </w:pPr>
    </w:p>
    <w:p w14:paraId="63A903BA">
      <w:pPr>
        <w:keepLines w:val="0"/>
        <w:pageBreakBefore w:val="0"/>
        <w:kinsoku/>
        <w:overflowPunct/>
        <w:topLinePunct w:val="0"/>
        <w:autoSpaceDE/>
        <w:autoSpaceDN/>
        <w:bidi w:val="0"/>
        <w:adjustRightInd/>
        <w:snapToGrid/>
        <w:textAlignment w:val="auto"/>
        <w:rPr>
          <w:rFonts w:hint="default" w:ascii="Times New Roman" w:hAnsi="Times New Roman" w:cs="Times New Roman"/>
          <w:sz w:val="20"/>
          <w:szCs w:val="20"/>
        </w:rPr>
      </w:pPr>
      <w:r>
        <w:rPr>
          <w:rFonts w:hint="default" w:ascii="Times New Roman" w:hAnsi="Times New Roman" w:cs="Times New Roman"/>
          <w:b/>
          <w:bCs/>
          <w:sz w:val="20"/>
          <w:szCs w:val="20"/>
        </w:rPr>
        <w:t xml:space="preserve">Glycated haemoglobin (HbA1c): </w:t>
      </w:r>
      <w:r>
        <w:rPr>
          <w:rFonts w:hint="default" w:ascii="Times New Roman" w:hAnsi="Times New Roman" w:cs="Times New Roman"/>
          <w:sz w:val="20"/>
          <w:szCs w:val="20"/>
        </w:rPr>
        <w:t>HbA1c was measured in red blood cells from venous blood samples collected during the baseline assessment centre visit. High‑performance liquid chromatography was performed on a Bio‑Rad VARIANT II Turbo analyser, which is not affected by fasting status and provides information on glucose status over the preceding three months . HbA1c values were expressed in mmol/mol and, following standard conversion, as a percentage (DCCT‑aligned).</w:t>
      </w:r>
    </w:p>
    <w:p w14:paraId="6600DC9F">
      <w:pPr>
        <w:keepLines w:val="0"/>
        <w:pageBreakBefore w:val="0"/>
        <w:kinsoku/>
        <w:overflowPunct/>
        <w:topLinePunct w:val="0"/>
        <w:autoSpaceDE/>
        <w:autoSpaceDN/>
        <w:bidi w:val="0"/>
        <w:adjustRightInd/>
        <w:snapToGrid/>
        <w:textAlignment w:val="auto"/>
        <w:rPr>
          <w:rFonts w:hint="default" w:ascii="Times New Roman" w:hAnsi="Times New Roman" w:cs="Times New Roman"/>
          <w:sz w:val="20"/>
          <w:szCs w:val="20"/>
        </w:rPr>
      </w:pPr>
    </w:p>
    <w:p w14:paraId="4A1CA8BC">
      <w:pPr>
        <w:keepLines w:val="0"/>
        <w:pageBreakBefore w:val="0"/>
        <w:kinsoku/>
        <w:overflowPunct/>
        <w:topLinePunct w:val="0"/>
        <w:autoSpaceDE/>
        <w:autoSpaceDN/>
        <w:bidi w:val="0"/>
        <w:adjustRightInd/>
        <w:snapToGrid/>
        <w:textAlignment w:val="auto"/>
        <w:rPr>
          <w:rFonts w:hint="default" w:ascii="Times New Roman" w:hAnsi="Times New Roman" w:cs="Times New Roman"/>
          <w:sz w:val="20"/>
          <w:szCs w:val="20"/>
        </w:rPr>
      </w:pPr>
      <w:r>
        <w:rPr>
          <w:rFonts w:hint="default" w:ascii="Times New Roman" w:hAnsi="Times New Roman" w:cs="Times New Roman"/>
          <w:b/>
          <w:bCs/>
          <w:sz w:val="20"/>
          <w:szCs w:val="20"/>
        </w:rPr>
        <w:t>Diabetes duration:</w:t>
      </w:r>
      <w:r>
        <w:rPr>
          <w:rFonts w:hint="default" w:ascii="Times New Roman" w:hAnsi="Times New Roman" w:cs="Times New Roman"/>
          <w:sz w:val="20"/>
          <w:szCs w:val="20"/>
        </w:rPr>
        <w:t xml:space="preserve"> Diabetes duration was calculated as the difference between the baseline assessment centre visit date and the date of first diabetes diagnosis. The date of first diabetes diagnosis was derived from the UK Biobank's first occurrence data, primarily using the earliest recorded date across primary care records, hospital inpatient data, death register records, and self‑reported diagnoses. Where multiple sources provided discrepant dates, the earliest date was taken as the date of diagnosis. Diabetes duration was expressed in years.</w:t>
      </w:r>
    </w:p>
    <w:p w14:paraId="7178A16F">
      <w:pPr>
        <w:keepLines w:val="0"/>
        <w:pageBreakBefore w:val="0"/>
        <w:kinsoku/>
        <w:overflowPunct/>
        <w:topLinePunct w:val="0"/>
        <w:autoSpaceDE/>
        <w:autoSpaceDN/>
        <w:bidi w:val="0"/>
        <w:adjustRightInd/>
        <w:snapToGrid/>
        <w:textAlignment w:val="auto"/>
        <w:rPr>
          <w:rFonts w:hint="default" w:ascii="Times New Roman" w:hAnsi="Times New Roman" w:cs="Times New Roman"/>
          <w:sz w:val="20"/>
          <w:szCs w:val="20"/>
        </w:rPr>
      </w:pPr>
    </w:p>
    <w:p w14:paraId="1DC645F5">
      <w:pPr>
        <w:keepLines w:val="0"/>
        <w:pageBreakBefore w:val="0"/>
        <w:kinsoku/>
        <w:overflowPunct/>
        <w:topLinePunct w:val="0"/>
        <w:autoSpaceDE/>
        <w:autoSpaceDN/>
        <w:bidi w:val="0"/>
        <w:adjustRightInd/>
        <w:snapToGrid/>
        <w:textAlignment w:val="auto"/>
        <w:rPr>
          <w:rFonts w:hint="default" w:ascii="Times New Roman" w:hAnsi="Times New Roman" w:cs="Times New Roman"/>
          <w:sz w:val="20"/>
          <w:szCs w:val="20"/>
        </w:rPr>
      </w:pPr>
      <w:r>
        <w:rPr>
          <w:rFonts w:hint="eastAsia" w:ascii="Times New Roman" w:hAnsi="Times New Roman" w:cs="Times New Roman"/>
          <w:b/>
          <w:bCs/>
          <w:sz w:val="20"/>
          <w:szCs w:val="20"/>
          <w:lang w:val="en-US" w:eastAsia="zh-CN"/>
        </w:rPr>
        <w:t>C</w:t>
      </w:r>
      <w:r>
        <w:rPr>
          <w:rFonts w:hint="eastAsia" w:ascii="Times New Roman" w:hAnsi="Times New Roman" w:cs="Times New Roman"/>
          <w:b/>
          <w:bCs/>
          <w:sz w:val="20"/>
          <w:szCs w:val="20"/>
          <w:lang w:eastAsia="zh-CN"/>
        </w:rPr>
        <w:t>hronic diabetic complications</w:t>
      </w:r>
      <w:r>
        <w:rPr>
          <w:rFonts w:hint="default" w:ascii="Times New Roman" w:hAnsi="Times New Roman" w:cs="Times New Roman"/>
          <w:sz w:val="20"/>
          <w:szCs w:val="20"/>
        </w:rPr>
        <w:t xml:space="preserve">: Baseline </w:t>
      </w:r>
      <w:r>
        <w:rPr>
          <w:rFonts w:hint="eastAsia" w:ascii="Times New Roman" w:hAnsi="Times New Roman" w:cs="Times New Roman"/>
          <w:sz w:val="20"/>
          <w:szCs w:val="20"/>
          <w:lang w:eastAsia="zh-CN"/>
        </w:rPr>
        <w:t>chronic diabetic complications</w:t>
      </w:r>
      <w:r>
        <w:rPr>
          <w:rFonts w:hint="default" w:ascii="Times New Roman" w:hAnsi="Times New Roman" w:cs="Times New Roman"/>
          <w:sz w:val="20"/>
          <w:szCs w:val="20"/>
        </w:rPr>
        <w:t>were defined using the UK Biobank's first occurrence data, which integrates information from primary care records, hospital inpatient data, death register records, and sel</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reported medical conditions. These complications included diabetic kidney disease, diabetic retinopathy, and diabetic peripheral neuropathy. DKD was identified using the ICD</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10 code E10.2 (including subcategories E10.21 and E10.22) and ICD</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9 code 250.3. DR was identified using the ICD</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10 code E10.3. DPN was identified using the ICD</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10 code E10.4. Participants with any of these conditions at baseline were considered to have pre</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existing </w:t>
      </w:r>
      <w:r>
        <w:rPr>
          <w:rFonts w:hint="eastAsia" w:ascii="Times New Roman" w:hAnsi="Times New Roman" w:cs="Times New Roman"/>
          <w:sz w:val="20"/>
          <w:szCs w:val="20"/>
          <w:lang w:eastAsia="zh-CN"/>
        </w:rPr>
        <w:t>chronic diabetic complications</w:t>
      </w:r>
      <w:r>
        <w:rPr>
          <w:rFonts w:hint="default" w:ascii="Times New Roman" w:hAnsi="Times New Roman" w:cs="Times New Roman"/>
          <w:sz w:val="20"/>
          <w:szCs w:val="20"/>
        </w:rPr>
        <w:t>.</w:t>
      </w:r>
    </w:p>
    <w:p w14:paraId="715E88B3">
      <w:pPr>
        <w:keepLines w:val="0"/>
        <w:pageBreakBefore w:val="0"/>
        <w:kinsoku/>
        <w:overflowPunct/>
        <w:topLinePunct w:val="0"/>
        <w:autoSpaceDE/>
        <w:autoSpaceDN/>
        <w:bidi w:val="0"/>
        <w:adjustRightInd/>
        <w:snapToGrid/>
        <w:textAlignment w:val="auto"/>
        <w:rPr>
          <w:rFonts w:hint="default" w:ascii="Times New Roman" w:hAnsi="Times New Roman" w:cs="Times New Roman"/>
          <w:sz w:val="20"/>
          <w:szCs w:val="20"/>
          <w:lang w:eastAsia="zh-CN"/>
        </w:rPr>
      </w:pPr>
    </w:p>
    <w:p w14:paraId="3ED6DA2E">
      <w:pPr>
        <w:keepLines w:val="0"/>
        <w:pageBreakBefore w:val="0"/>
        <w:kinsoku/>
        <w:overflowPunct/>
        <w:topLinePunct w:val="0"/>
        <w:autoSpaceDE/>
        <w:autoSpaceDN/>
        <w:bidi w:val="0"/>
        <w:adjustRightInd/>
        <w:snapToGrid/>
        <w:textAlignment w:val="auto"/>
        <w:rPr>
          <w:rFonts w:hint="default" w:ascii="Times New Roman" w:hAnsi="Times New Roman" w:cs="Times New Roman" w:eastAsiaTheme="minorEastAsia"/>
          <w:sz w:val="20"/>
          <w:szCs w:val="20"/>
          <w:lang w:eastAsia="zh-CN"/>
        </w:rPr>
      </w:pPr>
      <w:r>
        <w:rPr>
          <w:rFonts w:hint="default" w:ascii="Times New Roman" w:hAnsi="Times New Roman" w:cs="Times New Roman" w:eastAsiaTheme="minorEastAsia"/>
          <w:sz w:val="20"/>
          <w:szCs w:val="20"/>
          <w:lang w:eastAsia="zh-CN"/>
        </w:rPr>
        <w:t>References</w:t>
      </w:r>
    </w:p>
    <w:p w14:paraId="4AADB9BA">
      <w:pPr>
        <w:keepLines w:val="0"/>
        <w:pageBreakBefore w:val="0"/>
        <w:kinsoku/>
        <w:overflowPunct/>
        <w:topLinePunct w:val="0"/>
        <w:autoSpaceDE/>
        <w:autoSpaceDN/>
        <w:bidi w:val="0"/>
        <w:adjustRightInd/>
        <w:snapToGrid/>
        <w:textAlignment w:val="auto"/>
        <w:rPr>
          <w:rFonts w:hint="default" w:ascii="Times New Roman" w:hAnsi="Times New Roman" w:cs="Times New Roman" w:eastAsiaTheme="minorEastAsia"/>
          <w:sz w:val="20"/>
          <w:szCs w:val="20"/>
          <w:lang w:eastAsia="zh-CN"/>
        </w:rPr>
      </w:pPr>
    </w:p>
    <w:p w14:paraId="7F68D6EA">
      <w:pPr>
        <w:pStyle w:val="13"/>
        <w:bidi w:val="0"/>
        <w:ind w:left="720" w:hanging="720"/>
        <w:rPr>
          <w:rFonts w:ascii="Times New Roman" w:hAnsi="Times New Roman" w:cs="Times New Roman" w:eastAsiaTheme="minorEastAsia"/>
          <w:kern w:val="2"/>
          <w:sz w:val="20"/>
          <w:szCs w:val="20"/>
          <w:lang w:val="en-US" w:eastAsia="zh-CN" w:bidi="ar-SA"/>
        </w:rPr>
      </w:pPr>
      <w:r>
        <w:rPr>
          <w:rFonts w:hint="default" w:ascii="Times New Roman" w:hAnsi="Times New Roman" w:cs="Times New Roman" w:eastAsiaTheme="minorEastAsia"/>
          <w:sz w:val="20"/>
          <w:szCs w:val="20"/>
          <w:lang w:eastAsia="zh-CN"/>
        </w:rPr>
        <w:fldChar w:fldCharType="begin"/>
      </w:r>
      <w:r>
        <w:rPr>
          <w:rFonts w:hint="default" w:ascii="Times New Roman" w:hAnsi="Times New Roman" w:cs="Times New Roman"/>
          <w:sz w:val="20"/>
          <w:szCs w:val="20"/>
          <w:lang w:eastAsia="zh-CN"/>
        </w:rPr>
        <w:instrText xml:space="preserve"> ADDIN EN.REFLIST </w:instrText>
      </w:r>
      <w:r>
        <w:rPr>
          <w:rFonts w:hint="default" w:ascii="Times New Roman" w:hAnsi="Times New Roman" w:cs="Times New Roman" w:eastAsiaTheme="minorEastAsia"/>
          <w:sz w:val="20"/>
          <w:szCs w:val="20"/>
          <w:lang w:eastAsia="zh-CN"/>
        </w:rPr>
        <w:fldChar w:fldCharType="separate"/>
      </w:r>
      <w:r>
        <w:rPr>
          <w:rFonts w:ascii="Times New Roman" w:hAnsi="Times New Roman" w:cs="Times New Roman" w:eastAsiaTheme="minorEastAsia"/>
          <w:kern w:val="2"/>
          <w:sz w:val="20"/>
          <w:szCs w:val="20"/>
          <w:lang w:val="en-US" w:eastAsia="zh-CN" w:bidi="ar-SA"/>
        </w:rPr>
        <w:t>[1] HE P, LI H, YE Z, et al. Association of a Healthy Lifestyle, Life's Essential 8 Scores With Incident Macrovascular and Microvascular Disease Among Individuals With Type 2 Diabetes [J]. J Am Heart Assoc, 2023, 12(17): e029441.</w:t>
      </w:r>
    </w:p>
    <w:p w14:paraId="2C97ADB3">
      <w:pPr>
        <w:pStyle w:val="13"/>
        <w:bidi w:val="0"/>
        <w:ind w:left="720" w:hanging="720"/>
        <w:rPr>
          <w:rFonts w:ascii="Times New Roman" w:hAnsi="Times New Roman" w:cs="Times New Roman" w:eastAsiaTheme="minorEastAsia"/>
          <w:kern w:val="2"/>
          <w:sz w:val="20"/>
          <w:szCs w:val="20"/>
          <w:lang w:val="en-US" w:eastAsia="zh-CN" w:bidi="ar-SA"/>
        </w:rPr>
      </w:pPr>
      <w:r>
        <w:rPr>
          <w:rFonts w:ascii="Times New Roman" w:hAnsi="Times New Roman" w:cs="Times New Roman" w:eastAsiaTheme="minorEastAsia"/>
          <w:kern w:val="2"/>
          <w:sz w:val="20"/>
          <w:szCs w:val="20"/>
          <w:lang w:val="en-US" w:eastAsia="zh-CN" w:bidi="ar-SA"/>
        </w:rPr>
        <w:t>[2] MUTZ J, ROSCOE C J, LEWIS C M. Exploring health in the UK Biobank: associations with sociodemographic characteristics, psychosocial factors, lifestyle and environmental exposures [J]. BMC Med, 2021, 19(1): 240.</w:t>
      </w:r>
    </w:p>
    <w:p w14:paraId="4DE3CC0C">
      <w:pPr>
        <w:pStyle w:val="13"/>
        <w:bidi w:val="0"/>
        <w:ind w:left="720" w:hanging="720"/>
        <w:rPr>
          <w:rFonts w:ascii="Times New Roman" w:hAnsi="Times New Roman" w:cs="Times New Roman" w:eastAsiaTheme="minorEastAsia"/>
          <w:kern w:val="2"/>
          <w:sz w:val="20"/>
          <w:szCs w:val="20"/>
          <w:lang w:val="en-US" w:eastAsia="zh-CN" w:bidi="ar-SA"/>
        </w:rPr>
      </w:pPr>
      <w:r>
        <w:rPr>
          <w:rFonts w:ascii="Times New Roman" w:hAnsi="Times New Roman" w:cs="Times New Roman" w:eastAsiaTheme="minorEastAsia"/>
          <w:kern w:val="2"/>
          <w:sz w:val="20"/>
          <w:szCs w:val="20"/>
          <w:lang w:val="en-US" w:eastAsia="zh-CN" w:bidi="ar-SA"/>
        </w:rPr>
        <w:t>[3] PHILLIPS J A. Dietary Guidelines for Americans, 2020-2025 [J]. Workplace Health Saf, 2021, 69(8): 395.</w:t>
      </w:r>
    </w:p>
    <w:p w14:paraId="594C91EE">
      <w:pPr>
        <w:pStyle w:val="13"/>
        <w:bidi w:val="0"/>
        <w:ind w:left="720" w:hanging="720"/>
        <w:rPr>
          <w:rFonts w:ascii="Times New Roman" w:hAnsi="Times New Roman" w:cs="Times New Roman" w:eastAsiaTheme="minorEastAsia"/>
          <w:kern w:val="2"/>
          <w:sz w:val="20"/>
          <w:szCs w:val="20"/>
          <w:lang w:val="en-US" w:eastAsia="zh-CN" w:bidi="ar-SA"/>
        </w:rPr>
      </w:pPr>
      <w:r>
        <w:rPr>
          <w:rFonts w:ascii="Times New Roman" w:hAnsi="Times New Roman" w:cs="Times New Roman" w:eastAsiaTheme="minorEastAsia"/>
          <w:kern w:val="2"/>
          <w:sz w:val="20"/>
          <w:szCs w:val="20"/>
          <w:lang w:val="en-US" w:eastAsia="zh-CN" w:bidi="ar-SA"/>
        </w:rPr>
        <w:t>[4] MOZAFFARIAN D. Dietary and Policy Priorities for Cardiovascular Disease, Diabetes, and Obesity: A Comprehensive Review [J]. Circulation, 2016, 133(2): 187-225.</w:t>
      </w:r>
    </w:p>
    <w:p w14:paraId="29325A27">
      <w:pPr>
        <w:pStyle w:val="13"/>
        <w:bidi w:val="0"/>
        <w:ind w:left="720" w:hanging="720"/>
        <w:rPr>
          <w:rFonts w:ascii="Times New Roman" w:hAnsi="Times New Roman" w:cs="Times New Roman" w:eastAsiaTheme="minorEastAsia"/>
          <w:kern w:val="2"/>
          <w:sz w:val="20"/>
          <w:szCs w:val="20"/>
          <w:lang w:val="en-US" w:eastAsia="zh-CN" w:bidi="ar-SA"/>
        </w:rPr>
      </w:pPr>
      <w:r>
        <w:rPr>
          <w:rFonts w:ascii="Times New Roman" w:hAnsi="Times New Roman" w:cs="Times New Roman" w:eastAsiaTheme="minorEastAsia"/>
          <w:kern w:val="2"/>
          <w:sz w:val="20"/>
          <w:szCs w:val="20"/>
          <w:lang w:val="en-US" w:eastAsia="zh-CN" w:bidi="ar-SA"/>
        </w:rPr>
        <w:t>[5] SAID M A, VERWEIJ N, VAN DER HARST P. Associations of Combined Genetic and Lifestyle Risks With Incident Cardiovascular Disease and Diabetes in the UK Biobank Study [J]. JAMA Cardiol, 2018, 3(8): 693-702.</w:t>
      </w:r>
    </w:p>
    <w:p w14:paraId="1D9A149C">
      <w:pPr>
        <w:pStyle w:val="13"/>
        <w:bidi w:val="0"/>
        <w:ind w:left="720" w:hanging="720"/>
        <w:rPr>
          <w:rFonts w:ascii="Times New Roman" w:hAnsi="Times New Roman" w:cs="Times New Roman" w:eastAsiaTheme="minorEastAsia"/>
          <w:kern w:val="2"/>
          <w:sz w:val="20"/>
          <w:szCs w:val="20"/>
          <w:lang w:val="en-US" w:eastAsia="zh-CN" w:bidi="ar-SA"/>
        </w:rPr>
      </w:pPr>
      <w:r>
        <w:rPr>
          <w:rFonts w:ascii="Times New Roman" w:hAnsi="Times New Roman" w:cs="Times New Roman" w:eastAsiaTheme="minorEastAsia"/>
          <w:kern w:val="2"/>
          <w:sz w:val="20"/>
          <w:szCs w:val="20"/>
          <w:lang w:val="en-US" w:eastAsia="zh-CN" w:bidi="ar-SA"/>
        </w:rPr>
        <w:t>[6] CRAIG C L, MARSHALL A L, SJOSTROM M, et al. International physical activity questionnaire: 12-country reliability and validity [J]. Med Sci Sports Exerc, 2003, 35(8): 1381-1395.</w:t>
      </w:r>
    </w:p>
    <w:p w14:paraId="6651CCF4">
      <w:pPr>
        <w:pStyle w:val="13"/>
        <w:bidi w:val="0"/>
        <w:ind w:left="720" w:hanging="720"/>
        <w:rPr>
          <w:rFonts w:ascii="Times New Roman" w:hAnsi="Times New Roman" w:cs="Times New Roman" w:eastAsiaTheme="minorEastAsia"/>
          <w:kern w:val="2"/>
          <w:sz w:val="20"/>
          <w:szCs w:val="20"/>
          <w:lang w:val="en-US" w:eastAsia="zh-CN" w:bidi="ar-SA"/>
        </w:rPr>
      </w:pPr>
      <w:r>
        <w:rPr>
          <w:rFonts w:ascii="Times New Roman" w:hAnsi="Times New Roman" w:cs="Times New Roman" w:eastAsiaTheme="minorEastAsia"/>
          <w:kern w:val="2"/>
          <w:sz w:val="20"/>
          <w:szCs w:val="20"/>
          <w:lang w:val="en-US" w:eastAsia="zh-CN" w:bidi="ar-SA"/>
        </w:rPr>
        <w:t>[7] CHUDASAMA Y V, KHUNTI K K, ZACCARDI F, et al. Physical activity, multimorbidity, and life expectancy: a UK Biobank longitudinal study [J]. BMC Med, 2019, 17(1): 108.</w:t>
      </w:r>
    </w:p>
    <w:p w14:paraId="4E547D08">
      <w:pPr>
        <w:pStyle w:val="13"/>
        <w:bidi w:val="0"/>
        <w:ind w:left="720" w:hanging="720"/>
        <w:rPr>
          <w:rFonts w:ascii="Times New Roman" w:hAnsi="Times New Roman" w:cs="Times New Roman" w:eastAsiaTheme="minorEastAsia"/>
          <w:kern w:val="2"/>
          <w:sz w:val="20"/>
          <w:szCs w:val="20"/>
          <w:lang w:val="en-US" w:eastAsia="zh-CN" w:bidi="ar-SA"/>
        </w:rPr>
      </w:pPr>
      <w:r>
        <w:rPr>
          <w:rFonts w:ascii="Times New Roman" w:hAnsi="Times New Roman" w:cs="Times New Roman" w:eastAsiaTheme="minorEastAsia"/>
          <w:kern w:val="2"/>
          <w:sz w:val="20"/>
          <w:szCs w:val="20"/>
          <w:lang w:val="en-US" w:eastAsia="zh-CN" w:bidi="ar-SA"/>
        </w:rPr>
        <w:t>[8] WANG C, BANGDIWALA S I, RANGARAJAN S, et al. Association of estimated sleep duration and naps with mortality and cardiovascular events: a study of 116 632 people from 21 countries [J]. Eur Heart J, 2019, 40(20): 1620-1629.</w:t>
      </w:r>
    </w:p>
    <w:p w14:paraId="4F5C09D9">
      <w:pPr>
        <w:pStyle w:val="13"/>
        <w:bidi w:val="0"/>
        <w:ind w:left="720" w:hanging="720"/>
        <w:rPr>
          <w:rFonts w:ascii="Times New Roman" w:hAnsi="Times New Roman" w:cs="Times New Roman" w:eastAsiaTheme="minorEastAsia"/>
          <w:kern w:val="2"/>
          <w:sz w:val="20"/>
          <w:szCs w:val="20"/>
          <w:lang w:val="en-US" w:eastAsia="zh-CN" w:bidi="ar-SA"/>
        </w:rPr>
      </w:pPr>
      <w:r>
        <w:rPr>
          <w:rFonts w:ascii="Times New Roman" w:hAnsi="Times New Roman" w:cs="Times New Roman" w:eastAsiaTheme="minorEastAsia"/>
          <w:kern w:val="2"/>
          <w:sz w:val="20"/>
          <w:szCs w:val="20"/>
          <w:lang w:val="en-US" w:eastAsia="zh-CN" w:bidi="ar-SA"/>
        </w:rPr>
        <w:t>[9] KIM K, LEE D W, JUNG S J. Role of individual deprivation and community-level deprivation on suicidal behaviors: Insights from the UK Biobank study [J]. SSM Popul Health, 2024, 26: 101654.</w:t>
      </w:r>
    </w:p>
    <w:p w14:paraId="63B84E7F">
      <w:pPr>
        <w:keepLines w:val="0"/>
        <w:pageBreakBefore w:val="0"/>
        <w:kinsoku/>
        <w:overflowPunct/>
        <w:topLinePunct w:val="0"/>
        <w:autoSpaceDE/>
        <w:autoSpaceDN/>
        <w:bidi w:val="0"/>
        <w:adjustRightInd/>
        <w:snapToGrid/>
        <w:textAlignment w:val="auto"/>
        <w:rPr>
          <w:rFonts w:hint="default" w:ascii="Times New Roman" w:hAnsi="Times New Roman" w:cs="Times New Roman" w:eastAsiaTheme="minorEastAsia"/>
          <w:sz w:val="20"/>
          <w:szCs w:val="20"/>
          <w:lang w:eastAsia="zh-CN"/>
        </w:rPr>
      </w:pPr>
      <w:r>
        <w:rPr>
          <w:rFonts w:hint="default" w:ascii="Times New Roman" w:hAnsi="Times New Roman" w:cs="Times New Roman" w:eastAsiaTheme="minorEastAsia"/>
          <w:sz w:val="20"/>
          <w:szCs w:val="20"/>
          <w:lang w:eastAsia="zh-CN"/>
        </w:rPr>
        <w:fldChar w:fldCharType="end"/>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55879">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FEB78">
                          <w:pPr>
                            <w:pStyle w:val="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D7FEB78">
                    <w:pPr>
                      <w:pStyle w:val="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nese Std GBT7714 (numeric)分节&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r9aststxwxtiez9wr5drwwszfxdvft0a0s&quot;&gt;补充方法参考文献0528&lt;record-ids&gt;&lt;item&gt;1&lt;/item&gt;&lt;item&gt;2&lt;/item&gt;&lt;item&gt;3&lt;/item&gt;&lt;item&gt;4&lt;/item&gt;&lt;item&gt;5&lt;/item&gt;&lt;item&gt;6&lt;/item&gt;&lt;item&gt;7&lt;/item&gt;&lt;item&gt;8&lt;/item&gt;&lt;item&gt;9&lt;/item&gt;&lt;/record-ids&gt;&lt;/item&gt;&lt;/Libraries&gt;"/>
  </w:docVars>
  <w:rsids>
    <w:rsidRoot w:val="053257FA"/>
    <w:rsid w:val="0030528E"/>
    <w:rsid w:val="00307C16"/>
    <w:rsid w:val="00805B60"/>
    <w:rsid w:val="00894E13"/>
    <w:rsid w:val="053257FA"/>
    <w:rsid w:val="07E31891"/>
    <w:rsid w:val="090B44BE"/>
    <w:rsid w:val="09E92ED1"/>
    <w:rsid w:val="0B481FE1"/>
    <w:rsid w:val="0C28640C"/>
    <w:rsid w:val="0D725B91"/>
    <w:rsid w:val="0DA87805"/>
    <w:rsid w:val="10291579"/>
    <w:rsid w:val="14AF2109"/>
    <w:rsid w:val="17057DBC"/>
    <w:rsid w:val="1C592D77"/>
    <w:rsid w:val="1D9331C6"/>
    <w:rsid w:val="1F0C1B88"/>
    <w:rsid w:val="1F120F82"/>
    <w:rsid w:val="20484740"/>
    <w:rsid w:val="20870360"/>
    <w:rsid w:val="21DC5734"/>
    <w:rsid w:val="2422425D"/>
    <w:rsid w:val="258318D8"/>
    <w:rsid w:val="2750193D"/>
    <w:rsid w:val="28A40E75"/>
    <w:rsid w:val="28B35372"/>
    <w:rsid w:val="29EB7E9F"/>
    <w:rsid w:val="2A506E02"/>
    <w:rsid w:val="2FAF00D1"/>
    <w:rsid w:val="30841116"/>
    <w:rsid w:val="344D7F0F"/>
    <w:rsid w:val="34CC0915"/>
    <w:rsid w:val="386D2987"/>
    <w:rsid w:val="38D147F0"/>
    <w:rsid w:val="3C74072E"/>
    <w:rsid w:val="3D2E1EA6"/>
    <w:rsid w:val="3D845C64"/>
    <w:rsid w:val="3E2C636E"/>
    <w:rsid w:val="43541AE2"/>
    <w:rsid w:val="453D4F37"/>
    <w:rsid w:val="49891669"/>
    <w:rsid w:val="4C4E6665"/>
    <w:rsid w:val="5093459C"/>
    <w:rsid w:val="50B67DF7"/>
    <w:rsid w:val="52080DC5"/>
    <w:rsid w:val="5A6417F9"/>
    <w:rsid w:val="60270461"/>
    <w:rsid w:val="623E51B7"/>
    <w:rsid w:val="693A1C41"/>
    <w:rsid w:val="695D4175"/>
    <w:rsid w:val="6F821944"/>
    <w:rsid w:val="72FF12A0"/>
    <w:rsid w:val="74B4507D"/>
    <w:rsid w:val="760B6D06"/>
    <w:rsid w:val="79DE710F"/>
    <w:rsid w:val="7DBD4D47"/>
    <w:rsid w:val="7F707C50"/>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annotation subject"/>
    <w:basedOn w:val="2"/>
    <w:next w:val="2"/>
    <w:link w:val="11"/>
    <w:qFormat/>
    <w:uiPriority w:val="0"/>
    <w:rPr>
      <w:b/>
      <w:bCs/>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0"/>
    <w:rPr>
      <w:sz w:val="21"/>
      <w:szCs w:val="21"/>
    </w:rPr>
  </w:style>
  <w:style w:type="character" w:customStyle="1" w:styleId="10">
    <w:name w:val="批注文字 字符"/>
    <w:basedOn w:val="8"/>
    <w:link w:val="2"/>
    <w:qFormat/>
    <w:uiPriority w:val="0"/>
    <w:rPr>
      <w:kern w:val="2"/>
      <w:sz w:val="21"/>
      <w:szCs w:val="24"/>
    </w:rPr>
  </w:style>
  <w:style w:type="character" w:customStyle="1" w:styleId="11">
    <w:name w:val="批注主题 字符"/>
    <w:basedOn w:val="10"/>
    <w:link w:val="5"/>
    <w:qFormat/>
    <w:uiPriority w:val="0"/>
    <w:rPr>
      <w:b/>
      <w:bCs/>
      <w:kern w:val="2"/>
      <w:sz w:val="21"/>
      <w:szCs w:val="24"/>
    </w:rPr>
  </w:style>
  <w:style w:type="paragraph" w:customStyle="1" w:styleId="12">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13">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2281</Words>
  <Characters>13341</Characters>
  <Lines>248</Lines>
  <Paragraphs>104</Paragraphs>
  <TotalTime>26</TotalTime>
  <ScaleCrop>false</ScaleCrop>
  <LinksUpToDate>false</LinksUpToDate>
  <CharactersWithSpaces>15503</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2026-05-23T01:37:00Z</dcterms:created>
  <dc:creator>王尧尧</dc:creator>
  <cp:lastModifiedBy>王尧尧</cp:lastModifiedBy>
  <dcterms:modified xsi:type="dcterms:W3CDTF">2026-06-03T07:58:42Z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CDBB48723F1C49E1A3252EB25132CBC5_11</vt:lpwstr>
  </property>
  <property fmtid="{D5CDD505-2E9C-101B-9397-08002B2CF9AE}" pid="4" name="KSOTemplateDocerSaveRecord">
    <vt:lpwstr>eyJoZGlkIjoiMmY4ZTUxMTg1MThkNTYxYzdhZjY2YThlMTY2MjMyMTkiLCJ1c2VySWQiOiIxNTE5NzUzNjc3In0=</vt:lpwstr>
  </property>
</Properties>
</file>