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CD447">
      <w:pPr>
        <w:pStyle w:val="4"/>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cs="Times New Roman"/>
          <w:sz w:val="21"/>
          <w:szCs w:val="21"/>
        </w:rPr>
        <w:t>Supplementary Figure S1. Validation of the Anthropometric Prediction Equation against Dual-Energy X-ray Absorptiometry (DXA) Measurements in the NHANES Cohort</w:t>
      </w:r>
    </w:p>
    <w:p w14:paraId="2E177FD9">
      <w:pPr>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2639695" cy="2376170"/>
            <wp:effectExtent l="0" t="0" r="12065" b="1270"/>
            <wp:docPr id="1" name="图片 1" descr="附加验证肌少症公式图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附加验证肌少症公式图1_01"/>
                    <pic:cNvPicPr>
                      <a:picLocks noChangeAspect="1"/>
                    </pic:cNvPicPr>
                  </pic:nvPicPr>
                  <pic:blipFill>
                    <a:blip r:embed="rId5"/>
                    <a:stretch>
                      <a:fillRect/>
                    </a:stretch>
                  </pic:blipFill>
                  <pic:spPr>
                    <a:xfrm>
                      <a:off x="0" y="0"/>
                      <a:ext cx="2639695" cy="2376170"/>
                    </a:xfrm>
                    <a:prstGeom prst="rect">
                      <a:avLst/>
                    </a:prstGeom>
                  </pic:spPr>
                </pic:pic>
              </a:graphicData>
            </a:graphic>
          </wp:inline>
        </w:drawing>
      </w:r>
    </w:p>
    <w:p w14:paraId="47B7C5F2">
      <w:pPr>
        <w:rPr>
          <w:rFonts w:ascii="宋体" w:hAnsi="宋体" w:eastAsia="宋体" w:cs="宋体"/>
          <w:sz w:val="24"/>
          <w:szCs w:val="24"/>
        </w:rPr>
      </w:pPr>
    </w:p>
    <w:p w14:paraId="31F04AC9">
      <w:pPr>
        <w:rPr>
          <w:rFonts w:hint="default" w:ascii="Times New Roman" w:hAnsi="Times New Roman" w:eastAsia="宋体" w:cs="Times New Roman"/>
          <w:sz w:val="15"/>
          <w:szCs w:val="15"/>
          <w:lang w:val="en-US" w:eastAsia="zh-CN"/>
        </w:rPr>
      </w:pPr>
      <w:r>
        <w:rPr>
          <w:rFonts w:hint="default" w:ascii="Times New Roman" w:hAnsi="Times New Roman" w:eastAsia="宋体" w:cs="Times New Roman"/>
          <w:b/>
          <w:bCs/>
          <w:sz w:val="15"/>
          <w:szCs w:val="15"/>
        </w:rPr>
        <w:t>(A)</w:t>
      </w:r>
      <w:r>
        <w:rPr>
          <w:rFonts w:hint="default" w:ascii="Times New Roman" w:hAnsi="Times New Roman" w:eastAsia="宋体" w:cs="Times New Roman"/>
          <w:sz w:val="15"/>
          <w:szCs w:val="15"/>
        </w:rPr>
        <w:t xml:space="preserve"> Scatter plot illustrating the correlation between appendicular skeletal muscle mass (ASM) estimated using the anthropometric equation (Wen et al., 2011) and ASM measured by DXA. The Pearson correlation coefficient (</w:t>
      </w:r>
      <w:r>
        <w:rPr>
          <w:rFonts w:hint="default" w:ascii="Times New Roman" w:hAnsi="Times New Roman" w:eastAsia="宋体" w:cs="Times New Roman"/>
          <w:b/>
          <w:bCs/>
          <w:sz w:val="15"/>
          <w:szCs w:val="15"/>
        </w:rPr>
        <w:t>r = 0.944</w:t>
      </w:r>
      <w:r>
        <w:rPr>
          <w:rFonts w:hint="default" w:ascii="Times New Roman" w:hAnsi="Times New Roman" w:eastAsia="宋体" w:cs="Times New Roman"/>
          <w:sz w:val="15"/>
          <w:szCs w:val="15"/>
        </w:rPr>
        <w:t xml:space="preserve">) indicates a strong positive linear relationship. The red line represents the linear regression fit. </w:t>
      </w:r>
      <w:r>
        <w:rPr>
          <w:rFonts w:hint="default" w:ascii="Times New Roman" w:hAnsi="Times New Roman" w:eastAsia="宋体" w:cs="Times New Roman"/>
          <w:b/>
          <w:bCs/>
          <w:sz w:val="15"/>
          <w:szCs w:val="15"/>
        </w:rPr>
        <w:t>(B)</w:t>
      </w:r>
      <w:r>
        <w:rPr>
          <w:rFonts w:hint="default" w:ascii="Times New Roman" w:hAnsi="Times New Roman" w:eastAsia="宋体" w:cs="Times New Roman"/>
          <w:sz w:val="15"/>
          <w:szCs w:val="15"/>
        </w:rPr>
        <w:t xml:space="preserve"> Bland-Altman plot assessing the agreement between the estimated and measured ASM. The blue solid line represents the mean bias, and the red dashed lines indicate the 95% limits of agreement (±1.96 SD). </w:t>
      </w:r>
      <w:r>
        <w:rPr>
          <w:rFonts w:hint="default" w:ascii="Times New Roman" w:hAnsi="Times New Roman" w:eastAsia="宋体" w:cs="Times New Roman"/>
          <w:b/>
          <w:bCs/>
          <w:sz w:val="15"/>
          <w:szCs w:val="15"/>
        </w:rPr>
        <w:t>Abbreviation:</w:t>
      </w:r>
      <w:r>
        <w:rPr>
          <w:rFonts w:hint="default" w:ascii="Times New Roman" w:hAnsi="Times New Roman" w:eastAsia="宋体" w:cs="Times New Roman"/>
          <w:sz w:val="15"/>
          <w:szCs w:val="15"/>
        </w:rPr>
        <w:t xml:space="preserve"> ASM, appendicular skeletal muscle mass; DXA, dual-energy X-ray absorptiometry; SD, standard deviation</w:t>
      </w:r>
      <w:r>
        <w:rPr>
          <w:rFonts w:hint="default" w:ascii="Times New Roman" w:hAnsi="Times New Roman" w:eastAsia="宋体" w:cs="Times New Roman"/>
          <w:sz w:val="15"/>
          <w:szCs w:val="15"/>
          <w:lang w:val="en-US" w:eastAsia="zh-CN"/>
        </w:rPr>
        <w:t>.</w:t>
      </w:r>
    </w:p>
    <w:p w14:paraId="5C1AFBBC">
      <w:pPr>
        <w:rPr>
          <w:rFonts w:hint="default" w:ascii="Times New Roman" w:hAnsi="Times New Roman" w:eastAsia="宋体" w:cs="Times New Roman"/>
          <w:sz w:val="21"/>
          <w:szCs w:val="21"/>
          <w:lang w:val="en-US" w:eastAsia="zh-CN"/>
        </w:rPr>
      </w:pPr>
    </w:p>
    <w:p w14:paraId="11BAEE94">
      <w:pPr>
        <w:rPr>
          <w:rFonts w:hint="default" w:ascii="Times New Roman" w:hAnsi="Times New Roman" w:eastAsia="宋体" w:cs="Times New Roman"/>
          <w:sz w:val="21"/>
          <w:szCs w:val="21"/>
          <w:lang w:val="en-US" w:eastAsia="zh-CN"/>
        </w:rPr>
      </w:pPr>
      <w:r>
        <w:rPr>
          <w:rFonts w:hint="eastAsia" w:ascii="Times New Roman" w:hAnsi="Times New Roman" w:eastAsia="Helvetica" w:cs="Times New Roman"/>
          <w:i w:val="0"/>
          <w:iCs w:val="0"/>
          <w:caps w:val="0"/>
          <w:color w:val="222222"/>
          <w:spacing w:val="2"/>
          <w:kern w:val="0"/>
          <w:sz w:val="21"/>
          <w:szCs w:val="21"/>
          <w:u w:val="none" w:color="auto"/>
          <w:lang w:val="en-US" w:eastAsia="zh-CN" w:bidi="ar"/>
        </w:rPr>
        <w:t xml:space="preserve">Supplementary Table S1. Fine–Gray Competing Risk Regression for Incident CVD Events. </w:t>
      </w:r>
    </w:p>
    <w:tbl>
      <w:tblPr>
        <w:tblStyle w:val="5"/>
        <w:tblW w:w="5287" w:type="dxa"/>
        <w:tblInd w:w="96" w:type="dxa"/>
        <w:tblBorders>
          <w:top w:val="single" w:color="1F1F1F" w:sz="4" w:space="0"/>
          <w:left w:val="single" w:color="1F1F1F" w:sz="4" w:space="0"/>
          <w:bottom w:val="single" w:color="1F1F1F" w:sz="4" w:space="0"/>
          <w:right w:val="single" w:color="1F1F1F" w:sz="4" w:space="0"/>
          <w:insideH w:val="single" w:color="1F1F1F" w:sz="4" w:space="0"/>
          <w:insideV w:val="single" w:color="1F1F1F" w:sz="4" w:space="0"/>
        </w:tblBorders>
        <w:shd w:val="clear" w:color="auto" w:fill="auto"/>
        <w:tblLayout w:type="fixed"/>
        <w:tblCellMar>
          <w:top w:w="0" w:type="dxa"/>
          <w:left w:w="108" w:type="dxa"/>
          <w:bottom w:w="0" w:type="dxa"/>
          <w:right w:w="108" w:type="dxa"/>
        </w:tblCellMar>
      </w:tblPr>
      <w:tblGrid>
        <w:gridCol w:w="2071"/>
        <w:gridCol w:w="2292"/>
        <w:gridCol w:w="924"/>
      </w:tblGrid>
      <w:tr w14:paraId="5C00959D">
        <w:tblPrEx>
          <w:tblBorders>
            <w:top w:val="single" w:color="1F1F1F" w:sz="4" w:space="0"/>
            <w:left w:val="single" w:color="1F1F1F" w:sz="4" w:space="0"/>
            <w:bottom w:val="single" w:color="1F1F1F" w:sz="4" w:space="0"/>
            <w:right w:val="single" w:color="1F1F1F" w:sz="4" w:space="0"/>
            <w:insideH w:val="single" w:color="1F1F1F" w:sz="4" w:space="0"/>
            <w:insideV w:val="single" w:color="1F1F1F" w:sz="4" w:space="0"/>
          </w:tblBorders>
          <w:shd w:val="clear" w:color="auto" w:fill="auto"/>
          <w:tblCellMar>
            <w:top w:w="0" w:type="dxa"/>
            <w:left w:w="108" w:type="dxa"/>
            <w:bottom w:w="0" w:type="dxa"/>
            <w:right w:w="108" w:type="dxa"/>
          </w:tblCellMar>
        </w:tblPrEx>
        <w:trPr>
          <w:trHeight w:val="567" w:hRule="atLeast"/>
        </w:trPr>
        <w:tc>
          <w:tcPr>
            <w:tcW w:w="2071" w:type="dxa"/>
            <w:tcBorders>
              <w:tl2br w:val="nil"/>
              <w:tr2bl w:val="nil"/>
            </w:tcBorders>
            <w:shd w:val="clear" w:color="auto" w:fill="auto"/>
            <w:vAlign w:val="center"/>
          </w:tcPr>
          <w:p w14:paraId="5167BE21">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Phenotype</w:t>
            </w:r>
          </w:p>
        </w:tc>
        <w:tc>
          <w:tcPr>
            <w:tcW w:w="2292" w:type="dxa"/>
            <w:tcBorders>
              <w:tl2br w:val="nil"/>
              <w:tr2bl w:val="nil"/>
            </w:tcBorders>
            <w:shd w:val="clear" w:color="auto" w:fill="auto"/>
            <w:vAlign w:val="center"/>
          </w:tcPr>
          <w:p w14:paraId="5617BBFB">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SHR (95% CI)</w:t>
            </w:r>
          </w:p>
        </w:tc>
        <w:tc>
          <w:tcPr>
            <w:tcW w:w="924" w:type="dxa"/>
            <w:tcBorders>
              <w:tl2br w:val="nil"/>
              <w:tr2bl w:val="nil"/>
            </w:tcBorders>
            <w:shd w:val="clear" w:color="auto" w:fill="auto"/>
            <w:vAlign w:val="center"/>
          </w:tcPr>
          <w:p w14:paraId="605C9F5C">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i/>
                <w:iCs/>
                <w:sz w:val="18"/>
                <w:szCs w:val="18"/>
                <w:lang w:val="en-US" w:eastAsia="zh-CN"/>
              </w:rPr>
              <w:t>P</w:t>
            </w:r>
            <w:r>
              <w:rPr>
                <w:rFonts w:hint="eastAsia" w:ascii="Times New Roman" w:hAnsi="Times New Roman" w:eastAsia="宋体" w:cs="Times New Roman"/>
                <w:sz w:val="18"/>
                <w:szCs w:val="18"/>
                <w:lang w:val="en-US" w:eastAsia="zh-CN"/>
              </w:rPr>
              <w:t>-</w:t>
            </w:r>
            <w:r>
              <w:rPr>
                <w:rFonts w:hint="default" w:ascii="Times New Roman" w:hAnsi="Times New Roman" w:eastAsia="宋体" w:cs="Times New Roman"/>
                <w:sz w:val="18"/>
                <w:szCs w:val="18"/>
                <w:lang w:val="en-US" w:eastAsia="zh-CN"/>
              </w:rPr>
              <w:t>Value</w:t>
            </w:r>
          </w:p>
        </w:tc>
      </w:tr>
      <w:tr w14:paraId="7C42BEED">
        <w:tblPrEx>
          <w:tblBorders>
            <w:top w:val="single" w:color="1F1F1F" w:sz="4" w:space="0"/>
            <w:left w:val="single" w:color="1F1F1F" w:sz="4" w:space="0"/>
            <w:bottom w:val="single" w:color="1F1F1F" w:sz="4" w:space="0"/>
            <w:right w:val="single" w:color="1F1F1F" w:sz="4" w:space="0"/>
            <w:insideH w:val="single" w:color="1F1F1F" w:sz="4" w:space="0"/>
            <w:insideV w:val="single" w:color="1F1F1F" w:sz="4" w:space="0"/>
          </w:tblBorders>
          <w:tblCellMar>
            <w:top w:w="0" w:type="dxa"/>
            <w:left w:w="108" w:type="dxa"/>
            <w:bottom w:w="0" w:type="dxa"/>
            <w:right w:w="108" w:type="dxa"/>
          </w:tblCellMar>
        </w:tblPrEx>
        <w:trPr>
          <w:trHeight w:val="567" w:hRule="atLeast"/>
        </w:trPr>
        <w:tc>
          <w:tcPr>
            <w:tcW w:w="2071" w:type="dxa"/>
            <w:tcBorders>
              <w:tl2br w:val="nil"/>
              <w:tr2bl w:val="nil"/>
            </w:tcBorders>
            <w:shd w:val="clear" w:color="auto" w:fill="auto"/>
            <w:vAlign w:val="center"/>
          </w:tcPr>
          <w:p w14:paraId="5975A7AB">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Normal</w:t>
            </w:r>
          </w:p>
        </w:tc>
        <w:tc>
          <w:tcPr>
            <w:tcW w:w="2292" w:type="dxa"/>
            <w:tcBorders>
              <w:tl2br w:val="nil"/>
              <w:tr2bl w:val="nil"/>
            </w:tcBorders>
            <w:shd w:val="clear" w:color="auto" w:fill="auto"/>
            <w:vAlign w:val="center"/>
          </w:tcPr>
          <w:p w14:paraId="20170065">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1.00 (Ref)</w:t>
            </w:r>
          </w:p>
        </w:tc>
        <w:tc>
          <w:tcPr>
            <w:tcW w:w="924" w:type="dxa"/>
            <w:tcBorders>
              <w:tl2br w:val="nil"/>
              <w:tr2bl w:val="nil"/>
            </w:tcBorders>
            <w:shd w:val="clear" w:color="auto" w:fill="auto"/>
            <w:vAlign w:val="center"/>
          </w:tcPr>
          <w:p w14:paraId="23776B5B">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r>
      <w:tr w14:paraId="033DD39A">
        <w:tblPrEx>
          <w:tblBorders>
            <w:top w:val="single" w:color="1F1F1F" w:sz="4" w:space="0"/>
            <w:left w:val="single" w:color="1F1F1F" w:sz="4" w:space="0"/>
            <w:bottom w:val="single" w:color="1F1F1F" w:sz="4" w:space="0"/>
            <w:right w:val="single" w:color="1F1F1F" w:sz="4" w:space="0"/>
            <w:insideH w:val="single" w:color="1F1F1F" w:sz="4" w:space="0"/>
            <w:insideV w:val="single" w:color="1F1F1F" w:sz="4" w:space="0"/>
          </w:tblBorders>
          <w:shd w:val="clear" w:color="auto" w:fill="auto"/>
          <w:tblCellMar>
            <w:top w:w="0" w:type="dxa"/>
            <w:left w:w="108" w:type="dxa"/>
            <w:bottom w:w="0" w:type="dxa"/>
            <w:right w:w="108" w:type="dxa"/>
          </w:tblCellMar>
        </w:tblPrEx>
        <w:trPr>
          <w:trHeight w:val="843" w:hRule="atLeast"/>
        </w:trPr>
        <w:tc>
          <w:tcPr>
            <w:tcW w:w="2071" w:type="dxa"/>
            <w:tcBorders>
              <w:tl2br w:val="nil"/>
              <w:tr2bl w:val="nil"/>
            </w:tcBorders>
            <w:shd w:val="clear" w:color="auto" w:fill="auto"/>
            <w:vAlign w:val="center"/>
          </w:tcPr>
          <w:p w14:paraId="2B46867B">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Obesity Only</w:t>
            </w:r>
          </w:p>
        </w:tc>
        <w:tc>
          <w:tcPr>
            <w:tcW w:w="2292" w:type="dxa"/>
            <w:tcBorders>
              <w:tl2br w:val="nil"/>
              <w:tr2bl w:val="nil"/>
            </w:tcBorders>
            <w:shd w:val="clear" w:color="auto" w:fill="auto"/>
            <w:vAlign w:val="center"/>
          </w:tcPr>
          <w:p w14:paraId="2DF25204">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w:t>
            </w:r>
            <w:r>
              <w:rPr>
                <w:rFonts w:hint="eastAsia" w:ascii="Times New Roman" w:hAnsi="Times New Roman" w:eastAsia="宋体" w:cs="Times New Roman"/>
                <w:sz w:val="18"/>
                <w:szCs w:val="18"/>
                <w:lang w:val="en-US" w:eastAsia="zh-CN"/>
              </w:rPr>
              <w:t>.48</w:t>
            </w:r>
            <w:r>
              <w:rPr>
                <w:rFonts w:hint="default" w:ascii="Times New Roman" w:hAnsi="Times New Roman" w:eastAsia="宋体" w:cs="Times New Roman"/>
                <w:sz w:val="18"/>
                <w:szCs w:val="18"/>
                <w:lang w:val="en-US" w:eastAsia="zh-CN"/>
              </w:rPr>
              <w:t xml:space="preserve"> (1.</w:t>
            </w:r>
            <w:r>
              <w:rPr>
                <w:rFonts w:hint="eastAsia" w:ascii="Times New Roman" w:hAnsi="Times New Roman" w:eastAsia="宋体" w:cs="Times New Roman"/>
                <w:sz w:val="18"/>
                <w:szCs w:val="18"/>
                <w:lang w:val="en-US" w:eastAsia="zh-CN"/>
              </w:rPr>
              <w:t>29</w:t>
            </w:r>
            <w:r>
              <w:rPr>
                <w:rFonts w:hint="default" w:ascii="Times New Roman" w:hAnsi="Times New Roman" w:eastAsia="宋体" w:cs="Times New Roman"/>
                <w:sz w:val="18"/>
                <w:szCs w:val="18"/>
                <w:lang w:val="en-US" w:eastAsia="zh-CN"/>
              </w:rPr>
              <w:t>–1.7</w:t>
            </w:r>
            <w:r>
              <w:rPr>
                <w:rFonts w:hint="eastAsia" w:ascii="Times New Roman" w:hAnsi="Times New Roman" w:eastAsia="宋体" w:cs="Times New Roman"/>
                <w:sz w:val="18"/>
                <w:szCs w:val="18"/>
                <w:lang w:val="en-US" w:eastAsia="zh-CN"/>
              </w:rPr>
              <w:t>0</w:t>
            </w:r>
            <w:r>
              <w:rPr>
                <w:rFonts w:hint="default" w:ascii="Times New Roman" w:hAnsi="Times New Roman" w:eastAsia="宋体" w:cs="Times New Roman"/>
                <w:sz w:val="18"/>
                <w:szCs w:val="18"/>
                <w:lang w:val="en-US" w:eastAsia="zh-CN"/>
              </w:rPr>
              <w:t>)</w:t>
            </w:r>
          </w:p>
        </w:tc>
        <w:tc>
          <w:tcPr>
            <w:tcW w:w="924" w:type="dxa"/>
            <w:tcBorders>
              <w:tl2br w:val="nil"/>
              <w:tr2bl w:val="nil"/>
            </w:tcBorders>
            <w:shd w:val="clear" w:color="auto" w:fill="auto"/>
            <w:vAlign w:val="center"/>
          </w:tcPr>
          <w:p w14:paraId="6CBD1722">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&lt;0.001</w:t>
            </w:r>
          </w:p>
        </w:tc>
      </w:tr>
      <w:tr w14:paraId="09654F6B">
        <w:tblPrEx>
          <w:tblBorders>
            <w:top w:val="single" w:color="1F1F1F" w:sz="4" w:space="0"/>
            <w:left w:val="single" w:color="1F1F1F" w:sz="4" w:space="0"/>
            <w:bottom w:val="single" w:color="1F1F1F" w:sz="4" w:space="0"/>
            <w:right w:val="single" w:color="1F1F1F" w:sz="4" w:space="0"/>
            <w:insideH w:val="single" w:color="1F1F1F" w:sz="4" w:space="0"/>
            <w:insideV w:val="single" w:color="1F1F1F" w:sz="4" w:space="0"/>
          </w:tblBorders>
          <w:shd w:val="clear" w:color="auto" w:fill="auto"/>
          <w:tblCellMar>
            <w:top w:w="0" w:type="dxa"/>
            <w:left w:w="108" w:type="dxa"/>
            <w:bottom w:w="0" w:type="dxa"/>
            <w:right w:w="108" w:type="dxa"/>
          </w:tblCellMar>
        </w:tblPrEx>
        <w:trPr>
          <w:trHeight w:val="843" w:hRule="atLeast"/>
        </w:trPr>
        <w:tc>
          <w:tcPr>
            <w:tcW w:w="2071" w:type="dxa"/>
            <w:tcBorders>
              <w:tl2br w:val="nil"/>
              <w:tr2bl w:val="nil"/>
            </w:tcBorders>
            <w:shd w:val="clear" w:color="auto" w:fill="auto"/>
            <w:vAlign w:val="center"/>
          </w:tcPr>
          <w:p w14:paraId="26D65BFD">
            <w:pPr>
              <w:keepNext w:val="0"/>
              <w:keepLines w:val="0"/>
              <w:widowControl/>
              <w:suppressLineNumbers w:val="0"/>
              <w:jc w:val="left"/>
              <w:textAlignment w:val="center"/>
              <w:rPr>
                <w:rFonts w:hint="default" w:ascii="Times New Roman" w:hAnsi="Times New Roman" w:eastAsia="宋体" w:cs="Times New Roman"/>
                <w:b w:val="0"/>
                <w:bCs w:val="0"/>
                <w:i w:val="0"/>
                <w:iCs w:val="0"/>
                <w:color w:val="1F1F1F"/>
                <w:sz w:val="18"/>
                <w:szCs w:val="18"/>
                <w:u w:val="none"/>
              </w:rPr>
            </w:pPr>
            <w:r>
              <w:rPr>
                <w:rFonts w:hint="default" w:ascii="Times New Roman" w:hAnsi="Times New Roman" w:eastAsia="宋体" w:cs="Times New Roman"/>
                <w:b w:val="0"/>
                <w:bCs w:val="0"/>
                <w:i w:val="0"/>
                <w:iCs w:val="0"/>
                <w:color w:val="1F1F1F"/>
                <w:kern w:val="0"/>
                <w:sz w:val="18"/>
                <w:szCs w:val="18"/>
                <w:u w:val="none"/>
                <w:lang w:val="en-US" w:eastAsia="zh-CN" w:bidi="ar"/>
              </w:rPr>
              <w:t>Sarcopenia Only</w:t>
            </w:r>
          </w:p>
        </w:tc>
        <w:tc>
          <w:tcPr>
            <w:tcW w:w="2292" w:type="dxa"/>
            <w:tcBorders>
              <w:tl2br w:val="nil"/>
              <w:tr2bl w:val="nil"/>
            </w:tcBorders>
            <w:shd w:val="clear" w:color="auto" w:fill="auto"/>
            <w:vAlign w:val="center"/>
          </w:tcPr>
          <w:p w14:paraId="3D279CAE">
            <w:pPr>
              <w:keepNext w:val="0"/>
              <w:keepLines w:val="0"/>
              <w:widowControl/>
              <w:suppressLineNumbers w:val="0"/>
              <w:jc w:val="center"/>
              <w:textAlignment w:val="center"/>
              <w:rPr>
                <w:rFonts w:hint="default" w:ascii="Times New Roman" w:hAnsi="Times New Roman" w:eastAsia="宋体" w:cs="Times New Roman"/>
                <w:b w:val="0"/>
                <w:bCs w:val="0"/>
                <w:i w:val="0"/>
                <w:iCs w:val="0"/>
                <w:color w:val="1F1F1F"/>
                <w:sz w:val="18"/>
                <w:szCs w:val="18"/>
                <w:u w:val="none"/>
              </w:rPr>
            </w:pPr>
            <w:r>
              <w:rPr>
                <w:rFonts w:hint="default" w:ascii="Times New Roman" w:hAnsi="Times New Roman" w:eastAsia="宋体" w:cs="Times New Roman"/>
                <w:b w:val="0"/>
                <w:bCs w:val="0"/>
                <w:i w:val="0"/>
                <w:iCs w:val="0"/>
                <w:color w:val="1F1F1F"/>
                <w:kern w:val="0"/>
                <w:sz w:val="18"/>
                <w:szCs w:val="18"/>
                <w:u w:val="none"/>
                <w:lang w:val="en-US" w:eastAsia="zh-CN" w:bidi="ar"/>
              </w:rPr>
              <w:t>1.2</w:t>
            </w:r>
            <w:r>
              <w:rPr>
                <w:rFonts w:hint="eastAsia" w:ascii="Times New Roman" w:hAnsi="Times New Roman" w:eastAsia="宋体" w:cs="Times New Roman"/>
                <w:b w:val="0"/>
                <w:bCs w:val="0"/>
                <w:i w:val="0"/>
                <w:iCs w:val="0"/>
                <w:color w:val="1F1F1F"/>
                <w:kern w:val="0"/>
                <w:sz w:val="18"/>
                <w:szCs w:val="18"/>
                <w:u w:val="none"/>
                <w:lang w:val="en-US" w:eastAsia="zh-CN" w:bidi="ar"/>
              </w:rPr>
              <w:t>2</w:t>
            </w:r>
            <w:r>
              <w:rPr>
                <w:rFonts w:hint="default" w:ascii="Times New Roman" w:hAnsi="Times New Roman" w:eastAsia="宋体" w:cs="Times New Roman"/>
                <w:b w:val="0"/>
                <w:bCs w:val="0"/>
                <w:i w:val="0"/>
                <w:iCs w:val="0"/>
                <w:color w:val="1F1F1F"/>
                <w:kern w:val="0"/>
                <w:sz w:val="18"/>
                <w:szCs w:val="18"/>
                <w:u w:val="none"/>
                <w:lang w:val="en-US" w:eastAsia="zh-CN" w:bidi="ar"/>
              </w:rPr>
              <w:t xml:space="preserve"> (1.0</w:t>
            </w:r>
            <w:r>
              <w:rPr>
                <w:rFonts w:hint="eastAsia" w:ascii="Times New Roman" w:hAnsi="Times New Roman" w:eastAsia="宋体" w:cs="Times New Roman"/>
                <w:b w:val="0"/>
                <w:bCs w:val="0"/>
                <w:i w:val="0"/>
                <w:iCs w:val="0"/>
                <w:color w:val="1F1F1F"/>
                <w:kern w:val="0"/>
                <w:sz w:val="18"/>
                <w:szCs w:val="18"/>
                <w:u w:val="none"/>
                <w:lang w:val="en-US" w:eastAsia="zh-CN" w:bidi="ar"/>
              </w:rPr>
              <w:t>3</w:t>
            </w:r>
            <w:r>
              <w:rPr>
                <w:rFonts w:hint="default" w:ascii="Times New Roman" w:hAnsi="Times New Roman" w:eastAsia="宋体" w:cs="Times New Roman"/>
                <w:b w:val="0"/>
                <w:bCs w:val="0"/>
                <w:i w:val="0"/>
                <w:iCs w:val="0"/>
                <w:color w:val="1F1F1F"/>
                <w:kern w:val="0"/>
                <w:sz w:val="18"/>
                <w:szCs w:val="18"/>
                <w:u w:val="none"/>
                <w:lang w:val="en-US" w:eastAsia="zh-CN" w:bidi="ar"/>
              </w:rPr>
              <w:t>–1.4</w:t>
            </w:r>
            <w:r>
              <w:rPr>
                <w:rFonts w:hint="eastAsia" w:ascii="Times New Roman" w:hAnsi="Times New Roman" w:eastAsia="宋体" w:cs="Times New Roman"/>
                <w:b w:val="0"/>
                <w:bCs w:val="0"/>
                <w:i w:val="0"/>
                <w:iCs w:val="0"/>
                <w:color w:val="1F1F1F"/>
                <w:kern w:val="0"/>
                <w:sz w:val="18"/>
                <w:szCs w:val="18"/>
                <w:u w:val="none"/>
                <w:lang w:val="en-US" w:eastAsia="zh-CN" w:bidi="ar"/>
              </w:rPr>
              <w:t>3</w:t>
            </w:r>
            <w:r>
              <w:rPr>
                <w:rFonts w:hint="default" w:ascii="Times New Roman" w:hAnsi="Times New Roman" w:eastAsia="宋体" w:cs="Times New Roman"/>
                <w:b w:val="0"/>
                <w:bCs w:val="0"/>
                <w:i w:val="0"/>
                <w:iCs w:val="0"/>
                <w:color w:val="1F1F1F"/>
                <w:kern w:val="0"/>
                <w:sz w:val="18"/>
                <w:szCs w:val="18"/>
                <w:u w:val="none"/>
                <w:lang w:val="en-US" w:eastAsia="zh-CN" w:bidi="ar"/>
              </w:rPr>
              <w:t>)</w:t>
            </w:r>
          </w:p>
        </w:tc>
        <w:tc>
          <w:tcPr>
            <w:tcW w:w="924" w:type="dxa"/>
            <w:tcBorders>
              <w:tl2br w:val="nil"/>
              <w:tr2bl w:val="nil"/>
            </w:tcBorders>
            <w:shd w:val="clear" w:color="auto" w:fill="auto"/>
            <w:vAlign w:val="center"/>
          </w:tcPr>
          <w:p w14:paraId="36D2749C">
            <w:pPr>
              <w:keepNext w:val="0"/>
              <w:keepLines w:val="0"/>
              <w:widowControl/>
              <w:suppressLineNumbers w:val="0"/>
              <w:jc w:val="center"/>
              <w:textAlignment w:val="center"/>
              <w:rPr>
                <w:rFonts w:hint="default" w:ascii="Times New Roman" w:hAnsi="Times New Roman" w:eastAsia="宋体" w:cs="Times New Roman"/>
                <w:b w:val="0"/>
                <w:bCs w:val="0"/>
                <w:i w:val="0"/>
                <w:iCs w:val="0"/>
                <w:color w:val="1F1F1F"/>
                <w:sz w:val="18"/>
                <w:szCs w:val="18"/>
                <w:u w:val="none"/>
                <w:lang w:val="en-US"/>
              </w:rPr>
            </w:pPr>
            <w:r>
              <w:rPr>
                <w:rFonts w:hint="default" w:ascii="Times New Roman" w:hAnsi="Times New Roman" w:eastAsia="宋体" w:cs="Times New Roman"/>
                <w:b w:val="0"/>
                <w:bCs w:val="0"/>
                <w:i w:val="0"/>
                <w:iCs w:val="0"/>
                <w:color w:val="1F1F1F"/>
                <w:kern w:val="0"/>
                <w:sz w:val="18"/>
                <w:szCs w:val="18"/>
                <w:u w:val="none"/>
                <w:lang w:val="en-US" w:eastAsia="zh-CN" w:bidi="ar"/>
              </w:rPr>
              <w:t>0.01</w:t>
            </w:r>
            <w:r>
              <w:rPr>
                <w:rFonts w:hint="eastAsia" w:ascii="Times New Roman" w:hAnsi="Times New Roman" w:eastAsia="宋体" w:cs="Times New Roman"/>
                <w:b w:val="0"/>
                <w:bCs w:val="0"/>
                <w:i w:val="0"/>
                <w:iCs w:val="0"/>
                <w:color w:val="1F1F1F"/>
                <w:kern w:val="0"/>
                <w:sz w:val="18"/>
                <w:szCs w:val="18"/>
                <w:u w:val="none"/>
                <w:lang w:val="en-US" w:eastAsia="zh-CN" w:bidi="ar"/>
              </w:rPr>
              <w:t>8</w:t>
            </w:r>
          </w:p>
        </w:tc>
      </w:tr>
      <w:tr w14:paraId="6BDD3A11">
        <w:tblPrEx>
          <w:tblBorders>
            <w:top w:val="single" w:color="1F1F1F" w:sz="4" w:space="0"/>
            <w:left w:val="single" w:color="1F1F1F" w:sz="4" w:space="0"/>
            <w:bottom w:val="single" w:color="1F1F1F" w:sz="4" w:space="0"/>
            <w:right w:val="single" w:color="1F1F1F" w:sz="4" w:space="0"/>
            <w:insideH w:val="single" w:color="1F1F1F" w:sz="4" w:space="0"/>
            <w:insideV w:val="single" w:color="1F1F1F" w:sz="4" w:space="0"/>
          </w:tblBorders>
          <w:tblCellMar>
            <w:top w:w="0" w:type="dxa"/>
            <w:left w:w="108" w:type="dxa"/>
            <w:bottom w:w="0" w:type="dxa"/>
            <w:right w:w="108" w:type="dxa"/>
          </w:tblCellMar>
        </w:tblPrEx>
        <w:trPr>
          <w:trHeight w:val="843" w:hRule="atLeast"/>
        </w:trPr>
        <w:tc>
          <w:tcPr>
            <w:tcW w:w="2071" w:type="dxa"/>
            <w:tcBorders>
              <w:tl2br w:val="nil"/>
              <w:tr2bl w:val="nil"/>
            </w:tcBorders>
            <w:shd w:val="clear" w:color="auto" w:fill="auto"/>
            <w:vAlign w:val="center"/>
          </w:tcPr>
          <w:p w14:paraId="1211FD83">
            <w:pPr>
              <w:keepNext w:val="0"/>
              <w:keepLines w:val="0"/>
              <w:widowControl/>
              <w:suppressLineNumbers w:val="0"/>
              <w:jc w:val="left"/>
              <w:textAlignment w:val="center"/>
              <w:rPr>
                <w:rFonts w:hint="default" w:ascii="Times New Roman" w:hAnsi="Times New Roman" w:eastAsia="宋体" w:cs="Times New Roman"/>
                <w:b w:val="0"/>
                <w:bCs w:val="0"/>
                <w:i w:val="0"/>
                <w:iCs w:val="0"/>
                <w:color w:val="1F1F1F"/>
                <w:sz w:val="18"/>
                <w:szCs w:val="18"/>
                <w:u w:val="none"/>
              </w:rPr>
            </w:pPr>
            <w:r>
              <w:rPr>
                <w:rFonts w:hint="default" w:ascii="Times New Roman" w:hAnsi="Times New Roman" w:eastAsia="宋体" w:cs="Times New Roman"/>
                <w:b w:val="0"/>
                <w:bCs w:val="0"/>
                <w:i w:val="0"/>
                <w:iCs w:val="0"/>
                <w:color w:val="1F1F1F"/>
                <w:kern w:val="0"/>
                <w:sz w:val="18"/>
                <w:szCs w:val="18"/>
                <w:u w:val="none"/>
                <w:lang w:val="en-US" w:eastAsia="zh-CN" w:bidi="ar"/>
              </w:rPr>
              <w:t>Sarcopenic Obesity</w:t>
            </w:r>
          </w:p>
        </w:tc>
        <w:tc>
          <w:tcPr>
            <w:tcW w:w="2292" w:type="dxa"/>
            <w:tcBorders>
              <w:tl2br w:val="nil"/>
              <w:tr2bl w:val="nil"/>
            </w:tcBorders>
            <w:shd w:val="clear" w:color="auto" w:fill="auto"/>
            <w:vAlign w:val="center"/>
          </w:tcPr>
          <w:p w14:paraId="1A7BD1C0">
            <w:pPr>
              <w:keepNext w:val="0"/>
              <w:keepLines w:val="0"/>
              <w:widowControl/>
              <w:suppressLineNumbers w:val="0"/>
              <w:jc w:val="center"/>
              <w:textAlignment w:val="center"/>
              <w:rPr>
                <w:rFonts w:hint="default" w:ascii="Times New Roman" w:hAnsi="Times New Roman" w:eastAsia="宋体" w:cs="Times New Roman"/>
                <w:b w:val="0"/>
                <w:bCs w:val="0"/>
                <w:i w:val="0"/>
                <w:iCs w:val="0"/>
                <w:color w:val="1F1F1F"/>
                <w:sz w:val="18"/>
                <w:szCs w:val="18"/>
                <w:u w:val="none"/>
              </w:rPr>
            </w:pPr>
            <w:r>
              <w:rPr>
                <w:rFonts w:hint="default" w:ascii="Times New Roman" w:hAnsi="Times New Roman" w:eastAsia="宋体" w:cs="Times New Roman"/>
                <w:b w:val="0"/>
                <w:bCs w:val="0"/>
                <w:i w:val="0"/>
                <w:iCs w:val="0"/>
                <w:color w:val="1F1F1F"/>
                <w:kern w:val="0"/>
                <w:sz w:val="18"/>
                <w:szCs w:val="18"/>
                <w:u w:val="none"/>
                <w:lang w:val="en-US" w:eastAsia="zh-CN" w:bidi="ar"/>
              </w:rPr>
              <w:t>2.0</w:t>
            </w:r>
            <w:r>
              <w:rPr>
                <w:rFonts w:hint="eastAsia" w:ascii="Times New Roman" w:hAnsi="Times New Roman" w:eastAsia="宋体" w:cs="Times New Roman"/>
                <w:b w:val="0"/>
                <w:bCs w:val="0"/>
                <w:i w:val="0"/>
                <w:iCs w:val="0"/>
                <w:color w:val="1F1F1F"/>
                <w:kern w:val="0"/>
                <w:sz w:val="18"/>
                <w:szCs w:val="18"/>
                <w:u w:val="none"/>
                <w:lang w:val="en-US" w:eastAsia="zh-CN" w:bidi="ar"/>
              </w:rPr>
              <w:t>1</w:t>
            </w:r>
            <w:r>
              <w:rPr>
                <w:rFonts w:hint="default" w:ascii="Times New Roman" w:hAnsi="Times New Roman" w:eastAsia="宋体" w:cs="Times New Roman"/>
                <w:b w:val="0"/>
                <w:bCs w:val="0"/>
                <w:i w:val="0"/>
                <w:iCs w:val="0"/>
                <w:color w:val="1F1F1F"/>
                <w:kern w:val="0"/>
                <w:sz w:val="18"/>
                <w:szCs w:val="18"/>
                <w:u w:val="none"/>
                <w:lang w:val="en-US" w:eastAsia="zh-CN" w:bidi="ar"/>
              </w:rPr>
              <w:t xml:space="preserve"> (1.7</w:t>
            </w:r>
            <w:r>
              <w:rPr>
                <w:rFonts w:hint="eastAsia" w:ascii="Times New Roman" w:hAnsi="Times New Roman" w:eastAsia="宋体" w:cs="Times New Roman"/>
                <w:b w:val="0"/>
                <w:bCs w:val="0"/>
                <w:i w:val="0"/>
                <w:iCs w:val="0"/>
                <w:color w:val="1F1F1F"/>
                <w:kern w:val="0"/>
                <w:sz w:val="18"/>
                <w:szCs w:val="18"/>
                <w:u w:val="none"/>
                <w:lang w:val="en-US" w:eastAsia="zh-CN" w:bidi="ar"/>
              </w:rPr>
              <w:t>1</w:t>
            </w:r>
            <w:r>
              <w:rPr>
                <w:rFonts w:hint="default" w:ascii="Times New Roman" w:hAnsi="Times New Roman" w:eastAsia="宋体" w:cs="Times New Roman"/>
                <w:b w:val="0"/>
                <w:bCs w:val="0"/>
                <w:i w:val="0"/>
                <w:iCs w:val="0"/>
                <w:color w:val="1F1F1F"/>
                <w:kern w:val="0"/>
                <w:sz w:val="18"/>
                <w:szCs w:val="18"/>
                <w:u w:val="none"/>
                <w:lang w:val="en-US" w:eastAsia="zh-CN" w:bidi="ar"/>
              </w:rPr>
              <w:t>–2.</w:t>
            </w:r>
            <w:r>
              <w:rPr>
                <w:rFonts w:hint="eastAsia" w:ascii="Times New Roman" w:hAnsi="Times New Roman" w:eastAsia="宋体" w:cs="Times New Roman"/>
                <w:b w:val="0"/>
                <w:bCs w:val="0"/>
                <w:i w:val="0"/>
                <w:iCs w:val="0"/>
                <w:color w:val="1F1F1F"/>
                <w:kern w:val="0"/>
                <w:sz w:val="18"/>
                <w:szCs w:val="18"/>
                <w:u w:val="none"/>
                <w:lang w:val="en-US" w:eastAsia="zh-CN" w:bidi="ar"/>
              </w:rPr>
              <w:t>35</w:t>
            </w:r>
            <w:r>
              <w:rPr>
                <w:rFonts w:hint="default" w:ascii="Times New Roman" w:hAnsi="Times New Roman" w:eastAsia="宋体" w:cs="Times New Roman"/>
                <w:b w:val="0"/>
                <w:bCs w:val="0"/>
                <w:i w:val="0"/>
                <w:iCs w:val="0"/>
                <w:color w:val="1F1F1F"/>
                <w:kern w:val="0"/>
                <w:sz w:val="18"/>
                <w:szCs w:val="18"/>
                <w:u w:val="none"/>
                <w:lang w:val="en-US" w:eastAsia="zh-CN" w:bidi="ar"/>
              </w:rPr>
              <w:t>)</w:t>
            </w:r>
          </w:p>
        </w:tc>
        <w:tc>
          <w:tcPr>
            <w:tcW w:w="924" w:type="dxa"/>
            <w:tcBorders>
              <w:tl2br w:val="nil"/>
              <w:tr2bl w:val="nil"/>
            </w:tcBorders>
            <w:shd w:val="clear" w:color="auto" w:fill="auto"/>
            <w:vAlign w:val="center"/>
          </w:tcPr>
          <w:p w14:paraId="2357ECB1">
            <w:pPr>
              <w:keepNext w:val="0"/>
              <w:keepLines w:val="0"/>
              <w:widowControl/>
              <w:suppressLineNumbers w:val="0"/>
              <w:jc w:val="center"/>
              <w:textAlignment w:val="center"/>
              <w:rPr>
                <w:rFonts w:hint="default" w:ascii="Times New Roman" w:hAnsi="Times New Roman" w:eastAsia="宋体" w:cs="Times New Roman"/>
                <w:b w:val="0"/>
                <w:bCs w:val="0"/>
                <w:i w:val="0"/>
                <w:iCs w:val="0"/>
                <w:color w:val="1F1F1F"/>
                <w:sz w:val="18"/>
                <w:szCs w:val="18"/>
                <w:u w:val="none"/>
              </w:rPr>
            </w:pPr>
            <w:r>
              <w:rPr>
                <w:rFonts w:hint="default" w:ascii="Times New Roman" w:hAnsi="Times New Roman" w:eastAsia="宋体" w:cs="Times New Roman"/>
                <w:b w:val="0"/>
                <w:bCs w:val="0"/>
                <w:i w:val="0"/>
                <w:iCs w:val="0"/>
                <w:color w:val="1F1F1F"/>
                <w:kern w:val="0"/>
                <w:sz w:val="18"/>
                <w:szCs w:val="18"/>
                <w:u w:val="none"/>
                <w:lang w:val="en-US" w:eastAsia="zh-CN" w:bidi="ar"/>
              </w:rPr>
              <w:t>&lt;0.001</w:t>
            </w:r>
          </w:p>
        </w:tc>
      </w:tr>
    </w:tbl>
    <w:p w14:paraId="7C2B9DF3">
      <w:pPr>
        <w:rPr>
          <w:rFonts w:hint="default" w:ascii="Times New Roman" w:hAnsi="Times New Roman" w:eastAsia="Helvetica" w:cs="Times New Roman"/>
          <w:i w:val="0"/>
          <w:iCs w:val="0"/>
          <w:caps w:val="0"/>
          <w:color w:val="222222"/>
          <w:spacing w:val="2"/>
          <w:kern w:val="0"/>
          <w:sz w:val="21"/>
          <w:szCs w:val="21"/>
          <w:u w:val="none" w:color="auto"/>
          <w:lang w:val="en-US" w:eastAsia="zh-CN" w:bidi="ar"/>
        </w:rPr>
      </w:pPr>
      <w:r>
        <w:rPr>
          <w:rFonts w:hint="eastAsia" w:ascii="Times New Roman" w:hAnsi="Times New Roman" w:eastAsia="Helvetica" w:cs="Times New Roman"/>
          <w:i w:val="0"/>
          <w:iCs w:val="0"/>
          <w:caps w:val="0"/>
          <w:color w:val="222222"/>
          <w:spacing w:val="2"/>
          <w:kern w:val="0"/>
          <w:sz w:val="21"/>
          <w:szCs w:val="21"/>
          <w:u w:val="none" w:color="auto"/>
          <w:lang w:val="en-US" w:eastAsia="zh-CN" w:bidi="ar"/>
        </w:rPr>
        <w:t>Supplementary Table S1. Fine–Gray Competing Risk Regression for Incident CVD Events. The Fine–Gray subdistribution hazards model treated incident CVD as the event of interest and death before incident CVD as the competing event. Participants without incident CVD or death were censored at the last available follow-up. The model was adjusted for age, sex, residence, education level, marital status, smoking status, and alcohol consumption. Abbreviations: CI, confidence interval; CVD, cardiovascular disease; SHR, subdistribution hazard ratio.</w:t>
      </w:r>
    </w:p>
    <w:p w14:paraId="1F64CA2B">
      <w:pPr>
        <w:pStyle w:val="4"/>
        <w:keepNext w:val="0"/>
        <w:keepLines w:val="0"/>
        <w:widowControl/>
        <w:suppressLineNumbers w:val="0"/>
        <w:jc w:val="both"/>
        <w:rPr>
          <w:rFonts w:hint="eastAsia" w:ascii="Times New Roman" w:hAnsi="Times New Roman" w:eastAsia="Helvetica" w:cs="Times New Roman"/>
          <w:i w:val="0"/>
          <w:iCs w:val="0"/>
          <w:caps w:val="0"/>
          <w:color w:val="222222"/>
          <w:spacing w:val="2"/>
          <w:sz w:val="21"/>
          <w:szCs w:val="21"/>
          <w:u w:val="none" w:color="auto"/>
          <w:lang w:val="en-US" w:eastAsia="zh-CN"/>
        </w:rPr>
      </w:pPr>
      <w:r>
        <w:rPr>
          <w:rFonts w:hint="default" w:ascii="Times New Roman" w:hAnsi="Times New Roman" w:eastAsia="Helvetica" w:cs="Times New Roman"/>
          <w:i w:val="0"/>
          <w:iCs w:val="0"/>
          <w:caps w:val="0"/>
          <w:color w:val="222222"/>
          <w:spacing w:val="2"/>
          <w:sz w:val="21"/>
          <w:szCs w:val="21"/>
          <w:u w:val="none" w:color="auto"/>
        </w:rPr>
        <w:t>Supplementary Table S</w:t>
      </w:r>
      <w:r>
        <w:rPr>
          <w:rFonts w:hint="eastAsia" w:ascii="Times New Roman" w:hAnsi="Times New Roman" w:eastAsia="宋体" w:cs="Times New Roman"/>
          <w:i w:val="0"/>
          <w:iCs w:val="0"/>
          <w:caps w:val="0"/>
          <w:color w:val="222222"/>
          <w:spacing w:val="2"/>
          <w:sz w:val="21"/>
          <w:szCs w:val="21"/>
          <w:u w:val="none" w:color="auto"/>
          <w:lang w:val="en-US" w:eastAsia="zh-CN"/>
        </w:rPr>
        <w:t>2</w:t>
      </w:r>
      <w:r>
        <w:rPr>
          <w:rFonts w:hint="default" w:ascii="Times New Roman" w:hAnsi="Times New Roman" w:eastAsia="Helvetica" w:cs="Times New Roman"/>
          <w:i w:val="0"/>
          <w:iCs w:val="0"/>
          <w:caps w:val="0"/>
          <w:color w:val="222222"/>
          <w:spacing w:val="2"/>
          <w:sz w:val="21"/>
          <w:szCs w:val="21"/>
          <w:u w:val="none" w:color="auto"/>
        </w:rPr>
        <w:t>. Sensitivity Analysis Excluding CVD Events within the First 2 Years of Follow-up</w:t>
      </w:r>
      <w:r>
        <w:rPr>
          <w:rFonts w:hint="eastAsia" w:ascii="Times New Roman" w:hAnsi="Times New Roman" w:eastAsia="Helvetica" w:cs="Times New Roman"/>
          <w:i w:val="0"/>
          <w:iCs w:val="0"/>
          <w:caps w:val="0"/>
          <w:color w:val="222222"/>
          <w:spacing w:val="2"/>
          <w:sz w:val="21"/>
          <w:szCs w:val="21"/>
          <w:u w:val="none" w:color="auto"/>
          <w:lang w:val="en-US" w:eastAsia="zh-CN"/>
        </w:rPr>
        <w:t xml:space="preserve"> </w:t>
      </w:r>
    </w:p>
    <w:tbl>
      <w:tblPr>
        <w:tblStyle w:val="5"/>
        <w:tblW w:w="837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top w:w="0" w:type="dxa"/>
          <w:left w:w="0" w:type="dxa"/>
          <w:bottom w:w="0" w:type="dxa"/>
          <w:right w:w="0" w:type="dxa"/>
        </w:tblCellMar>
      </w:tblPr>
      <w:tblGrid>
        <w:gridCol w:w="1693"/>
        <w:gridCol w:w="2079"/>
        <w:gridCol w:w="1136"/>
        <w:gridCol w:w="2730"/>
        <w:gridCol w:w="740"/>
      </w:tblGrid>
      <w:tr w14:paraId="24D3CE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0" w:type="dxa"/>
            <w:bottom w:w="0" w:type="dxa"/>
            <w:right w:w="0" w:type="dxa"/>
          </w:tblCellMar>
        </w:tblPrEx>
        <w:trPr>
          <w:trHeight w:val="252" w:hRule="atLeast"/>
        </w:trPr>
        <w:tc>
          <w:tcPr>
            <w:tcW w:w="1693" w:type="dxa"/>
            <w:tcBorders>
              <w:tl2br w:val="nil"/>
              <w:tr2bl w:val="nil"/>
            </w:tcBorders>
            <w:shd w:val="clear" w:color="auto" w:fill="auto"/>
            <w:tcMar>
              <w:top w:w="24" w:type="dxa"/>
              <w:left w:w="36" w:type="dxa"/>
              <w:bottom w:w="24" w:type="dxa"/>
              <w:right w:w="36" w:type="dxa"/>
            </w:tcMar>
            <w:vAlign w:val="bottom"/>
          </w:tcPr>
          <w:p w14:paraId="39B5BF2E">
            <w:pPr>
              <w:pStyle w:val="4"/>
              <w:keepNext w:val="0"/>
              <w:keepLines w:val="0"/>
              <w:widowControl/>
              <w:suppressLineNumbers w:val="0"/>
              <w:jc w:val="left"/>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Phenotype Group</w:t>
            </w:r>
          </w:p>
        </w:tc>
        <w:tc>
          <w:tcPr>
            <w:tcW w:w="2079" w:type="dxa"/>
            <w:tcBorders>
              <w:tl2br w:val="nil"/>
              <w:tr2bl w:val="nil"/>
            </w:tcBorders>
            <w:shd w:val="clear" w:color="auto" w:fill="auto"/>
            <w:tcMar>
              <w:top w:w="24" w:type="dxa"/>
              <w:left w:w="36" w:type="dxa"/>
              <w:bottom w:w="24" w:type="dxa"/>
              <w:right w:w="36" w:type="dxa"/>
            </w:tcMar>
            <w:vAlign w:val="bottom"/>
          </w:tcPr>
          <w:p w14:paraId="084B13BF">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Model 1 HR (95% CI)</w:t>
            </w:r>
          </w:p>
        </w:tc>
        <w:tc>
          <w:tcPr>
            <w:tcW w:w="1136" w:type="dxa"/>
            <w:tcBorders>
              <w:tl2br w:val="nil"/>
              <w:tr2bl w:val="nil"/>
            </w:tcBorders>
            <w:shd w:val="clear" w:color="auto" w:fill="auto"/>
            <w:tcMar>
              <w:top w:w="24" w:type="dxa"/>
              <w:left w:w="36" w:type="dxa"/>
              <w:bottom w:w="24" w:type="dxa"/>
              <w:right w:w="36" w:type="dxa"/>
            </w:tcMar>
            <w:vAlign w:val="bottom"/>
          </w:tcPr>
          <w:p w14:paraId="00B0AA3B">
            <w:pPr>
              <w:pStyle w:val="4"/>
              <w:keepNext w:val="0"/>
              <w:keepLines w:val="0"/>
              <w:widowControl/>
              <w:suppressLineNumbers w:val="0"/>
              <w:ind w:firstLine="184" w:firstLineChars="100"/>
              <w:jc w:val="both"/>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iCs/>
                <w:caps w:val="0"/>
                <w:color w:val="222222"/>
                <w:spacing w:val="2"/>
                <w:sz w:val="18"/>
                <w:szCs w:val="18"/>
                <w:u w:val="none" w:color="auto"/>
                <w:lang w:val="en-US" w:eastAsia="zh-CN"/>
              </w:rPr>
              <w:t>P</w:t>
            </w:r>
            <w:r>
              <w:rPr>
                <w:rFonts w:hint="eastAsia" w:ascii="Times New Roman" w:hAnsi="Times New Roman" w:eastAsia="Helvetica" w:cs="Times New Roman"/>
                <w:i/>
                <w:iCs/>
                <w:caps w:val="0"/>
                <w:color w:val="222222"/>
                <w:spacing w:val="2"/>
                <w:sz w:val="18"/>
                <w:szCs w:val="18"/>
                <w:u w:val="none" w:color="auto"/>
                <w:lang w:val="en-US" w:eastAsia="zh-CN"/>
              </w:rPr>
              <w:t>-</w:t>
            </w:r>
            <w:r>
              <w:rPr>
                <w:rFonts w:hint="default" w:ascii="Times New Roman" w:hAnsi="Times New Roman" w:eastAsia="Helvetica" w:cs="Times New Roman"/>
                <w:i w:val="0"/>
                <w:iCs w:val="0"/>
                <w:caps w:val="0"/>
                <w:color w:val="222222"/>
                <w:spacing w:val="2"/>
                <w:sz w:val="18"/>
                <w:szCs w:val="18"/>
                <w:u w:val="none" w:color="auto"/>
                <w:lang w:val="en-US" w:eastAsia="zh-CN"/>
              </w:rPr>
              <w:t>value</w:t>
            </w:r>
          </w:p>
        </w:tc>
        <w:tc>
          <w:tcPr>
            <w:tcW w:w="2730" w:type="dxa"/>
            <w:tcBorders>
              <w:tl2br w:val="nil"/>
              <w:tr2bl w:val="nil"/>
            </w:tcBorders>
            <w:shd w:val="clear" w:color="auto" w:fill="auto"/>
            <w:tcMar>
              <w:top w:w="24" w:type="dxa"/>
              <w:left w:w="36" w:type="dxa"/>
              <w:bottom w:w="24" w:type="dxa"/>
              <w:right w:w="36" w:type="dxa"/>
            </w:tcMar>
            <w:vAlign w:val="bottom"/>
          </w:tcPr>
          <w:p w14:paraId="3BF55AC8">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Model 3</w:t>
            </w:r>
            <w:r>
              <w:rPr>
                <w:rFonts w:hint="eastAsia" w:ascii="Times New Roman" w:hAnsi="Times New Roman" w:eastAsia="Helvetica" w:cs="Times New Roman"/>
                <w:i w:val="0"/>
                <w:iCs w:val="0"/>
                <w:caps w:val="0"/>
                <w:color w:val="222222"/>
                <w:spacing w:val="2"/>
                <w:sz w:val="18"/>
                <w:szCs w:val="18"/>
                <w:u w:val="none" w:color="auto"/>
                <w:lang w:val="en-US" w:eastAsia="zh-CN"/>
              </w:rPr>
              <w:t xml:space="preserve"> </w:t>
            </w:r>
            <w:r>
              <w:rPr>
                <w:rFonts w:hint="default" w:ascii="Times New Roman" w:hAnsi="Times New Roman" w:eastAsia="Helvetica" w:cs="Times New Roman"/>
                <w:i w:val="0"/>
                <w:iCs w:val="0"/>
                <w:caps w:val="0"/>
                <w:color w:val="222222"/>
                <w:spacing w:val="2"/>
                <w:sz w:val="18"/>
                <w:szCs w:val="18"/>
                <w:u w:val="none" w:color="auto"/>
                <w:lang w:val="en-US" w:eastAsia="zh-CN"/>
              </w:rPr>
              <w:t>HR (95% CI)</w:t>
            </w:r>
          </w:p>
        </w:tc>
        <w:tc>
          <w:tcPr>
            <w:tcW w:w="740" w:type="dxa"/>
            <w:tcBorders>
              <w:tl2br w:val="nil"/>
              <w:tr2bl w:val="nil"/>
            </w:tcBorders>
            <w:shd w:val="clear" w:color="auto" w:fill="auto"/>
            <w:tcMar>
              <w:top w:w="24" w:type="dxa"/>
              <w:left w:w="36" w:type="dxa"/>
              <w:bottom w:w="24" w:type="dxa"/>
              <w:right w:w="36" w:type="dxa"/>
            </w:tcMar>
            <w:vAlign w:val="bottom"/>
          </w:tcPr>
          <w:p w14:paraId="06FC4406">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iCs/>
                <w:caps w:val="0"/>
                <w:color w:val="222222"/>
                <w:spacing w:val="2"/>
                <w:sz w:val="18"/>
                <w:szCs w:val="18"/>
                <w:u w:val="none" w:color="auto"/>
                <w:lang w:val="en-US" w:eastAsia="zh-CN"/>
              </w:rPr>
              <w:t>P</w:t>
            </w:r>
            <w:r>
              <w:rPr>
                <w:rFonts w:hint="eastAsia" w:ascii="Times New Roman" w:hAnsi="Times New Roman" w:eastAsia="Helvetica" w:cs="Times New Roman"/>
                <w:i w:val="0"/>
                <w:iCs w:val="0"/>
                <w:caps w:val="0"/>
                <w:color w:val="222222"/>
                <w:spacing w:val="2"/>
                <w:sz w:val="18"/>
                <w:szCs w:val="18"/>
                <w:u w:val="none" w:color="auto"/>
                <w:lang w:val="en-US" w:eastAsia="zh-CN"/>
              </w:rPr>
              <w:t>-</w:t>
            </w:r>
            <w:r>
              <w:rPr>
                <w:rFonts w:hint="default" w:ascii="Times New Roman" w:hAnsi="Times New Roman" w:eastAsia="Helvetica" w:cs="Times New Roman"/>
                <w:i w:val="0"/>
                <w:iCs w:val="0"/>
                <w:caps w:val="0"/>
                <w:color w:val="222222"/>
                <w:spacing w:val="2"/>
                <w:sz w:val="18"/>
                <w:szCs w:val="18"/>
                <w:u w:val="none" w:color="auto"/>
                <w:lang w:val="en-US" w:eastAsia="zh-CN"/>
              </w:rPr>
              <w:t>value</w:t>
            </w:r>
          </w:p>
        </w:tc>
      </w:tr>
      <w:tr w14:paraId="663D4E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277" w:hRule="atLeast"/>
        </w:trPr>
        <w:tc>
          <w:tcPr>
            <w:tcW w:w="1693" w:type="dxa"/>
            <w:tcBorders>
              <w:tl2br w:val="nil"/>
              <w:tr2bl w:val="nil"/>
            </w:tcBorders>
            <w:shd w:val="clear" w:color="auto" w:fill="auto"/>
            <w:tcMar>
              <w:top w:w="24" w:type="dxa"/>
              <w:left w:w="36" w:type="dxa"/>
              <w:bottom w:w="24" w:type="dxa"/>
              <w:right w:w="36" w:type="dxa"/>
            </w:tcMar>
            <w:vAlign w:val="bottom"/>
          </w:tcPr>
          <w:p w14:paraId="7B9CD6F9">
            <w:pPr>
              <w:pStyle w:val="4"/>
              <w:keepNext w:val="0"/>
              <w:keepLines w:val="0"/>
              <w:widowControl/>
              <w:suppressLineNumbers w:val="0"/>
              <w:jc w:val="both"/>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Normal</w:t>
            </w:r>
          </w:p>
        </w:tc>
        <w:tc>
          <w:tcPr>
            <w:tcW w:w="2079" w:type="dxa"/>
            <w:tcBorders>
              <w:tl2br w:val="nil"/>
              <w:tr2bl w:val="nil"/>
            </w:tcBorders>
            <w:shd w:val="clear" w:color="auto" w:fill="auto"/>
            <w:tcMar>
              <w:top w:w="24" w:type="dxa"/>
              <w:left w:w="36" w:type="dxa"/>
              <w:bottom w:w="24" w:type="dxa"/>
              <w:right w:w="36" w:type="dxa"/>
            </w:tcMar>
            <w:vAlign w:val="bottom"/>
          </w:tcPr>
          <w:p w14:paraId="78586986">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1.00 (Ref)</w:t>
            </w:r>
          </w:p>
        </w:tc>
        <w:tc>
          <w:tcPr>
            <w:tcW w:w="1136" w:type="dxa"/>
            <w:tcBorders>
              <w:tl2br w:val="nil"/>
              <w:tr2bl w:val="nil"/>
            </w:tcBorders>
            <w:shd w:val="clear" w:color="auto" w:fill="auto"/>
            <w:tcMar>
              <w:top w:w="24" w:type="dxa"/>
              <w:left w:w="36" w:type="dxa"/>
              <w:bottom w:w="24" w:type="dxa"/>
              <w:right w:w="36" w:type="dxa"/>
            </w:tcMar>
            <w:vAlign w:val="bottom"/>
          </w:tcPr>
          <w:p w14:paraId="596B92E5">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w:t>
            </w:r>
          </w:p>
        </w:tc>
        <w:tc>
          <w:tcPr>
            <w:tcW w:w="2730" w:type="dxa"/>
            <w:tcBorders>
              <w:tl2br w:val="nil"/>
              <w:tr2bl w:val="nil"/>
            </w:tcBorders>
            <w:shd w:val="clear" w:color="auto" w:fill="auto"/>
            <w:tcMar>
              <w:top w:w="24" w:type="dxa"/>
              <w:left w:w="36" w:type="dxa"/>
              <w:bottom w:w="24" w:type="dxa"/>
              <w:right w:w="36" w:type="dxa"/>
            </w:tcMar>
            <w:vAlign w:val="bottom"/>
          </w:tcPr>
          <w:p w14:paraId="2236DC07">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1.00 (Ref)</w:t>
            </w:r>
          </w:p>
        </w:tc>
        <w:tc>
          <w:tcPr>
            <w:tcW w:w="740" w:type="dxa"/>
            <w:tcBorders>
              <w:tl2br w:val="nil"/>
              <w:tr2bl w:val="nil"/>
            </w:tcBorders>
            <w:shd w:val="clear" w:color="auto" w:fill="auto"/>
            <w:tcMar>
              <w:top w:w="24" w:type="dxa"/>
              <w:left w:w="36" w:type="dxa"/>
              <w:bottom w:w="24" w:type="dxa"/>
              <w:right w:w="36" w:type="dxa"/>
            </w:tcMar>
            <w:vAlign w:val="bottom"/>
          </w:tcPr>
          <w:p w14:paraId="6B2D1AB6">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w:t>
            </w:r>
          </w:p>
        </w:tc>
      </w:tr>
      <w:tr w14:paraId="4A65BC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252" w:hRule="atLeast"/>
        </w:trPr>
        <w:tc>
          <w:tcPr>
            <w:tcW w:w="1693" w:type="dxa"/>
            <w:tcBorders>
              <w:tl2br w:val="nil"/>
              <w:tr2bl w:val="nil"/>
            </w:tcBorders>
            <w:shd w:val="clear" w:color="auto" w:fill="auto"/>
            <w:tcMar>
              <w:top w:w="24" w:type="dxa"/>
              <w:left w:w="36" w:type="dxa"/>
              <w:bottom w:w="24" w:type="dxa"/>
              <w:right w:w="36" w:type="dxa"/>
            </w:tcMar>
            <w:vAlign w:val="bottom"/>
          </w:tcPr>
          <w:p w14:paraId="4E3E23B5">
            <w:pPr>
              <w:pStyle w:val="4"/>
              <w:keepNext w:val="0"/>
              <w:keepLines w:val="0"/>
              <w:widowControl/>
              <w:suppressLineNumbers w:val="0"/>
              <w:jc w:val="both"/>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Obesity Only</w:t>
            </w:r>
          </w:p>
        </w:tc>
        <w:tc>
          <w:tcPr>
            <w:tcW w:w="2079" w:type="dxa"/>
            <w:tcBorders>
              <w:tl2br w:val="nil"/>
              <w:tr2bl w:val="nil"/>
            </w:tcBorders>
            <w:shd w:val="clear" w:color="auto" w:fill="auto"/>
            <w:tcMar>
              <w:top w:w="24" w:type="dxa"/>
              <w:left w:w="36" w:type="dxa"/>
              <w:bottom w:w="24" w:type="dxa"/>
              <w:right w:w="36" w:type="dxa"/>
            </w:tcMar>
            <w:vAlign w:val="bottom"/>
          </w:tcPr>
          <w:p w14:paraId="3F1BBB31">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1.58 (1.36-1.85)</w:t>
            </w:r>
          </w:p>
        </w:tc>
        <w:tc>
          <w:tcPr>
            <w:tcW w:w="1136" w:type="dxa"/>
            <w:tcBorders>
              <w:tl2br w:val="nil"/>
              <w:tr2bl w:val="nil"/>
            </w:tcBorders>
            <w:shd w:val="clear" w:color="auto" w:fill="auto"/>
            <w:tcMar>
              <w:top w:w="24" w:type="dxa"/>
              <w:left w:w="36" w:type="dxa"/>
              <w:bottom w:w="24" w:type="dxa"/>
              <w:right w:w="36" w:type="dxa"/>
            </w:tcMar>
            <w:vAlign w:val="bottom"/>
          </w:tcPr>
          <w:p w14:paraId="14E349A3">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&lt;0.001</w:t>
            </w:r>
          </w:p>
        </w:tc>
        <w:tc>
          <w:tcPr>
            <w:tcW w:w="2730" w:type="dxa"/>
            <w:tcBorders>
              <w:tl2br w:val="nil"/>
              <w:tr2bl w:val="nil"/>
            </w:tcBorders>
            <w:shd w:val="clear" w:color="auto" w:fill="auto"/>
            <w:tcMar>
              <w:top w:w="24" w:type="dxa"/>
              <w:left w:w="36" w:type="dxa"/>
              <w:bottom w:w="24" w:type="dxa"/>
              <w:right w:w="36" w:type="dxa"/>
            </w:tcMar>
            <w:vAlign w:val="bottom"/>
          </w:tcPr>
          <w:p w14:paraId="0577C06B">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1.56 (1.33-1.82)</w:t>
            </w:r>
          </w:p>
        </w:tc>
        <w:tc>
          <w:tcPr>
            <w:tcW w:w="740" w:type="dxa"/>
            <w:tcBorders>
              <w:tl2br w:val="nil"/>
              <w:tr2bl w:val="nil"/>
            </w:tcBorders>
            <w:shd w:val="clear" w:color="auto" w:fill="auto"/>
            <w:tcMar>
              <w:top w:w="24" w:type="dxa"/>
              <w:left w:w="36" w:type="dxa"/>
              <w:bottom w:w="24" w:type="dxa"/>
              <w:right w:w="36" w:type="dxa"/>
            </w:tcMar>
            <w:vAlign w:val="bottom"/>
          </w:tcPr>
          <w:p w14:paraId="216F3185">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&lt;0.001</w:t>
            </w:r>
          </w:p>
        </w:tc>
      </w:tr>
      <w:tr w14:paraId="5E600E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252" w:hRule="atLeast"/>
        </w:trPr>
        <w:tc>
          <w:tcPr>
            <w:tcW w:w="1693" w:type="dxa"/>
            <w:tcBorders>
              <w:tl2br w:val="nil"/>
              <w:tr2bl w:val="nil"/>
            </w:tcBorders>
            <w:shd w:val="clear" w:color="auto" w:fill="auto"/>
            <w:tcMar>
              <w:top w:w="24" w:type="dxa"/>
              <w:left w:w="36" w:type="dxa"/>
              <w:bottom w:w="24" w:type="dxa"/>
              <w:right w:w="36" w:type="dxa"/>
            </w:tcMar>
            <w:vAlign w:val="bottom"/>
          </w:tcPr>
          <w:p w14:paraId="60C3A199">
            <w:pPr>
              <w:pStyle w:val="4"/>
              <w:keepNext w:val="0"/>
              <w:keepLines w:val="0"/>
              <w:widowControl/>
              <w:suppressLineNumbers w:val="0"/>
              <w:jc w:val="both"/>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Sarcopenia Only</w:t>
            </w:r>
          </w:p>
        </w:tc>
        <w:tc>
          <w:tcPr>
            <w:tcW w:w="2079" w:type="dxa"/>
            <w:tcBorders>
              <w:tl2br w:val="nil"/>
              <w:tr2bl w:val="nil"/>
            </w:tcBorders>
            <w:shd w:val="clear" w:color="auto" w:fill="auto"/>
            <w:tcMar>
              <w:top w:w="24" w:type="dxa"/>
              <w:left w:w="36" w:type="dxa"/>
              <w:bottom w:w="24" w:type="dxa"/>
              <w:right w:w="36" w:type="dxa"/>
            </w:tcMar>
            <w:vAlign w:val="bottom"/>
          </w:tcPr>
          <w:p w14:paraId="469B8415">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1.42 (1.19-1.70)</w:t>
            </w:r>
          </w:p>
        </w:tc>
        <w:tc>
          <w:tcPr>
            <w:tcW w:w="1136" w:type="dxa"/>
            <w:tcBorders>
              <w:tl2br w:val="nil"/>
              <w:tr2bl w:val="nil"/>
            </w:tcBorders>
            <w:shd w:val="clear" w:color="auto" w:fill="auto"/>
            <w:tcMar>
              <w:top w:w="24" w:type="dxa"/>
              <w:left w:w="36" w:type="dxa"/>
              <w:bottom w:w="24" w:type="dxa"/>
              <w:right w:w="36" w:type="dxa"/>
            </w:tcMar>
            <w:vAlign w:val="bottom"/>
          </w:tcPr>
          <w:p w14:paraId="4EF1BC09">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&lt;0.001</w:t>
            </w:r>
          </w:p>
        </w:tc>
        <w:tc>
          <w:tcPr>
            <w:tcW w:w="2730" w:type="dxa"/>
            <w:tcBorders>
              <w:tl2br w:val="nil"/>
              <w:tr2bl w:val="nil"/>
            </w:tcBorders>
            <w:shd w:val="clear" w:color="auto" w:fill="auto"/>
            <w:tcMar>
              <w:top w:w="24" w:type="dxa"/>
              <w:left w:w="36" w:type="dxa"/>
              <w:bottom w:w="24" w:type="dxa"/>
              <w:right w:w="36" w:type="dxa"/>
            </w:tcMar>
            <w:vAlign w:val="bottom"/>
          </w:tcPr>
          <w:p w14:paraId="28A2FFBC">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1.24 (1.03-1.49)</w:t>
            </w:r>
          </w:p>
        </w:tc>
        <w:tc>
          <w:tcPr>
            <w:tcW w:w="740" w:type="dxa"/>
            <w:tcBorders>
              <w:tl2br w:val="nil"/>
              <w:tr2bl w:val="nil"/>
            </w:tcBorders>
            <w:shd w:val="clear" w:color="auto" w:fill="auto"/>
            <w:tcMar>
              <w:top w:w="24" w:type="dxa"/>
              <w:left w:w="36" w:type="dxa"/>
              <w:bottom w:w="24" w:type="dxa"/>
              <w:right w:w="36" w:type="dxa"/>
            </w:tcMar>
            <w:vAlign w:val="bottom"/>
          </w:tcPr>
          <w:p w14:paraId="5A3C132B">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0.023</w:t>
            </w:r>
          </w:p>
        </w:tc>
      </w:tr>
      <w:tr w14:paraId="4DC299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252" w:hRule="atLeast"/>
        </w:trPr>
        <w:tc>
          <w:tcPr>
            <w:tcW w:w="1693" w:type="dxa"/>
            <w:tcBorders>
              <w:tl2br w:val="nil"/>
              <w:tr2bl w:val="nil"/>
            </w:tcBorders>
            <w:shd w:val="clear" w:color="auto" w:fill="auto"/>
            <w:tcMar>
              <w:top w:w="24" w:type="dxa"/>
              <w:left w:w="36" w:type="dxa"/>
              <w:bottom w:w="24" w:type="dxa"/>
              <w:right w:w="36" w:type="dxa"/>
            </w:tcMar>
            <w:vAlign w:val="bottom"/>
          </w:tcPr>
          <w:p w14:paraId="6649413F">
            <w:pPr>
              <w:pStyle w:val="4"/>
              <w:keepNext w:val="0"/>
              <w:keepLines w:val="0"/>
              <w:widowControl/>
              <w:suppressLineNumbers w:val="0"/>
              <w:jc w:val="both"/>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Sarcopenic Obesity</w:t>
            </w:r>
          </w:p>
        </w:tc>
        <w:tc>
          <w:tcPr>
            <w:tcW w:w="2079" w:type="dxa"/>
            <w:tcBorders>
              <w:tl2br w:val="nil"/>
              <w:tr2bl w:val="nil"/>
            </w:tcBorders>
            <w:shd w:val="clear" w:color="auto" w:fill="auto"/>
            <w:tcMar>
              <w:top w:w="24" w:type="dxa"/>
              <w:left w:w="36" w:type="dxa"/>
              <w:bottom w:w="24" w:type="dxa"/>
              <w:right w:w="36" w:type="dxa"/>
            </w:tcMar>
            <w:vAlign w:val="bottom"/>
          </w:tcPr>
          <w:p w14:paraId="79D51776">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2.39 (2.01-2.84)</w:t>
            </w:r>
          </w:p>
        </w:tc>
        <w:tc>
          <w:tcPr>
            <w:tcW w:w="1136" w:type="dxa"/>
            <w:tcBorders>
              <w:tl2br w:val="nil"/>
              <w:tr2bl w:val="nil"/>
            </w:tcBorders>
            <w:shd w:val="clear" w:color="auto" w:fill="auto"/>
            <w:tcMar>
              <w:top w:w="24" w:type="dxa"/>
              <w:left w:w="36" w:type="dxa"/>
              <w:bottom w:w="24" w:type="dxa"/>
              <w:right w:w="36" w:type="dxa"/>
            </w:tcMar>
            <w:vAlign w:val="bottom"/>
          </w:tcPr>
          <w:p w14:paraId="04A53FB1">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&lt;0.001</w:t>
            </w:r>
          </w:p>
        </w:tc>
        <w:tc>
          <w:tcPr>
            <w:tcW w:w="2730" w:type="dxa"/>
            <w:tcBorders>
              <w:tl2br w:val="nil"/>
              <w:tr2bl w:val="nil"/>
            </w:tcBorders>
            <w:shd w:val="clear" w:color="auto" w:fill="auto"/>
            <w:tcMar>
              <w:top w:w="24" w:type="dxa"/>
              <w:left w:w="36" w:type="dxa"/>
              <w:bottom w:w="24" w:type="dxa"/>
              <w:right w:w="36" w:type="dxa"/>
            </w:tcMar>
            <w:vAlign w:val="bottom"/>
          </w:tcPr>
          <w:p w14:paraId="44C09EA3">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2.09 (1.75-2.51)</w:t>
            </w:r>
          </w:p>
        </w:tc>
        <w:tc>
          <w:tcPr>
            <w:tcW w:w="740" w:type="dxa"/>
            <w:tcBorders>
              <w:tl2br w:val="nil"/>
              <w:tr2bl w:val="nil"/>
            </w:tcBorders>
            <w:shd w:val="clear" w:color="auto" w:fill="auto"/>
            <w:tcMar>
              <w:top w:w="24" w:type="dxa"/>
              <w:left w:w="36" w:type="dxa"/>
              <w:bottom w:w="24" w:type="dxa"/>
              <w:right w:w="36" w:type="dxa"/>
            </w:tcMar>
            <w:vAlign w:val="bottom"/>
          </w:tcPr>
          <w:p w14:paraId="47608CC4">
            <w:pPr>
              <w:pStyle w:val="4"/>
              <w:keepNext w:val="0"/>
              <w:keepLines w:val="0"/>
              <w:widowControl/>
              <w:suppressLineNumbers w:val="0"/>
              <w:jc w:val="center"/>
              <w:rPr>
                <w:rFonts w:hint="default" w:ascii="Times New Roman" w:hAnsi="Times New Roman" w:eastAsia="Helvetica" w:cs="Times New Roman"/>
                <w:i w:val="0"/>
                <w:iCs w:val="0"/>
                <w:caps w:val="0"/>
                <w:color w:val="222222"/>
                <w:spacing w:val="2"/>
                <w:sz w:val="18"/>
                <w:szCs w:val="18"/>
                <w:u w:val="none" w:color="auto"/>
              </w:rPr>
            </w:pPr>
            <w:r>
              <w:rPr>
                <w:rFonts w:hint="default" w:ascii="Times New Roman" w:hAnsi="Times New Roman" w:eastAsia="Helvetica" w:cs="Times New Roman"/>
                <w:i w:val="0"/>
                <w:iCs w:val="0"/>
                <w:caps w:val="0"/>
                <w:color w:val="222222"/>
                <w:spacing w:val="2"/>
                <w:sz w:val="18"/>
                <w:szCs w:val="18"/>
                <w:u w:val="none" w:color="auto"/>
                <w:lang w:val="en-US" w:eastAsia="zh-CN"/>
              </w:rPr>
              <w:t>&lt;0.001</w:t>
            </w:r>
          </w:p>
        </w:tc>
      </w:tr>
    </w:tbl>
    <w:p w14:paraId="4E3880C1">
      <w:pPr>
        <w:rPr>
          <w:rFonts w:hint="eastAsia" w:ascii="Times New Roman" w:hAnsi="Times New Roman" w:eastAsia="Helvetica" w:cs="Times New Roman"/>
          <w:i w:val="0"/>
          <w:iCs w:val="0"/>
          <w:caps w:val="0"/>
          <w:color w:val="222222"/>
          <w:spacing w:val="2"/>
          <w:kern w:val="0"/>
          <w:sz w:val="21"/>
          <w:szCs w:val="21"/>
          <w:u w:val="none" w:color="auto"/>
          <w:lang w:val="en-US" w:eastAsia="zh-CN" w:bidi="ar"/>
        </w:rPr>
      </w:pPr>
      <w:r>
        <w:rPr>
          <w:rFonts w:hint="eastAsia" w:ascii="Times New Roman" w:hAnsi="Times New Roman" w:eastAsia="Helvetica" w:cs="Times New Roman"/>
          <w:i w:val="0"/>
          <w:iCs w:val="0"/>
          <w:caps w:val="0"/>
          <w:color w:val="222222"/>
          <w:spacing w:val="2"/>
          <w:kern w:val="0"/>
          <w:sz w:val="21"/>
          <w:szCs w:val="21"/>
          <w:u w:val="none" w:color="auto"/>
          <w:lang w:val="en-US" w:eastAsia="zh-CN" w:bidi="ar"/>
        </w:rPr>
        <w:t xml:space="preserve">Note: </w:t>
      </w:r>
      <w:r>
        <w:rPr>
          <w:rFonts w:hint="eastAsia" w:ascii="Times New Roman" w:hAnsi="Times New Roman" w:eastAsia="Helvetica" w:cs="Times New Roman"/>
          <w:i w:val="0"/>
          <w:iCs w:val="0"/>
          <w:caps w:val="0"/>
          <w:color w:val="222222"/>
          <w:spacing w:val="2"/>
          <w:kern w:val="0"/>
          <w:sz w:val="21"/>
          <w:szCs w:val="21"/>
          <w:u w:val="none" w:color="auto"/>
          <w:lang w:val="en-US" w:eastAsia="zh-CN" w:bidi="ar"/>
        </w:rPr>
        <w:t>Sensitivity Analysis Excluding CVD Events within the First 2 Years of Follow-up. Participants who developed incident CVD within the first 2 years after baseline were excluded to reduce potential reverse causation. Cox proportional hazards models were refitted among the remaining participants. Model 1 was unadjusted, and Model 3 was adjusted for age, sex, residence, education level, marital status, smoking status, and alcohol consumption. Abbreviations: CI, confidence interval; CVD, cardiovascular disease; HR, hazard ratio.</w:t>
      </w:r>
    </w:p>
    <w:p w14:paraId="021B61CE">
      <w:pPr>
        <w:rPr>
          <w:rFonts w:hint="eastAsia" w:ascii="Times New Roman" w:hAnsi="Times New Roman" w:eastAsia="Helvetica" w:cs="Times New Roman"/>
          <w:i w:val="0"/>
          <w:iCs w:val="0"/>
          <w:caps w:val="0"/>
          <w:color w:val="222222"/>
          <w:spacing w:val="2"/>
          <w:kern w:val="0"/>
          <w:sz w:val="21"/>
          <w:szCs w:val="21"/>
          <w:u w:val="none" w:color="auto"/>
          <w:lang w:val="en-US" w:eastAsia="zh-CN" w:bidi="ar"/>
        </w:rPr>
      </w:pPr>
    </w:p>
    <w:p w14:paraId="2EF70C2F">
      <w:pPr>
        <w:rPr>
          <w:rFonts w:hint="eastAsia" w:ascii="Times New Roman" w:hAnsi="Times New Roman" w:eastAsia="Helvetica" w:cs="Times New Roman"/>
          <w:i w:val="0"/>
          <w:iCs w:val="0"/>
          <w:caps w:val="0"/>
          <w:color w:val="222222"/>
          <w:spacing w:val="2"/>
          <w:kern w:val="0"/>
          <w:sz w:val="21"/>
          <w:szCs w:val="21"/>
          <w:u w:val="none" w:color="auto"/>
          <w:lang w:val="en-US" w:eastAsia="zh-CN" w:bidi="ar"/>
        </w:rPr>
      </w:pPr>
      <w:r>
        <w:rPr>
          <w:rFonts w:hint="eastAsia" w:ascii="Times New Roman" w:hAnsi="Times New Roman" w:eastAsia="Helvetica" w:cs="Times New Roman"/>
          <w:i w:val="0"/>
          <w:iCs w:val="0"/>
          <w:caps w:val="0"/>
          <w:color w:val="222222"/>
          <w:spacing w:val="2"/>
          <w:kern w:val="0"/>
          <w:sz w:val="21"/>
          <w:szCs w:val="21"/>
          <w:u w:val="none" w:color="auto"/>
          <w:lang w:val="en-US" w:eastAsia="zh-CN" w:bidi="ar"/>
        </w:rPr>
        <w:t>Supplementary Table S3. Restricted longitudinal analysis among participants free of advanced CKM at baseline</w:t>
      </w:r>
    </w:p>
    <w:tbl>
      <w:tblPr>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1387"/>
        <w:gridCol w:w="1641"/>
        <w:gridCol w:w="700"/>
        <w:gridCol w:w="1641"/>
        <w:gridCol w:w="700"/>
        <w:gridCol w:w="1641"/>
        <w:gridCol w:w="700"/>
      </w:tblGrid>
      <w:tr w14:paraId="129FD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trHeight w:val="276" w:hRule="atLeast"/>
        </w:trPr>
        <w:tc>
          <w:tcPr>
            <w:tcW w:w="0" w:type="auto"/>
            <w:tcBorders>
              <w:tl2br w:val="nil"/>
              <w:tr2bl w:val="nil"/>
            </w:tcBorders>
            <w:shd w:val="clear"/>
            <w:vAlign w:val="bottom"/>
          </w:tcPr>
          <w:p w14:paraId="40D38F03">
            <w:pPr>
              <w:keepNext w:val="0"/>
              <w:keepLines w:val="0"/>
              <w:widowControl/>
              <w:suppressLineNumbers w:val="0"/>
              <w:jc w:val="center"/>
              <w:textAlignment w:val="bottom"/>
              <w:rPr>
                <w:rFonts w:hint="default" w:ascii="Times New Roman" w:hAnsi="Times New Roman" w:cs="Times New Roman"/>
                <w:b/>
                <w:bCs/>
                <w:i w:val="0"/>
                <w:iCs w:val="0"/>
                <w:color w:val="000000"/>
                <w:sz w:val="15"/>
                <w:szCs w:val="15"/>
                <w:u w:val="none"/>
              </w:rPr>
            </w:pPr>
            <w:r>
              <w:rPr>
                <w:rFonts w:hint="default" w:ascii="Times New Roman" w:hAnsi="Times New Roman" w:eastAsia="宋体" w:cs="Times New Roman"/>
                <w:b/>
                <w:bCs/>
                <w:i w:val="0"/>
                <w:iCs w:val="0"/>
                <w:color w:val="000000"/>
                <w:kern w:val="0"/>
                <w:sz w:val="15"/>
                <w:szCs w:val="15"/>
                <w:u w:val="none"/>
                <w:bdr w:val="none" w:color="auto" w:sz="0" w:space="0"/>
                <w:lang w:val="en-US" w:eastAsia="zh-CN" w:bidi="ar"/>
              </w:rPr>
              <w:t>Phenotype</w:t>
            </w:r>
          </w:p>
        </w:tc>
        <w:tc>
          <w:tcPr>
            <w:tcW w:w="0" w:type="auto"/>
            <w:tcBorders>
              <w:tl2br w:val="nil"/>
              <w:tr2bl w:val="nil"/>
            </w:tcBorders>
            <w:shd w:val="clear"/>
            <w:vAlign w:val="bottom"/>
          </w:tcPr>
          <w:p w14:paraId="5930515A">
            <w:pPr>
              <w:keepNext w:val="0"/>
              <w:keepLines w:val="0"/>
              <w:widowControl/>
              <w:suppressLineNumbers w:val="0"/>
              <w:jc w:val="center"/>
              <w:textAlignment w:val="bottom"/>
              <w:rPr>
                <w:rFonts w:hint="default" w:ascii="Times New Roman" w:hAnsi="Times New Roman" w:cs="Times New Roman"/>
                <w:b/>
                <w:bCs/>
                <w:i w:val="0"/>
                <w:iCs w:val="0"/>
                <w:color w:val="000000"/>
                <w:sz w:val="15"/>
                <w:szCs w:val="15"/>
                <w:u w:val="none"/>
              </w:rPr>
            </w:pPr>
            <w:r>
              <w:rPr>
                <w:rFonts w:hint="default" w:ascii="Times New Roman" w:hAnsi="Times New Roman" w:eastAsia="宋体" w:cs="Times New Roman"/>
                <w:b/>
                <w:bCs/>
                <w:i w:val="0"/>
                <w:iCs w:val="0"/>
                <w:color w:val="000000"/>
                <w:kern w:val="0"/>
                <w:sz w:val="15"/>
                <w:szCs w:val="15"/>
                <w:u w:val="none"/>
                <w:bdr w:val="none" w:color="auto" w:sz="0" w:space="0"/>
                <w:lang w:val="en-US" w:eastAsia="zh-CN" w:bidi="ar"/>
              </w:rPr>
              <w:t>Model 1 HR (95% CI)</w:t>
            </w:r>
          </w:p>
        </w:tc>
        <w:tc>
          <w:tcPr>
            <w:tcW w:w="0" w:type="auto"/>
            <w:tcBorders>
              <w:tl2br w:val="nil"/>
              <w:tr2bl w:val="nil"/>
            </w:tcBorders>
            <w:shd w:val="clear"/>
            <w:vAlign w:val="bottom"/>
          </w:tcPr>
          <w:p w14:paraId="65497C63">
            <w:pPr>
              <w:keepNext w:val="0"/>
              <w:keepLines w:val="0"/>
              <w:widowControl/>
              <w:suppressLineNumbers w:val="0"/>
              <w:jc w:val="center"/>
              <w:textAlignment w:val="bottom"/>
              <w:rPr>
                <w:rFonts w:hint="default" w:ascii="Times New Roman" w:hAnsi="Times New Roman" w:cs="Times New Roman"/>
                <w:b/>
                <w:bCs/>
                <w:i w:val="0"/>
                <w:iCs w:val="0"/>
                <w:color w:val="000000"/>
                <w:sz w:val="15"/>
                <w:szCs w:val="15"/>
                <w:u w:val="none"/>
              </w:rPr>
            </w:pPr>
            <w:r>
              <w:rPr>
                <w:rFonts w:hint="default" w:ascii="Times New Roman" w:hAnsi="Times New Roman" w:eastAsia="宋体" w:cs="Times New Roman"/>
                <w:b/>
                <w:bCs/>
                <w:i/>
                <w:iCs/>
                <w:color w:val="000000"/>
                <w:kern w:val="0"/>
                <w:sz w:val="15"/>
                <w:szCs w:val="15"/>
                <w:u w:val="none"/>
                <w:bdr w:val="none" w:color="auto" w:sz="0" w:space="0"/>
                <w:lang w:val="en-US" w:eastAsia="zh-CN" w:bidi="ar"/>
              </w:rPr>
              <w:t>P</w:t>
            </w:r>
            <w:r>
              <w:rPr>
                <w:rFonts w:hint="default" w:ascii="Times New Roman" w:hAnsi="Times New Roman" w:eastAsia="宋体" w:cs="Times New Roman"/>
                <w:b/>
                <w:bCs/>
                <w:i w:val="0"/>
                <w:iCs w:val="0"/>
                <w:color w:val="000000"/>
                <w:kern w:val="0"/>
                <w:sz w:val="15"/>
                <w:szCs w:val="15"/>
                <w:u w:val="none"/>
                <w:bdr w:val="none" w:color="auto" w:sz="0" w:space="0"/>
                <w:lang w:val="en-US" w:eastAsia="zh-CN" w:bidi="ar"/>
              </w:rPr>
              <w:t>-value</w:t>
            </w:r>
          </w:p>
        </w:tc>
        <w:tc>
          <w:tcPr>
            <w:tcW w:w="0" w:type="auto"/>
            <w:tcBorders>
              <w:tl2br w:val="nil"/>
              <w:tr2bl w:val="nil"/>
            </w:tcBorders>
            <w:shd w:val="clear"/>
            <w:vAlign w:val="bottom"/>
          </w:tcPr>
          <w:p w14:paraId="0EDF33FE">
            <w:pPr>
              <w:keepNext w:val="0"/>
              <w:keepLines w:val="0"/>
              <w:widowControl/>
              <w:suppressLineNumbers w:val="0"/>
              <w:jc w:val="center"/>
              <w:textAlignment w:val="bottom"/>
              <w:rPr>
                <w:rFonts w:hint="default" w:ascii="Times New Roman" w:hAnsi="Times New Roman" w:cs="Times New Roman"/>
                <w:b/>
                <w:bCs/>
                <w:i w:val="0"/>
                <w:iCs w:val="0"/>
                <w:color w:val="000000"/>
                <w:sz w:val="15"/>
                <w:szCs w:val="15"/>
                <w:u w:val="none"/>
              </w:rPr>
            </w:pPr>
            <w:r>
              <w:rPr>
                <w:rFonts w:hint="default" w:ascii="Times New Roman" w:hAnsi="Times New Roman" w:eastAsia="宋体" w:cs="Times New Roman"/>
                <w:b/>
                <w:bCs/>
                <w:i w:val="0"/>
                <w:iCs w:val="0"/>
                <w:color w:val="000000"/>
                <w:kern w:val="0"/>
                <w:sz w:val="15"/>
                <w:szCs w:val="15"/>
                <w:u w:val="none"/>
                <w:bdr w:val="none" w:color="auto" w:sz="0" w:space="0"/>
                <w:lang w:val="en-US" w:eastAsia="zh-CN" w:bidi="ar"/>
              </w:rPr>
              <w:t>Model 2 HR (95% CI)</w:t>
            </w:r>
          </w:p>
        </w:tc>
        <w:tc>
          <w:tcPr>
            <w:tcW w:w="0" w:type="auto"/>
            <w:tcBorders>
              <w:tl2br w:val="nil"/>
              <w:tr2bl w:val="nil"/>
            </w:tcBorders>
            <w:shd w:val="clear"/>
            <w:vAlign w:val="bottom"/>
          </w:tcPr>
          <w:p w14:paraId="1951FB1C">
            <w:pPr>
              <w:keepNext w:val="0"/>
              <w:keepLines w:val="0"/>
              <w:widowControl/>
              <w:suppressLineNumbers w:val="0"/>
              <w:jc w:val="center"/>
              <w:textAlignment w:val="bottom"/>
              <w:rPr>
                <w:rFonts w:hint="default" w:ascii="Times New Roman" w:hAnsi="Times New Roman" w:cs="Times New Roman"/>
                <w:b/>
                <w:bCs/>
                <w:i w:val="0"/>
                <w:iCs w:val="0"/>
                <w:color w:val="000000"/>
                <w:sz w:val="15"/>
                <w:szCs w:val="15"/>
                <w:u w:val="none"/>
              </w:rPr>
            </w:pPr>
            <w:r>
              <w:rPr>
                <w:rFonts w:hint="default" w:ascii="Times New Roman" w:hAnsi="Times New Roman" w:eastAsia="宋体" w:cs="Times New Roman"/>
                <w:b/>
                <w:bCs/>
                <w:i/>
                <w:iCs/>
                <w:color w:val="000000"/>
                <w:kern w:val="0"/>
                <w:sz w:val="15"/>
                <w:szCs w:val="15"/>
                <w:u w:val="none"/>
                <w:bdr w:val="none" w:color="auto" w:sz="0" w:space="0"/>
                <w:lang w:val="en-US" w:eastAsia="zh-CN" w:bidi="ar"/>
              </w:rPr>
              <w:t>P</w:t>
            </w:r>
            <w:r>
              <w:rPr>
                <w:rFonts w:hint="default" w:ascii="Times New Roman" w:hAnsi="Times New Roman" w:eastAsia="宋体" w:cs="Times New Roman"/>
                <w:b/>
                <w:bCs/>
                <w:i w:val="0"/>
                <w:iCs w:val="0"/>
                <w:color w:val="000000"/>
                <w:kern w:val="0"/>
                <w:sz w:val="15"/>
                <w:szCs w:val="15"/>
                <w:u w:val="none"/>
                <w:bdr w:val="none" w:color="auto" w:sz="0" w:space="0"/>
                <w:lang w:val="en-US" w:eastAsia="zh-CN" w:bidi="ar"/>
              </w:rPr>
              <w:t>-value</w:t>
            </w:r>
          </w:p>
        </w:tc>
        <w:tc>
          <w:tcPr>
            <w:tcW w:w="0" w:type="auto"/>
            <w:tcBorders>
              <w:tl2br w:val="nil"/>
              <w:tr2bl w:val="nil"/>
            </w:tcBorders>
            <w:shd w:val="clear"/>
            <w:vAlign w:val="bottom"/>
          </w:tcPr>
          <w:p w14:paraId="421A21CA">
            <w:pPr>
              <w:keepNext w:val="0"/>
              <w:keepLines w:val="0"/>
              <w:widowControl/>
              <w:suppressLineNumbers w:val="0"/>
              <w:jc w:val="center"/>
              <w:textAlignment w:val="bottom"/>
              <w:rPr>
                <w:rFonts w:hint="default" w:ascii="Times New Roman" w:hAnsi="Times New Roman" w:cs="Times New Roman"/>
                <w:b/>
                <w:bCs/>
                <w:i w:val="0"/>
                <w:iCs w:val="0"/>
                <w:color w:val="000000"/>
                <w:sz w:val="15"/>
                <w:szCs w:val="15"/>
                <w:u w:val="none"/>
              </w:rPr>
            </w:pPr>
            <w:r>
              <w:rPr>
                <w:rFonts w:hint="default" w:ascii="Times New Roman" w:hAnsi="Times New Roman" w:eastAsia="宋体" w:cs="Times New Roman"/>
                <w:b/>
                <w:bCs/>
                <w:i w:val="0"/>
                <w:iCs w:val="0"/>
                <w:color w:val="000000"/>
                <w:kern w:val="0"/>
                <w:sz w:val="15"/>
                <w:szCs w:val="15"/>
                <w:u w:val="none"/>
                <w:bdr w:val="none" w:color="auto" w:sz="0" w:space="0"/>
                <w:lang w:val="en-US" w:eastAsia="zh-CN" w:bidi="ar"/>
              </w:rPr>
              <w:t>Model 3 HR (95% CI)</w:t>
            </w:r>
          </w:p>
        </w:tc>
        <w:tc>
          <w:tcPr>
            <w:tcW w:w="0" w:type="auto"/>
            <w:tcBorders>
              <w:tl2br w:val="nil"/>
              <w:tr2bl w:val="nil"/>
            </w:tcBorders>
            <w:shd w:val="clear"/>
            <w:vAlign w:val="bottom"/>
          </w:tcPr>
          <w:p w14:paraId="192A6988">
            <w:pPr>
              <w:keepNext w:val="0"/>
              <w:keepLines w:val="0"/>
              <w:widowControl/>
              <w:suppressLineNumbers w:val="0"/>
              <w:jc w:val="center"/>
              <w:textAlignment w:val="bottom"/>
              <w:rPr>
                <w:rFonts w:hint="default" w:ascii="Times New Roman" w:hAnsi="Times New Roman" w:cs="Times New Roman"/>
                <w:b/>
                <w:bCs/>
                <w:i w:val="0"/>
                <w:iCs w:val="0"/>
                <w:color w:val="000000"/>
                <w:sz w:val="15"/>
                <w:szCs w:val="15"/>
                <w:u w:val="none"/>
              </w:rPr>
            </w:pPr>
            <w:r>
              <w:rPr>
                <w:rFonts w:hint="default" w:ascii="Times New Roman" w:hAnsi="Times New Roman" w:eastAsia="宋体" w:cs="Times New Roman"/>
                <w:b/>
                <w:bCs/>
                <w:i/>
                <w:iCs/>
                <w:color w:val="000000"/>
                <w:kern w:val="0"/>
                <w:sz w:val="15"/>
                <w:szCs w:val="15"/>
                <w:u w:val="none"/>
                <w:bdr w:val="none" w:color="auto" w:sz="0" w:space="0"/>
                <w:lang w:val="en-US" w:eastAsia="zh-CN" w:bidi="ar"/>
              </w:rPr>
              <w:t>P</w:t>
            </w:r>
            <w:r>
              <w:rPr>
                <w:rFonts w:hint="default" w:ascii="Times New Roman" w:hAnsi="Times New Roman" w:eastAsia="宋体" w:cs="Times New Roman"/>
                <w:b/>
                <w:bCs/>
                <w:i w:val="0"/>
                <w:iCs w:val="0"/>
                <w:color w:val="000000"/>
                <w:kern w:val="0"/>
                <w:sz w:val="15"/>
                <w:szCs w:val="15"/>
                <w:u w:val="none"/>
                <w:bdr w:val="none" w:color="auto" w:sz="0" w:space="0"/>
                <w:lang w:val="en-US" w:eastAsia="zh-CN" w:bidi="ar"/>
              </w:rPr>
              <w:t>-value</w:t>
            </w:r>
          </w:p>
        </w:tc>
      </w:tr>
      <w:tr w14:paraId="2A840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0" w:type="auto"/>
            <w:tcBorders>
              <w:tl2br w:val="nil"/>
              <w:tr2bl w:val="nil"/>
            </w:tcBorders>
            <w:shd w:val="clear"/>
            <w:vAlign w:val="bottom"/>
          </w:tcPr>
          <w:p w14:paraId="22471852">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Normal</w:t>
            </w:r>
          </w:p>
        </w:tc>
        <w:tc>
          <w:tcPr>
            <w:tcW w:w="0" w:type="auto"/>
            <w:tcBorders>
              <w:tl2br w:val="nil"/>
              <w:tr2bl w:val="nil"/>
            </w:tcBorders>
            <w:shd w:val="clear"/>
            <w:vAlign w:val="bottom"/>
          </w:tcPr>
          <w:p w14:paraId="6604EFCB">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1.00 (Ref)</w:t>
            </w:r>
          </w:p>
        </w:tc>
        <w:tc>
          <w:tcPr>
            <w:tcW w:w="0" w:type="auto"/>
            <w:tcBorders>
              <w:tl2br w:val="nil"/>
              <w:tr2bl w:val="nil"/>
            </w:tcBorders>
            <w:shd w:val="clear"/>
            <w:vAlign w:val="bottom"/>
          </w:tcPr>
          <w:p w14:paraId="6A00DD0C">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w:t>
            </w:r>
          </w:p>
        </w:tc>
        <w:tc>
          <w:tcPr>
            <w:tcW w:w="0" w:type="auto"/>
            <w:tcBorders>
              <w:tl2br w:val="nil"/>
              <w:tr2bl w:val="nil"/>
            </w:tcBorders>
            <w:shd w:val="clear"/>
            <w:vAlign w:val="bottom"/>
          </w:tcPr>
          <w:p w14:paraId="400C903B">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1.00 (Ref)</w:t>
            </w:r>
          </w:p>
        </w:tc>
        <w:tc>
          <w:tcPr>
            <w:tcW w:w="0" w:type="auto"/>
            <w:tcBorders>
              <w:tl2br w:val="nil"/>
              <w:tr2bl w:val="nil"/>
            </w:tcBorders>
            <w:shd w:val="clear"/>
            <w:vAlign w:val="bottom"/>
          </w:tcPr>
          <w:p w14:paraId="597A1FC4">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w:t>
            </w:r>
          </w:p>
        </w:tc>
        <w:tc>
          <w:tcPr>
            <w:tcW w:w="0" w:type="auto"/>
            <w:tcBorders>
              <w:tl2br w:val="nil"/>
              <w:tr2bl w:val="nil"/>
            </w:tcBorders>
            <w:shd w:val="clear"/>
            <w:vAlign w:val="bottom"/>
          </w:tcPr>
          <w:p w14:paraId="24FF317D">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1.00 (Ref)</w:t>
            </w:r>
          </w:p>
        </w:tc>
        <w:tc>
          <w:tcPr>
            <w:tcW w:w="0" w:type="auto"/>
            <w:tcBorders>
              <w:tl2br w:val="nil"/>
              <w:tr2bl w:val="nil"/>
            </w:tcBorders>
            <w:shd w:val="clear"/>
            <w:vAlign w:val="bottom"/>
          </w:tcPr>
          <w:p w14:paraId="03CF60BF">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w:t>
            </w:r>
          </w:p>
        </w:tc>
      </w:tr>
      <w:tr w14:paraId="5D1E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0" w:type="auto"/>
            <w:tcBorders>
              <w:tl2br w:val="nil"/>
              <w:tr2bl w:val="nil"/>
            </w:tcBorders>
            <w:shd w:val="clear"/>
            <w:vAlign w:val="bottom"/>
          </w:tcPr>
          <w:p w14:paraId="42B47CE6">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Obesity Only</w:t>
            </w:r>
          </w:p>
        </w:tc>
        <w:tc>
          <w:tcPr>
            <w:tcW w:w="0" w:type="auto"/>
            <w:tcBorders>
              <w:tl2br w:val="nil"/>
              <w:tr2bl w:val="nil"/>
            </w:tcBorders>
            <w:shd w:val="clear"/>
            <w:vAlign w:val="bottom"/>
          </w:tcPr>
          <w:p w14:paraId="10D74F8B">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1.64 (1.44–1.87)</w:t>
            </w:r>
          </w:p>
        </w:tc>
        <w:tc>
          <w:tcPr>
            <w:tcW w:w="0" w:type="auto"/>
            <w:tcBorders>
              <w:tl2br w:val="nil"/>
              <w:tr2bl w:val="nil"/>
            </w:tcBorders>
            <w:shd w:val="clear"/>
            <w:vAlign w:val="bottom"/>
          </w:tcPr>
          <w:p w14:paraId="275EB7C3">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&lt;0.001</w:t>
            </w:r>
          </w:p>
        </w:tc>
        <w:tc>
          <w:tcPr>
            <w:tcW w:w="0" w:type="auto"/>
            <w:tcBorders>
              <w:tl2br w:val="nil"/>
              <w:tr2bl w:val="nil"/>
            </w:tcBorders>
            <w:shd w:val="clear"/>
            <w:vAlign w:val="bottom"/>
          </w:tcPr>
          <w:p w14:paraId="62DEB9A0">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1.53 (1.34–1.75)</w:t>
            </w:r>
          </w:p>
        </w:tc>
        <w:tc>
          <w:tcPr>
            <w:tcW w:w="0" w:type="auto"/>
            <w:tcBorders>
              <w:tl2br w:val="nil"/>
              <w:tr2bl w:val="nil"/>
            </w:tcBorders>
            <w:shd w:val="clear"/>
            <w:vAlign w:val="bottom"/>
          </w:tcPr>
          <w:p w14:paraId="1109F710">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&lt;0.001</w:t>
            </w:r>
          </w:p>
        </w:tc>
        <w:tc>
          <w:tcPr>
            <w:tcW w:w="0" w:type="auto"/>
            <w:tcBorders>
              <w:tl2br w:val="nil"/>
              <w:tr2bl w:val="nil"/>
            </w:tcBorders>
            <w:shd w:val="clear"/>
            <w:vAlign w:val="bottom"/>
          </w:tcPr>
          <w:p w14:paraId="697A7357">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1.54 (1.34–1.76)</w:t>
            </w:r>
          </w:p>
        </w:tc>
        <w:tc>
          <w:tcPr>
            <w:tcW w:w="0" w:type="auto"/>
            <w:tcBorders>
              <w:tl2br w:val="nil"/>
              <w:tr2bl w:val="nil"/>
            </w:tcBorders>
            <w:shd w:val="clear"/>
            <w:vAlign w:val="bottom"/>
          </w:tcPr>
          <w:p w14:paraId="29B19208">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&lt;0.001</w:t>
            </w:r>
          </w:p>
        </w:tc>
      </w:tr>
      <w:tr w14:paraId="5CAC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0" w:type="auto"/>
            <w:tcBorders>
              <w:tl2br w:val="nil"/>
              <w:tr2bl w:val="nil"/>
            </w:tcBorders>
            <w:shd w:val="clear"/>
            <w:vAlign w:val="bottom"/>
          </w:tcPr>
          <w:p w14:paraId="0C26EBAE">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Sarcopenia Only</w:t>
            </w:r>
          </w:p>
        </w:tc>
        <w:tc>
          <w:tcPr>
            <w:tcW w:w="0" w:type="auto"/>
            <w:tcBorders>
              <w:tl2br w:val="nil"/>
              <w:tr2bl w:val="nil"/>
            </w:tcBorders>
            <w:shd w:val="clear"/>
            <w:vAlign w:val="bottom"/>
          </w:tcPr>
          <w:p w14:paraId="5D5DAA8C">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1.43 (1.21–1.69)</w:t>
            </w:r>
          </w:p>
        </w:tc>
        <w:tc>
          <w:tcPr>
            <w:tcW w:w="0" w:type="auto"/>
            <w:tcBorders>
              <w:tl2br w:val="nil"/>
              <w:tr2bl w:val="nil"/>
            </w:tcBorders>
            <w:shd w:val="clear"/>
            <w:vAlign w:val="bottom"/>
          </w:tcPr>
          <w:p w14:paraId="161F3BA8">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&lt;0.001</w:t>
            </w:r>
          </w:p>
        </w:tc>
        <w:tc>
          <w:tcPr>
            <w:tcW w:w="0" w:type="auto"/>
            <w:tcBorders>
              <w:tl2br w:val="nil"/>
              <w:tr2bl w:val="nil"/>
            </w:tcBorders>
            <w:shd w:val="clear"/>
            <w:vAlign w:val="bottom"/>
          </w:tcPr>
          <w:p w14:paraId="6A43A36F">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1.27 (1.07–1.50)</w:t>
            </w:r>
          </w:p>
        </w:tc>
        <w:tc>
          <w:tcPr>
            <w:tcW w:w="0" w:type="auto"/>
            <w:tcBorders>
              <w:tl2br w:val="nil"/>
              <w:tr2bl w:val="nil"/>
            </w:tcBorders>
            <w:shd w:val="clear"/>
            <w:vAlign w:val="bottom"/>
          </w:tcPr>
          <w:p w14:paraId="044E58CF">
            <w:pPr>
              <w:keepNext w:val="0"/>
              <w:keepLines w:val="0"/>
              <w:widowControl/>
              <w:suppressLineNumbers w:val="0"/>
              <w:jc w:val="right"/>
              <w:textAlignment w:val="bottom"/>
              <w:rPr>
                <w:rFonts w:hint="default" w:ascii="Times New Roman" w:hAnsi="Times New Roman" w:cs="Times New Roman"/>
                <w:i w:val="0"/>
                <w:iCs w:val="0"/>
                <w:color w:val="000000"/>
                <w:sz w:val="15"/>
                <w:szCs w:val="15"/>
                <w:u w:val="none"/>
              </w:rPr>
            </w:pPr>
            <w:bookmarkStart w:id="0" w:name="_GoBack"/>
            <w:r>
              <w:rPr>
                <w:rFonts w:hint="default" w:ascii="Times New Roman" w:hAnsi="Times New Roman" w:eastAsia="宋体" w:cs="Times New Roman"/>
                <w:i w:val="0"/>
                <w:iCs w:val="0"/>
                <w:color w:val="000000"/>
                <w:kern w:val="0"/>
                <w:sz w:val="15"/>
                <w:szCs w:val="15"/>
                <w:u w:val="none"/>
                <w:bdr w:val="none" w:color="auto" w:sz="0" w:space="0"/>
                <w:lang w:val="en-US" w:eastAsia="zh-CN" w:bidi="ar"/>
              </w:rPr>
              <w:t>0.006</w:t>
            </w:r>
            <w:bookmarkEnd w:id="0"/>
          </w:p>
        </w:tc>
        <w:tc>
          <w:tcPr>
            <w:tcW w:w="0" w:type="auto"/>
            <w:tcBorders>
              <w:tl2br w:val="nil"/>
              <w:tr2bl w:val="nil"/>
            </w:tcBorders>
            <w:shd w:val="clear"/>
            <w:vAlign w:val="bottom"/>
          </w:tcPr>
          <w:p w14:paraId="3011B980">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1.28 (1.08–1.51)</w:t>
            </w:r>
          </w:p>
        </w:tc>
        <w:tc>
          <w:tcPr>
            <w:tcW w:w="0" w:type="auto"/>
            <w:tcBorders>
              <w:tl2br w:val="nil"/>
              <w:tr2bl w:val="nil"/>
            </w:tcBorders>
            <w:shd w:val="clear"/>
            <w:vAlign w:val="bottom"/>
          </w:tcPr>
          <w:p w14:paraId="47BE2E18">
            <w:pPr>
              <w:keepNext w:val="0"/>
              <w:keepLines w:val="0"/>
              <w:widowControl/>
              <w:suppressLineNumbers w:val="0"/>
              <w:jc w:val="righ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0.005</w:t>
            </w:r>
          </w:p>
        </w:tc>
      </w:tr>
      <w:tr w14:paraId="0580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0" w:type="auto"/>
            <w:tcBorders>
              <w:tl2br w:val="nil"/>
              <w:tr2bl w:val="nil"/>
            </w:tcBorders>
            <w:shd w:val="clear"/>
            <w:vAlign w:val="bottom"/>
          </w:tcPr>
          <w:p w14:paraId="0DA05EE4">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Sarcopenic Obesity</w:t>
            </w:r>
          </w:p>
        </w:tc>
        <w:tc>
          <w:tcPr>
            <w:tcW w:w="0" w:type="auto"/>
            <w:tcBorders>
              <w:tl2br w:val="nil"/>
              <w:tr2bl w:val="nil"/>
            </w:tcBorders>
            <w:shd w:val="clear"/>
            <w:vAlign w:val="bottom"/>
          </w:tcPr>
          <w:p w14:paraId="6F24D24B">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2.33 (1.98–2.73)</w:t>
            </w:r>
          </w:p>
        </w:tc>
        <w:tc>
          <w:tcPr>
            <w:tcW w:w="0" w:type="auto"/>
            <w:tcBorders>
              <w:tl2br w:val="nil"/>
              <w:tr2bl w:val="nil"/>
            </w:tcBorders>
            <w:shd w:val="clear"/>
            <w:vAlign w:val="bottom"/>
          </w:tcPr>
          <w:p w14:paraId="04ED1C22">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&lt;0.001</w:t>
            </w:r>
          </w:p>
        </w:tc>
        <w:tc>
          <w:tcPr>
            <w:tcW w:w="0" w:type="auto"/>
            <w:tcBorders>
              <w:tl2br w:val="nil"/>
              <w:tr2bl w:val="nil"/>
            </w:tcBorders>
            <w:shd w:val="clear"/>
            <w:vAlign w:val="bottom"/>
          </w:tcPr>
          <w:p w14:paraId="47462E75">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1.91 (1.62–2.26)</w:t>
            </w:r>
          </w:p>
        </w:tc>
        <w:tc>
          <w:tcPr>
            <w:tcW w:w="0" w:type="auto"/>
            <w:tcBorders>
              <w:tl2br w:val="nil"/>
              <w:tr2bl w:val="nil"/>
            </w:tcBorders>
            <w:shd w:val="clear"/>
            <w:vAlign w:val="bottom"/>
          </w:tcPr>
          <w:p w14:paraId="71140BAE">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&lt;0.001</w:t>
            </w:r>
          </w:p>
        </w:tc>
        <w:tc>
          <w:tcPr>
            <w:tcW w:w="0" w:type="auto"/>
            <w:tcBorders>
              <w:tl2br w:val="nil"/>
              <w:tr2bl w:val="nil"/>
            </w:tcBorders>
            <w:shd w:val="clear"/>
            <w:vAlign w:val="bottom"/>
          </w:tcPr>
          <w:p w14:paraId="4C264C12">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1.93 (1.63–2.28)</w:t>
            </w:r>
          </w:p>
        </w:tc>
        <w:tc>
          <w:tcPr>
            <w:tcW w:w="0" w:type="auto"/>
            <w:tcBorders>
              <w:tl2br w:val="nil"/>
              <w:tr2bl w:val="nil"/>
            </w:tcBorders>
            <w:shd w:val="clear"/>
            <w:vAlign w:val="bottom"/>
          </w:tcPr>
          <w:p w14:paraId="1DDA03DA">
            <w:pPr>
              <w:keepNext w:val="0"/>
              <w:keepLines w:val="0"/>
              <w:widowControl/>
              <w:suppressLineNumbers w:val="0"/>
              <w:jc w:val="left"/>
              <w:textAlignment w:val="bottom"/>
              <w:rPr>
                <w:rFonts w:hint="default" w:ascii="Times New Roman" w:hAnsi="Times New Roman" w:cs="Times New Roman"/>
                <w:i w:val="0"/>
                <w:iCs w:val="0"/>
                <w:color w:val="000000"/>
                <w:sz w:val="15"/>
                <w:szCs w:val="15"/>
                <w:u w:val="none"/>
              </w:rPr>
            </w:pPr>
            <w:r>
              <w:rPr>
                <w:rFonts w:hint="default" w:ascii="Times New Roman" w:hAnsi="Times New Roman" w:eastAsia="宋体" w:cs="Times New Roman"/>
                <w:i w:val="0"/>
                <w:iCs w:val="0"/>
                <w:color w:val="000000"/>
                <w:kern w:val="0"/>
                <w:sz w:val="15"/>
                <w:szCs w:val="15"/>
                <w:u w:val="none"/>
                <w:bdr w:val="none" w:color="auto" w:sz="0" w:space="0"/>
                <w:lang w:val="en-US" w:eastAsia="zh-CN" w:bidi="ar"/>
              </w:rPr>
              <w:t>&lt;0.001</w:t>
            </w:r>
          </w:p>
        </w:tc>
      </w:tr>
    </w:tbl>
    <w:p w14:paraId="2C884F9B">
      <w:pPr>
        <w:rPr>
          <w:rFonts w:hint="eastAsia" w:ascii="宋体" w:hAnsi="宋体" w:eastAsia="宋体" w:cs="宋体"/>
          <w:sz w:val="24"/>
          <w:szCs w:val="24"/>
          <w:lang w:val="en-US" w:eastAsia="zh-CN"/>
        </w:rPr>
      </w:pPr>
    </w:p>
    <w:p w14:paraId="36FACE55">
      <w:pPr>
        <w:rPr>
          <w:rFonts w:hint="default" w:ascii="Times New Roman" w:hAnsi="Times New Roman" w:eastAsia="Helvetica" w:cs="Times New Roman"/>
          <w:i w:val="0"/>
          <w:iCs w:val="0"/>
          <w:caps w:val="0"/>
          <w:color w:val="222222"/>
          <w:spacing w:val="2"/>
          <w:kern w:val="0"/>
          <w:sz w:val="21"/>
          <w:szCs w:val="21"/>
          <w:u w:val="none" w:color="auto"/>
          <w:lang w:val="en-US" w:eastAsia="zh-CN" w:bidi="ar"/>
        </w:rPr>
      </w:pPr>
      <w:r>
        <w:rPr>
          <w:rFonts w:hint="eastAsia" w:ascii="Times New Roman" w:hAnsi="Times New Roman" w:eastAsia="Helvetica" w:cs="Times New Roman"/>
          <w:i w:val="0"/>
          <w:iCs w:val="0"/>
          <w:caps w:val="0"/>
          <w:color w:val="222222"/>
          <w:spacing w:val="2"/>
          <w:kern w:val="0"/>
          <w:sz w:val="21"/>
          <w:szCs w:val="21"/>
          <w:u w:val="none" w:color="auto"/>
          <w:lang w:val="en-US" w:eastAsia="zh-CN" w:bidi="ar"/>
        </w:rPr>
        <w:t>Note: The analysis was restricted to participants with baseline CKM Stage 0–2. Participants with baseline CKM Stage 3 or Stage 4 were excluded. Hazard ratios were estimated using Cox proportional hazards models. Model 1 was unadjusted. Model 2 was adjusted for age, sex, residence, education level, and marital status. Model 3 was further adjusted for smoking status and alcohol consumption. CKM, cardiovascular-kidney-metabolic; CVD, cardiovascular disease; HR, hazard ratio; CI, confidence interval.</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1217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2ADE3B">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52ADE3B">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F27607"/>
    <w:rsid w:val="08844E22"/>
    <w:rsid w:val="090A37C1"/>
    <w:rsid w:val="090E6DE2"/>
    <w:rsid w:val="09300B06"/>
    <w:rsid w:val="0B204BAA"/>
    <w:rsid w:val="0C767178"/>
    <w:rsid w:val="0EEF0D5D"/>
    <w:rsid w:val="0F96368D"/>
    <w:rsid w:val="10215F58"/>
    <w:rsid w:val="108336A2"/>
    <w:rsid w:val="114A472F"/>
    <w:rsid w:val="12A83E03"/>
    <w:rsid w:val="15415E49"/>
    <w:rsid w:val="15FC5BCD"/>
    <w:rsid w:val="1A2A3350"/>
    <w:rsid w:val="1C557432"/>
    <w:rsid w:val="1E126935"/>
    <w:rsid w:val="1FEA5A5B"/>
    <w:rsid w:val="226F0499"/>
    <w:rsid w:val="232E0BDC"/>
    <w:rsid w:val="23921F84"/>
    <w:rsid w:val="2A3341DA"/>
    <w:rsid w:val="2B7778C1"/>
    <w:rsid w:val="2BD804A6"/>
    <w:rsid w:val="2D265BF9"/>
    <w:rsid w:val="31B92D40"/>
    <w:rsid w:val="34A264AC"/>
    <w:rsid w:val="34FF745B"/>
    <w:rsid w:val="37EB016A"/>
    <w:rsid w:val="37F27607"/>
    <w:rsid w:val="382673F4"/>
    <w:rsid w:val="38BD1B07"/>
    <w:rsid w:val="393578EF"/>
    <w:rsid w:val="3C9E4F88"/>
    <w:rsid w:val="3D477BF1"/>
    <w:rsid w:val="4093314D"/>
    <w:rsid w:val="41DA7286"/>
    <w:rsid w:val="48B30830"/>
    <w:rsid w:val="48C72033"/>
    <w:rsid w:val="4BC6087B"/>
    <w:rsid w:val="4C5C2F8D"/>
    <w:rsid w:val="517F7502"/>
    <w:rsid w:val="55A559A5"/>
    <w:rsid w:val="58675521"/>
    <w:rsid w:val="588B518B"/>
    <w:rsid w:val="5B44508B"/>
    <w:rsid w:val="5E1E4546"/>
    <w:rsid w:val="5E6C7060"/>
    <w:rsid w:val="5EC21376"/>
    <w:rsid w:val="5ECC7AFE"/>
    <w:rsid w:val="60732927"/>
    <w:rsid w:val="61860438"/>
    <w:rsid w:val="64760C38"/>
    <w:rsid w:val="698536CB"/>
    <w:rsid w:val="6C553829"/>
    <w:rsid w:val="6EB505AF"/>
    <w:rsid w:val="6F2E0918"/>
    <w:rsid w:val="740F0761"/>
    <w:rsid w:val="75EF25F8"/>
    <w:rsid w:val="78BE2756"/>
    <w:rsid w:val="7A0D5743"/>
    <w:rsid w:val="7ACD0A2E"/>
    <w:rsid w:val="7C6E4C43"/>
    <w:rsid w:val="7E7713DD"/>
    <w:rsid w:val="7F547970"/>
    <w:rsid w:val="7F6A7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210</Words>
  <Characters>1282</Characters>
  <Lines>0</Lines>
  <Paragraphs>0</Paragraphs>
  <TotalTime>666</TotalTime>
  <ScaleCrop>false</ScaleCrop>
  <LinksUpToDate>false</LinksUpToDate>
  <CharactersWithSpaces>1447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2025-12-27T12:20:00Z</dcterms:created>
  <dc:creator>Once more</dc:creator>
  <cp:lastModifiedBy>Once more</cp:lastModifiedBy>
  <dcterms:modified xsi:type="dcterms:W3CDTF">2026-07-06T08:03:48Z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8D733548E3E241B5AEACCDEFD8376DE9_13</vt:lpwstr>
  </property>
  <property fmtid="{D5CDD505-2E9C-101B-9397-08002B2CF9AE}" pid="4" name="KSOTemplateDocerSaveRecord">
    <vt:lpwstr>eyJoZGlkIjoiNjYyNTNlODczY2YyNjA3ZDk4NGJlYTczMGEzNGMyMWQiLCJ1c2VySWQiOiIyOTU2MDExNTYifQ==</vt:lpwstr>
  </property>
</Properties>
</file>