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auto"/>
          <w:szCs w:val="24"/>
        </w:rPr>
      </w:pPr>
      <w:r w:rsidRPr="00BA1BF4">
        <w:rPr>
          <w:rFonts w:ascii="Times New Roman" w:hAnsi="Times New Roman" w:cs="Times New Roman"/>
          <w:b/>
          <w:bCs/>
          <w:color w:val="auto"/>
          <w:szCs w:val="24"/>
        </w:rPr>
        <w:t>Supplementary Materials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color w:val="auto"/>
          <w:szCs w:val="24"/>
        </w:rPr>
      </w:pPr>
      <w:r>
        <w:rPr>
          <w:rFonts w:ascii="Times New Roman" w:hAnsi="Times New Roman" w:cs="Times New Roman" w:hint="eastAsia"/>
          <w:b/>
          <w:bCs/>
          <w:color w:val="auto"/>
          <w:szCs w:val="24"/>
        </w:rPr>
        <w:t xml:space="preserve">Figure S1. </w:t>
      </w:r>
      <w:r>
        <w:rPr>
          <w:rFonts w:ascii="Times New Roman" w:hAnsi="Times New Roman" w:cs="Times New Roman" w:hint="eastAsia"/>
          <w:bCs/>
          <w:color w:val="auto"/>
          <w:szCs w:val="24"/>
        </w:rPr>
        <w:t xml:space="preserve">The results of </w:t>
      </w:r>
      <w:proofErr w:type="spellStart"/>
      <w:r>
        <w:rPr>
          <w:rFonts w:ascii="Times New Roman" w:hAnsi="Times New Roman" w:cs="Times New Roman" w:hint="eastAsia"/>
          <w:bCs/>
          <w:color w:val="auto"/>
          <w:szCs w:val="24"/>
        </w:rPr>
        <w:t>mQTL</w:t>
      </w:r>
      <w:proofErr w:type="spellEnd"/>
      <w:r>
        <w:rPr>
          <w:rFonts w:ascii="Times New Roman" w:hAnsi="Times New Roman" w:cs="Times New Roman" w:hint="eastAsia"/>
          <w:bCs/>
          <w:color w:val="auto"/>
          <w:szCs w:val="24"/>
        </w:rPr>
        <w:t xml:space="preserve"> of SMR analysis in the IR GCST90267567 cohort. 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auto"/>
          <w:szCs w:val="24"/>
        </w:rPr>
        <w:t>2</w:t>
      </w:r>
      <w:r>
        <w:rPr>
          <w:rFonts w:ascii="Times New Roman" w:hAnsi="Times New Roman" w:cs="Times New Roman"/>
          <w:b/>
          <w:bCs/>
          <w:color w:val="auto"/>
          <w:szCs w:val="24"/>
        </w:rPr>
        <w:t>. Multi-</w:t>
      </w:r>
      <w:proofErr w:type="spellStart"/>
      <w:r>
        <w:rPr>
          <w:rFonts w:ascii="Times New Roman" w:hAnsi="Times New Roman" w:cs="Times New Roman"/>
          <w:b/>
          <w:bCs/>
          <w:color w:val="auto"/>
          <w:szCs w:val="24"/>
        </w:rPr>
        <w:t>omic</w:t>
      </w:r>
      <w:proofErr w:type="spellEnd"/>
      <w:r>
        <w:rPr>
          <w:rFonts w:ascii="Times New Roman" w:hAnsi="Times New Roman" w:cs="Times New Roman"/>
          <w:b/>
          <w:bCs/>
          <w:color w:val="auto"/>
          <w:szCs w:val="24"/>
        </w:rPr>
        <w:t xml:space="preserve"> results of SMR in IR.</w:t>
      </w:r>
      <w:r>
        <w:rPr>
          <w:rFonts w:ascii="Times New Roman" w:hAnsi="Times New Roman" w:cs="Times New Roman"/>
          <w:color w:val="auto"/>
          <w:szCs w:val="24"/>
        </w:rPr>
        <w:t xml:space="preserve"> Manhattan plot showing the chromosomal distribution of key results from the integrated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mQTL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Cs w:val="24"/>
        </w:rPr>
        <w:t>(A)</w:t>
      </w:r>
      <w:r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eQTL</w:t>
      </w:r>
      <w:proofErr w:type="spellEnd"/>
      <w:r>
        <w:rPr>
          <w:rFonts w:ascii="Times New Roman" w:hAnsi="Times New Roman" w:cs="Times New Roman"/>
          <w:b/>
          <w:color w:val="auto"/>
          <w:szCs w:val="24"/>
        </w:rPr>
        <w:t>(B)</w:t>
      </w:r>
      <w:r>
        <w:rPr>
          <w:rFonts w:ascii="Times New Roman" w:hAnsi="Times New Roman" w:cs="Times New Roman"/>
          <w:color w:val="auto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pQTL</w:t>
      </w:r>
      <w:proofErr w:type="spellEnd"/>
      <w:r>
        <w:rPr>
          <w:rFonts w:ascii="Times New Roman" w:hAnsi="Times New Roman" w:cs="Times New Roman"/>
          <w:color w:val="auto"/>
          <w:szCs w:val="24"/>
        </w:rPr>
        <w:t>(</w:t>
      </w:r>
      <w:r>
        <w:rPr>
          <w:rFonts w:ascii="Times New Roman" w:hAnsi="Times New Roman" w:cs="Times New Roman"/>
          <w:b/>
          <w:color w:val="auto"/>
          <w:szCs w:val="24"/>
        </w:rPr>
        <w:t>C</w:t>
      </w:r>
      <w:r>
        <w:rPr>
          <w:rFonts w:ascii="Times New Roman" w:hAnsi="Times New Roman" w:cs="Times New Roman"/>
          <w:color w:val="auto"/>
          <w:szCs w:val="24"/>
        </w:rPr>
        <w:t xml:space="preserve">) results of SMR in IR (p SMR multi = 0.05). 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color w:val="auto"/>
          <w:szCs w:val="24"/>
        </w:rPr>
      </w:pPr>
      <w:r>
        <w:rPr>
          <w:rFonts w:ascii="Times New Roman" w:hAnsi="Times New Roman" w:cs="Times New Roman"/>
          <w:b/>
          <w:color w:val="auto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color w:val="auto"/>
          <w:szCs w:val="24"/>
        </w:rPr>
        <w:t>S</w:t>
      </w:r>
      <w:r>
        <w:rPr>
          <w:rFonts w:ascii="Times New Roman" w:hAnsi="Times New Roman" w:cs="Times New Roman" w:hint="eastAsia"/>
          <w:b/>
          <w:bCs/>
          <w:color w:val="auto"/>
          <w:szCs w:val="24"/>
        </w:rPr>
        <w:t>3</w:t>
      </w:r>
      <w:r>
        <w:rPr>
          <w:rFonts w:ascii="Times New Roman" w:hAnsi="Times New Roman" w:cs="Times New Roman"/>
          <w:b/>
          <w:bCs/>
          <w:color w:val="auto"/>
          <w:szCs w:val="24"/>
        </w:rPr>
        <w:t>.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>
        <w:rPr>
          <w:rFonts w:ascii="Times New Roman" w:hAnsi="Times New Roman" w:cs="Times New Roman"/>
          <w:bCs/>
          <w:color w:val="auto"/>
          <w:szCs w:val="24"/>
        </w:rPr>
        <w:t>SMR Effect Plot and SMR Locus Plot of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color w:val="auto"/>
          <w:szCs w:val="24"/>
        </w:rPr>
        <w:t>HKDC1</w:t>
      </w:r>
      <w:r>
        <w:rPr>
          <w:rFonts w:ascii="Times New Roman" w:hAnsi="Times New Roman" w:cs="Times New Roman"/>
          <w:bCs/>
          <w:color w:val="auto"/>
          <w:szCs w:val="24"/>
        </w:rPr>
        <w:t xml:space="preserve"> related-m/e/</w:t>
      </w:r>
      <w:proofErr w:type="spellStart"/>
      <w:r>
        <w:rPr>
          <w:rFonts w:ascii="Times New Roman" w:hAnsi="Times New Roman" w:cs="Times New Roman"/>
          <w:bCs/>
          <w:color w:val="auto"/>
          <w:szCs w:val="24"/>
        </w:rPr>
        <w:t>pQTL</w:t>
      </w:r>
      <w:proofErr w:type="spellEnd"/>
      <w:r>
        <w:rPr>
          <w:rFonts w:ascii="Times New Roman" w:hAnsi="Times New Roman" w:cs="Times New Roman"/>
          <w:bCs/>
          <w:color w:val="auto"/>
          <w:szCs w:val="24"/>
        </w:rPr>
        <w:t>(</w:t>
      </w:r>
      <w:r>
        <w:rPr>
          <w:rFonts w:ascii="Times New Roman" w:hAnsi="Times New Roman" w:cs="Times New Roman"/>
          <w:b/>
          <w:bCs/>
          <w:color w:val="auto"/>
          <w:szCs w:val="24"/>
        </w:rPr>
        <w:t>A-C</w:t>
      </w:r>
      <w:r>
        <w:rPr>
          <w:rFonts w:ascii="Times New Roman" w:hAnsi="Times New Roman" w:cs="Times New Roman"/>
          <w:bCs/>
          <w:color w:val="auto"/>
          <w:szCs w:val="24"/>
        </w:rPr>
        <w:t xml:space="preserve">). </w:t>
      </w:r>
    </w:p>
    <w:p w:rsidR="006E7312" w:rsidRDefault="006E7312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color w:val="auto"/>
          <w:szCs w:val="24"/>
        </w:rPr>
      </w:pPr>
      <w:r w:rsidRPr="006E7312">
        <w:rPr>
          <w:rFonts w:ascii="Times New Roman" w:hAnsi="Times New Roman" w:cs="Times New Roman" w:hint="eastAsia"/>
          <w:b/>
          <w:bCs/>
          <w:color w:val="auto"/>
          <w:szCs w:val="24"/>
        </w:rPr>
        <w:t>Figure</w:t>
      </w:r>
      <w:r w:rsidRPr="006E7312">
        <w:rPr>
          <w:rFonts w:ascii="Times New Roman" w:hAnsi="Times New Roman" w:cs="Times New Roman"/>
          <w:b/>
          <w:bCs/>
          <w:color w:val="auto"/>
          <w:szCs w:val="24"/>
        </w:rPr>
        <w:t xml:space="preserve"> S4</w:t>
      </w:r>
      <w:r w:rsidRPr="006E7312">
        <w:rPr>
          <w:rFonts w:ascii="Times New Roman" w:hAnsi="Times New Roman" w:cs="Times New Roman" w:hint="eastAsia"/>
          <w:b/>
          <w:bCs/>
          <w:color w:val="auto"/>
          <w:szCs w:val="24"/>
        </w:rPr>
        <w:t>.</w:t>
      </w:r>
      <w:r w:rsidRPr="006E7312">
        <w:t xml:space="preserve"> </w:t>
      </w:r>
      <w:r w:rsidRPr="006E7312">
        <w:rPr>
          <w:rFonts w:ascii="Times New Roman" w:hAnsi="Times New Roman" w:cs="Times New Roman"/>
          <w:bCs/>
          <w:color w:val="auto"/>
          <w:szCs w:val="24"/>
        </w:rPr>
        <w:t xml:space="preserve">Venn diagram comparing the </w:t>
      </w:r>
      <w:proofErr w:type="spellStart"/>
      <w:r w:rsidRPr="006E7312">
        <w:rPr>
          <w:rFonts w:ascii="Times New Roman" w:hAnsi="Times New Roman" w:cs="Times New Roman"/>
          <w:bCs/>
          <w:color w:val="auto"/>
          <w:szCs w:val="24"/>
        </w:rPr>
        <w:t>GeneCards</w:t>
      </w:r>
      <w:proofErr w:type="spellEnd"/>
      <w:r w:rsidRPr="006E7312">
        <w:rPr>
          <w:rFonts w:ascii="Times New Roman" w:hAnsi="Times New Roman" w:cs="Times New Roman"/>
          <w:bCs/>
          <w:color w:val="auto"/>
          <w:szCs w:val="24"/>
        </w:rPr>
        <w:t xml:space="preserve"> glycolysis gene list (n=4,043) with curated KEGG Glycolysis (n=67) and Hallmark Glycolysis (n=200) gene sets</w:t>
      </w:r>
      <w:r w:rsidR="00D47078">
        <w:rPr>
          <w:rFonts w:ascii="Times New Roman" w:hAnsi="Times New Roman" w:cs="Times New Roman"/>
          <w:bCs/>
          <w:color w:val="auto"/>
          <w:szCs w:val="24"/>
        </w:rPr>
        <w:t>.</w:t>
      </w:r>
    </w:p>
    <w:p w:rsidR="00D47078" w:rsidRDefault="00D47078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color w:val="auto"/>
          <w:szCs w:val="24"/>
        </w:rPr>
      </w:pPr>
      <w:bookmarkStart w:id="0" w:name="_GoBack"/>
      <w:bookmarkEnd w:id="0"/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>Table S1</w:t>
      </w:r>
      <w:r>
        <w:rPr>
          <w:rFonts w:ascii="Times New Roman" w:hAnsi="Times New Roman" w:cs="Times New Roman"/>
          <w:color w:val="auto"/>
          <w:szCs w:val="24"/>
        </w:rPr>
        <w:t xml:space="preserve"> Information of included glycolysis-associated genes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S2 </w:t>
      </w:r>
      <w:r>
        <w:rPr>
          <w:rFonts w:ascii="Times New Roman" w:hAnsi="Times New Roman" w:cs="Times New Roman"/>
          <w:color w:val="auto"/>
          <w:szCs w:val="24"/>
        </w:rPr>
        <w:t>Information of included studies and consortia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S3 </w:t>
      </w:r>
      <w:r>
        <w:rPr>
          <w:rFonts w:ascii="Times New Roman" w:hAnsi="Times New Roman" w:cs="Times New Roman"/>
          <w:color w:val="auto"/>
          <w:szCs w:val="24"/>
        </w:rPr>
        <w:t>Information of MUO-related glycolysis gene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S4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methylations and IR in discovery stage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S5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methylations and T2D cohort.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S6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methylations and obesity cohort.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S7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expression and IR in discovery stage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S8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expression and T2D cohort.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S9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expression and obesity cohort.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S10 </w:t>
      </w:r>
      <w:r>
        <w:rPr>
          <w:rFonts w:ascii="Times New Roman" w:hAnsi="Times New Roman" w:cs="Times New Roman"/>
          <w:color w:val="auto"/>
          <w:szCs w:val="24"/>
        </w:rPr>
        <w:t xml:space="preserve">SMR analysis for association between MUO-related glycolysis gene </w:t>
      </w:r>
      <w:r>
        <w:rPr>
          <w:rFonts w:ascii="Times New Roman" w:hAnsi="Times New Roman" w:cs="Times New Roman"/>
          <w:color w:val="auto"/>
          <w:szCs w:val="24"/>
        </w:rPr>
        <w:lastRenderedPageBreak/>
        <w:t>encoded protein and IR in discovery stage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S11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encoded protein and T2D cohort.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S12 </w:t>
      </w:r>
      <w:r>
        <w:rPr>
          <w:rFonts w:ascii="Times New Roman" w:hAnsi="Times New Roman" w:cs="Times New Roman"/>
          <w:color w:val="auto"/>
          <w:szCs w:val="24"/>
        </w:rPr>
        <w:t>SMR analysis for association between MUO-related glycolysis gene encoded protein and obesity cohort.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S13 </w:t>
      </w:r>
      <w:r>
        <w:rPr>
          <w:rFonts w:ascii="Times New Roman" w:hAnsi="Times New Roman" w:cs="Times New Roman"/>
          <w:color w:val="auto"/>
          <w:szCs w:val="24"/>
        </w:rPr>
        <w:t xml:space="preserve">The SMR results of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mQTL-eQTL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.   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Table S14 </w:t>
      </w:r>
      <w:r>
        <w:rPr>
          <w:rFonts w:ascii="Times New Roman" w:hAnsi="Times New Roman" w:cs="Times New Roman"/>
          <w:color w:val="auto"/>
          <w:szCs w:val="24"/>
        </w:rPr>
        <w:t xml:space="preserve">The SMR results of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eQTL-pQTL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.   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color w:val="auto"/>
          <w:szCs w:val="24"/>
        </w:rPr>
      </w:pPr>
      <w:r>
        <w:rPr>
          <w:rFonts w:ascii="Times New Roman" w:hAnsi="Times New Roman" w:cs="Times New Roman"/>
          <w:b/>
          <w:color w:val="auto"/>
          <w:szCs w:val="24"/>
        </w:rPr>
        <w:t xml:space="preserve">Table S15 </w:t>
      </w:r>
      <w:r>
        <w:rPr>
          <w:rFonts w:ascii="Times New Roman" w:hAnsi="Times New Roman" w:cs="Times New Roman"/>
          <w:bCs/>
          <w:color w:val="auto"/>
          <w:szCs w:val="24"/>
        </w:rPr>
        <w:t>Tissue-specific validation results for Adipose Subcutaneous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color w:val="auto"/>
          <w:szCs w:val="24"/>
        </w:rPr>
      </w:pPr>
      <w:r>
        <w:rPr>
          <w:rFonts w:ascii="Times New Roman" w:hAnsi="Times New Roman" w:cs="Times New Roman"/>
          <w:b/>
          <w:color w:val="auto"/>
          <w:szCs w:val="24"/>
        </w:rPr>
        <w:t xml:space="preserve">Table S16 </w:t>
      </w:r>
      <w:r>
        <w:rPr>
          <w:rFonts w:ascii="Times New Roman" w:hAnsi="Times New Roman" w:cs="Times New Roman"/>
          <w:bCs/>
          <w:color w:val="auto"/>
          <w:szCs w:val="24"/>
        </w:rPr>
        <w:t xml:space="preserve">Tissue-specific validation results for Adipose Visceral </w:t>
      </w:r>
      <w:proofErr w:type="spellStart"/>
      <w:r>
        <w:rPr>
          <w:rFonts w:ascii="Times New Roman" w:hAnsi="Times New Roman" w:cs="Times New Roman"/>
          <w:bCs/>
          <w:color w:val="auto"/>
          <w:szCs w:val="24"/>
        </w:rPr>
        <w:t>Omentum</w:t>
      </w:r>
      <w:proofErr w:type="spellEnd"/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color w:val="auto"/>
          <w:szCs w:val="24"/>
        </w:rPr>
      </w:pPr>
      <w:r>
        <w:rPr>
          <w:rFonts w:ascii="Times New Roman" w:hAnsi="Times New Roman" w:cs="Times New Roman"/>
          <w:b/>
          <w:color w:val="auto"/>
          <w:szCs w:val="24"/>
        </w:rPr>
        <w:t xml:space="preserve">Table S17 </w:t>
      </w:r>
      <w:r>
        <w:rPr>
          <w:rFonts w:ascii="Times New Roman" w:hAnsi="Times New Roman" w:cs="Times New Roman"/>
          <w:bCs/>
          <w:color w:val="auto"/>
          <w:szCs w:val="24"/>
        </w:rPr>
        <w:t>Tissue-specific validation results for Liver</w:t>
      </w:r>
    </w:p>
    <w:p w:rsidR="00106146" w:rsidRDefault="00106146" w:rsidP="0010614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color w:val="auto"/>
          <w:szCs w:val="24"/>
        </w:rPr>
        <w:t xml:space="preserve">Table S18 </w:t>
      </w:r>
      <w:r>
        <w:rPr>
          <w:rFonts w:ascii="Times New Roman" w:hAnsi="Times New Roman" w:cs="Times New Roman"/>
          <w:bCs/>
          <w:color w:val="auto"/>
          <w:szCs w:val="24"/>
        </w:rPr>
        <w:t>Tissue-specific validation results for Pancreas</w:t>
      </w:r>
    </w:p>
    <w:p w:rsidR="00627C00" w:rsidRPr="00106146" w:rsidRDefault="00627C00"/>
    <w:sectPr w:rsidR="00627C00" w:rsidRPr="00106146" w:rsidSect="00106146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C40F1"/>
    <w:multiLevelType w:val="multilevel"/>
    <w:tmpl w:val="6E0AEB3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46"/>
    <w:rsid w:val="00106146"/>
    <w:rsid w:val="002010D5"/>
    <w:rsid w:val="0036077C"/>
    <w:rsid w:val="00627C00"/>
    <w:rsid w:val="006E7312"/>
    <w:rsid w:val="00D4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66ACF1-15CC-49F8-9524-97C71D7D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46"/>
    <w:pPr>
      <w:widowControl w:val="0"/>
      <w:jc w:val="both"/>
    </w:pPr>
    <w:rPr>
      <w:rFonts w:ascii="Arial" w:eastAsiaTheme="minorEastAsia" w:hAnsi="Arial" w:cs="Arial"/>
      <w:color w:val="2C2C36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qFormat/>
    <w:rsid w:val="002010D5"/>
    <w:pPr>
      <w:adjustRightInd w:val="0"/>
      <w:snapToGrid w:val="0"/>
      <w:spacing w:line="480" w:lineRule="auto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2010D5"/>
    <w:rPr>
      <w:rFonts w:eastAsia="Times New Roman"/>
      <w:b/>
      <w:bCs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2010D5"/>
    <w:pPr>
      <w:spacing w:line="480" w:lineRule="auto"/>
      <w:jc w:val="center"/>
    </w:pPr>
    <w:rPr>
      <w:rFonts w:ascii="Calibri" w:eastAsia="Times New Roman" w:hAnsi="Calibri" w:cs="Calibri"/>
      <w:color w:val="auto"/>
      <w:sz w:val="20"/>
      <w:szCs w:val="20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2010D5"/>
    <w:rPr>
      <w:rFonts w:ascii="Calibri" w:eastAsia="Times New Roman" w:hAnsi="Calibri" w:cs="Calibri"/>
      <w:sz w:val="20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2">
    <w:name w:val="未处理的提及2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paragraph" w:styleId="a3">
    <w:name w:val="annotation text"/>
    <w:basedOn w:val="a"/>
    <w:link w:val="Char"/>
    <w:autoRedefine/>
    <w:uiPriority w:val="99"/>
    <w:qFormat/>
    <w:rsid w:val="002010D5"/>
    <w:pPr>
      <w:spacing w:line="480" w:lineRule="auto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har">
    <w:name w:val="批注文字 Char"/>
    <w:basedOn w:val="a0"/>
    <w:link w:val="a3"/>
    <w:autoRedefine/>
    <w:uiPriority w:val="99"/>
    <w:qFormat/>
    <w:rsid w:val="002010D5"/>
    <w:rPr>
      <w:rFonts w:eastAsia="Times New Roman"/>
    </w:rPr>
  </w:style>
  <w:style w:type="paragraph" w:styleId="a4">
    <w:name w:val="header"/>
    <w:basedOn w:val="a"/>
    <w:link w:val="Char0"/>
    <w:rsid w:val="00201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480" w:lineRule="auto"/>
      <w:jc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customStyle="1" w:styleId="Char0">
    <w:name w:val="页眉 Char"/>
    <w:basedOn w:val="a0"/>
    <w:link w:val="a4"/>
    <w:rsid w:val="002010D5"/>
    <w:rPr>
      <w:rFonts w:eastAsia="Times New Roman"/>
      <w:sz w:val="18"/>
      <w:szCs w:val="18"/>
    </w:rPr>
  </w:style>
  <w:style w:type="paragraph" w:styleId="a5">
    <w:name w:val="footer"/>
    <w:basedOn w:val="a"/>
    <w:link w:val="Char1"/>
    <w:rsid w:val="002010D5"/>
    <w:pPr>
      <w:tabs>
        <w:tab w:val="center" w:pos="4153"/>
        <w:tab w:val="right" w:pos="8306"/>
      </w:tabs>
      <w:snapToGrid w:val="0"/>
      <w:spacing w:line="480" w:lineRule="auto"/>
      <w:jc w:val="left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customStyle="1" w:styleId="Char1">
    <w:name w:val="页脚 Char"/>
    <w:basedOn w:val="a0"/>
    <w:link w:val="a5"/>
    <w:rsid w:val="002010D5"/>
    <w:rPr>
      <w:rFonts w:eastAsia="Times New Roman"/>
      <w:sz w:val="18"/>
      <w:szCs w:val="18"/>
    </w:rPr>
  </w:style>
  <w:style w:type="character" w:styleId="a6">
    <w:name w:val="annotation reference"/>
    <w:basedOn w:val="a0"/>
    <w:autoRedefine/>
    <w:uiPriority w:val="99"/>
    <w:qFormat/>
    <w:rsid w:val="002010D5"/>
    <w:rPr>
      <w:sz w:val="21"/>
      <w:szCs w:val="21"/>
    </w:rPr>
  </w:style>
  <w:style w:type="character" w:styleId="a7">
    <w:name w:val="Hyperlink"/>
    <w:basedOn w:val="a0"/>
    <w:autoRedefine/>
    <w:qFormat/>
    <w:rsid w:val="002010D5"/>
    <w:rPr>
      <w:color w:val="0563C1" w:themeColor="hyperlink"/>
      <w:u w:val="single"/>
    </w:rPr>
  </w:style>
  <w:style w:type="paragraph" w:styleId="a8">
    <w:name w:val="annotation subject"/>
    <w:basedOn w:val="a3"/>
    <w:next w:val="a3"/>
    <w:link w:val="Char2"/>
    <w:autoRedefine/>
    <w:qFormat/>
    <w:rsid w:val="002010D5"/>
    <w:rPr>
      <w:b/>
      <w:bCs/>
    </w:rPr>
  </w:style>
  <w:style w:type="character" w:customStyle="1" w:styleId="Char2">
    <w:name w:val="批注主题 Char"/>
    <w:basedOn w:val="Char"/>
    <w:link w:val="a8"/>
    <w:autoRedefine/>
    <w:qFormat/>
    <w:rsid w:val="002010D5"/>
    <w:rPr>
      <w:rFonts w:eastAsia="Times New Roman"/>
      <w:b/>
      <w:bCs/>
    </w:rPr>
  </w:style>
  <w:style w:type="paragraph" w:styleId="a9">
    <w:name w:val="Balloon Text"/>
    <w:basedOn w:val="a"/>
    <w:link w:val="Char3"/>
    <w:autoRedefine/>
    <w:qFormat/>
    <w:rsid w:val="002010D5"/>
    <w:pPr>
      <w:spacing w:line="480" w:lineRule="auto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customStyle="1" w:styleId="Char3">
    <w:name w:val="批注框文本 Char"/>
    <w:basedOn w:val="a0"/>
    <w:link w:val="a9"/>
    <w:autoRedefine/>
    <w:qFormat/>
    <w:rsid w:val="002010D5"/>
    <w:rPr>
      <w:rFonts w:eastAsia="Times New Roman"/>
      <w:sz w:val="18"/>
      <w:szCs w:val="18"/>
    </w:rPr>
  </w:style>
  <w:style w:type="table" w:styleId="aa">
    <w:name w:val="Table Grid"/>
    <w:basedOn w:val="a1"/>
    <w:qFormat/>
    <w:rsid w:val="002010D5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autoRedefine/>
    <w:uiPriority w:val="99"/>
    <w:unhideWhenUsed/>
    <w:qFormat/>
    <w:rsid w:val="002010D5"/>
    <w:pPr>
      <w:adjustRightInd w:val="0"/>
      <w:snapToGrid w:val="0"/>
      <w:spacing w:line="480" w:lineRule="auto"/>
      <w:ind w:left="425" w:hanging="425"/>
    </w:pPr>
    <w:rPr>
      <w:rFonts w:ascii="Times New Roman" w:eastAsia="Times New Roman" w:hAnsi="Times New Roman" w:cs="Times New Roman"/>
      <w:b/>
      <w:color w:val="1C1D1E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ying.zhou</dc:creator>
  <cp:keywords/>
  <dc:description/>
  <cp:lastModifiedBy> </cp:lastModifiedBy>
  <cp:revision>3</cp:revision>
  <dcterms:created xsi:type="dcterms:W3CDTF">2025-09-29T03:52:00Z</dcterms:created>
  <dcterms:modified xsi:type="dcterms:W3CDTF">2026-03-11T05:27:00Z</dcterms:modified>
</cp:coreProperties>
</file>