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99CF1">
      <w:pPr>
        <w:rPr>
          <w:b/>
          <w:bCs/>
          <w:lang w:eastAsia="zh-CN"/>
        </w:rPr>
      </w:pPr>
      <w:r>
        <w:rPr>
          <w:rFonts w:hint="eastAsia"/>
          <w:b/>
          <w:bCs/>
          <w:lang w:val="en-US" w:eastAsia="zh-CN"/>
        </w:rPr>
        <w:t xml:space="preserve">Supplementary </w:t>
      </w:r>
      <w:r>
        <w:rPr>
          <w:b/>
          <w:bCs/>
          <w:lang w:eastAsia="zh-CN"/>
        </w:rPr>
        <w:t>Table S1. PRISMA 2020 Checklist</w:t>
      </w:r>
    </w:p>
    <w:tbl>
      <w:tblPr>
        <w:tblStyle w:val="6"/>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29"/>
        <w:gridCol w:w="648"/>
        <w:gridCol w:w="9725"/>
        <w:gridCol w:w="3098"/>
      </w:tblGrid>
      <w:tr w14:paraId="2B74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729"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23B610C6">
            <w:pPr>
              <w:pStyle w:val="12"/>
              <w:keepNext w:val="0"/>
              <w:keepLines w:val="0"/>
              <w:suppressLineNumbers w:val="0"/>
              <w:spacing w:before="0" w:beforeAutospacing="0" w:after="0" w:afterAutospacing="0"/>
              <w:ind w:left="0" w:right="0"/>
              <w:rPr>
                <w:rFonts w:hint="default" w:ascii="Times New Roman" w:hAnsi="Times New Roman" w:cs="Times New Roman"/>
                <w:color w:val="FFFFFF"/>
                <w:sz w:val="18"/>
                <w:szCs w:val="18"/>
              </w:rPr>
            </w:pPr>
            <w:r>
              <w:rPr>
                <w:rFonts w:hint="default" w:ascii="Times New Roman" w:hAnsi="Times New Roman" w:cs="Times New Roman"/>
                <w:b/>
                <w:bCs/>
                <w:color w:val="FFFFFF"/>
                <w:sz w:val="18"/>
                <w:szCs w:val="18"/>
              </w:rPr>
              <w:t xml:space="preserve">Section and Topic </w:t>
            </w:r>
          </w:p>
        </w:tc>
        <w:tc>
          <w:tcPr>
            <w:tcW w:w="64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0138B8E">
            <w:pPr>
              <w:pStyle w:val="12"/>
              <w:keepNext w:val="0"/>
              <w:keepLines w:val="0"/>
              <w:suppressLineNumbers w:val="0"/>
              <w:spacing w:before="0" w:beforeAutospacing="0" w:after="0" w:afterAutospacing="0"/>
              <w:ind w:left="0" w:right="0"/>
              <w:rPr>
                <w:rFonts w:hint="default" w:ascii="Times New Roman" w:hAnsi="Times New Roman" w:cs="Times New Roman"/>
                <w:b/>
                <w:bCs/>
                <w:color w:val="FFFFFF"/>
                <w:sz w:val="18"/>
                <w:szCs w:val="18"/>
              </w:rPr>
            </w:pPr>
            <w:r>
              <w:rPr>
                <w:rFonts w:hint="default" w:ascii="Times New Roman" w:hAnsi="Times New Roman" w:cs="Times New Roman"/>
                <w:b/>
                <w:bCs/>
                <w:color w:val="FFFFFF"/>
                <w:sz w:val="18"/>
                <w:szCs w:val="18"/>
              </w:rPr>
              <w:t>Item #</w:t>
            </w:r>
          </w:p>
        </w:tc>
        <w:tc>
          <w:tcPr>
            <w:tcW w:w="972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0AE1866">
            <w:pPr>
              <w:pStyle w:val="12"/>
              <w:keepNext w:val="0"/>
              <w:keepLines w:val="0"/>
              <w:suppressLineNumbers w:val="0"/>
              <w:spacing w:before="0" w:beforeAutospacing="0" w:after="0" w:afterAutospacing="0"/>
              <w:ind w:left="0" w:right="0"/>
              <w:rPr>
                <w:rFonts w:hint="default" w:ascii="Times New Roman" w:hAnsi="Times New Roman" w:cs="Times New Roman"/>
                <w:color w:val="FFFFFF"/>
                <w:sz w:val="18"/>
                <w:szCs w:val="18"/>
              </w:rPr>
            </w:pPr>
            <w:r>
              <w:rPr>
                <w:rFonts w:hint="default" w:ascii="Times New Roman" w:hAnsi="Times New Roman" w:cs="Times New Roman"/>
                <w:b/>
                <w:bCs/>
                <w:color w:val="FFFFFF"/>
                <w:sz w:val="18"/>
                <w:szCs w:val="18"/>
              </w:rPr>
              <w:t xml:space="preserve">Checklist item </w:t>
            </w:r>
          </w:p>
        </w:tc>
        <w:tc>
          <w:tcPr>
            <w:tcW w:w="3098"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09D7DDE">
            <w:pPr>
              <w:pStyle w:val="12"/>
              <w:keepNext w:val="0"/>
              <w:keepLines w:val="0"/>
              <w:suppressLineNumbers w:val="0"/>
              <w:spacing w:before="0" w:beforeAutospacing="0" w:after="0" w:afterAutospacing="0"/>
              <w:ind w:left="0" w:right="0"/>
              <w:rPr>
                <w:rFonts w:hint="default" w:ascii="Times New Roman" w:hAnsi="Times New Roman" w:cs="Times New Roman"/>
                <w:color w:val="FFFFFF"/>
                <w:sz w:val="18"/>
                <w:szCs w:val="18"/>
              </w:rPr>
            </w:pPr>
            <w:r>
              <w:rPr>
                <w:rFonts w:hint="default" w:ascii="Times New Roman" w:hAnsi="Times New Roman" w:cs="Times New Roman"/>
                <w:b/>
                <w:bCs/>
                <w:color w:val="FFFFFF"/>
                <w:sz w:val="18"/>
                <w:szCs w:val="18"/>
              </w:rPr>
              <w:t xml:space="preserve">Location where item is reported </w:t>
            </w:r>
          </w:p>
        </w:tc>
      </w:tr>
      <w:tr w14:paraId="1483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ECE9A69">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TITLE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32D16829">
            <w:pPr>
              <w:pStyle w:val="12"/>
              <w:keepNext w:val="0"/>
              <w:keepLines w:val="0"/>
              <w:suppressLineNumbers w:val="0"/>
              <w:spacing w:before="0" w:beforeAutospacing="0" w:after="0" w:afterAutospacing="0"/>
              <w:ind w:left="0" w:right="0"/>
              <w:jc w:val="right"/>
              <w:rPr>
                <w:rFonts w:hint="default" w:ascii="Times New Roman" w:hAnsi="Times New Roman" w:cs="Times New Roman"/>
                <w:color w:val="auto"/>
                <w:sz w:val="18"/>
                <w:szCs w:val="18"/>
                <w:lang w:eastAsia="zh-CN"/>
              </w:rPr>
            </w:pPr>
          </w:p>
        </w:tc>
      </w:tr>
      <w:tr w14:paraId="7E4E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double" w:color="FFFFCC" w:sz="2" w:space="0"/>
              <w:right w:val="single" w:color="000000" w:sz="4" w:space="0"/>
            </w:tcBorders>
          </w:tcPr>
          <w:p w14:paraId="0E70B889">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Title </w:t>
            </w:r>
          </w:p>
        </w:tc>
        <w:tc>
          <w:tcPr>
            <w:tcW w:w="648" w:type="dxa"/>
            <w:tcBorders>
              <w:top w:val="single" w:color="000000" w:sz="4" w:space="0"/>
              <w:left w:val="single" w:color="000000" w:sz="4" w:space="0"/>
              <w:bottom w:val="double" w:color="FFFFCC" w:sz="2" w:space="0"/>
              <w:right w:val="single" w:color="000000" w:sz="4" w:space="0"/>
            </w:tcBorders>
          </w:tcPr>
          <w:p w14:paraId="6A103618">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w:t>
            </w:r>
          </w:p>
        </w:tc>
        <w:tc>
          <w:tcPr>
            <w:tcW w:w="9725" w:type="dxa"/>
            <w:tcBorders>
              <w:top w:val="single" w:color="000000" w:sz="4" w:space="0"/>
              <w:left w:val="single" w:color="000000" w:sz="4" w:space="0"/>
              <w:bottom w:val="double" w:color="000000" w:sz="4" w:space="0"/>
              <w:right w:val="single" w:color="000000" w:sz="4" w:space="0"/>
            </w:tcBorders>
          </w:tcPr>
          <w:p w14:paraId="6B3A30DD">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Identify the report as a systematic review.</w:t>
            </w:r>
          </w:p>
        </w:tc>
        <w:tc>
          <w:tcPr>
            <w:tcW w:w="3098" w:type="dxa"/>
            <w:tcBorders>
              <w:top w:val="single" w:color="000000" w:sz="4" w:space="0"/>
              <w:left w:val="single" w:color="000000" w:sz="4" w:space="0"/>
              <w:bottom w:val="double" w:color="000000" w:sz="4" w:space="0"/>
              <w:right w:val="single" w:color="000000" w:sz="4" w:space="0"/>
            </w:tcBorders>
          </w:tcPr>
          <w:p w14:paraId="1FA6AD30">
            <w:pPr>
              <w:pStyle w:val="12"/>
              <w:keepNext w:val="0"/>
              <w:keepLines w:val="0"/>
              <w:suppressLineNumbers w:val="0"/>
              <w:spacing w:before="0" w:beforeAutospacing="0" w:after="0" w:afterAutospacing="0"/>
              <w:ind w:left="0" w:right="0"/>
              <w:rPr>
                <w:rFonts w:hint="default" w:ascii="Times New Roman" w:hAnsi="Times New Roman" w:cs="Times New Roman"/>
              </w:rPr>
            </w:pPr>
            <w:r>
              <w:rPr>
                <w:rFonts w:hint="default" w:ascii="Times New Roman" w:hAnsi="Times New Roman" w:eastAsia="Times New Roman"/>
                <w:sz w:val="18"/>
              </w:rPr>
              <w:t>Title, p. 1</w:t>
            </w:r>
          </w:p>
        </w:tc>
      </w:tr>
      <w:tr w14:paraId="74EE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B505E50">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ABSTRACT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598355F7">
            <w:pPr>
              <w:pStyle w:val="12"/>
              <w:keepNext w:val="0"/>
              <w:keepLines w:val="0"/>
              <w:suppressLineNumbers w:val="0"/>
              <w:spacing w:before="0" w:beforeAutospacing="0" w:after="0" w:afterAutospacing="0"/>
              <w:ind w:left="0" w:right="0"/>
              <w:jc w:val="right"/>
              <w:rPr>
                <w:rFonts w:hint="default" w:ascii="Times New Roman" w:hAnsi="Times New Roman" w:cs="Times New Roman"/>
                <w:color w:val="auto"/>
                <w:sz w:val="18"/>
                <w:szCs w:val="18"/>
                <w:lang w:eastAsia="zh-CN"/>
              </w:rPr>
            </w:pPr>
          </w:p>
        </w:tc>
      </w:tr>
      <w:tr w14:paraId="6EF9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double" w:color="FFFFCC" w:sz="2" w:space="0"/>
              <w:right w:val="single" w:color="000000" w:sz="4" w:space="0"/>
            </w:tcBorders>
          </w:tcPr>
          <w:p w14:paraId="29DAA8D4">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Abstract </w:t>
            </w:r>
          </w:p>
        </w:tc>
        <w:tc>
          <w:tcPr>
            <w:tcW w:w="648" w:type="dxa"/>
            <w:tcBorders>
              <w:top w:val="single" w:color="000000" w:sz="4" w:space="0"/>
              <w:left w:val="single" w:color="000000" w:sz="4" w:space="0"/>
              <w:bottom w:val="double" w:color="FFFFCC" w:sz="2" w:space="0"/>
              <w:right w:val="single" w:color="000000" w:sz="4" w:space="0"/>
            </w:tcBorders>
          </w:tcPr>
          <w:p w14:paraId="14F09A42">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w:t>
            </w:r>
          </w:p>
        </w:tc>
        <w:tc>
          <w:tcPr>
            <w:tcW w:w="9725" w:type="dxa"/>
            <w:tcBorders>
              <w:top w:val="single" w:color="000000" w:sz="4" w:space="0"/>
              <w:left w:val="single" w:color="000000" w:sz="4" w:space="0"/>
              <w:bottom w:val="double" w:color="000000" w:sz="4" w:space="0"/>
              <w:right w:val="single" w:color="000000" w:sz="4" w:space="0"/>
            </w:tcBorders>
          </w:tcPr>
          <w:p w14:paraId="252FF1DD">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See the PRISMA 2020 for Abstracts checklist.</w:t>
            </w:r>
          </w:p>
        </w:tc>
        <w:tc>
          <w:tcPr>
            <w:tcW w:w="3098" w:type="dxa"/>
            <w:tcBorders>
              <w:top w:val="single" w:color="000000" w:sz="4" w:space="0"/>
              <w:left w:val="single" w:color="000000" w:sz="4" w:space="0"/>
              <w:bottom w:val="double" w:color="000000" w:sz="4" w:space="0"/>
              <w:right w:val="single" w:color="000000" w:sz="4" w:space="0"/>
            </w:tcBorders>
          </w:tcPr>
          <w:p w14:paraId="22CA5D7F">
            <w:pPr>
              <w:pStyle w:val="12"/>
              <w:keepNext w:val="0"/>
              <w:keepLines w:val="0"/>
              <w:suppressLineNumbers w:val="0"/>
              <w:spacing w:before="0" w:beforeAutospacing="0" w:after="0" w:afterAutospacing="0"/>
              <w:ind w:left="0" w:right="0"/>
              <w:rPr>
                <w:rFonts w:hint="default" w:ascii="Times New Roman" w:hAnsi="Times New Roman" w:cs="Times New Roman"/>
              </w:rPr>
            </w:pPr>
            <w:r>
              <w:rPr>
                <w:rFonts w:hint="default" w:ascii="Times New Roman" w:hAnsi="Times New Roman" w:eastAsia="Times New Roman"/>
                <w:sz w:val="18"/>
              </w:rPr>
              <w:t>Abstract, pp. 1–2</w:t>
            </w:r>
          </w:p>
        </w:tc>
      </w:tr>
      <w:tr w14:paraId="6232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A160A0C">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INTRODUCTION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12C2A893">
            <w:pPr>
              <w:pStyle w:val="12"/>
              <w:keepNext w:val="0"/>
              <w:keepLines w:val="0"/>
              <w:suppressLineNumbers w:val="0"/>
              <w:spacing w:before="0" w:beforeAutospacing="0" w:after="0" w:afterAutospacing="0"/>
              <w:ind w:left="0" w:right="0"/>
              <w:jc w:val="right"/>
              <w:rPr>
                <w:rFonts w:hint="default" w:ascii="Times New Roman" w:hAnsi="Times New Roman" w:cs="Times New Roman"/>
                <w:color w:val="auto"/>
                <w:sz w:val="18"/>
                <w:szCs w:val="18"/>
              </w:rPr>
            </w:pPr>
          </w:p>
        </w:tc>
      </w:tr>
      <w:tr w14:paraId="0850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1F69FC5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Rationale </w:t>
            </w:r>
          </w:p>
        </w:tc>
        <w:tc>
          <w:tcPr>
            <w:tcW w:w="648" w:type="dxa"/>
            <w:tcBorders>
              <w:top w:val="single" w:color="000000" w:sz="4" w:space="0"/>
              <w:left w:val="single" w:color="000000" w:sz="4" w:space="0"/>
              <w:bottom w:val="single" w:color="000000" w:sz="4" w:space="0"/>
              <w:right w:val="single" w:color="000000" w:sz="4" w:space="0"/>
            </w:tcBorders>
          </w:tcPr>
          <w:p w14:paraId="16C88661">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3</w:t>
            </w:r>
          </w:p>
        </w:tc>
        <w:tc>
          <w:tcPr>
            <w:tcW w:w="9725" w:type="dxa"/>
            <w:tcBorders>
              <w:top w:val="single" w:color="000000" w:sz="4" w:space="0"/>
              <w:left w:val="single" w:color="000000" w:sz="4" w:space="0"/>
              <w:bottom w:val="single" w:color="000000" w:sz="4" w:space="0"/>
              <w:right w:val="single" w:color="000000" w:sz="4" w:space="0"/>
            </w:tcBorders>
          </w:tcPr>
          <w:p w14:paraId="53AB1DE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the rationale for the review in the context of existing knowledge.</w:t>
            </w:r>
          </w:p>
        </w:tc>
        <w:tc>
          <w:tcPr>
            <w:tcW w:w="3098" w:type="dxa"/>
            <w:tcBorders>
              <w:top w:val="single" w:color="000000" w:sz="4" w:space="0"/>
              <w:left w:val="single" w:color="000000" w:sz="4" w:space="0"/>
              <w:bottom w:val="single" w:color="000000" w:sz="4" w:space="0"/>
              <w:right w:val="single" w:color="000000" w:sz="4" w:space="0"/>
            </w:tcBorders>
          </w:tcPr>
          <w:p w14:paraId="182EF7AD">
            <w:pPr>
              <w:pStyle w:val="12"/>
              <w:keepNext w:val="0"/>
              <w:keepLines w:val="0"/>
              <w:suppressLineNumbers w:val="0"/>
              <w:spacing w:before="0" w:beforeAutospacing="0" w:after="0" w:afterAutospacing="0"/>
              <w:ind w:left="0" w:right="0"/>
              <w:rPr>
                <w:rFonts w:hint="eastAsia" w:ascii="Times New Roman" w:hAnsi="Times New Roman" w:eastAsia="宋体" w:cs="Times New Roman"/>
                <w:lang w:eastAsia="zh-CN"/>
              </w:rPr>
            </w:pPr>
            <w:r>
              <w:rPr>
                <w:rFonts w:hint="default" w:ascii="Times New Roman" w:hAnsi="Times New Roman" w:eastAsia="Times New Roman"/>
                <w:sz w:val="18"/>
              </w:rPr>
              <w:t xml:space="preserve">Introduction, pp. </w:t>
            </w:r>
            <w:r>
              <w:rPr>
                <w:rFonts w:hint="eastAsia" w:ascii="Times New Roman" w:hAnsi="Times New Roman" w:eastAsia="宋体"/>
                <w:sz w:val="18"/>
                <w:lang w:val="en-US" w:eastAsia="zh-CN"/>
              </w:rPr>
              <w:t>3</w:t>
            </w:r>
            <w:r>
              <w:rPr>
                <w:rFonts w:hint="default" w:ascii="Times New Roman" w:hAnsi="Times New Roman" w:eastAsia="Times New Roman"/>
                <w:sz w:val="18"/>
              </w:rPr>
              <w:t>–</w:t>
            </w:r>
            <w:r>
              <w:rPr>
                <w:rFonts w:hint="eastAsia" w:ascii="Times New Roman" w:hAnsi="Times New Roman" w:eastAsia="宋体"/>
                <w:sz w:val="18"/>
                <w:lang w:val="en-US" w:eastAsia="zh-CN"/>
              </w:rPr>
              <w:t>4</w:t>
            </w:r>
          </w:p>
        </w:tc>
      </w:tr>
      <w:tr w14:paraId="4B60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double" w:color="FFFFCC" w:sz="2" w:space="0"/>
              <w:right w:val="single" w:color="000000" w:sz="4" w:space="0"/>
            </w:tcBorders>
          </w:tcPr>
          <w:p w14:paraId="267DBE1B">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Objectives </w:t>
            </w:r>
          </w:p>
        </w:tc>
        <w:tc>
          <w:tcPr>
            <w:tcW w:w="648" w:type="dxa"/>
            <w:tcBorders>
              <w:top w:val="single" w:color="000000" w:sz="4" w:space="0"/>
              <w:left w:val="single" w:color="000000" w:sz="4" w:space="0"/>
              <w:bottom w:val="double" w:color="FFFFCC" w:sz="2" w:space="0"/>
              <w:right w:val="single" w:color="000000" w:sz="4" w:space="0"/>
            </w:tcBorders>
          </w:tcPr>
          <w:p w14:paraId="2C9B9B6D">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4</w:t>
            </w:r>
          </w:p>
        </w:tc>
        <w:tc>
          <w:tcPr>
            <w:tcW w:w="9725" w:type="dxa"/>
            <w:tcBorders>
              <w:top w:val="single" w:color="000000" w:sz="4" w:space="0"/>
              <w:left w:val="single" w:color="000000" w:sz="4" w:space="0"/>
              <w:bottom w:val="double" w:color="000000" w:sz="4" w:space="0"/>
              <w:right w:val="single" w:color="000000" w:sz="4" w:space="0"/>
            </w:tcBorders>
          </w:tcPr>
          <w:p w14:paraId="238E3AF3">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Provide an explicit statement of the objective(s) or question(s) the review addresses.</w:t>
            </w:r>
          </w:p>
        </w:tc>
        <w:tc>
          <w:tcPr>
            <w:tcW w:w="3098" w:type="dxa"/>
            <w:tcBorders>
              <w:top w:val="single" w:color="000000" w:sz="4" w:space="0"/>
              <w:left w:val="single" w:color="000000" w:sz="4" w:space="0"/>
              <w:bottom w:val="double" w:color="000000" w:sz="4" w:space="0"/>
              <w:right w:val="single" w:color="000000" w:sz="4" w:space="0"/>
            </w:tcBorders>
          </w:tcPr>
          <w:p w14:paraId="3E42A297">
            <w:pPr>
              <w:pStyle w:val="12"/>
              <w:keepNext w:val="0"/>
              <w:keepLines w:val="0"/>
              <w:suppressLineNumbers w:val="0"/>
              <w:spacing w:before="0" w:beforeAutospacing="0" w:after="0" w:afterAutospacing="0"/>
              <w:ind w:left="0" w:right="0"/>
              <w:rPr>
                <w:rFonts w:hint="eastAsia" w:ascii="Times New Roman" w:hAnsi="Times New Roman" w:eastAsia="宋体" w:cs="Times New Roman"/>
                <w:lang w:eastAsia="zh-CN"/>
              </w:rPr>
            </w:pPr>
            <w:r>
              <w:rPr>
                <w:rFonts w:hint="default" w:ascii="Times New Roman" w:hAnsi="Times New Roman" w:eastAsia="Times New Roman"/>
                <w:sz w:val="18"/>
              </w:rPr>
              <w:t xml:space="preserve">Introduction, p. </w:t>
            </w:r>
            <w:r>
              <w:rPr>
                <w:rFonts w:hint="eastAsia" w:ascii="Times New Roman" w:hAnsi="Times New Roman" w:eastAsia="宋体"/>
                <w:sz w:val="18"/>
                <w:lang w:val="en-US" w:eastAsia="zh-CN"/>
              </w:rPr>
              <w:t>4</w:t>
            </w:r>
          </w:p>
        </w:tc>
      </w:tr>
      <w:tr w14:paraId="4F51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5958639">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METHODS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6FB517FD">
            <w:pPr>
              <w:pStyle w:val="12"/>
              <w:keepNext w:val="0"/>
              <w:keepLines w:val="0"/>
              <w:suppressLineNumbers w:val="0"/>
              <w:spacing w:before="0" w:beforeAutospacing="0" w:after="0" w:afterAutospacing="0"/>
              <w:ind w:left="0" w:right="0"/>
              <w:jc w:val="right"/>
              <w:rPr>
                <w:rFonts w:hint="default" w:ascii="Times New Roman" w:hAnsi="Times New Roman" w:cs="Times New Roman"/>
                <w:color w:val="auto"/>
                <w:sz w:val="18"/>
                <w:szCs w:val="18"/>
              </w:rPr>
            </w:pPr>
          </w:p>
        </w:tc>
      </w:tr>
      <w:tr w14:paraId="59B37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06DE1283">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Eligibility criteria </w:t>
            </w:r>
          </w:p>
        </w:tc>
        <w:tc>
          <w:tcPr>
            <w:tcW w:w="648" w:type="dxa"/>
            <w:tcBorders>
              <w:top w:val="single" w:color="000000" w:sz="4" w:space="0"/>
              <w:left w:val="single" w:color="000000" w:sz="4" w:space="0"/>
              <w:bottom w:val="single" w:color="000000" w:sz="4" w:space="0"/>
              <w:right w:val="single" w:color="000000" w:sz="4" w:space="0"/>
            </w:tcBorders>
          </w:tcPr>
          <w:p w14:paraId="115D19F1">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5</w:t>
            </w:r>
          </w:p>
        </w:tc>
        <w:tc>
          <w:tcPr>
            <w:tcW w:w="9725" w:type="dxa"/>
            <w:tcBorders>
              <w:top w:val="single" w:color="000000" w:sz="4" w:space="0"/>
              <w:left w:val="single" w:color="000000" w:sz="4" w:space="0"/>
              <w:bottom w:val="single" w:color="000000" w:sz="4" w:space="0"/>
              <w:right w:val="single" w:color="000000" w:sz="4" w:space="0"/>
            </w:tcBorders>
          </w:tcPr>
          <w:p w14:paraId="1D25E79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the inclusion and exclusion criteria for the review and how studies were grouped for the syntheses.</w:t>
            </w:r>
          </w:p>
        </w:tc>
        <w:tc>
          <w:tcPr>
            <w:tcW w:w="3098" w:type="dxa"/>
            <w:tcBorders>
              <w:top w:val="single" w:color="000000" w:sz="4" w:space="0"/>
              <w:left w:val="single" w:color="000000" w:sz="4" w:space="0"/>
              <w:bottom w:val="single" w:color="000000" w:sz="4" w:space="0"/>
              <w:right w:val="single" w:color="000000" w:sz="4" w:space="0"/>
            </w:tcBorders>
            <w:vAlign w:val="top"/>
          </w:tcPr>
          <w:p w14:paraId="26B5C855">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pp. </w:t>
            </w:r>
            <w:r>
              <w:rPr>
                <w:rFonts w:hint="eastAsia" w:ascii="Times New Roman" w:hAnsi="Times New Roman" w:eastAsia="宋体"/>
                <w:sz w:val="18"/>
                <w:lang w:val="en-US" w:eastAsia="zh-CN"/>
              </w:rPr>
              <w:t>5-6</w:t>
            </w:r>
          </w:p>
        </w:tc>
      </w:tr>
      <w:tr w14:paraId="1917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729" w:type="dxa"/>
            <w:tcBorders>
              <w:top w:val="single" w:color="000000" w:sz="4" w:space="0"/>
              <w:left w:val="single" w:color="000000" w:sz="4" w:space="0"/>
              <w:bottom w:val="single" w:color="000000" w:sz="4" w:space="0"/>
              <w:right w:val="single" w:color="000000" w:sz="4" w:space="0"/>
            </w:tcBorders>
          </w:tcPr>
          <w:p w14:paraId="68E197B7">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Information sources </w:t>
            </w:r>
          </w:p>
        </w:tc>
        <w:tc>
          <w:tcPr>
            <w:tcW w:w="648" w:type="dxa"/>
            <w:tcBorders>
              <w:top w:val="single" w:color="000000" w:sz="4" w:space="0"/>
              <w:left w:val="single" w:color="000000" w:sz="4" w:space="0"/>
              <w:bottom w:val="single" w:color="000000" w:sz="4" w:space="0"/>
              <w:right w:val="single" w:color="000000" w:sz="4" w:space="0"/>
            </w:tcBorders>
          </w:tcPr>
          <w:p w14:paraId="73DE562F">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6</w:t>
            </w:r>
          </w:p>
        </w:tc>
        <w:tc>
          <w:tcPr>
            <w:tcW w:w="9725" w:type="dxa"/>
            <w:tcBorders>
              <w:top w:val="single" w:color="000000" w:sz="4" w:space="0"/>
              <w:left w:val="single" w:color="000000" w:sz="4" w:space="0"/>
              <w:bottom w:val="single" w:color="000000" w:sz="4" w:space="0"/>
              <w:right w:val="single" w:color="000000" w:sz="4" w:space="0"/>
            </w:tcBorders>
          </w:tcPr>
          <w:p w14:paraId="0F3EFB2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3098" w:type="dxa"/>
            <w:tcBorders>
              <w:top w:val="single" w:color="000000" w:sz="4" w:space="0"/>
              <w:left w:val="single" w:color="000000" w:sz="4" w:space="0"/>
              <w:bottom w:val="single" w:color="000000" w:sz="4" w:space="0"/>
              <w:right w:val="single" w:color="000000" w:sz="4" w:space="0"/>
            </w:tcBorders>
            <w:vAlign w:val="top"/>
          </w:tcPr>
          <w:p w14:paraId="53242797">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Methods: p. 4</w:t>
            </w:r>
          </w:p>
        </w:tc>
      </w:tr>
      <w:tr w14:paraId="582E2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62407B59">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Search strategy</w:t>
            </w:r>
          </w:p>
        </w:tc>
        <w:tc>
          <w:tcPr>
            <w:tcW w:w="648" w:type="dxa"/>
            <w:tcBorders>
              <w:top w:val="single" w:color="000000" w:sz="4" w:space="0"/>
              <w:left w:val="single" w:color="000000" w:sz="4" w:space="0"/>
              <w:bottom w:val="single" w:color="000000" w:sz="4" w:space="0"/>
              <w:right w:val="single" w:color="000000" w:sz="4" w:space="0"/>
            </w:tcBorders>
          </w:tcPr>
          <w:p w14:paraId="049DE681">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7</w:t>
            </w:r>
          </w:p>
        </w:tc>
        <w:tc>
          <w:tcPr>
            <w:tcW w:w="9725" w:type="dxa"/>
            <w:tcBorders>
              <w:top w:val="single" w:color="000000" w:sz="4" w:space="0"/>
              <w:left w:val="single" w:color="000000" w:sz="4" w:space="0"/>
              <w:bottom w:val="single" w:color="000000" w:sz="4" w:space="0"/>
              <w:right w:val="single" w:color="000000" w:sz="4" w:space="0"/>
            </w:tcBorders>
          </w:tcPr>
          <w:p w14:paraId="64BA4F41">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the full search strategies for all databases, registers and websites, including any filters and limits used.</w:t>
            </w:r>
          </w:p>
        </w:tc>
        <w:tc>
          <w:tcPr>
            <w:tcW w:w="3098" w:type="dxa"/>
            <w:tcBorders>
              <w:top w:val="single" w:color="000000" w:sz="4" w:space="0"/>
              <w:left w:val="single" w:color="000000" w:sz="4" w:space="0"/>
              <w:bottom w:val="single" w:color="000000" w:sz="4" w:space="0"/>
              <w:right w:val="single" w:color="000000" w:sz="4" w:space="0"/>
            </w:tcBorders>
            <w:vAlign w:val="top"/>
          </w:tcPr>
          <w:p w14:paraId="084C8CB7">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Methods: Data sources and search strategy, p4; Supplementary Table S2</w:t>
            </w:r>
          </w:p>
        </w:tc>
      </w:tr>
      <w:tr w14:paraId="592C3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404F066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Selection process</w:t>
            </w:r>
          </w:p>
        </w:tc>
        <w:tc>
          <w:tcPr>
            <w:tcW w:w="648" w:type="dxa"/>
            <w:tcBorders>
              <w:top w:val="single" w:color="000000" w:sz="4" w:space="0"/>
              <w:left w:val="single" w:color="000000" w:sz="4" w:space="0"/>
              <w:bottom w:val="single" w:color="000000" w:sz="4" w:space="0"/>
              <w:right w:val="single" w:color="000000" w:sz="4" w:space="0"/>
            </w:tcBorders>
          </w:tcPr>
          <w:p w14:paraId="01211A1F">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8</w:t>
            </w:r>
          </w:p>
        </w:tc>
        <w:tc>
          <w:tcPr>
            <w:tcW w:w="9725" w:type="dxa"/>
            <w:tcBorders>
              <w:top w:val="single" w:color="000000" w:sz="4" w:space="0"/>
              <w:left w:val="single" w:color="000000" w:sz="4" w:space="0"/>
              <w:bottom w:val="single" w:color="000000" w:sz="4" w:space="0"/>
              <w:right w:val="single" w:color="000000" w:sz="4" w:space="0"/>
            </w:tcBorders>
          </w:tcPr>
          <w:p w14:paraId="12A1356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098" w:type="dxa"/>
            <w:tcBorders>
              <w:top w:val="single" w:color="000000" w:sz="4" w:space="0"/>
              <w:left w:val="single" w:color="000000" w:sz="4" w:space="0"/>
              <w:bottom w:val="single" w:color="000000" w:sz="4" w:space="0"/>
              <w:right w:val="single" w:color="000000" w:sz="4" w:space="0"/>
            </w:tcBorders>
            <w:vAlign w:val="top"/>
          </w:tcPr>
          <w:p w14:paraId="7928F245">
            <w:pPr>
              <w:pStyle w:val="12"/>
              <w:keepNext w:val="0"/>
              <w:keepLines w:val="0"/>
              <w:suppressLineNumbers w:val="0"/>
              <w:spacing w:before="0" w:beforeAutospacing="0" w:after="0" w:afterAutospacing="0"/>
              <w:ind w:left="0" w:right="0"/>
              <w:rPr>
                <w:rFonts w:hint="default" w:ascii="Times New Roman" w:hAnsi="Times New Roman" w:eastAsia="宋体"/>
                <w:sz w:val="18"/>
                <w:lang w:val="en-US" w:eastAsia="zh-CN"/>
              </w:rPr>
            </w:pPr>
            <w:r>
              <w:rPr>
                <w:rFonts w:hint="default" w:ascii="Times New Roman" w:hAnsi="Times New Roman" w:eastAsia="Times New Roman"/>
                <w:sz w:val="18"/>
              </w:rPr>
              <w:t>Methods: Study selection and data extraction, p</w:t>
            </w:r>
            <w:r>
              <w:rPr>
                <w:rFonts w:hint="eastAsia" w:ascii="Times New Roman" w:hAnsi="Times New Roman" w:eastAsia="宋体"/>
                <w:sz w:val="18"/>
                <w:lang w:val="en-US" w:eastAsia="zh-CN"/>
              </w:rPr>
              <w:t>p. 6-7</w:t>
            </w:r>
          </w:p>
        </w:tc>
      </w:tr>
      <w:tr w14:paraId="73AD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729" w:type="dxa"/>
            <w:tcBorders>
              <w:top w:val="single" w:color="000000" w:sz="4" w:space="0"/>
              <w:left w:val="single" w:color="000000" w:sz="4" w:space="0"/>
              <w:bottom w:val="single" w:color="000000" w:sz="4" w:space="0"/>
              <w:right w:val="single" w:color="000000" w:sz="4" w:space="0"/>
            </w:tcBorders>
          </w:tcPr>
          <w:p w14:paraId="1F04AF9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Data collection process </w:t>
            </w:r>
          </w:p>
        </w:tc>
        <w:tc>
          <w:tcPr>
            <w:tcW w:w="648" w:type="dxa"/>
            <w:tcBorders>
              <w:top w:val="single" w:color="000000" w:sz="4" w:space="0"/>
              <w:left w:val="single" w:color="000000" w:sz="4" w:space="0"/>
              <w:bottom w:val="single" w:color="000000" w:sz="4" w:space="0"/>
              <w:right w:val="single" w:color="000000" w:sz="4" w:space="0"/>
            </w:tcBorders>
          </w:tcPr>
          <w:p w14:paraId="138E29C0">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9</w:t>
            </w:r>
          </w:p>
        </w:tc>
        <w:tc>
          <w:tcPr>
            <w:tcW w:w="9725" w:type="dxa"/>
            <w:tcBorders>
              <w:top w:val="single" w:color="000000" w:sz="4" w:space="0"/>
              <w:left w:val="single" w:color="000000" w:sz="4" w:space="0"/>
              <w:bottom w:val="single" w:color="000000" w:sz="4" w:space="0"/>
              <w:right w:val="single" w:color="000000" w:sz="4" w:space="0"/>
            </w:tcBorders>
          </w:tcPr>
          <w:p w14:paraId="0AB89FE0">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098" w:type="dxa"/>
            <w:tcBorders>
              <w:top w:val="single" w:color="000000" w:sz="4" w:space="0"/>
              <w:left w:val="single" w:color="000000" w:sz="4" w:space="0"/>
              <w:bottom w:val="single" w:color="000000" w:sz="4" w:space="0"/>
              <w:right w:val="single" w:color="000000" w:sz="4" w:space="0"/>
            </w:tcBorders>
            <w:vAlign w:val="top"/>
          </w:tcPr>
          <w:p w14:paraId="648A35B8">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Methods: Study selection and data extraction, p</w:t>
            </w:r>
            <w:r>
              <w:rPr>
                <w:rFonts w:hint="eastAsia" w:ascii="Times New Roman" w:hAnsi="Times New Roman" w:eastAsia="宋体"/>
                <w:sz w:val="18"/>
                <w:lang w:val="en-US" w:eastAsia="zh-CN"/>
              </w:rPr>
              <w:t>p. 6-7</w:t>
            </w:r>
          </w:p>
        </w:tc>
      </w:tr>
      <w:tr w14:paraId="31CC6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6A0277F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Data items </w:t>
            </w:r>
          </w:p>
        </w:tc>
        <w:tc>
          <w:tcPr>
            <w:tcW w:w="648" w:type="dxa"/>
            <w:tcBorders>
              <w:top w:val="single" w:color="000000" w:sz="4" w:space="0"/>
              <w:left w:val="single" w:color="000000" w:sz="4" w:space="0"/>
              <w:bottom w:val="single" w:color="000000" w:sz="4" w:space="0"/>
              <w:right w:val="single" w:color="000000" w:sz="4" w:space="0"/>
            </w:tcBorders>
          </w:tcPr>
          <w:p w14:paraId="0A7945C0">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10a</w:t>
            </w:r>
          </w:p>
        </w:tc>
        <w:tc>
          <w:tcPr>
            <w:tcW w:w="9725" w:type="dxa"/>
            <w:tcBorders>
              <w:top w:val="single" w:color="000000" w:sz="4" w:space="0"/>
              <w:left w:val="single" w:color="000000" w:sz="4" w:space="0"/>
              <w:bottom w:val="single" w:color="000000" w:sz="4" w:space="0"/>
              <w:right w:val="single" w:color="000000" w:sz="4" w:space="0"/>
            </w:tcBorders>
          </w:tcPr>
          <w:p w14:paraId="7666E567">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098" w:type="dxa"/>
            <w:tcBorders>
              <w:top w:val="single" w:color="000000" w:sz="4" w:space="0"/>
              <w:left w:val="single" w:color="000000" w:sz="4" w:space="0"/>
              <w:bottom w:val="single" w:color="000000" w:sz="4" w:space="0"/>
              <w:right w:val="single" w:color="000000" w:sz="4" w:space="0"/>
            </w:tcBorders>
            <w:vAlign w:val="top"/>
          </w:tcPr>
          <w:p w14:paraId="24B6A436">
            <w:pPr>
              <w:pStyle w:val="12"/>
              <w:keepNext w:val="0"/>
              <w:keepLines w:val="0"/>
              <w:suppressLineNumbers w:val="0"/>
              <w:spacing w:before="0" w:beforeAutospacing="0" w:after="0" w:afterAutospacing="0"/>
              <w:ind w:left="0" w:right="0"/>
              <w:rPr>
                <w:rFonts w:hint="default" w:ascii="Times New Roman" w:hAnsi="Times New Roman" w:eastAsia="宋体"/>
                <w:sz w:val="18"/>
                <w:lang w:val="en-US" w:eastAsia="zh-CN"/>
              </w:rPr>
            </w:pPr>
            <w:r>
              <w:rPr>
                <w:rFonts w:hint="default" w:ascii="Times New Roman" w:hAnsi="Times New Roman" w:eastAsia="Times New Roman"/>
                <w:sz w:val="18"/>
              </w:rPr>
              <w:t>Methods: Study selection and data extraction, p</w:t>
            </w:r>
            <w:r>
              <w:rPr>
                <w:rFonts w:hint="eastAsia" w:ascii="Times New Roman" w:hAnsi="Times New Roman" w:eastAsia="宋体"/>
                <w:sz w:val="18"/>
                <w:lang w:val="en-US" w:eastAsia="zh-CN"/>
              </w:rPr>
              <w:t>p. 6-7</w:t>
            </w:r>
            <w:r>
              <w:rPr>
                <w:rFonts w:hint="default" w:ascii="Times New Roman" w:hAnsi="Times New Roman" w:eastAsia="Times New Roman"/>
                <w:sz w:val="18"/>
              </w:rPr>
              <w:t xml:space="preserve">; Outcome definitions and classification, pp. </w:t>
            </w:r>
            <w:r>
              <w:rPr>
                <w:rFonts w:hint="eastAsia" w:ascii="Times New Roman" w:hAnsi="Times New Roman" w:eastAsia="宋体"/>
                <w:sz w:val="18"/>
                <w:lang w:val="en-US" w:eastAsia="zh-CN"/>
              </w:rPr>
              <w:t>7-8</w:t>
            </w:r>
          </w:p>
        </w:tc>
      </w:tr>
      <w:tr w14:paraId="364F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bottom w:val="single" w:color="000000" w:sz="4" w:space="0"/>
              <w:right w:val="single" w:color="000000" w:sz="4" w:space="0"/>
            </w:tcBorders>
          </w:tcPr>
          <w:p w14:paraId="24ED096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4477DABB">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10b</w:t>
            </w:r>
          </w:p>
        </w:tc>
        <w:tc>
          <w:tcPr>
            <w:tcW w:w="9725" w:type="dxa"/>
            <w:tcBorders>
              <w:top w:val="single" w:color="000000" w:sz="4" w:space="0"/>
              <w:left w:val="single" w:color="000000" w:sz="4" w:space="0"/>
              <w:bottom w:val="single" w:color="000000" w:sz="4" w:space="0"/>
              <w:right w:val="single" w:color="000000" w:sz="4" w:space="0"/>
            </w:tcBorders>
          </w:tcPr>
          <w:p w14:paraId="7C16D7ED">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3098" w:type="dxa"/>
            <w:tcBorders>
              <w:top w:val="single" w:color="000000" w:sz="4" w:space="0"/>
              <w:left w:val="single" w:color="000000" w:sz="4" w:space="0"/>
              <w:bottom w:val="single" w:color="000000" w:sz="4" w:space="0"/>
              <w:right w:val="single" w:color="000000" w:sz="4" w:space="0"/>
            </w:tcBorders>
            <w:vAlign w:val="top"/>
          </w:tcPr>
          <w:p w14:paraId="55A617AA">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Methods: Study selection and data extraction, p</w:t>
            </w:r>
            <w:r>
              <w:rPr>
                <w:rFonts w:hint="eastAsia" w:ascii="Times New Roman" w:hAnsi="Times New Roman" w:eastAsia="宋体"/>
                <w:sz w:val="18"/>
                <w:lang w:val="en-US" w:eastAsia="zh-CN"/>
              </w:rPr>
              <w:t>p. 6-7</w:t>
            </w:r>
            <w:r>
              <w:rPr>
                <w:rFonts w:hint="default" w:ascii="Times New Roman" w:hAnsi="Times New Roman" w:eastAsia="Times New Roman"/>
                <w:sz w:val="18"/>
              </w:rPr>
              <w:t>; Supplementary Table S4 (study characteristics). No assumptions regarding missing or unclear information were reported.</w:t>
            </w:r>
          </w:p>
        </w:tc>
      </w:tr>
      <w:tr w14:paraId="049B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555D93E1">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Study risk of bias assessment</w:t>
            </w:r>
          </w:p>
        </w:tc>
        <w:tc>
          <w:tcPr>
            <w:tcW w:w="648" w:type="dxa"/>
            <w:tcBorders>
              <w:top w:val="single" w:color="000000" w:sz="4" w:space="0"/>
              <w:left w:val="single" w:color="000000" w:sz="4" w:space="0"/>
              <w:bottom w:val="single" w:color="000000" w:sz="4" w:space="0"/>
              <w:right w:val="single" w:color="000000" w:sz="4" w:space="0"/>
            </w:tcBorders>
          </w:tcPr>
          <w:p w14:paraId="75895737">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11</w:t>
            </w:r>
          </w:p>
        </w:tc>
        <w:tc>
          <w:tcPr>
            <w:tcW w:w="9725" w:type="dxa"/>
            <w:tcBorders>
              <w:top w:val="single" w:color="000000" w:sz="4" w:space="0"/>
              <w:left w:val="single" w:color="000000" w:sz="4" w:space="0"/>
              <w:bottom w:val="single" w:color="000000" w:sz="4" w:space="0"/>
              <w:right w:val="single" w:color="000000" w:sz="4" w:space="0"/>
            </w:tcBorders>
          </w:tcPr>
          <w:p w14:paraId="17CD8C6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098" w:type="dxa"/>
            <w:tcBorders>
              <w:top w:val="single" w:color="000000" w:sz="4" w:space="0"/>
              <w:left w:val="single" w:color="000000" w:sz="4" w:space="0"/>
              <w:bottom w:val="single" w:color="000000" w:sz="4" w:space="0"/>
              <w:right w:val="single" w:color="000000" w:sz="4" w:space="0"/>
            </w:tcBorders>
            <w:vAlign w:val="top"/>
          </w:tcPr>
          <w:p w14:paraId="7627BFE3">
            <w:pPr>
              <w:pStyle w:val="12"/>
              <w:keepNext w:val="0"/>
              <w:keepLines w:val="0"/>
              <w:suppressLineNumbers w:val="0"/>
              <w:spacing w:before="0" w:beforeAutospacing="0" w:after="0" w:afterAutospacing="0"/>
              <w:ind w:left="0" w:right="0"/>
              <w:rPr>
                <w:rFonts w:hint="eastAsia" w:ascii="Times New Roman" w:hAnsi="Times New Roman" w:eastAsia="宋体"/>
                <w:sz w:val="18"/>
                <w:lang w:eastAsia="zh-CN"/>
              </w:rPr>
            </w:pPr>
            <w:r>
              <w:rPr>
                <w:rFonts w:hint="default" w:ascii="Times New Roman" w:hAnsi="Times New Roman" w:eastAsia="Times New Roman"/>
                <w:sz w:val="18"/>
              </w:rPr>
              <w:t xml:space="preserve">Methods: Methodological quality assessment, p. </w:t>
            </w:r>
            <w:r>
              <w:rPr>
                <w:rFonts w:hint="eastAsia" w:ascii="Times New Roman" w:hAnsi="Times New Roman" w:eastAsia="宋体"/>
                <w:sz w:val="18"/>
                <w:lang w:val="en-US" w:eastAsia="zh-CN"/>
              </w:rPr>
              <w:t>8</w:t>
            </w:r>
          </w:p>
        </w:tc>
      </w:tr>
      <w:tr w14:paraId="76F1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37AD652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Effect measures </w:t>
            </w:r>
          </w:p>
        </w:tc>
        <w:tc>
          <w:tcPr>
            <w:tcW w:w="648" w:type="dxa"/>
            <w:tcBorders>
              <w:top w:val="single" w:color="000000" w:sz="4" w:space="0"/>
              <w:left w:val="single" w:color="000000" w:sz="4" w:space="0"/>
              <w:bottom w:val="single" w:color="000000" w:sz="4" w:space="0"/>
              <w:right w:val="single" w:color="000000" w:sz="4" w:space="0"/>
            </w:tcBorders>
          </w:tcPr>
          <w:p w14:paraId="7DE093CA">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12</w:t>
            </w:r>
          </w:p>
        </w:tc>
        <w:tc>
          <w:tcPr>
            <w:tcW w:w="9725" w:type="dxa"/>
            <w:tcBorders>
              <w:top w:val="single" w:color="000000" w:sz="4" w:space="0"/>
              <w:left w:val="single" w:color="000000" w:sz="4" w:space="0"/>
              <w:bottom w:val="single" w:color="000000" w:sz="4" w:space="0"/>
              <w:right w:val="single" w:color="000000" w:sz="4" w:space="0"/>
            </w:tcBorders>
          </w:tcPr>
          <w:p w14:paraId="7483ED8B">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Specify for each outcome the effect measure(s) (e.g. risk ratio, mean difference) used in the synthesis or presentation of results.</w:t>
            </w:r>
          </w:p>
        </w:tc>
        <w:tc>
          <w:tcPr>
            <w:tcW w:w="3098" w:type="dxa"/>
            <w:tcBorders>
              <w:top w:val="single" w:color="000000" w:sz="4" w:space="0"/>
              <w:left w:val="single" w:color="000000" w:sz="4" w:space="0"/>
              <w:bottom w:val="single" w:color="000000" w:sz="4" w:space="0"/>
              <w:right w:val="single" w:color="000000" w:sz="4" w:space="0"/>
            </w:tcBorders>
            <w:vAlign w:val="top"/>
          </w:tcPr>
          <w:p w14:paraId="57A271F7">
            <w:pPr>
              <w:pStyle w:val="12"/>
              <w:keepNext w:val="0"/>
              <w:keepLines w:val="0"/>
              <w:suppressLineNumbers w:val="0"/>
              <w:spacing w:before="0" w:beforeAutospacing="0" w:after="0" w:afterAutospacing="0"/>
              <w:ind w:left="0" w:right="0"/>
              <w:rPr>
                <w:rFonts w:hint="default" w:ascii="Times New Roman" w:hAnsi="Times New Roman" w:eastAsia="宋体"/>
                <w:sz w:val="18"/>
                <w:lang w:val="en-US" w:eastAsia="zh-CN"/>
              </w:rPr>
            </w:pPr>
            <w:r>
              <w:rPr>
                <w:rFonts w:hint="default" w:ascii="Times New Roman" w:hAnsi="Times New Roman" w:eastAsia="Times New Roman"/>
                <w:sz w:val="18"/>
              </w:rPr>
              <w:t xml:space="preserve">Methods: Statistical analysis, pp. </w:t>
            </w:r>
            <w:r>
              <w:rPr>
                <w:rFonts w:hint="eastAsia" w:ascii="Times New Roman" w:hAnsi="Times New Roman" w:eastAsia="宋体"/>
                <w:sz w:val="18"/>
                <w:lang w:val="en-US" w:eastAsia="zh-CN"/>
              </w:rPr>
              <w:t>8-10</w:t>
            </w:r>
          </w:p>
        </w:tc>
      </w:tr>
      <w:tr w14:paraId="3DAE0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26CC85E8">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Synthesis methods</w:t>
            </w:r>
          </w:p>
        </w:tc>
        <w:tc>
          <w:tcPr>
            <w:tcW w:w="648" w:type="dxa"/>
            <w:tcBorders>
              <w:top w:val="single" w:color="000000" w:sz="4" w:space="0"/>
              <w:left w:val="single" w:color="000000" w:sz="4" w:space="0"/>
              <w:bottom w:val="single" w:color="000000" w:sz="4" w:space="0"/>
              <w:right w:val="single" w:color="000000" w:sz="4" w:space="0"/>
            </w:tcBorders>
          </w:tcPr>
          <w:p w14:paraId="697D47E5">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13a</w:t>
            </w:r>
          </w:p>
        </w:tc>
        <w:tc>
          <w:tcPr>
            <w:tcW w:w="9725" w:type="dxa"/>
            <w:tcBorders>
              <w:top w:val="single" w:color="000000" w:sz="4" w:space="0"/>
              <w:left w:val="single" w:color="000000" w:sz="4" w:space="0"/>
              <w:bottom w:val="single" w:color="000000" w:sz="4" w:space="0"/>
              <w:right w:val="single" w:color="000000" w:sz="4" w:space="0"/>
            </w:tcBorders>
          </w:tcPr>
          <w:p w14:paraId="01899D96">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3098" w:type="dxa"/>
            <w:tcBorders>
              <w:top w:val="single" w:color="000000" w:sz="4" w:space="0"/>
              <w:left w:val="single" w:color="000000" w:sz="4" w:space="0"/>
              <w:bottom w:val="single" w:color="000000" w:sz="4" w:space="0"/>
              <w:right w:val="single" w:color="000000" w:sz="4" w:space="0"/>
            </w:tcBorders>
            <w:vAlign w:val="top"/>
          </w:tcPr>
          <w:p w14:paraId="40752259">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Eligibility criteria, pp. </w:t>
            </w:r>
            <w:r>
              <w:rPr>
                <w:rFonts w:hint="eastAsia" w:ascii="Times New Roman" w:hAnsi="Times New Roman" w:eastAsia="宋体"/>
                <w:sz w:val="18"/>
                <w:lang w:val="en-US" w:eastAsia="zh-CN"/>
              </w:rPr>
              <w:t>5-6</w:t>
            </w:r>
            <w:r>
              <w:rPr>
                <w:rFonts w:hint="default" w:ascii="Times New Roman" w:hAnsi="Times New Roman" w:eastAsia="Times New Roman"/>
                <w:sz w:val="18"/>
              </w:rPr>
              <w:t xml:space="preserve">; Outcome definitions and classification, pp. </w:t>
            </w:r>
            <w:r>
              <w:rPr>
                <w:rFonts w:hint="eastAsia" w:ascii="Times New Roman" w:hAnsi="Times New Roman" w:eastAsia="宋体"/>
                <w:sz w:val="18"/>
                <w:lang w:val="en-US" w:eastAsia="zh-CN"/>
              </w:rPr>
              <w:t>7-8</w:t>
            </w:r>
            <w:r>
              <w:rPr>
                <w:rFonts w:hint="default" w:ascii="Times New Roman" w:hAnsi="Times New Roman" w:eastAsia="Times New Roman"/>
                <w:sz w:val="18"/>
              </w:rPr>
              <w:t xml:space="preserve">; Statistical analysis, pp. </w:t>
            </w:r>
            <w:r>
              <w:rPr>
                <w:rFonts w:hint="eastAsia" w:ascii="Times New Roman" w:hAnsi="Times New Roman" w:eastAsia="宋体"/>
                <w:sz w:val="18"/>
                <w:lang w:val="en-US" w:eastAsia="zh-CN"/>
              </w:rPr>
              <w:t>8-10</w:t>
            </w:r>
          </w:p>
        </w:tc>
      </w:tr>
      <w:tr w14:paraId="1CEB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069EFB61">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00E61928">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13b</w:t>
            </w:r>
          </w:p>
        </w:tc>
        <w:tc>
          <w:tcPr>
            <w:tcW w:w="9725" w:type="dxa"/>
            <w:tcBorders>
              <w:top w:val="single" w:color="000000" w:sz="4" w:space="0"/>
              <w:left w:val="single" w:color="000000" w:sz="4" w:space="0"/>
              <w:bottom w:val="single" w:color="000000" w:sz="4" w:space="0"/>
              <w:right w:val="single" w:color="000000" w:sz="4" w:space="0"/>
            </w:tcBorders>
          </w:tcPr>
          <w:p w14:paraId="0C96FF3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required to prepare the data for presentation or synthesis, such as handling of missing summary statistics, or data conversions.</w:t>
            </w:r>
          </w:p>
        </w:tc>
        <w:tc>
          <w:tcPr>
            <w:tcW w:w="3098" w:type="dxa"/>
            <w:tcBorders>
              <w:top w:val="single" w:color="000000" w:sz="4" w:space="0"/>
              <w:left w:val="single" w:color="000000" w:sz="4" w:space="0"/>
              <w:bottom w:val="single" w:color="000000" w:sz="4" w:space="0"/>
              <w:right w:val="single" w:color="000000" w:sz="4" w:space="0"/>
            </w:tcBorders>
            <w:vAlign w:val="top"/>
          </w:tcPr>
          <w:p w14:paraId="3E772197">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Methods: Statistical analysis, pp. 6–7</w:t>
            </w:r>
          </w:p>
        </w:tc>
      </w:tr>
      <w:tr w14:paraId="5CFB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56EB6618">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2F280995">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13c</w:t>
            </w:r>
          </w:p>
        </w:tc>
        <w:tc>
          <w:tcPr>
            <w:tcW w:w="9725" w:type="dxa"/>
            <w:tcBorders>
              <w:top w:val="single" w:color="000000" w:sz="4" w:space="0"/>
              <w:left w:val="single" w:color="000000" w:sz="4" w:space="0"/>
              <w:bottom w:val="single" w:color="000000" w:sz="4" w:space="0"/>
              <w:right w:val="single" w:color="000000" w:sz="4" w:space="0"/>
            </w:tcBorders>
          </w:tcPr>
          <w:p w14:paraId="72AFD46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used to tabulate or visually display results of individual studies and syntheses.</w:t>
            </w:r>
          </w:p>
        </w:tc>
        <w:tc>
          <w:tcPr>
            <w:tcW w:w="3098" w:type="dxa"/>
            <w:tcBorders>
              <w:top w:val="single" w:color="000000" w:sz="4" w:space="0"/>
              <w:left w:val="single" w:color="000000" w:sz="4" w:space="0"/>
              <w:bottom w:val="single" w:color="000000" w:sz="4" w:space="0"/>
              <w:right w:val="single" w:color="000000" w:sz="4" w:space="0"/>
            </w:tcBorders>
            <w:vAlign w:val="top"/>
          </w:tcPr>
          <w:p w14:paraId="5E94D521">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Statistical analysis, pp. </w:t>
            </w:r>
            <w:r>
              <w:rPr>
                <w:rFonts w:hint="eastAsia" w:ascii="Times New Roman" w:hAnsi="Times New Roman" w:eastAsia="宋体"/>
                <w:sz w:val="18"/>
                <w:lang w:val="en-US" w:eastAsia="zh-CN"/>
              </w:rPr>
              <w:t>8-10</w:t>
            </w:r>
            <w:r>
              <w:rPr>
                <w:rFonts w:hint="default" w:ascii="Times New Roman" w:hAnsi="Times New Roman" w:eastAsia="Times New Roman"/>
                <w:sz w:val="18"/>
              </w:rPr>
              <w:t xml:space="preserve"> Supplementary Table S4; Figures 2–4; Supplementary Figures S1–S3</w:t>
            </w:r>
          </w:p>
        </w:tc>
      </w:tr>
      <w:tr w14:paraId="16BD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66F8D73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6A321249">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13d</w:t>
            </w:r>
          </w:p>
        </w:tc>
        <w:tc>
          <w:tcPr>
            <w:tcW w:w="9725" w:type="dxa"/>
            <w:tcBorders>
              <w:top w:val="single" w:color="000000" w:sz="4" w:space="0"/>
              <w:left w:val="single" w:color="000000" w:sz="4" w:space="0"/>
              <w:bottom w:val="single" w:color="000000" w:sz="4" w:space="0"/>
              <w:right w:val="single" w:color="000000" w:sz="4" w:space="0"/>
            </w:tcBorders>
          </w:tcPr>
          <w:p w14:paraId="0FA1A82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098" w:type="dxa"/>
            <w:tcBorders>
              <w:top w:val="single" w:color="000000" w:sz="4" w:space="0"/>
              <w:left w:val="single" w:color="000000" w:sz="4" w:space="0"/>
              <w:bottom w:val="single" w:color="000000" w:sz="4" w:space="0"/>
              <w:right w:val="single" w:color="000000" w:sz="4" w:space="0"/>
            </w:tcBorders>
            <w:vAlign w:val="top"/>
          </w:tcPr>
          <w:p w14:paraId="47D033B5">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Statistical analysis, pp. </w:t>
            </w:r>
            <w:r>
              <w:rPr>
                <w:rFonts w:hint="eastAsia" w:ascii="Times New Roman" w:hAnsi="Times New Roman" w:eastAsia="宋体"/>
                <w:sz w:val="18"/>
                <w:lang w:val="en-US" w:eastAsia="zh-CN"/>
              </w:rPr>
              <w:t>8-10</w:t>
            </w:r>
          </w:p>
        </w:tc>
      </w:tr>
      <w:tr w14:paraId="5DC54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52B04894">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717F8ED6">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13e</w:t>
            </w:r>
          </w:p>
        </w:tc>
        <w:tc>
          <w:tcPr>
            <w:tcW w:w="9725" w:type="dxa"/>
            <w:tcBorders>
              <w:top w:val="single" w:color="000000" w:sz="4" w:space="0"/>
              <w:left w:val="single" w:color="000000" w:sz="4" w:space="0"/>
              <w:bottom w:val="single" w:color="000000" w:sz="4" w:space="0"/>
              <w:right w:val="single" w:color="000000" w:sz="4" w:space="0"/>
            </w:tcBorders>
          </w:tcPr>
          <w:p w14:paraId="226AAB4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used to explore possible causes of heterogeneity among study results (e.g. subgroup analysis, meta-regression).</w:t>
            </w:r>
          </w:p>
        </w:tc>
        <w:tc>
          <w:tcPr>
            <w:tcW w:w="3098" w:type="dxa"/>
            <w:tcBorders>
              <w:top w:val="single" w:color="000000" w:sz="4" w:space="0"/>
              <w:left w:val="single" w:color="000000" w:sz="4" w:space="0"/>
              <w:bottom w:val="single" w:color="000000" w:sz="4" w:space="0"/>
              <w:right w:val="single" w:color="000000" w:sz="4" w:space="0"/>
            </w:tcBorders>
            <w:vAlign w:val="top"/>
          </w:tcPr>
          <w:p w14:paraId="05CF667F">
            <w:pPr>
              <w:pStyle w:val="12"/>
              <w:keepNext w:val="0"/>
              <w:keepLines w:val="0"/>
              <w:suppressLineNumbers w:val="0"/>
              <w:spacing w:before="0" w:beforeAutospacing="0" w:after="0" w:afterAutospacing="0"/>
              <w:ind w:left="0" w:right="0"/>
              <w:rPr>
                <w:rFonts w:hint="default" w:ascii="Times New Roman" w:hAnsi="Times New Roman" w:eastAsia="宋体"/>
                <w:sz w:val="18"/>
                <w:lang w:val="en-US" w:eastAsia="zh-CN"/>
              </w:rPr>
            </w:pPr>
            <w:r>
              <w:rPr>
                <w:rFonts w:hint="default" w:ascii="Times New Roman" w:hAnsi="Times New Roman" w:eastAsia="Times New Roman"/>
                <w:sz w:val="18"/>
              </w:rPr>
              <w:t xml:space="preserve">Methods: Statistical analysis, </w:t>
            </w:r>
            <w:r>
              <w:rPr>
                <w:rFonts w:hint="eastAsia" w:ascii="Times New Roman" w:hAnsi="Times New Roman" w:eastAsia="宋体"/>
                <w:sz w:val="18"/>
                <w:lang w:val="en-US" w:eastAsia="zh-CN"/>
              </w:rPr>
              <w:t>8-10</w:t>
            </w:r>
            <w:r>
              <w:rPr>
                <w:rFonts w:hint="default" w:ascii="Times New Roman" w:hAnsi="Times New Roman" w:eastAsia="Times New Roman"/>
                <w:sz w:val="18"/>
              </w:rPr>
              <w:t xml:space="preserve">; Results: Sensitivity and subgroup analyses, pp. </w:t>
            </w:r>
            <w:r>
              <w:rPr>
                <w:rFonts w:hint="eastAsia" w:ascii="Times New Roman" w:hAnsi="Times New Roman" w:eastAsia="宋体"/>
                <w:sz w:val="18"/>
                <w:lang w:val="en-US" w:eastAsia="zh-CN"/>
              </w:rPr>
              <w:t>16-18</w:t>
            </w:r>
          </w:p>
        </w:tc>
      </w:tr>
      <w:tr w14:paraId="5880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729" w:type="dxa"/>
            <w:vMerge w:val="continue"/>
            <w:tcBorders>
              <w:left w:val="single" w:color="000000" w:sz="4" w:space="0"/>
              <w:bottom w:val="single" w:color="000000" w:sz="4" w:space="0"/>
              <w:right w:val="single" w:color="000000" w:sz="4" w:space="0"/>
            </w:tcBorders>
          </w:tcPr>
          <w:p w14:paraId="48DAC82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318EC018">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13f</w:t>
            </w:r>
          </w:p>
        </w:tc>
        <w:tc>
          <w:tcPr>
            <w:tcW w:w="9725" w:type="dxa"/>
            <w:tcBorders>
              <w:top w:val="single" w:color="000000" w:sz="4" w:space="0"/>
              <w:left w:val="single" w:color="000000" w:sz="4" w:space="0"/>
              <w:bottom w:val="single" w:color="000000" w:sz="4" w:space="0"/>
              <w:right w:val="single" w:color="000000" w:sz="4" w:space="0"/>
            </w:tcBorders>
          </w:tcPr>
          <w:p w14:paraId="6908B73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sensitivity analyses conducted to assess robustness of the synthesized results.</w:t>
            </w:r>
          </w:p>
        </w:tc>
        <w:tc>
          <w:tcPr>
            <w:tcW w:w="3098" w:type="dxa"/>
            <w:tcBorders>
              <w:top w:val="single" w:color="000000" w:sz="4" w:space="0"/>
              <w:left w:val="single" w:color="000000" w:sz="4" w:space="0"/>
              <w:bottom w:val="single" w:color="000000" w:sz="4" w:space="0"/>
              <w:right w:val="single" w:color="000000" w:sz="4" w:space="0"/>
            </w:tcBorders>
            <w:vAlign w:val="top"/>
          </w:tcPr>
          <w:p w14:paraId="6602839D">
            <w:pPr>
              <w:pStyle w:val="12"/>
              <w:keepNext w:val="0"/>
              <w:keepLines w:val="0"/>
              <w:suppressLineNumbers w:val="0"/>
              <w:spacing w:before="0" w:beforeAutospacing="0" w:after="0" w:afterAutospacing="0"/>
              <w:ind w:left="0" w:right="0"/>
              <w:rPr>
                <w:rFonts w:hint="eastAsia" w:ascii="Times New Roman" w:hAnsi="Times New Roman" w:eastAsia="宋体"/>
                <w:sz w:val="18"/>
                <w:lang w:eastAsia="zh-CN"/>
              </w:rPr>
            </w:pPr>
            <w:r>
              <w:rPr>
                <w:rFonts w:hint="default" w:ascii="Times New Roman" w:hAnsi="Times New Roman" w:eastAsia="Times New Roman"/>
                <w:sz w:val="18"/>
              </w:rPr>
              <w:t>Methods: Statistical analysis,</w:t>
            </w:r>
            <w:r>
              <w:rPr>
                <w:rFonts w:hint="eastAsia" w:ascii="Times New Roman" w:hAnsi="Times New Roman" w:eastAsia="宋体"/>
                <w:sz w:val="18"/>
                <w:lang w:val="en-US" w:eastAsia="zh-CN"/>
              </w:rPr>
              <w:t>8-10</w:t>
            </w:r>
            <w:r>
              <w:rPr>
                <w:rFonts w:hint="default" w:ascii="Times New Roman" w:hAnsi="Times New Roman" w:eastAsia="Times New Roman"/>
                <w:sz w:val="18"/>
              </w:rPr>
              <w:t>; Results: Sensitivity and subgroup analyses, pp. 1</w:t>
            </w:r>
            <w:r>
              <w:rPr>
                <w:rFonts w:hint="eastAsia" w:ascii="Times New Roman" w:hAnsi="Times New Roman" w:eastAsia="宋体"/>
                <w:sz w:val="18"/>
                <w:lang w:val="en-US" w:eastAsia="zh-CN"/>
              </w:rPr>
              <w:t>6</w:t>
            </w:r>
            <w:r>
              <w:rPr>
                <w:rFonts w:hint="default" w:ascii="Times New Roman" w:hAnsi="Times New Roman" w:eastAsia="Times New Roman"/>
                <w:sz w:val="18"/>
              </w:rPr>
              <w:t>–1</w:t>
            </w:r>
            <w:r>
              <w:rPr>
                <w:rFonts w:hint="eastAsia" w:ascii="Times New Roman" w:hAnsi="Times New Roman" w:eastAsia="宋体"/>
                <w:sz w:val="18"/>
                <w:lang w:val="en-US" w:eastAsia="zh-CN"/>
              </w:rPr>
              <w:t>8</w:t>
            </w:r>
          </w:p>
        </w:tc>
      </w:tr>
      <w:tr w14:paraId="2D772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6E3EE0C1">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Reporting bias assessment</w:t>
            </w:r>
          </w:p>
        </w:tc>
        <w:tc>
          <w:tcPr>
            <w:tcW w:w="648" w:type="dxa"/>
            <w:tcBorders>
              <w:top w:val="single" w:color="000000" w:sz="4" w:space="0"/>
              <w:left w:val="single" w:color="000000" w:sz="4" w:space="0"/>
              <w:bottom w:val="single" w:color="000000" w:sz="4" w:space="0"/>
              <w:right w:val="single" w:color="000000" w:sz="4" w:space="0"/>
            </w:tcBorders>
          </w:tcPr>
          <w:p w14:paraId="580F310D">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14</w:t>
            </w:r>
          </w:p>
        </w:tc>
        <w:tc>
          <w:tcPr>
            <w:tcW w:w="9725" w:type="dxa"/>
            <w:tcBorders>
              <w:top w:val="single" w:color="000000" w:sz="4" w:space="0"/>
              <w:left w:val="single" w:color="000000" w:sz="4" w:space="0"/>
              <w:bottom w:val="single" w:color="000000" w:sz="4" w:space="0"/>
              <w:right w:val="single" w:color="000000" w:sz="4" w:space="0"/>
            </w:tcBorders>
          </w:tcPr>
          <w:p w14:paraId="1CE359A8">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used to assess risk of bias due to missing results in a synthesis (arising from reporting biases).</w:t>
            </w:r>
          </w:p>
        </w:tc>
        <w:tc>
          <w:tcPr>
            <w:tcW w:w="3098" w:type="dxa"/>
            <w:tcBorders>
              <w:top w:val="single" w:color="000000" w:sz="4" w:space="0"/>
              <w:left w:val="single" w:color="000000" w:sz="4" w:space="0"/>
              <w:bottom w:val="single" w:color="000000" w:sz="4" w:space="0"/>
              <w:right w:val="single" w:color="000000" w:sz="4" w:space="0"/>
            </w:tcBorders>
            <w:vAlign w:val="top"/>
          </w:tcPr>
          <w:p w14:paraId="4772AE1A">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Statistical analysis, </w:t>
            </w:r>
            <w:r>
              <w:rPr>
                <w:rFonts w:hint="eastAsia" w:ascii="Times New Roman" w:hAnsi="Times New Roman" w:eastAsia="宋体"/>
                <w:sz w:val="18"/>
                <w:lang w:val="en-US" w:eastAsia="zh-CN"/>
              </w:rPr>
              <w:t>8-10</w:t>
            </w:r>
            <w:r>
              <w:rPr>
                <w:rFonts w:hint="default" w:ascii="Times New Roman" w:hAnsi="Times New Roman" w:eastAsia="Times New Roman"/>
                <w:sz w:val="18"/>
              </w:rPr>
              <w:t xml:space="preserve"> (publication bias not formally assessed because fewer than 10 studies contributed to each pooled analysis)</w:t>
            </w:r>
          </w:p>
        </w:tc>
      </w:tr>
      <w:tr w14:paraId="1C3CE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7F10EC2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Certainty assessment</w:t>
            </w:r>
          </w:p>
        </w:tc>
        <w:tc>
          <w:tcPr>
            <w:tcW w:w="648" w:type="dxa"/>
            <w:tcBorders>
              <w:top w:val="single" w:color="000000" w:sz="4" w:space="0"/>
              <w:left w:val="single" w:color="000000" w:sz="4" w:space="0"/>
              <w:bottom w:val="single" w:color="000000" w:sz="4" w:space="0"/>
              <w:right w:val="single" w:color="000000" w:sz="4" w:space="0"/>
            </w:tcBorders>
          </w:tcPr>
          <w:p w14:paraId="25CFBDFB">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15</w:t>
            </w:r>
          </w:p>
        </w:tc>
        <w:tc>
          <w:tcPr>
            <w:tcW w:w="9725" w:type="dxa"/>
            <w:tcBorders>
              <w:top w:val="single" w:color="000000" w:sz="4" w:space="0"/>
              <w:left w:val="single" w:color="000000" w:sz="4" w:space="0"/>
              <w:bottom w:val="single" w:color="000000" w:sz="4" w:space="0"/>
              <w:right w:val="single" w:color="000000" w:sz="4" w:space="0"/>
            </w:tcBorders>
          </w:tcPr>
          <w:p w14:paraId="496A5A39">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any methods used to assess certainty (or confidence) in the body of evidence for an outcome.</w:t>
            </w:r>
          </w:p>
        </w:tc>
        <w:tc>
          <w:tcPr>
            <w:tcW w:w="3098" w:type="dxa"/>
            <w:tcBorders>
              <w:top w:val="single" w:color="000000" w:sz="4" w:space="0"/>
              <w:left w:val="single" w:color="000000" w:sz="4" w:space="0"/>
              <w:bottom w:val="single" w:color="000000" w:sz="4" w:space="0"/>
              <w:right w:val="single" w:color="000000" w:sz="4" w:space="0"/>
            </w:tcBorders>
            <w:vAlign w:val="top"/>
          </w:tcPr>
          <w:p w14:paraId="0FF724FC">
            <w:pPr>
              <w:pStyle w:val="12"/>
              <w:keepNext w:val="0"/>
              <w:keepLines w:val="0"/>
              <w:suppressLineNumbers w:val="0"/>
              <w:spacing w:before="0" w:beforeAutospacing="0" w:after="0" w:afterAutospacing="0"/>
              <w:ind w:left="0" w:right="0"/>
              <w:rPr>
                <w:rFonts w:hint="default" w:ascii="Times New Roman" w:hAnsi="Times New Roman" w:eastAsia="Times New Roman"/>
                <w:sz w:val="18"/>
              </w:rPr>
            </w:pPr>
            <w:r>
              <w:rPr>
                <w:rFonts w:hint="default" w:ascii="Times New Roman" w:hAnsi="Times New Roman" w:eastAsia="Times New Roman"/>
                <w:sz w:val="18"/>
              </w:rPr>
              <w:t xml:space="preserve">Methods: Statistical analysis, </w:t>
            </w:r>
            <w:r>
              <w:rPr>
                <w:rFonts w:hint="eastAsia" w:ascii="Times New Roman" w:hAnsi="Times New Roman" w:eastAsia="宋体"/>
                <w:sz w:val="18"/>
                <w:lang w:val="en-US" w:eastAsia="zh-CN"/>
              </w:rPr>
              <w:t>8-10</w:t>
            </w:r>
            <w:r>
              <w:rPr>
                <w:rFonts w:hint="default" w:ascii="Times New Roman" w:hAnsi="Times New Roman" w:eastAsia="Times New Roman"/>
                <w:sz w:val="18"/>
              </w:rPr>
              <w:t>; Results: Certainty of evidence, p. 1</w:t>
            </w:r>
            <w:r>
              <w:rPr>
                <w:rFonts w:hint="eastAsia" w:ascii="Times New Roman" w:hAnsi="Times New Roman" w:eastAsia="宋体"/>
                <w:sz w:val="18"/>
                <w:lang w:val="en-US" w:eastAsia="zh-CN"/>
              </w:rPr>
              <w:t>8</w:t>
            </w:r>
            <w:r>
              <w:rPr>
                <w:rFonts w:hint="default" w:ascii="Times New Roman" w:hAnsi="Times New Roman" w:eastAsia="Times New Roman"/>
                <w:sz w:val="18"/>
              </w:rPr>
              <w:t>; Supplementary Table S7</w:t>
            </w:r>
          </w:p>
        </w:tc>
      </w:tr>
      <w:tr w14:paraId="0E67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0DE462">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RESULTS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13247B17">
            <w:pPr>
              <w:pStyle w:val="12"/>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p>
        </w:tc>
      </w:tr>
      <w:tr w14:paraId="2787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4EE3950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Study selection </w:t>
            </w:r>
          </w:p>
        </w:tc>
        <w:tc>
          <w:tcPr>
            <w:tcW w:w="648" w:type="dxa"/>
            <w:tcBorders>
              <w:top w:val="single" w:color="000000" w:sz="4" w:space="0"/>
              <w:left w:val="single" w:color="000000" w:sz="4" w:space="0"/>
              <w:bottom w:val="single" w:color="000000" w:sz="4" w:space="0"/>
              <w:right w:val="single" w:color="000000" w:sz="4" w:space="0"/>
            </w:tcBorders>
          </w:tcPr>
          <w:p w14:paraId="567A4C7A">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16a</w:t>
            </w:r>
          </w:p>
        </w:tc>
        <w:tc>
          <w:tcPr>
            <w:tcW w:w="9725" w:type="dxa"/>
            <w:tcBorders>
              <w:top w:val="single" w:color="000000" w:sz="4" w:space="0"/>
              <w:left w:val="single" w:color="000000" w:sz="4" w:space="0"/>
              <w:bottom w:val="single" w:color="000000" w:sz="4" w:space="0"/>
              <w:right w:val="single" w:color="000000" w:sz="4" w:space="0"/>
            </w:tcBorders>
          </w:tcPr>
          <w:p w14:paraId="61114869">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3098" w:type="dxa"/>
            <w:tcBorders>
              <w:top w:val="single" w:color="000000" w:sz="4" w:space="0"/>
              <w:left w:val="single" w:color="000000" w:sz="4" w:space="0"/>
              <w:bottom w:val="single" w:color="000000" w:sz="4" w:space="0"/>
              <w:right w:val="single" w:color="000000" w:sz="4" w:space="0"/>
            </w:tcBorders>
            <w:vAlign w:val="top"/>
          </w:tcPr>
          <w:p w14:paraId="7859E7A9">
            <w:pPr>
              <w:keepNext w:val="0"/>
              <w:keepLines w:val="0"/>
              <w:widowControl/>
              <w:suppressLineNumbers w:val="0"/>
              <w:spacing w:before="0" w:beforeAutospacing="0" w:after="0" w:afterAutospacing="0" w:line="240" w:lineRule="auto"/>
              <w:ind w:left="0" w:right="0"/>
              <w:rPr>
                <w:rFonts w:hint="default"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 xml:space="preserve">Results: Study selection, pp. </w:t>
            </w:r>
            <w:r>
              <w:rPr>
                <w:rFonts w:hint="eastAsia" w:eastAsia="宋体" w:cs="Calibri"/>
                <w:color w:val="000000"/>
                <w:sz w:val="18"/>
                <w:szCs w:val="24"/>
                <w:lang w:val="en-US" w:eastAsia="zh-CN" w:bidi="ar-SA"/>
              </w:rPr>
              <w:t>10-11</w:t>
            </w:r>
            <w:r>
              <w:rPr>
                <w:rFonts w:hint="default" w:ascii="Times New Roman" w:hAnsi="Times New Roman" w:eastAsia="Times New Roman" w:cs="Calibri"/>
                <w:color w:val="000000"/>
                <w:sz w:val="18"/>
                <w:szCs w:val="24"/>
                <w:lang w:val="en-CA" w:eastAsia="en-CA" w:bidi="ar-SA"/>
              </w:rPr>
              <w:t xml:space="preserve">; Figure 1, p. </w:t>
            </w:r>
            <w:r>
              <w:rPr>
                <w:rFonts w:hint="eastAsia" w:eastAsia="宋体" w:cs="Calibri"/>
                <w:color w:val="000000"/>
                <w:sz w:val="18"/>
                <w:szCs w:val="24"/>
                <w:lang w:val="en-US" w:eastAsia="zh-CN" w:bidi="ar-SA"/>
              </w:rPr>
              <w:t>11</w:t>
            </w:r>
          </w:p>
        </w:tc>
      </w:tr>
      <w:tr w14:paraId="38313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bottom w:val="single" w:color="000000" w:sz="4" w:space="0"/>
              <w:right w:val="single" w:color="000000" w:sz="4" w:space="0"/>
            </w:tcBorders>
          </w:tcPr>
          <w:p w14:paraId="760F5BB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469346BD">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16b</w:t>
            </w:r>
          </w:p>
        </w:tc>
        <w:tc>
          <w:tcPr>
            <w:tcW w:w="9725" w:type="dxa"/>
            <w:tcBorders>
              <w:top w:val="single" w:color="000000" w:sz="4" w:space="0"/>
              <w:left w:val="single" w:color="000000" w:sz="4" w:space="0"/>
              <w:bottom w:val="single" w:color="000000" w:sz="4" w:space="0"/>
              <w:right w:val="single" w:color="000000" w:sz="4" w:space="0"/>
            </w:tcBorders>
          </w:tcPr>
          <w:p w14:paraId="15EBCC6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Cite studies that might appear to meet the inclusion criteria, but which were excluded, and explain why they were excluded.</w:t>
            </w:r>
          </w:p>
        </w:tc>
        <w:tc>
          <w:tcPr>
            <w:tcW w:w="3098" w:type="dxa"/>
            <w:tcBorders>
              <w:top w:val="single" w:color="000000" w:sz="4" w:space="0"/>
              <w:left w:val="single" w:color="000000" w:sz="4" w:space="0"/>
              <w:bottom w:val="single" w:color="000000" w:sz="4" w:space="0"/>
              <w:right w:val="single" w:color="000000" w:sz="4" w:space="0"/>
            </w:tcBorders>
            <w:vAlign w:val="top"/>
          </w:tcPr>
          <w:p w14:paraId="3DFA087B">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 xml:space="preserve">Results: Study selection, pp. </w:t>
            </w:r>
            <w:r>
              <w:rPr>
                <w:rFonts w:hint="eastAsia" w:eastAsia="宋体" w:cs="Calibri"/>
                <w:color w:val="000000"/>
                <w:sz w:val="18"/>
                <w:szCs w:val="24"/>
                <w:lang w:val="en-US" w:eastAsia="zh-CN" w:bidi="ar-SA"/>
              </w:rPr>
              <w:t>10-11</w:t>
            </w:r>
            <w:r>
              <w:rPr>
                <w:rFonts w:hint="default" w:ascii="Times New Roman" w:hAnsi="Times New Roman" w:eastAsia="Times New Roman" w:cs="Calibri"/>
                <w:color w:val="000000"/>
                <w:sz w:val="18"/>
                <w:szCs w:val="24"/>
                <w:lang w:val="en-CA" w:eastAsia="en-CA" w:bidi="ar-SA"/>
              </w:rPr>
              <w:t>; Supplementary Table S3</w:t>
            </w:r>
          </w:p>
        </w:tc>
      </w:tr>
      <w:tr w14:paraId="3AB2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729" w:type="dxa"/>
            <w:tcBorders>
              <w:top w:val="single" w:color="000000" w:sz="4" w:space="0"/>
              <w:left w:val="single" w:color="000000" w:sz="4" w:space="0"/>
              <w:bottom w:val="single" w:color="000000" w:sz="4" w:space="0"/>
              <w:right w:val="single" w:color="000000" w:sz="4" w:space="0"/>
            </w:tcBorders>
          </w:tcPr>
          <w:p w14:paraId="61DA0A6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Study characteristics </w:t>
            </w:r>
          </w:p>
        </w:tc>
        <w:tc>
          <w:tcPr>
            <w:tcW w:w="648" w:type="dxa"/>
            <w:tcBorders>
              <w:top w:val="single" w:color="000000" w:sz="4" w:space="0"/>
              <w:left w:val="single" w:color="000000" w:sz="4" w:space="0"/>
              <w:bottom w:val="single" w:color="000000" w:sz="4" w:space="0"/>
              <w:right w:val="single" w:color="000000" w:sz="4" w:space="0"/>
            </w:tcBorders>
          </w:tcPr>
          <w:p w14:paraId="1A3D295E">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17</w:t>
            </w:r>
          </w:p>
        </w:tc>
        <w:tc>
          <w:tcPr>
            <w:tcW w:w="9725" w:type="dxa"/>
            <w:tcBorders>
              <w:top w:val="single" w:color="000000" w:sz="4" w:space="0"/>
              <w:left w:val="single" w:color="000000" w:sz="4" w:space="0"/>
              <w:bottom w:val="single" w:color="000000" w:sz="4" w:space="0"/>
              <w:right w:val="single" w:color="000000" w:sz="4" w:space="0"/>
            </w:tcBorders>
          </w:tcPr>
          <w:p w14:paraId="4098B320">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Cite each included study and present its characteristics.</w:t>
            </w:r>
          </w:p>
        </w:tc>
        <w:tc>
          <w:tcPr>
            <w:tcW w:w="3098" w:type="dxa"/>
            <w:tcBorders>
              <w:top w:val="single" w:color="000000" w:sz="4" w:space="0"/>
              <w:left w:val="single" w:color="000000" w:sz="4" w:space="0"/>
              <w:bottom w:val="single" w:color="000000" w:sz="4" w:space="0"/>
              <w:right w:val="single" w:color="000000" w:sz="4" w:space="0"/>
            </w:tcBorders>
            <w:vAlign w:val="top"/>
          </w:tcPr>
          <w:p w14:paraId="5D8D96AD">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Study characteristics, p. 12; Supplementary Table S4</w:t>
            </w:r>
          </w:p>
        </w:tc>
      </w:tr>
      <w:tr w14:paraId="5940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75C456E0">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Risk of bias in studies </w:t>
            </w:r>
          </w:p>
        </w:tc>
        <w:tc>
          <w:tcPr>
            <w:tcW w:w="648" w:type="dxa"/>
            <w:tcBorders>
              <w:top w:val="single" w:color="000000" w:sz="4" w:space="0"/>
              <w:left w:val="single" w:color="000000" w:sz="4" w:space="0"/>
              <w:bottom w:val="single" w:color="000000" w:sz="4" w:space="0"/>
              <w:right w:val="single" w:color="000000" w:sz="4" w:space="0"/>
            </w:tcBorders>
          </w:tcPr>
          <w:p w14:paraId="2C4BBC10">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18</w:t>
            </w:r>
          </w:p>
        </w:tc>
        <w:tc>
          <w:tcPr>
            <w:tcW w:w="9725" w:type="dxa"/>
            <w:tcBorders>
              <w:top w:val="single" w:color="000000" w:sz="4" w:space="0"/>
              <w:left w:val="single" w:color="000000" w:sz="4" w:space="0"/>
              <w:bottom w:val="single" w:color="000000" w:sz="4" w:space="0"/>
              <w:right w:val="single" w:color="000000" w:sz="4" w:space="0"/>
            </w:tcBorders>
          </w:tcPr>
          <w:p w14:paraId="5809D17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assessments of risk of bias for each included study.</w:t>
            </w:r>
          </w:p>
        </w:tc>
        <w:tc>
          <w:tcPr>
            <w:tcW w:w="3098" w:type="dxa"/>
            <w:tcBorders>
              <w:top w:val="single" w:color="000000" w:sz="4" w:space="0"/>
              <w:left w:val="single" w:color="000000" w:sz="4" w:space="0"/>
              <w:bottom w:val="single" w:color="000000" w:sz="4" w:space="0"/>
              <w:right w:val="single" w:color="000000" w:sz="4" w:space="0"/>
            </w:tcBorders>
            <w:vAlign w:val="top"/>
          </w:tcPr>
          <w:p w14:paraId="5EC8F339">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Risk of bias assessment, p. 1</w:t>
            </w:r>
            <w:r>
              <w:rPr>
                <w:rFonts w:hint="eastAsia" w:eastAsia="宋体" w:cs="Calibri"/>
                <w:color w:val="000000"/>
                <w:sz w:val="18"/>
                <w:szCs w:val="24"/>
                <w:lang w:val="en-US" w:eastAsia="zh-CN" w:bidi="ar-SA"/>
              </w:rPr>
              <w:t>6</w:t>
            </w:r>
            <w:r>
              <w:rPr>
                <w:rFonts w:hint="default" w:ascii="Times New Roman" w:hAnsi="Times New Roman" w:eastAsia="Times New Roman" w:cs="Calibri"/>
                <w:color w:val="000000"/>
                <w:sz w:val="18"/>
                <w:szCs w:val="24"/>
                <w:lang w:val="en-CA" w:eastAsia="en-CA" w:bidi="ar-SA"/>
              </w:rPr>
              <w:t>; Supplementary Table S5</w:t>
            </w:r>
          </w:p>
        </w:tc>
      </w:tr>
      <w:tr w14:paraId="79545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78A91E7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Results of individual studies </w:t>
            </w:r>
          </w:p>
        </w:tc>
        <w:tc>
          <w:tcPr>
            <w:tcW w:w="648" w:type="dxa"/>
            <w:tcBorders>
              <w:top w:val="single" w:color="000000" w:sz="4" w:space="0"/>
              <w:left w:val="single" w:color="000000" w:sz="4" w:space="0"/>
              <w:bottom w:val="single" w:color="000000" w:sz="4" w:space="0"/>
              <w:right w:val="single" w:color="000000" w:sz="4" w:space="0"/>
            </w:tcBorders>
          </w:tcPr>
          <w:p w14:paraId="49EEB551">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19</w:t>
            </w:r>
          </w:p>
        </w:tc>
        <w:tc>
          <w:tcPr>
            <w:tcW w:w="9725" w:type="dxa"/>
            <w:tcBorders>
              <w:top w:val="single" w:color="000000" w:sz="4" w:space="0"/>
              <w:left w:val="single" w:color="000000" w:sz="4" w:space="0"/>
              <w:bottom w:val="single" w:color="000000" w:sz="4" w:space="0"/>
              <w:right w:val="single" w:color="000000" w:sz="4" w:space="0"/>
            </w:tcBorders>
          </w:tcPr>
          <w:p w14:paraId="3F7163D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3098" w:type="dxa"/>
            <w:tcBorders>
              <w:top w:val="single" w:color="000000" w:sz="4" w:space="0"/>
              <w:left w:val="single" w:color="000000" w:sz="4" w:space="0"/>
              <w:bottom w:val="single" w:color="000000" w:sz="4" w:space="0"/>
              <w:right w:val="single" w:color="000000" w:sz="4" w:space="0"/>
            </w:tcBorders>
            <w:vAlign w:val="top"/>
          </w:tcPr>
          <w:p w14:paraId="46823846">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Outcome-specific analyses, pp. 12–1</w:t>
            </w:r>
            <w:r>
              <w:rPr>
                <w:rFonts w:hint="eastAsia" w:eastAsia="宋体" w:cs="Calibri"/>
                <w:color w:val="000000"/>
                <w:sz w:val="18"/>
                <w:szCs w:val="24"/>
                <w:lang w:val="en-US" w:eastAsia="zh-CN" w:bidi="ar-SA"/>
              </w:rPr>
              <w:t>6</w:t>
            </w:r>
            <w:r>
              <w:rPr>
                <w:rFonts w:hint="default" w:ascii="Times New Roman" w:hAnsi="Times New Roman" w:eastAsia="Times New Roman" w:cs="Calibri"/>
                <w:color w:val="000000"/>
                <w:sz w:val="18"/>
                <w:szCs w:val="24"/>
                <w:lang w:val="en-CA" w:eastAsia="en-CA" w:bidi="ar-SA"/>
              </w:rPr>
              <w:t>; Figures 2–4; Supplementary Figure S3</w:t>
            </w:r>
          </w:p>
        </w:tc>
      </w:tr>
      <w:tr w14:paraId="38B5C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33963AC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Results of syntheses</w:t>
            </w:r>
          </w:p>
        </w:tc>
        <w:tc>
          <w:tcPr>
            <w:tcW w:w="648" w:type="dxa"/>
            <w:tcBorders>
              <w:top w:val="single" w:color="000000" w:sz="4" w:space="0"/>
              <w:left w:val="single" w:color="000000" w:sz="4" w:space="0"/>
              <w:bottom w:val="single" w:color="000000" w:sz="4" w:space="0"/>
              <w:right w:val="single" w:color="000000" w:sz="4" w:space="0"/>
            </w:tcBorders>
          </w:tcPr>
          <w:p w14:paraId="2DDD7AB6">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20a</w:t>
            </w:r>
          </w:p>
        </w:tc>
        <w:tc>
          <w:tcPr>
            <w:tcW w:w="9725" w:type="dxa"/>
            <w:tcBorders>
              <w:top w:val="single" w:color="000000" w:sz="4" w:space="0"/>
              <w:left w:val="single" w:color="000000" w:sz="4" w:space="0"/>
              <w:bottom w:val="single" w:color="000000" w:sz="4" w:space="0"/>
              <w:right w:val="single" w:color="000000" w:sz="4" w:space="0"/>
            </w:tcBorders>
          </w:tcPr>
          <w:p w14:paraId="78A17E5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For each synthesis, briefly summarise the characteristics and risk of bias among contributing studies.</w:t>
            </w:r>
          </w:p>
        </w:tc>
        <w:tc>
          <w:tcPr>
            <w:tcW w:w="3098" w:type="dxa"/>
            <w:tcBorders>
              <w:top w:val="single" w:color="000000" w:sz="4" w:space="0"/>
              <w:left w:val="single" w:color="000000" w:sz="4" w:space="0"/>
              <w:bottom w:val="single" w:color="000000" w:sz="4" w:space="0"/>
              <w:right w:val="single" w:color="000000" w:sz="4" w:space="0"/>
            </w:tcBorders>
            <w:vAlign w:val="top"/>
          </w:tcPr>
          <w:p w14:paraId="4AA36156">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Study characteristics, p. 12; Supplementary Table S4; Supplementary Table S5</w:t>
            </w:r>
          </w:p>
        </w:tc>
      </w:tr>
      <w:tr w14:paraId="11DE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729" w:type="dxa"/>
            <w:vMerge w:val="continue"/>
            <w:tcBorders>
              <w:left w:val="single" w:color="000000" w:sz="4" w:space="0"/>
              <w:right w:val="single" w:color="000000" w:sz="4" w:space="0"/>
            </w:tcBorders>
          </w:tcPr>
          <w:p w14:paraId="2B5E1BF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755688FC">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20b</w:t>
            </w:r>
          </w:p>
        </w:tc>
        <w:tc>
          <w:tcPr>
            <w:tcW w:w="9725" w:type="dxa"/>
            <w:tcBorders>
              <w:top w:val="single" w:color="000000" w:sz="4" w:space="0"/>
              <w:left w:val="single" w:color="000000" w:sz="4" w:space="0"/>
              <w:bottom w:val="single" w:color="000000" w:sz="4" w:space="0"/>
              <w:right w:val="single" w:color="000000" w:sz="4" w:space="0"/>
            </w:tcBorders>
          </w:tcPr>
          <w:p w14:paraId="70B0D66F">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098" w:type="dxa"/>
            <w:tcBorders>
              <w:top w:val="single" w:color="000000" w:sz="4" w:space="0"/>
              <w:left w:val="single" w:color="000000" w:sz="4" w:space="0"/>
              <w:bottom w:val="single" w:color="000000" w:sz="4" w:space="0"/>
              <w:right w:val="single" w:color="000000" w:sz="4" w:space="0"/>
            </w:tcBorders>
            <w:vAlign w:val="top"/>
          </w:tcPr>
          <w:p w14:paraId="2D49962C">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Outcome-specific analyses, pp. 12–1</w:t>
            </w:r>
            <w:r>
              <w:rPr>
                <w:rFonts w:hint="eastAsia" w:eastAsia="宋体" w:cs="Calibri"/>
                <w:color w:val="000000"/>
                <w:sz w:val="18"/>
                <w:szCs w:val="24"/>
                <w:lang w:val="en-US" w:eastAsia="zh-CN" w:bidi="ar-SA"/>
              </w:rPr>
              <w:t>6</w:t>
            </w:r>
            <w:r>
              <w:rPr>
                <w:rFonts w:hint="default" w:ascii="Times New Roman" w:hAnsi="Times New Roman" w:eastAsia="Times New Roman" w:cs="Calibri"/>
                <w:color w:val="000000"/>
                <w:sz w:val="18"/>
                <w:szCs w:val="24"/>
                <w:lang w:val="en-CA" w:eastAsia="en-CA" w:bidi="ar-SA"/>
              </w:rPr>
              <w:t>; Figures 2–4; Supplementary Figure S3</w:t>
            </w:r>
          </w:p>
        </w:tc>
      </w:tr>
      <w:tr w14:paraId="0FE09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6E1CF019">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053363DC">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20c</w:t>
            </w:r>
          </w:p>
        </w:tc>
        <w:tc>
          <w:tcPr>
            <w:tcW w:w="9725" w:type="dxa"/>
            <w:tcBorders>
              <w:top w:val="single" w:color="000000" w:sz="4" w:space="0"/>
              <w:left w:val="single" w:color="000000" w:sz="4" w:space="0"/>
              <w:bottom w:val="single" w:color="000000" w:sz="4" w:space="0"/>
              <w:right w:val="single" w:color="000000" w:sz="4" w:space="0"/>
            </w:tcBorders>
          </w:tcPr>
          <w:p w14:paraId="219612D7">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results of all investigations of possible causes of heterogeneity among study results.</w:t>
            </w:r>
          </w:p>
        </w:tc>
        <w:tc>
          <w:tcPr>
            <w:tcW w:w="3098" w:type="dxa"/>
            <w:tcBorders>
              <w:top w:val="single" w:color="000000" w:sz="4" w:space="0"/>
              <w:left w:val="single" w:color="000000" w:sz="4" w:space="0"/>
              <w:bottom w:val="single" w:color="000000" w:sz="4" w:space="0"/>
              <w:right w:val="single" w:color="000000" w:sz="4" w:space="0"/>
            </w:tcBorders>
            <w:vAlign w:val="top"/>
          </w:tcPr>
          <w:p w14:paraId="5ED4E177">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 xml:space="preserve">Results: Outcome-specific analyses and Sensitivity and subgroup analyses, pp. </w:t>
            </w:r>
            <w:r>
              <w:rPr>
                <w:rFonts w:hint="eastAsia" w:eastAsia="宋体" w:cs="Calibri"/>
                <w:color w:val="000000"/>
                <w:sz w:val="18"/>
                <w:szCs w:val="24"/>
                <w:lang w:val="en-US" w:eastAsia="zh-CN" w:bidi="ar-SA"/>
              </w:rPr>
              <w:t>12-18</w:t>
            </w:r>
            <w:r>
              <w:rPr>
                <w:rFonts w:hint="default" w:ascii="Times New Roman" w:hAnsi="Times New Roman" w:eastAsia="Times New Roman" w:cs="Calibri"/>
                <w:color w:val="000000"/>
                <w:sz w:val="18"/>
                <w:szCs w:val="24"/>
                <w:lang w:val="en-CA" w:eastAsia="en-CA" w:bidi="ar-SA"/>
              </w:rPr>
              <w:t>; Supplementary Figures S1–S2</w:t>
            </w:r>
          </w:p>
        </w:tc>
      </w:tr>
      <w:tr w14:paraId="35432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bottom w:val="single" w:color="000000" w:sz="4" w:space="0"/>
              <w:right w:val="single" w:color="000000" w:sz="4" w:space="0"/>
            </w:tcBorders>
          </w:tcPr>
          <w:p w14:paraId="0A4C6CC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7C9C35CB">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20d</w:t>
            </w:r>
          </w:p>
        </w:tc>
        <w:tc>
          <w:tcPr>
            <w:tcW w:w="9725" w:type="dxa"/>
            <w:tcBorders>
              <w:top w:val="single" w:color="000000" w:sz="4" w:space="0"/>
              <w:left w:val="single" w:color="000000" w:sz="4" w:space="0"/>
              <w:bottom w:val="single" w:color="000000" w:sz="4" w:space="0"/>
              <w:right w:val="single" w:color="000000" w:sz="4" w:space="0"/>
            </w:tcBorders>
          </w:tcPr>
          <w:p w14:paraId="267A415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results of all sensitivity analyses conducted to assess the robustness of the synthesized results.</w:t>
            </w:r>
          </w:p>
        </w:tc>
        <w:tc>
          <w:tcPr>
            <w:tcW w:w="3098" w:type="dxa"/>
            <w:tcBorders>
              <w:top w:val="single" w:color="000000" w:sz="4" w:space="0"/>
              <w:left w:val="single" w:color="000000" w:sz="4" w:space="0"/>
              <w:bottom w:val="single" w:color="000000" w:sz="4" w:space="0"/>
              <w:right w:val="single" w:color="000000" w:sz="4" w:space="0"/>
            </w:tcBorders>
            <w:vAlign w:val="top"/>
          </w:tcPr>
          <w:p w14:paraId="119BC2D2">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 xml:space="preserve">Results: Sensitivity and subgroup analyses, pp. </w:t>
            </w:r>
            <w:r>
              <w:rPr>
                <w:rFonts w:hint="eastAsia" w:eastAsia="宋体" w:cs="Calibri"/>
                <w:color w:val="000000"/>
                <w:sz w:val="18"/>
                <w:szCs w:val="24"/>
                <w:lang w:val="en-US" w:eastAsia="zh-CN" w:bidi="ar-SA"/>
              </w:rPr>
              <w:t>16-18</w:t>
            </w:r>
            <w:r>
              <w:rPr>
                <w:rFonts w:hint="default" w:ascii="Times New Roman" w:hAnsi="Times New Roman" w:eastAsia="Times New Roman" w:cs="Calibri"/>
                <w:color w:val="000000"/>
                <w:sz w:val="18"/>
                <w:szCs w:val="24"/>
                <w:lang w:val="en-CA" w:eastAsia="en-CA" w:bidi="ar-SA"/>
              </w:rPr>
              <w:t>; Supplementary Table S6</w:t>
            </w:r>
          </w:p>
        </w:tc>
      </w:tr>
      <w:tr w14:paraId="6402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164475A8">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Reporting biases</w:t>
            </w:r>
          </w:p>
        </w:tc>
        <w:tc>
          <w:tcPr>
            <w:tcW w:w="648" w:type="dxa"/>
            <w:tcBorders>
              <w:top w:val="single" w:color="000000" w:sz="4" w:space="0"/>
              <w:left w:val="single" w:color="000000" w:sz="4" w:space="0"/>
              <w:bottom w:val="single" w:color="000000" w:sz="4" w:space="0"/>
              <w:right w:val="single" w:color="000000" w:sz="4" w:space="0"/>
            </w:tcBorders>
          </w:tcPr>
          <w:p w14:paraId="4DE10F9B">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21</w:t>
            </w:r>
          </w:p>
        </w:tc>
        <w:tc>
          <w:tcPr>
            <w:tcW w:w="9725" w:type="dxa"/>
            <w:tcBorders>
              <w:top w:val="single" w:color="000000" w:sz="4" w:space="0"/>
              <w:left w:val="single" w:color="000000" w:sz="4" w:space="0"/>
              <w:bottom w:val="single" w:color="000000" w:sz="4" w:space="0"/>
              <w:right w:val="single" w:color="000000" w:sz="4" w:space="0"/>
            </w:tcBorders>
          </w:tcPr>
          <w:p w14:paraId="182E149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assessments of risk of bias due to missing results (arising from reporting biases) for each synthesis assessed.</w:t>
            </w:r>
          </w:p>
        </w:tc>
        <w:tc>
          <w:tcPr>
            <w:tcW w:w="3098" w:type="dxa"/>
            <w:tcBorders>
              <w:top w:val="single" w:color="000000" w:sz="4" w:space="0"/>
              <w:left w:val="single" w:color="000000" w:sz="4" w:space="0"/>
              <w:bottom w:val="single" w:color="000000" w:sz="4" w:space="0"/>
              <w:right w:val="single" w:color="000000" w:sz="4" w:space="0"/>
            </w:tcBorders>
            <w:vAlign w:val="top"/>
          </w:tcPr>
          <w:p w14:paraId="03D31E74">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Sensitivity and subgroup analyses / Publication bias statement, pp. 15–16. Publication bias was not formally assessed because fewer than 10 studies contributed to each synthesis.</w:t>
            </w:r>
          </w:p>
        </w:tc>
      </w:tr>
      <w:tr w14:paraId="043D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4C63329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Certainty of evidence </w:t>
            </w:r>
          </w:p>
        </w:tc>
        <w:tc>
          <w:tcPr>
            <w:tcW w:w="648" w:type="dxa"/>
            <w:tcBorders>
              <w:top w:val="single" w:color="000000" w:sz="4" w:space="0"/>
              <w:left w:val="single" w:color="000000" w:sz="4" w:space="0"/>
              <w:bottom w:val="single" w:color="000000" w:sz="4" w:space="0"/>
              <w:right w:val="single" w:color="000000" w:sz="4" w:space="0"/>
            </w:tcBorders>
          </w:tcPr>
          <w:p w14:paraId="2136B81E">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22</w:t>
            </w:r>
          </w:p>
        </w:tc>
        <w:tc>
          <w:tcPr>
            <w:tcW w:w="9725" w:type="dxa"/>
            <w:tcBorders>
              <w:top w:val="single" w:color="000000" w:sz="4" w:space="0"/>
              <w:left w:val="single" w:color="000000" w:sz="4" w:space="0"/>
              <w:bottom w:val="single" w:color="000000" w:sz="4" w:space="0"/>
              <w:right w:val="single" w:color="000000" w:sz="4" w:space="0"/>
            </w:tcBorders>
          </w:tcPr>
          <w:p w14:paraId="43DCA5A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Present assessments of certainty (or confidence) in the body of evidence for each outcome assessed.</w:t>
            </w:r>
          </w:p>
        </w:tc>
        <w:tc>
          <w:tcPr>
            <w:tcW w:w="3098" w:type="dxa"/>
            <w:tcBorders>
              <w:top w:val="single" w:color="000000" w:sz="4" w:space="0"/>
              <w:left w:val="single" w:color="000000" w:sz="4" w:space="0"/>
              <w:bottom w:val="single" w:color="000000" w:sz="4" w:space="0"/>
              <w:right w:val="single" w:color="000000" w:sz="4" w:space="0"/>
            </w:tcBorders>
            <w:vAlign w:val="top"/>
          </w:tcPr>
          <w:p w14:paraId="6DB8D9AE">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Results: Certainty of evidence, p. 1</w:t>
            </w:r>
            <w:r>
              <w:rPr>
                <w:rFonts w:hint="eastAsia" w:eastAsia="宋体" w:cs="Calibri"/>
                <w:color w:val="000000"/>
                <w:sz w:val="18"/>
                <w:szCs w:val="24"/>
                <w:lang w:val="en-US" w:eastAsia="zh-CN" w:bidi="ar-SA"/>
              </w:rPr>
              <w:t>8</w:t>
            </w:r>
            <w:r>
              <w:rPr>
                <w:rFonts w:hint="default" w:ascii="Times New Roman" w:hAnsi="Times New Roman" w:eastAsia="Times New Roman" w:cs="Calibri"/>
                <w:color w:val="000000"/>
                <w:sz w:val="18"/>
                <w:szCs w:val="24"/>
                <w:lang w:val="en-CA" w:eastAsia="en-CA" w:bidi="ar-SA"/>
              </w:rPr>
              <w:t>; Supplementary Table S7</w:t>
            </w:r>
          </w:p>
        </w:tc>
      </w:tr>
      <w:tr w14:paraId="63335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958B9DC">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 xml:space="preserve">DISCUSSION </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1E56DFA8">
            <w:pPr>
              <w:pStyle w:val="12"/>
              <w:keepNext w:val="0"/>
              <w:keepLines w:val="0"/>
              <w:suppressLineNumbers w:val="0"/>
              <w:spacing w:before="0" w:beforeAutospacing="0" w:after="0" w:afterAutospacing="0"/>
              <w:ind w:left="0" w:right="0"/>
              <w:jc w:val="center"/>
              <w:rPr>
                <w:rFonts w:hint="default" w:ascii="Times New Roman" w:hAnsi="Times New Roman" w:cs="Times New Roman"/>
                <w:color w:val="auto"/>
                <w:sz w:val="18"/>
                <w:szCs w:val="18"/>
              </w:rPr>
            </w:pPr>
          </w:p>
        </w:tc>
      </w:tr>
      <w:tr w14:paraId="1567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4DD7506D">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 xml:space="preserve">Discussion </w:t>
            </w:r>
          </w:p>
        </w:tc>
        <w:tc>
          <w:tcPr>
            <w:tcW w:w="648" w:type="dxa"/>
            <w:tcBorders>
              <w:top w:val="single" w:color="000000" w:sz="4" w:space="0"/>
              <w:left w:val="single" w:color="000000" w:sz="4" w:space="0"/>
              <w:bottom w:val="single" w:color="000000" w:sz="4" w:space="0"/>
              <w:right w:val="single" w:color="000000" w:sz="4" w:space="0"/>
            </w:tcBorders>
          </w:tcPr>
          <w:p w14:paraId="68A58C2A">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23a</w:t>
            </w:r>
          </w:p>
        </w:tc>
        <w:tc>
          <w:tcPr>
            <w:tcW w:w="9725" w:type="dxa"/>
            <w:tcBorders>
              <w:top w:val="single" w:color="000000" w:sz="4" w:space="0"/>
              <w:left w:val="single" w:color="000000" w:sz="4" w:space="0"/>
              <w:bottom w:val="single" w:color="000000" w:sz="4" w:space="0"/>
              <w:right w:val="single" w:color="000000" w:sz="4" w:space="0"/>
            </w:tcBorders>
          </w:tcPr>
          <w:p w14:paraId="736499F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Provide a general interpretation of the results in the context of other evidence.</w:t>
            </w:r>
          </w:p>
        </w:tc>
        <w:tc>
          <w:tcPr>
            <w:tcW w:w="3098" w:type="dxa"/>
            <w:tcBorders>
              <w:top w:val="single" w:color="000000" w:sz="4" w:space="0"/>
              <w:left w:val="single" w:color="000000" w:sz="4" w:space="0"/>
              <w:bottom w:val="single" w:color="000000" w:sz="4" w:space="0"/>
              <w:right w:val="single" w:color="000000" w:sz="4" w:space="0"/>
            </w:tcBorders>
            <w:vAlign w:val="top"/>
          </w:tcPr>
          <w:p w14:paraId="7BC98A96">
            <w:pPr>
              <w:keepNext w:val="0"/>
              <w:keepLines w:val="0"/>
              <w:widowControl/>
              <w:suppressLineNumbers w:val="0"/>
              <w:spacing w:before="0" w:beforeAutospacing="0" w:after="0" w:afterAutospacing="0" w:line="240" w:lineRule="auto"/>
              <w:ind w:left="0" w:right="0"/>
              <w:rPr>
                <w:rFonts w:hint="default"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Discussion, pp. 1</w:t>
            </w:r>
            <w:r>
              <w:rPr>
                <w:rFonts w:hint="eastAsia" w:eastAsia="宋体" w:cs="Calibri"/>
                <w:color w:val="000000"/>
                <w:sz w:val="18"/>
                <w:szCs w:val="24"/>
                <w:lang w:val="en-US" w:eastAsia="zh-CN" w:bidi="ar-SA"/>
              </w:rPr>
              <w:t>8</w:t>
            </w:r>
            <w:r>
              <w:rPr>
                <w:rFonts w:hint="default" w:ascii="Times New Roman" w:hAnsi="Times New Roman" w:eastAsia="Times New Roman" w:cs="Calibri"/>
                <w:color w:val="000000"/>
                <w:sz w:val="18"/>
                <w:szCs w:val="24"/>
                <w:lang w:val="en-CA" w:eastAsia="en-CA" w:bidi="ar-SA"/>
              </w:rPr>
              <w:t>–</w:t>
            </w:r>
            <w:r>
              <w:rPr>
                <w:rFonts w:hint="eastAsia" w:eastAsia="宋体" w:cs="Calibri"/>
                <w:color w:val="000000"/>
                <w:sz w:val="18"/>
                <w:szCs w:val="24"/>
                <w:lang w:val="en-US" w:eastAsia="zh-CN" w:bidi="ar-SA"/>
              </w:rPr>
              <w:t>23</w:t>
            </w:r>
          </w:p>
        </w:tc>
      </w:tr>
      <w:tr w14:paraId="70B6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71ED5474">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4B2496FF">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23b</w:t>
            </w:r>
          </w:p>
        </w:tc>
        <w:tc>
          <w:tcPr>
            <w:tcW w:w="9725" w:type="dxa"/>
            <w:tcBorders>
              <w:top w:val="single" w:color="000000" w:sz="4" w:space="0"/>
              <w:left w:val="single" w:color="000000" w:sz="4" w:space="0"/>
              <w:bottom w:val="single" w:color="000000" w:sz="4" w:space="0"/>
              <w:right w:val="single" w:color="000000" w:sz="4" w:space="0"/>
            </w:tcBorders>
          </w:tcPr>
          <w:p w14:paraId="519D5C4B">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Discuss any limitations of the evidence included in the review.</w:t>
            </w:r>
          </w:p>
        </w:tc>
        <w:tc>
          <w:tcPr>
            <w:tcW w:w="3098" w:type="dxa"/>
            <w:tcBorders>
              <w:top w:val="single" w:color="000000" w:sz="4" w:space="0"/>
              <w:left w:val="single" w:color="000000" w:sz="4" w:space="0"/>
              <w:bottom w:val="single" w:color="000000" w:sz="4" w:space="0"/>
              <w:right w:val="single" w:color="000000" w:sz="4" w:space="0"/>
            </w:tcBorders>
            <w:vAlign w:val="top"/>
          </w:tcPr>
          <w:p w14:paraId="168E2D98">
            <w:pPr>
              <w:keepNext w:val="0"/>
              <w:keepLines w:val="0"/>
              <w:widowControl/>
              <w:suppressLineNumbers w:val="0"/>
              <w:spacing w:before="0" w:beforeAutospacing="0" w:after="0" w:afterAutospacing="0" w:line="240" w:lineRule="auto"/>
              <w:ind w:left="0" w:right="0"/>
              <w:rPr>
                <w:rFonts w:hint="default"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 xml:space="preserve">Discussion: limitations, pp. </w:t>
            </w:r>
            <w:r>
              <w:rPr>
                <w:rFonts w:hint="eastAsia" w:eastAsia="宋体" w:cs="Calibri"/>
                <w:color w:val="000000"/>
                <w:sz w:val="18"/>
                <w:szCs w:val="24"/>
                <w:lang w:val="en-US" w:eastAsia="zh-CN" w:bidi="ar-SA"/>
              </w:rPr>
              <w:t>22-23</w:t>
            </w:r>
          </w:p>
        </w:tc>
      </w:tr>
      <w:tr w14:paraId="41648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right w:val="single" w:color="000000" w:sz="4" w:space="0"/>
            </w:tcBorders>
          </w:tcPr>
          <w:p w14:paraId="6A2AD67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auto" w:sz="4" w:space="0"/>
              <w:right w:val="single" w:color="000000" w:sz="4" w:space="0"/>
            </w:tcBorders>
          </w:tcPr>
          <w:p w14:paraId="5A487E7C">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23c</w:t>
            </w:r>
          </w:p>
        </w:tc>
        <w:tc>
          <w:tcPr>
            <w:tcW w:w="9725" w:type="dxa"/>
            <w:tcBorders>
              <w:top w:val="single" w:color="000000" w:sz="4" w:space="0"/>
              <w:left w:val="single" w:color="000000" w:sz="4" w:space="0"/>
              <w:bottom w:val="single" w:color="000000" w:sz="4" w:space="0"/>
              <w:right w:val="single" w:color="000000" w:sz="4" w:space="0"/>
            </w:tcBorders>
          </w:tcPr>
          <w:p w14:paraId="4589651E">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Discuss any limitations of the review processes used.</w:t>
            </w:r>
          </w:p>
        </w:tc>
        <w:tc>
          <w:tcPr>
            <w:tcW w:w="3098" w:type="dxa"/>
            <w:tcBorders>
              <w:top w:val="single" w:color="000000" w:sz="4" w:space="0"/>
              <w:left w:val="single" w:color="000000" w:sz="4" w:space="0"/>
              <w:bottom w:val="single" w:color="000000" w:sz="4" w:space="0"/>
              <w:right w:val="single" w:color="000000" w:sz="4" w:space="0"/>
            </w:tcBorders>
            <w:vAlign w:val="top"/>
          </w:tcPr>
          <w:p w14:paraId="5B1B8D7D">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 xml:space="preserve">Discussion: limitations, pp. </w:t>
            </w:r>
            <w:r>
              <w:rPr>
                <w:rFonts w:hint="eastAsia" w:eastAsia="宋体" w:cs="Calibri"/>
                <w:color w:val="000000"/>
                <w:sz w:val="18"/>
                <w:szCs w:val="24"/>
                <w:lang w:val="en-US" w:eastAsia="zh-CN" w:bidi="ar-SA"/>
              </w:rPr>
              <w:t>22-23</w:t>
            </w:r>
          </w:p>
        </w:tc>
      </w:tr>
      <w:tr w14:paraId="5CCB7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bottom w:val="single" w:color="auto" w:sz="4" w:space="0"/>
              <w:right w:val="single" w:color="000000" w:sz="4" w:space="0"/>
            </w:tcBorders>
          </w:tcPr>
          <w:p w14:paraId="20397365">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auto" w:sz="4" w:space="0"/>
              <w:left w:val="single" w:color="000000" w:sz="4" w:space="0"/>
              <w:bottom w:val="single" w:color="auto" w:sz="4" w:space="0"/>
              <w:right w:val="single" w:color="auto" w:sz="4" w:space="0"/>
            </w:tcBorders>
          </w:tcPr>
          <w:p w14:paraId="612D270C">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23d</w:t>
            </w:r>
          </w:p>
        </w:tc>
        <w:tc>
          <w:tcPr>
            <w:tcW w:w="9725" w:type="dxa"/>
            <w:tcBorders>
              <w:top w:val="single" w:color="000000" w:sz="4" w:space="0"/>
              <w:left w:val="single" w:color="auto" w:sz="4" w:space="0"/>
              <w:bottom w:val="double" w:color="000000" w:sz="4" w:space="0"/>
              <w:right w:val="single" w:color="000000" w:sz="4" w:space="0"/>
            </w:tcBorders>
          </w:tcPr>
          <w:p w14:paraId="408FD0E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Discuss implications of the results for practice, policy, and future research.</w:t>
            </w:r>
          </w:p>
        </w:tc>
        <w:tc>
          <w:tcPr>
            <w:tcW w:w="3098" w:type="dxa"/>
            <w:tcBorders>
              <w:top w:val="single" w:color="000000" w:sz="4" w:space="0"/>
              <w:left w:val="single" w:color="000000" w:sz="4" w:space="0"/>
              <w:bottom w:val="double" w:color="000000" w:sz="4" w:space="0"/>
              <w:right w:val="single" w:color="000000" w:sz="4" w:space="0"/>
            </w:tcBorders>
            <w:vAlign w:val="top"/>
          </w:tcPr>
          <w:p w14:paraId="4B792DDC">
            <w:pPr>
              <w:keepNext w:val="0"/>
              <w:keepLines w:val="0"/>
              <w:widowControl/>
              <w:suppressLineNumbers w:val="0"/>
              <w:spacing w:before="0" w:beforeAutospacing="0" w:after="0" w:afterAutospacing="0" w:line="240" w:lineRule="auto"/>
              <w:ind w:left="0" w:right="0"/>
              <w:rPr>
                <w:rFonts w:hint="default"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 xml:space="preserve">Discussion: clinical implications, p. </w:t>
            </w:r>
            <w:r>
              <w:rPr>
                <w:rFonts w:hint="eastAsia" w:eastAsia="宋体" w:cs="Calibri"/>
                <w:color w:val="000000"/>
                <w:sz w:val="18"/>
                <w:szCs w:val="24"/>
                <w:lang w:val="en-US" w:eastAsia="zh-CN" w:bidi="ar-SA"/>
              </w:rPr>
              <w:t>22</w:t>
            </w:r>
            <w:r>
              <w:rPr>
                <w:rFonts w:hint="default" w:ascii="Times New Roman" w:hAnsi="Times New Roman" w:eastAsia="Times New Roman" w:cs="Calibri"/>
                <w:color w:val="000000"/>
                <w:sz w:val="18"/>
                <w:szCs w:val="24"/>
                <w:lang w:val="en-CA" w:eastAsia="en-CA" w:bidi="ar-SA"/>
              </w:rPr>
              <w:t xml:space="preserve">; Conclusion, pp. </w:t>
            </w:r>
            <w:r>
              <w:rPr>
                <w:rFonts w:hint="eastAsia" w:eastAsia="宋体" w:cs="Calibri"/>
                <w:color w:val="000000"/>
                <w:sz w:val="18"/>
                <w:szCs w:val="24"/>
                <w:lang w:val="en-US" w:eastAsia="zh-CN" w:bidi="ar-SA"/>
              </w:rPr>
              <w:t>23-24</w:t>
            </w:r>
          </w:p>
        </w:tc>
      </w:tr>
      <w:tr w14:paraId="4748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0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76317B7">
            <w:pPr>
              <w:pStyle w:val="12"/>
              <w:keepNext w:val="0"/>
              <w:keepLines w:val="0"/>
              <w:suppressLineNumbers w:val="0"/>
              <w:spacing w:before="0" w:beforeAutospacing="0" w:after="0" w:afterAutospacing="0"/>
              <w:ind w:left="0" w:right="0"/>
              <w:rPr>
                <w:rFonts w:hint="default" w:ascii="Times New Roman" w:hAnsi="Times New Roman" w:cs="Times New Roman"/>
                <w:sz w:val="18"/>
                <w:szCs w:val="18"/>
              </w:rPr>
            </w:pPr>
            <w:r>
              <w:rPr>
                <w:rFonts w:hint="default" w:ascii="Times New Roman" w:hAnsi="Times New Roman" w:cs="Times New Roman"/>
                <w:b/>
                <w:bCs/>
                <w:sz w:val="18"/>
                <w:szCs w:val="18"/>
              </w:rPr>
              <w:t>OTHER INFORMATION</w:t>
            </w:r>
          </w:p>
        </w:tc>
        <w:tc>
          <w:tcPr>
            <w:tcW w:w="3098" w:type="dxa"/>
            <w:tcBorders>
              <w:top w:val="double" w:color="000000" w:sz="4" w:space="0"/>
              <w:left w:val="single" w:color="000000" w:sz="4" w:space="0"/>
              <w:bottom w:val="single" w:color="000000" w:sz="4" w:space="0"/>
              <w:right w:val="single" w:color="000000" w:sz="4" w:space="0"/>
            </w:tcBorders>
            <w:shd w:val="clear" w:color="auto" w:fill="FFFFCC"/>
          </w:tcPr>
          <w:p w14:paraId="5CB1A0DC">
            <w:pPr>
              <w:pStyle w:val="12"/>
              <w:keepNext w:val="0"/>
              <w:keepLines w:val="0"/>
              <w:suppressLineNumbers w:val="0"/>
              <w:spacing w:before="0" w:beforeAutospacing="0" w:after="0" w:afterAutospacing="0"/>
              <w:ind w:left="0" w:right="0"/>
              <w:jc w:val="center"/>
              <w:rPr>
                <w:rFonts w:hint="default" w:ascii="Times New Roman" w:hAnsi="Times New Roman" w:eastAsia="Times New Roman" w:cs="Calibri"/>
                <w:color w:val="000000"/>
                <w:sz w:val="18"/>
                <w:szCs w:val="24"/>
                <w:lang w:val="en-CA" w:eastAsia="en-CA" w:bidi="ar-SA"/>
              </w:rPr>
            </w:pPr>
          </w:p>
        </w:tc>
      </w:tr>
      <w:tr w14:paraId="4BB2E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restart"/>
            <w:tcBorders>
              <w:top w:val="single" w:color="000000" w:sz="4" w:space="0"/>
              <w:left w:val="single" w:color="000000" w:sz="4" w:space="0"/>
              <w:right w:val="single" w:color="000000" w:sz="4" w:space="0"/>
            </w:tcBorders>
          </w:tcPr>
          <w:p w14:paraId="0F93786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Registration and protocol</w:t>
            </w:r>
          </w:p>
        </w:tc>
        <w:tc>
          <w:tcPr>
            <w:tcW w:w="648" w:type="dxa"/>
            <w:tcBorders>
              <w:top w:val="single" w:color="000000" w:sz="4" w:space="0"/>
              <w:left w:val="single" w:color="000000" w:sz="4" w:space="0"/>
              <w:bottom w:val="single" w:color="000000" w:sz="4" w:space="0"/>
              <w:right w:val="single" w:color="000000" w:sz="4" w:space="0"/>
            </w:tcBorders>
          </w:tcPr>
          <w:p w14:paraId="674BC260">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24a</w:t>
            </w:r>
          </w:p>
        </w:tc>
        <w:tc>
          <w:tcPr>
            <w:tcW w:w="9725" w:type="dxa"/>
            <w:tcBorders>
              <w:top w:val="single" w:color="000000" w:sz="4" w:space="0"/>
              <w:left w:val="single" w:color="000000" w:sz="4" w:space="0"/>
              <w:bottom w:val="single" w:color="000000" w:sz="4" w:space="0"/>
              <w:right w:val="single" w:color="000000" w:sz="4" w:space="0"/>
            </w:tcBorders>
          </w:tcPr>
          <w:p w14:paraId="567D2233">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Provide registration information for the review, including register name and registration number, or state that the review was not registered.</w:t>
            </w:r>
          </w:p>
        </w:tc>
        <w:tc>
          <w:tcPr>
            <w:tcW w:w="3098" w:type="dxa"/>
            <w:tcBorders>
              <w:top w:val="single" w:color="000000" w:sz="4" w:space="0"/>
              <w:left w:val="single" w:color="000000" w:sz="4" w:space="0"/>
              <w:bottom w:val="single" w:color="000000" w:sz="4" w:space="0"/>
              <w:right w:val="single" w:color="000000" w:sz="4" w:space="0"/>
            </w:tcBorders>
            <w:vAlign w:val="top"/>
          </w:tcPr>
          <w:p w14:paraId="724D31BB">
            <w:pPr>
              <w:keepNext w:val="0"/>
              <w:keepLines w:val="0"/>
              <w:widowControl/>
              <w:suppressLineNumbers w:val="0"/>
              <w:spacing w:before="0" w:beforeAutospacing="0" w:after="0" w:afterAutospacing="0" w:line="240" w:lineRule="auto"/>
              <w:ind w:left="0" w:right="0"/>
              <w:rPr>
                <w:rFonts w:hint="eastAsia" w:ascii="Times New Roman" w:hAnsi="Times New Roman" w:eastAsia="宋体" w:cs="Calibri"/>
                <w:color w:val="000000"/>
                <w:sz w:val="18"/>
                <w:szCs w:val="24"/>
                <w:lang w:val="en-CA" w:eastAsia="zh-CN" w:bidi="ar-SA"/>
              </w:rPr>
            </w:pPr>
            <w:r>
              <w:rPr>
                <w:rFonts w:hint="default" w:ascii="Times New Roman" w:hAnsi="Times New Roman" w:eastAsia="Times New Roman" w:cs="Calibri"/>
                <w:color w:val="000000"/>
                <w:sz w:val="18"/>
                <w:szCs w:val="24"/>
                <w:lang w:val="en-CA" w:eastAsia="en-CA" w:bidi="ar-SA"/>
              </w:rPr>
              <w:t xml:space="preserve">Methods: Protocol and reporting, p. </w:t>
            </w:r>
            <w:r>
              <w:rPr>
                <w:rFonts w:hint="eastAsia" w:eastAsia="宋体" w:cs="Calibri"/>
                <w:color w:val="000000"/>
                <w:sz w:val="18"/>
                <w:szCs w:val="24"/>
                <w:lang w:val="en-US" w:eastAsia="zh-CN" w:bidi="ar-SA"/>
              </w:rPr>
              <w:t>5</w:t>
            </w:r>
          </w:p>
        </w:tc>
      </w:tr>
      <w:tr w14:paraId="203DD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729" w:type="dxa"/>
            <w:vMerge w:val="continue"/>
            <w:tcBorders>
              <w:left w:val="single" w:color="000000" w:sz="4" w:space="0"/>
              <w:right w:val="single" w:color="000000" w:sz="4" w:space="0"/>
            </w:tcBorders>
          </w:tcPr>
          <w:p w14:paraId="598B393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45DDF054">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24b</w:t>
            </w:r>
          </w:p>
        </w:tc>
        <w:tc>
          <w:tcPr>
            <w:tcW w:w="9725" w:type="dxa"/>
            <w:tcBorders>
              <w:top w:val="single" w:color="000000" w:sz="4" w:space="0"/>
              <w:left w:val="single" w:color="000000" w:sz="4" w:space="0"/>
              <w:bottom w:val="single" w:color="000000" w:sz="4" w:space="0"/>
              <w:right w:val="single" w:color="000000" w:sz="4" w:space="0"/>
            </w:tcBorders>
          </w:tcPr>
          <w:p w14:paraId="27F0168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Indicate where the review protocol can be accessed, or state that a protocol was not prepared.</w:t>
            </w:r>
          </w:p>
        </w:tc>
        <w:tc>
          <w:tcPr>
            <w:tcW w:w="3098" w:type="dxa"/>
            <w:tcBorders>
              <w:top w:val="single" w:color="000000" w:sz="4" w:space="0"/>
              <w:left w:val="single" w:color="000000" w:sz="4" w:space="0"/>
              <w:bottom w:val="single" w:color="000000" w:sz="4" w:space="0"/>
              <w:right w:val="single" w:color="000000" w:sz="4" w:space="0"/>
            </w:tcBorders>
            <w:vAlign w:val="top"/>
          </w:tcPr>
          <w:p w14:paraId="1AB9AD90">
            <w:pPr>
              <w:keepNext w:val="0"/>
              <w:keepLines w:val="0"/>
              <w:widowControl/>
              <w:suppressLineNumbers w:val="0"/>
              <w:spacing w:before="0" w:beforeAutospacing="0" w:after="0" w:afterAutospacing="0" w:line="240" w:lineRule="auto"/>
              <w:ind w:left="0" w:right="0"/>
              <w:rPr>
                <w:rFonts w:hint="eastAsia" w:ascii="Times New Roman" w:hAnsi="Times New Roman" w:eastAsia="宋体" w:cs="Calibri"/>
                <w:color w:val="000000"/>
                <w:sz w:val="18"/>
                <w:szCs w:val="24"/>
                <w:lang w:val="en-CA" w:eastAsia="zh-CN" w:bidi="ar-SA"/>
              </w:rPr>
            </w:pPr>
            <w:r>
              <w:rPr>
                <w:rFonts w:hint="default" w:ascii="Times New Roman" w:hAnsi="Times New Roman" w:eastAsia="Times New Roman" w:cs="Calibri"/>
                <w:color w:val="000000"/>
                <w:sz w:val="18"/>
                <w:szCs w:val="24"/>
                <w:lang w:val="en-CA" w:eastAsia="en-CA" w:bidi="ar-SA"/>
              </w:rPr>
              <w:t xml:space="preserve">Methods: Protocol and reporting, p. </w:t>
            </w:r>
            <w:r>
              <w:rPr>
                <w:rFonts w:hint="eastAsia" w:eastAsia="宋体" w:cs="Calibri"/>
                <w:color w:val="000000"/>
                <w:sz w:val="18"/>
                <w:szCs w:val="24"/>
                <w:lang w:val="en-US" w:eastAsia="zh-CN" w:bidi="ar-SA"/>
              </w:rPr>
              <w:t>5</w:t>
            </w:r>
          </w:p>
        </w:tc>
      </w:tr>
      <w:tr w14:paraId="522B6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vMerge w:val="continue"/>
            <w:tcBorders>
              <w:left w:val="single" w:color="000000" w:sz="4" w:space="0"/>
              <w:bottom w:val="single" w:color="000000" w:sz="4" w:space="0"/>
              <w:right w:val="single" w:color="000000" w:sz="4" w:space="0"/>
            </w:tcBorders>
          </w:tcPr>
          <w:p w14:paraId="4D778FA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p>
        </w:tc>
        <w:tc>
          <w:tcPr>
            <w:tcW w:w="648" w:type="dxa"/>
            <w:tcBorders>
              <w:top w:val="single" w:color="000000" w:sz="4" w:space="0"/>
              <w:left w:val="single" w:color="000000" w:sz="4" w:space="0"/>
              <w:bottom w:val="single" w:color="000000" w:sz="4" w:space="0"/>
              <w:right w:val="single" w:color="000000" w:sz="4" w:space="0"/>
            </w:tcBorders>
          </w:tcPr>
          <w:p w14:paraId="3DA67A9F">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24c</w:t>
            </w:r>
          </w:p>
        </w:tc>
        <w:tc>
          <w:tcPr>
            <w:tcW w:w="9725" w:type="dxa"/>
            <w:tcBorders>
              <w:top w:val="single" w:color="000000" w:sz="4" w:space="0"/>
              <w:left w:val="single" w:color="000000" w:sz="4" w:space="0"/>
              <w:bottom w:val="single" w:color="000000" w:sz="4" w:space="0"/>
              <w:right w:val="single" w:color="000000" w:sz="4" w:space="0"/>
            </w:tcBorders>
          </w:tcPr>
          <w:p w14:paraId="716CAC21">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and explain any amendments to information provided at registration or in the protocol.</w:t>
            </w:r>
          </w:p>
        </w:tc>
        <w:tc>
          <w:tcPr>
            <w:tcW w:w="3098" w:type="dxa"/>
            <w:tcBorders>
              <w:top w:val="single" w:color="000000" w:sz="4" w:space="0"/>
              <w:left w:val="single" w:color="000000" w:sz="4" w:space="0"/>
              <w:bottom w:val="single" w:color="000000" w:sz="4" w:space="0"/>
              <w:right w:val="single" w:color="000000" w:sz="4" w:space="0"/>
            </w:tcBorders>
            <w:vAlign w:val="top"/>
          </w:tcPr>
          <w:p w14:paraId="4D26BBDE">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No protocol amendments were made.</w:t>
            </w:r>
          </w:p>
        </w:tc>
      </w:tr>
      <w:tr w14:paraId="362C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0B4C3837">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Support</w:t>
            </w:r>
          </w:p>
        </w:tc>
        <w:tc>
          <w:tcPr>
            <w:tcW w:w="648" w:type="dxa"/>
            <w:tcBorders>
              <w:top w:val="single" w:color="000000" w:sz="4" w:space="0"/>
              <w:left w:val="single" w:color="000000" w:sz="4" w:space="0"/>
              <w:bottom w:val="single" w:color="000000" w:sz="4" w:space="0"/>
              <w:right w:val="single" w:color="000000" w:sz="4" w:space="0"/>
            </w:tcBorders>
          </w:tcPr>
          <w:p w14:paraId="3E72C52F">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25</w:t>
            </w:r>
          </w:p>
        </w:tc>
        <w:tc>
          <w:tcPr>
            <w:tcW w:w="9725" w:type="dxa"/>
            <w:tcBorders>
              <w:top w:val="single" w:color="000000" w:sz="4" w:space="0"/>
              <w:left w:val="single" w:color="000000" w:sz="4" w:space="0"/>
              <w:bottom w:val="single" w:color="000000" w:sz="4" w:space="0"/>
              <w:right w:val="single" w:color="000000" w:sz="4" w:space="0"/>
            </w:tcBorders>
          </w:tcPr>
          <w:p w14:paraId="6D8EA584">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Describe sources of financial or non-financial support for the review, and the role of the funders or sponsors in the review.</w:t>
            </w:r>
          </w:p>
        </w:tc>
        <w:tc>
          <w:tcPr>
            <w:tcW w:w="3098" w:type="dxa"/>
            <w:tcBorders>
              <w:top w:val="single" w:color="000000" w:sz="4" w:space="0"/>
              <w:left w:val="single" w:color="000000" w:sz="4" w:space="0"/>
              <w:bottom w:val="single" w:color="000000" w:sz="4" w:space="0"/>
              <w:right w:val="single" w:color="000000" w:sz="4" w:space="0"/>
            </w:tcBorders>
            <w:vAlign w:val="top"/>
          </w:tcPr>
          <w:p w14:paraId="7EE8A52D">
            <w:pPr>
              <w:keepNext w:val="0"/>
              <w:keepLines w:val="0"/>
              <w:widowControl/>
              <w:suppressLineNumbers w:val="0"/>
              <w:spacing w:before="0" w:beforeAutospacing="0" w:after="0" w:afterAutospacing="0" w:line="240" w:lineRule="auto"/>
              <w:ind w:left="0" w:right="0"/>
              <w:rPr>
                <w:rFonts w:hint="default"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Declarations: Funding, p</w:t>
            </w:r>
            <w:r>
              <w:rPr>
                <w:rFonts w:hint="eastAsia" w:eastAsia="宋体" w:cs="Calibri"/>
                <w:color w:val="000000"/>
                <w:sz w:val="18"/>
                <w:szCs w:val="24"/>
                <w:lang w:val="en-US" w:eastAsia="zh-CN" w:bidi="ar-SA"/>
              </w:rPr>
              <w:t>p</w:t>
            </w:r>
            <w:r>
              <w:rPr>
                <w:rFonts w:hint="default" w:ascii="Times New Roman" w:hAnsi="Times New Roman" w:eastAsia="Times New Roman" w:cs="Calibri"/>
                <w:color w:val="000000"/>
                <w:sz w:val="18"/>
                <w:szCs w:val="24"/>
                <w:lang w:val="en-CA" w:eastAsia="en-CA" w:bidi="ar-SA"/>
              </w:rPr>
              <w:t>. 2</w:t>
            </w:r>
            <w:r>
              <w:rPr>
                <w:rFonts w:hint="eastAsia" w:eastAsia="宋体" w:cs="Calibri"/>
                <w:color w:val="000000"/>
                <w:sz w:val="18"/>
                <w:szCs w:val="24"/>
                <w:lang w:val="en-US" w:eastAsia="zh-CN" w:bidi="ar-SA"/>
              </w:rPr>
              <w:t>4-25</w:t>
            </w:r>
          </w:p>
        </w:tc>
      </w:tr>
      <w:tr w14:paraId="6346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729" w:type="dxa"/>
            <w:tcBorders>
              <w:top w:val="single" w:color="000000" w:sz="4" w:space="0"/>
              <w:left w:val="single" w:color="000000" w:sz="4" w:space="0"/>
              <w:bottom w:val="single" w:color="000000" w:sz="4" w:space="0"/>
              <w:right w:val="single" w:color="000000" w:sz="4" w:space="0"/>
            </w:tcBorders>
          </w:tcPr>
          <w:p w14:paraId="2ADD40BA">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Competing interests</w:t>
            </w:r>
          </w:p>
        </w:tc>
        <w:tc>
          <w:tcPr>
            <w:tcW w:w="648" w:type="dxa"/>
            <w:tcBorders>
              <w:top w:val="single" w:color="000000" w:sz="4" w:space="0"/>
              <w:left w:val="single" w:color="000000" w:sz="4" w:space="0"/>
              <w:bottom w:val="single" w:color="000000" w:sz="4" w:space="0"/>
              <w:right w:val="single" w:color="000000" w:sz="4" w:space="0"/>
            </w:tcBorders>
          </w:tcPr>
          <w:p w14:paraId="67C35304">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26</w:t>
            </w:r>
          </w:p>
        </w:tc>
        <w:tc>
          <w:tcPr>
            <w:tcW w:w="9725" w:type="dxa"/>
            <w:tcBorders>
              <w:top w:val="single" w:color="000000" w:sz="4" w:space="0"/>
              <w:left w:val="single" w:color="000000" w:sz="4" w:space="0"/>
              <w:bottom w:val="single" w:color="000000" w:sz="4" w:space="0"/>
              <w:right w:val="single" w:color="000000" w:sz="4" w:space="0"/>
            </w:tcBorders>
          </w:tcPr>
          <w:p w14:paraId="46A98652">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Declare any competing interests of review authors.</w:t>
            </w:r>
          </w:p>
        </w:tc>
        <w:tc>
          <w:tcPr>
            <w:tcW w:w="3098" w:type="dxa"/>
            <w:tcBorders>
              <w:top w:val="single" w:color="000000" w:sz="4" w:space="0"/>
              <w:left w:val="single" w:color="000000" w:sz="4" w:space="0"/>
              <w:bottom w:val="single" w:color="000000" w:sz="4" w:space="0"/>
              <w:right w:val="single" w:color="000000" w:sz="4" w:space="0"/>
            </w:tcBorders>
            <w:vAlign w:val="top"/>
          </w:tcPr>
          <w:p w14:paraId="579DC992">
            <w:pPr>
              <w:keepNext w:val="0"/>
              <w:keepLines w:val="0"/>
              <w:widowControl/>
              <w:suppressLineNumbers w:val="0"/>
              <w:spacing w:before="0" w:beforeAutospacing="0" w:after="0" w:afterAutospacing="0" w:line="240" w:lineRule="auto"/>
              <w:ind w:left="0" w:right="0"/>
              <w:rPr>
                <w:rFonts w:hint="eastAsia" w:ascii="Times New Roman" w:hAnsi="Times New Roman" w:eastAsia="宋体" w:cs="Calibri"/>
                <w:color w:val="000000"/>
                <w:sz w:val="18"/>
                <w:szCs w:val="24"/>
                <w:lang w:val="en-US" w:eastAsia="zh-CN" w:bidi="ar-SA"/>
              </w:rPr>
            </w:pPr>
            <w:r>
              <w:rPr>
                <w:rFonts w:hint="default" w:ascii="Times New Roman" w:hAnsi="Times New Roman" w:eastAsia="Times New Roman" w:cs="Calibri"/>
                <w:color w:val="000000"/>
                <w:sz w:val="18"/>
                <w:szCs w:val="24"/>
                <w:lang w:val="en-CA" w:eastAsia="en-CA" w:bidi="ar-SA"/>
              </w:rPr>
              <w:t>Declarations: Competing interests, p. 2</w:t>
            </w:r>
            <w:r>
              <w:rPr>
                <w:rFonts w:hint="eastAsia" w:eastAsia="宋体" w:cs="Calibri"/>
                <w:color w:val="000000"/>
                <w:sz w:val="18"/>
                <w:szCs w:val="24"/>
                <w:lang w:val="en-US" w:eastAsia="zh-CN" w:bidi="ar-SA"/>
              </w:rPr>
              <w:t>5</w:t>
            </w:r>
          </w:p>
        </w:tc>
      </w:tr>
      <w:tr w14:paraId="788E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729" w:type="dxa"/>
            <w:tcBorders>
              <w:top w:val="single" w:color="000000" w:sz="4" w:space="0"/>
              <w:left w:val="single" w:color="000000" w:sz="4" w:space="0"/>
              <w:bottom w:val="double" w:color="000000" w:sz="4" w:space="0"/>
              <w:right w:val="single" w:color="000000" w:sz="4" w:space="0"/>
            </w:tcBorders>
          </w:tcPr>
          <w:p w14:paraId="43598ADB">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Availability of data, code and other materials</w:t>
            </w:r>
          </w:p>
        </w:tc>
        <w:tc>
          <w:tcPr>
            <w:tcW w:w="648" w:type="dxa"/>
            <w:tcBorders>
              <w:top w:val="single" w:color="000000" w:sz="4" w:space="0"/>
              <w:left w:val="single" w:color="000000" w:sz="4" w:space="0"/>
              <w:bottom w:val="double" w:color="000000" w:sz="4" w:space="0"/>
              <w:right w:val="single" w:color="000000" w:sz="4" w:space="0"/>
            </w:tcBorders>
          </w:tcPr>
          <w:p w14:paraId="271FAA61">
            <w:pPr>
              <w:pStyle w:val="12"/>
              <w:keepNext w:val="0"/>
              <w:keepLines w:val="0"/>
              <w:suppressLineNumbers w:val="0"/>
              <w:spacing w:before="40" w:beforeAutospacing="0" w:after="40" w:afterAutospacing="0"/>
              <w:ind w:left="0" w:right="0"/>
              <w:jc w:val="right"/>
              <w:rPr>
                <w:rFonts w:hint="default" w:ascii="Times New Roman" w:hAnsi="Times New Roman" w:cs="Times New Roman"/>
                <w:sz w:val="18"/>
                <w:szCs w:val="18"/>
              </w:rPr>
            </w:pPr>
            <w:r>
              <w:rPr>
                <w:rFonts w:hint="default" w:ascii="Times New Roman" w:hAnsi="Times New Roman" w:cs="Times New Roman"/>
                <w:sz w:val="18"/>
                <w:szCs w:val="18"/>
              </w:rPr>
              <w:t>27</w:t>
            </w:r>
          </w:p>
        </w:tc>
        <w:tc>
          <w:tcPr>
            <w:tcW w:w="9725" w:type="dxa"/>
            <w:tcBorders>
              <w:top w:val="single" w:color="000000" w:sz="4" w:space="0"/>
              <w:left w:val="single" w:color="000000" w:sz="4" w:space="0"/>
              <w:bottom w:val="double" w:color="000000" w:sz="4" w:space="0"/>
              <w:right w:val="single" w:color="000000" w:sz="4" w:space="0"/>
            </w:tcBorders>
          </w:tcPr>
          <w:p w14:paraId="12B47BBC">
            <w:pPr>
              <w:pStyle w:val="12"/>
              <w:keepNext w:val="0"/>
              <w:keepLines w:val="0"/>
              <w:suppressLineNumbers w:val="0"/>
              <w:spacing w:before="40" w:beforeAutospacing="0" w:after="40" w:afterAutospacing="0"/>
              <w:ind w:left="0" w:right="0"/>
              <w:rPr>
                <w:rFonts w:hint="default" w:ascii="Times New Roman" w:hAnsi="Times New Roman" w:cs="Times New Roman"/>
                <w:sz w:val="18"/>
                <w:szCs w:val="18"/>
              </w:rPr>
            </w:pPr>
            <w:r>
              <w:rPr>
                <w:rFonts w:hint="default"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098" w:type="dxa"/>
            <w:tcBorders>
              <w:top w:val="single" w:color="000000" w:sz="4" w:space="0"/>
              <w:left w:val="single" w:color="000000" w:sz="4" w:space="0"/>
              <w:bottom w:val="double" w:color="000000" w:sz="4" w:space="0"/>
              <w:right w:val="single" w:color="000000" w:sz="4" w:space="0"/>
            </w:tcBorders>
            <w:vAlign w:val="top"/>
          </w:tcPr>
          <w:p w14:paraId="7D3B2F49">
            <w:pPr>
              <w:keepNext w:val="0"/>
              <w:keepLines w:val="0"/>
              <w:widowControl/>
              <w:suppressLineNumbers w:val="0"/>
              <w:spacing w:before="0" w:beforeAutospacing="0" w:after="0" w:afterAutospacing="0" w:line="240" w:lineRule="auto"/>
              <w:ind w:left="0" w:right="0"/>
              <w:rPr>
                <w:rFonts w:hint="default" w:ascii="Times New Roman" w:hAnsi="Times New Roman" w:eastAsia="Times New Roman" w:cs="Calibri"/>
                <w:color w:val="000000"/>
                <w:sz w:val="18"/>
                <w:szCs w:val="24"/>
                <w:lang w:val="en-CA" w:eastAsia="en-CA" w:bidi="ar-SA"/>
              </w:rPr>
            </w:pPr>
            <w:r>
              <w:rPr>
                <w:rFonts w:hint="default" w:ascii="Times New Roman" w:hAnsi="Times New Roman" w:eastAsia="Times New Roman" w:cs="Calibri"/>
                <w:color w:val="000000"/>
                <w:sz w:val="18"/>
                <w:szCs w:val="24"/>
                <w:lang w:val="en-CA" w:eastAsia="en-CA" w:bidi="ar-SA"/>
              </w:rPr>
              <w:t>Declarations: Availability of data and materials, p</w:t>
            </w:r>
            <w:r>
              <w:rPr>
                <w:rFonts w:hint="eastAsia" w:eastAsia="宋体" w:cs="Calibri"/>
                <w:color w:val="000000"/>
                <w:sz w:val="18"/>
                <w:szCs w:val="24"/>
                <w:lang w:val="en-US" w:eastAsia="zh-CN" w:bidi="ar-SA"/>
              </w:rPr>
              <w:t>p</w:t>
            </w:r>
            <w:r>
              <w:rPr>
                <w:rFonts w:hint="default" w:ascii="Times New Roman" w:hAnsi="Times New Roman" w:eastAsia="Times New Roman" w:cs="Calibri"/>
                <w:color w:val="000000"/>
                <w:sz w:val="18"/>
                <w:szCs w:val="24"/>
                <w:lang w:val="en-CA" w:eastAsia="en-CA" w:bidi="ar-SA"/>
              </w:rPr>
              <w:t>. 2</w:t>
            </w:r>
            <w:r>
              <w:rPr>
                <w:rFonts w:hint="eastAsia" w:eastAsia="宋体" w:cs="Calibri"/>
                <w:color w:val="000000"/>
                <w:sz w:val="18"/>
                <w:szCs w:val="24"/>
                <w:lang w:val="en-US" w:eastAsia="zh-CN" w:bidi="ar-SA"/>
              </w:rPr>
              <w:t>4-25</w:t>
            </w:r>
            <w:bookmarkStart w:id="1" w:name="_GoBack"/>
            <w:bookmarkEnd w:id="1"/>
          </w:p>
        </w:tc>
      </w:tr>
    </w:tbl>
    <w:p w14:paraId="7C290B98"/>
    <w:p w14:paraId="62BC4F6B">
      <w:pPr>
        <w:pStyle w:val="12"/>
        <w:rPr>
          <w:rFonts w:ascii="Arial" w:hAnsi="Arial" w:cs="Arial"/>
          <w:color w:val="auto"/>
        </w:rPr>
      </w:pPr>
    </w:p>
    <w:p w14:paraId="1B192D79">
      <w:pPr>
        <w:pStyle w:val="12"/>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709A8AF1">
      <w:pPr>
        <w:pStyle w:val="13"/>
        <w:spacing w:after="130"/>
        <w:jc w:val="center"/>
        <w:rPr>
          <w:rFonts w:ascii="Arial" w:hAnsi="Arial" w:cs="Arial"/>
          <w:color w:val="000000"/>
          <w:sz w:val="16"/>
          <w:szCs w:val="16"/>
          <w:lang w:val="da-DK"/>
        </w:rPr>
        <w:sectPr>
          <w:headerReference r:id="rId3" w:type="default"/>
          <w:pgSz w:w="15840" w:h="12240" w:orient="landscape"/>
          <w:pgMar w:top="432" w:right="432" w:bottom="432" w:left="432" w:header="720" w:footer="720" w:gutter="0"/>
          <w:cols w:space="720" w:num="1"/>
          <w:docGrid w:linePitch="326" w:charSpace="0"/>
        </w:sect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11"/>
          <w:rFonts w:ascii="Arial" w:hAnsi="Arial" w:cs="Arial"/>
          <w:sz w:val="18"/>
          <w:szCs w:val="18"/>
          <w:lang w:val="da-DK"/>
        </w:rPr>
        <w:t>http://www.prisma-statement.org/</w:t>
      </w:r>
      <w:r>
        <w:rPr>
          <w:rStyle w:val="11"/>
          <w:rFonts w:ascii="Arial" w:hAnsi="Arial" w:cs="Arial"/>
          <w:sz w:val="18"/>
          <w:szCs w:val="18"/>
          <w:lang w:val="da-DK"/>
        </w:rPr>
        <w:fldChar w:fldCharType="end"/>
      </w:r>
      <w:r>
        <w:rPr>
          <w:rFonts w:ascii="Arial" w:hAnsi="Arial" w:cs="Arial"/>
          <w:color w:val="000000"/>
          <w:sz w:val="16"/>
          <w:szCs w:val="16"/>
          <w:lang w:val="da-DK"/>
        </w:rPr>
        <w:t xml:space="preserve"> </w:t>
      </w:r>
    </w:p>
    <w:p w14:paraId="09940F07">
      <w:pPr>
        <w:jc w:val="both"/>
        <w:rPr>
          <w:rFonts w:hint="default" w:eastAsia="等线"/>
          <w:b/>
          <w:bCs/>
          <w:sz w:val="24"/>
          <w:szCs w:val="24"/>
          <w:lang w:val="en-US" w:eastAsia="zh-CN"/>
        </w:rPr>
      </w:pPr>
      <w:bookmarkStart w:id="0" w:name="OLE_LINK7"/>
      <w:r>
        <w:rPr>
          <w:rFonts w:hint="eastAsia"/>
          <w:b/>
          <w:bCs/>
          <w:sz w:val="24"/>
          <w:szCs w:val="24"/>
          <w:lang w:val="en-US" w:eastAsia="zh-CN"/>
        </w:rPr>
        <w:t xml:space="preserve">Supplementary </w:t>
      </w:r>
      <w:r>
        <w:rPr>
          <w:b/>
          <w:bCs/>
          <w:sz w:val="24"/>
          <w:szCs w:val="24"/>
        </w:rPr>
        <w:t xml:space="preserve">Table </w:t>
      </w:r>
      <w:r>
        <w:rPr>
          <w:b/>
          <w:bCs/>
          <w:sz w:val="24"/>
          <w:szCs w:val="24"/>
          <w:lang w:val="en-US"/>
        </w:rPr>
        <w:t>S</w:t>
      </w:r>
      <w:r>
        <w:rPr>
          <w:b/>
          <w:bCs/>
          <w:sz w:val="24"/>
          <w:szCs w:val="24"/>
        </w:rPr>
        <w:t>2: Detailed description of the search strategy</w:t>
      </w:r>
      <w:r>
        <w:rPr>
          <w:rFonts w:hint="eastAsia"/>
          <w:b/>
          <w:bCs/>
          <w:sz w:val="24"/>
          <w:szCs w:val="24"/>
          <w:lang w:val="en-US" w:eastAsia="zh-CN"/>
        </w:rPr>
        <w:t>(2026.7.20)</w:t>
      </w:r>
    </w:p>
    <w:bookmarkEnd w:id="0"/>
    <w:tbl>
      <w:tblPr>
        <w:tblStyle w:val="7"/>
        <w:tblW w:w="14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4040"/>
      </w:tblGrid>
      <w:tr w14:paraId="2A81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92" w:type="dxa"/>
            <w:shd w:val="clear" w:color="auto" w:fill="D9EAF7"/>
            <w:tcMar>
              <w:top w:w="80" w:type="dxa"/>
              <w:left w:w="90" w:type="dxa"/>
              <w:bottom w:w="80" w:type="dxa"/>
              <w:right w:w="90" w:type="dxa"/>
            </w:tcMar>
            <w:vAlign w:val="center"/>
          </w:tcPr>
          <w:p w14:paraId="3E2CCD8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b/>
                <w:sz w:val="21"/>
                <w:szCs w:val="21"/>
              </w:rPr>
              <w:t>No.</w:t>
            </w:r>
          </w:p>
        </w:tc>
        <w:tc>
          <w:tcPr>
            <w:tcW w:w="14040" w:type="dxa"/>
            <w:shd w:val="clear" w:color="auto" w:fill="D9EAF7"/>
            <w:tcMar>
              <w:top w:w="80" w:type="dxa"/>
              <w:left w:w="90" w:type="dxa"/>
              <w:bottom w:w="80" w:type="dxa"/>
              <w:right w:w="90" w:type="dxa"/>
            </w:tcMar>
            <w:vAlign w:val="center"/>
          </w:tcPr>
          <w:p w14:paraId="744E319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lang w:val="en-US" w:eastAsia="zh-CN"/>
              </w:rPr>
            </w:pPr>
            <w:r>
              <w:rPr>
                <w:rFonts w:hint="default" w:ascii="Times New Roman" w:hAnsi="Times New Roman" w:eastAsia="Arial" w:cs="Times New Roman"/>
                <w:b/>
                <w:sz w:val="21"/>
                <w:szCs w:val="21"/>
              </w:rPr>
              <w:t>Search strategy</w:t>
            </w:r>
            <w:r>
              <w:rPr>
                <w:rFonts w:hint="default" w:ascii="Times New Roman" w:hAnsi="Times New Roman" w:eastAsia="宋体" w:cs="Times New Roman"/>
                <w:b/>
                <w:sz w:val="21"/>
                <w:szCs w:val="21"/>
                <w:lang w:val="en-US" w:eastAsia="zh-CN"/>
              </w:rPr>
              <w:t xml:space="preserve"> for Pubmed</w:t>
            </w:r>
          </w:p>
        </w:tc>
      </w:tr>
      <w:tr w14:paraId="7E5E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680AED3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#1</w:t>
            </w:r>
          </w:p>
        </w:tc>
        <w:tc>
          <w:tcPr>
            <w:tcW w:w="14040" w:type="dxa"/>
            <w:tcMar>
              <w:top w:w="70" w:type="dxa"/>
              <w:left w:w="85" w:type="dxa"/>
              <w:bottom w:w="70" w:type="dxa"/>
              <w:right w:w="85" w:type="dxa"/>
            </w:tcMar>
            <w:vAlign w:val="top"/>
          </w:tcPr>
          <w:p w14:paraId="3F8DBAEE">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("Diabetes Mellitus, Type 2"[MeSH Terms] OR "type 2 diabetes mellitus"[Title/Abstract] OR "type 2 diabetes"[Title/Abstract] OR "type II diabetes"[Title/Abstract] OR T2DM[Title/Abstract] OR T2D[Title/Abstract] OR "non-insulin-dependent diabetes"[Title/Abstract] OR NIDDM[Title/Abstract])</w:t>
            </w:r>
          </w:p>
        </w:tc>
      </w:tr>
      <w:tr w14:paraId="0D5A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7AFF0F9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#2</w:t>
            </w:r>
          </w:p>
        </w:tc>
        <w:tc>
          <w:tcPr>
            <w:tcW w:w="14040" w:type="dxa"/>
            <w:tcMar>
              <w:top w:w="70" w:type="dxa"/>
              <w:left w:w="85" w:type="dxa"/>
              <w:bottom w:w="70" w:type="dxa"/>
              <w:right w:w="85" w:type="dxa"/>
            </w:tcMar>
            <w:vAlign w:val="top"/>
          </w:tcPr>
          <w:p w14:paraId="2219884F">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("Remission Induction"[MeSH Terms] OR remission[Title/Abstract] OR "diabetes remission"[Title/Abstract] OR "glycemic remission"[Title/Abstract] OR "glycaemic remission"[Title/Abstract] OR "complete remission"[Title/Abstract] OR "partial remission"[Title/Abstract] OR "sustained remission"[Title/Abstract] OR "remission trajectory"[Title/Abstract] OR "remission trajectories"[Title/Abstract] OR "diabetes reversal"[Title/Abstract] OR "diabetes regression"[Title/Abstract] OR "glycemic recovery"[Title/Abstract] OR "glycaemic recovery"[Title/Abstract] OR "diabetes resolution"[Title/Abstract])</w:t>
            </w:r>
          </w:p>
        </w:tc>
      </w:tr>
      <w:tr w14:paraId="6564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19B18C1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#3</w:t>
            </w:r>
          </w:p>
        </w:tc>
        <w:tc>
          <w:tcPr>
            <w:tcW w:w="14040" w:type="dxa"/>
            <w:tcMar>
              <w:top w:w="70" w:type="dxa"/>
              <w:left w:w="85" w:type="dxa"/>
              <w:bottom w:w="70" w:type="dxa"/>
              <w:right w:w="85" w:type="dxa"/>
            </w:tcMar>
            <w:vAlign w:val="top"/>
          </w:tcPr>
          <w:p w14:paraId="55B3B1F0">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("Diabetes Complications"[MeSH Terms] OR "Cardiovascular Diseases"[MeSH Terms] OR "Mortality"[MeSH Terms] OR "Kidney Diseases"[MeSH Terms] OR complication*[Title/Abstract] OR cardiovascular[Title/Abstract] OR CVD[Title/Abstract] OR macrovascular[Title/Abstract] OR microvascular[Title/Abstract] OR MACE[Title/Abstract] OR "coronary heart disease"[Title/Abstract] OR "coronary artery disease"[Title/Abstract] OR "myocardial infarction"[Title/Abstract] OR stroke[Title/Abstract] OR "heart failure"[Title/Abstract] OR mortality[Title/Abstract] OR death[Title/Abstract] OR kidney[Title/Abstract] OR renal[Title/Abstract] OR CKD[Title/Abstract] OR nephropathy[Title/Abstract] OR retinopathy[Title/Abstract] OR neuropathy[Title/Abstract])</w:t>
            </w:r>
          </w:p>
        </w:tc>
      </w:tr>
      <w:tr w14:paraId="1F96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2F45608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#4</w:t>
            </w:r>
          </w:p>
        </w:tc>
        <w:tc>
          <w:tcPr>
            <w:tcW w:w="14040" w:type="dxa"/>
            <w:tcMar>
              <w:top w:w="70" w:type="dxa"/>
              <w:left w:w="85" w:type="dxa"/>
              <w:bottom w:w="70" w:type="dxa"/>
              <w:right w:w="85" w:type="dxa"/>
            </w:tcMar>
            <w:vAlign w:val="top"/>
          </w:tcPr>
          <w:p w14:paraId="3411410D">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("Cohort Studies"[MeSH Terms] OR "Follow-Up Studies"[MeSH Terms] OR "Longitudinal Studies"[MeSH Terms] OR "Prospective Studies"[MeSH Terms] OR "Retrospective Studies"[MeSH Terms] OR "Randomized Controlled Trial"[Publication Type] OR cohort[Title/Abstract] OR prospective[Title/Abstract] OR retrospective[Title/Abstract] OR longitudinal[Title/Abstract] OR "follow up"[Title/Abstract] OR follow-up[Title/Abstract] OR registry[Title/Abstract] OR database[Title/Abstract] OR "real world"[Title/Abstract] OR real-world[Title/Abstract] OR "post hoc"[Title/Abstract] OR post-hoc[Title/Abstract] OR "secondary analysis"[Title/Abstract])</w:t>
            </w:r>
          </w:p>
        </w:tc>
      </w:tr>
      <w:tr w14:paraId="485D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7F7BC5D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#5</w:t>
            </w:r>
          </w:p>
        </w:tc>
        <w:tc>
          <w:tcPr>
            <w:tcW w:w="14040" w:type="dxa"/>
            <w:tcMar>
              <w:top w:w="70" w:type="dxa"/>
              <w:left w:w="85" w:type="dxa"/>
              <w:bottom w:w="70" w:type="dxa"/>
              <w:right w:w="85" w:type="dxa"/>
            </w:tcMar>
            <w:vAlign w:val="top"/>
          </w:tcPr>
          <w:p w14:paraId="62E78512">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(Review[Publication Type] OR Meta-Analysis[Publication Type] OR Systematic Review[Publication Type] OR Editorial[Publication Type] OR Letter[Publication Type] OR Comment[Publication Type])</w:t>
            </w:r>
          </w:p>
        </w:tc>
      </w:tr>
      <w:tr w14:paraId="0239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02ED696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#6</w:t>
            </w:r>
          </w:p>
        </w:tc>
        <w:tc>
          <w:tcPr>
            <w:tcW w:w="14040" w:type="dxa"/>
            <w:tcMar>
              <w:top w:w="70" w:type="dxa"/>
              <w:left w:w="85" w:type="dxa"/>
              <w:bottom w:w="70" w:type="dxa"/>
              <w:right w:w="85" w:type="dxa"/>
            </w:tcMar>
            <w:vAlign w:val="top"/>
          </w:tcPr>
          <w:p w14:paraId="09514B87">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#1 AND #2 AND #3 NOT #5  [Recommended sensitive search]</w:t>
            </w:r>
          </w:p>
        </w:tc>
      </w:tr>
      <w:tr w14:paraId="165B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tcMar>
              <w:top w:w="70" w:type="dxa"/>
              <w:left w:w="85" w:type="dxa"/>
              <w:bottom w:w="70" w:type="dxa"/>
              <w:right w:w="85" w:type="dxa"/>
            </w:tcMar>
            <w:vAlign w:val="top"/>
          </w:tcPr>
          <w:p w14:paraId="72E8721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21"/>
                <w:szCs w:val="21"/>
              </w:rPr>
            </w:pPr>
            <w:r>
              <w:rPr>
                <w:rFonts w:hint="default" w:ascii="Times New Roman" w:hAnsi="Times New Roman" w:eastAsia="Arial" w:cs="Times New Roman"/>
                <w:sz w:val="21"/>
                <w:szCs w:val="21"/>
              </w:rPr>
              <w:t>#7</w:t>
            </w:r>
          </w:p>
        </w:tc>
        <w:tc>
          <w:tcPr>
            <w:tcW w:w="14040" w:type="dxa"/>
            <w:tcMar>
              <w:top w:w="70" w:type="dxa"/>
              <w:left w:w="85" w:type="dxa"/>
              <w:bottom w:w="70" w:type="dxa"/>
              <w:right w:w="85" w:type="dxa"/>
            </w:tcMar>
            <w:vAlign w:val="top"/>
          </w:tcPr>
          <w:p w14:paraId="221BD06D">
            <w:pPr>
              <w:keepNext w:val="0"/>
              <w:keepLines w:val="0"/>
              <w:widowControl/>
              <w:suppressLineNumbers w:val="0"/>
              <w:spacing w:before="0" w:beforeAutospacing="0" w:after="0" w:afterAutospacing="0" w:line="240" w:lineRule="auto"/>
              <w:ind w:left="0" w:right="0"/>
              <w:jc w:val="left"/>
              <w:rPr>
                <w:rFonts w:hint="default" w:ascii="Times New Roman" w:hAnsi="Times New Roman" w:cs="Times New Roman"/>
                <w:sz w:val="21"/>
                <w:szCs w:val="21"/>
              </w:rPr>
            </w:pPr>
            <w:r>
              <w:rPr>
                <w:rFonts w:hint="default" w:ascii="Times New Roman" w:hAnsi="Times New Roman" w:eastAsia="Arial" w:cs="Times New Roman"/>
                <w:sz w:val="21"/>
                <w:szCs w:val="21"/>
              </w:rPr>
              <w:t>#1 AND #2 AND #3 AND #4 NOT #5  [Optional precision search]</w:t>
            </w:r>
          </w:p>
        </w:tc>
      </w:tr>
      <w:tr w14:paraId="007D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D9EAF7"/>
            <w:tcMar>
              <w:top w:w="70" w:type="dxa"/>
              <w:left w:w="85" w:type="dxa"/>
              <w:bottom w:w="70" w:type="dxa"/>
              <w:right w:w="85" w:type="dxa"/>
            </w:tcMar>
            <w:vAlign w:val="center"/>
          </w:tcPr>
          <w:p w14:paraId="2BC195B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b/>
                <w:sz w:val="21"/>
                <w:szCs w:val="21"/>
              </w:rPr>
              <w:t>No.</w:t>
            </w:r>
          </w:p>
        </w:tc>
        <w:tc>
          <w:tcPr>
            <w:tcW w:w="14040" w:type="dxa"/>
            <w:shd w:val="clear" w:color="auto" w:fill="D9EAF7"/>
            <w:tcMar>
              <w:top w:w="70" w:type="dxa"/>
              <w:left w:w="85" w:type="dxa"/>
              <w:bottom w:w="70" w:type="dxa"/>
              <w:right w:w="85" w:type="dxa"/>
            </w:tcMar>
            <w:vAlign w:val="center"/>
          </w:tcPr>
          <w:p w14:paraId="4FBD7C4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lang w:val="en-US" w:eastAsia="zh-CN" w:bidi="ar-SA"/>
              </w:rPr>
            </w:pPr>
            <w:r>
              <w:rPr>
                <w:rFonts w:hint="default" w:ascii="Times New Roman" w:hAnsi="Times New Roman" w:eastAsia="Arial" w:cs="Times New Roman"/>
                <w:b/>
                <w:sz w:val="21"/>
                <w:szCs w:val="21"/>
              </w:rPr>
              <w:t>Search strategy</w:t>
            </w:r>
            <w:r>
              <w:rPr>
                <w:rFonts w:hint="default" w:ascii="Times New Roman" w:hAnsi="Times New Roman" w:eastAsia="宋体" w:cs="Times New Roman"/>
                <w:b/>
                <w:sz w:val="21"/>
                <w:szCs w:val="21"/>
                <w:lang w:val="en-US" w:eastAsia="zh-CN"/>
              </w:rPr>
              <w:t xml:space="preserve"> for Web of Science</w:t>
            </w:r>
          </w:p>
        </w:tc>
      </w:tr>
      <w:tr w14:paraId="7E74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6747F59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w:t>
            </w:r>
          </w:p>
        </w:tc>
        <w:tc>
          <w:tcPr>
            <w:tcW w:w="14040" w:type="dxa"/>
            <w:shd w:val="clear" w:color="auto" w:fill="auto"/>
            <w:tcMar>
              <w:top w:w="70" w:type="dxa"/>
              <w:left w:w="85" w:type="dxa"/>
              <w:bottom w:w="70" w:type="dxa"/>
              <w:right w:w="85" w:type="dxa"/>
            </w:tcMar>
            <w:vAlign w:val="top"/>
          </w:tcPr>
          <w:p w14:paraId="080F97B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TS=("type 2 diabetes mellitus" OR "type 2 diabetes" OR "type II diabetes" OR T2DM OR T2D OR "non-insulin-dependent diabetes" OR NIDDM)</w:t>
            </w:r>
          </w:p>
        </w:tc>
      </w:tr>
      <w:tr w14:paraId="12D5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2271806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#2</w:t>
            </w:r>
          </w:p>
        </w:tc>
        <w:tc>
          <w:tcPr>
            <w:tcW w:w="14040" w:type="dxa"/>
            <w:shd w:val="clear" w:color="auto" w:fill="auto"/>
            <w:tcMar>
              <w:top w:w="70" w:type="dxa"/>
              <w:left w:w="85" w:type="dxa"/>
              <w:bottom w:w="70" w:type="dxa"/>
              <w:right w:w="85" w:type="dxa"/>
            </w:tcMar>
            <w:vAlign w:val="top"/>
          </w:tcPr>
          <w:p w14:paraId="00BD454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TS=(remission* OR "diabetes remission" OR "glycemic remission" OR "glycaemic remission" OR "complete remission" OR "partial remission" OR "sustained remission" OR "remission trajectory" OR "remission trajectories" OR "diabetes reversal" OR "diabetes regression" OR "glycemic recovery" OR "glycaemic recovery" OR "diabetes resolution")</w:t>
            </w:r>
          </w:p>
        </w:tc>
      </w:tr>
      <w:tr w14:paraId="0C30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0D03F24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#3</w:t>
            </w:r>
          </w:p>
        </w:tc>
        <w:tc>
          <w:tcPr>
            <w:tcW w:w="14040" w:type="dxa"/>
            <w:shd w:val="clear" w:color="auto" w:fill="auto"/>
            <w:tcMar>
              <w:top w:w="70" w:type="dxa"/>
              <w:left w:w="85" w:type="dxa"/>
              <w:bottom w:w="70" w:type="dxa"/>
              <w:right w:w="85" w:type="dxa"/>
            </w:tcMar>
            <w:vAlign w:val="top"/>
          </w:tcPr>
          <w:p w14:paraId="7040A0F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TS=(complication* OR cardiovascular OR CVD OR macrovascular OR microvascular OR MACE OR "coronary heart disease" OR "coronary artery disease" OR "myocardial infarction" OR stroke OR "heart failure" OR mortality OR death OR kidney OR renal OR CKD OR nephropathy OR retinopathy OR neuropathy)</w:t>
            </w:r>
          </w:p>
        </w:tc>
      </w:tr>
      <w:tr w14:paraId="4504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0C9219A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#4</w:t>
            </w:r>
          </w:p>
        </w:tc>
        <w:tc>
          <w:tcPr>
            <w:tcW w:w="14040" w:type="dxa"/>
            <w:shd w:val="clear" w:color="auto" w:fill="auto"/>
            <w:tcMar>
              <w:top w:w="70" w:type="dxa"/>
              <w:left w:w="85" w:type="dxa"/>
              <w:bottom w:w="70" w:type="dxa"/>
              <w:right w:w="85" w:type="dxa"/>
            </w:tcMar>
            <w:vAlign w:val="top"/>
          </w:tcPr>
          <w:p w14:paraId="73919A0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TS=(cohort OR prospective OR retrospective OR longitudinal OR "follow up" OR follow-up OR registry OR database OR "real world" OR real-world OR "post hoc" OR post-hoc OR "secondary analysis")</w:t>
            </w:r>
          </w:p>
        </w:tc>
      </w:tr>
      <w:tr w14:paraId="0139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5A26F6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#5</w:t>
            </w:r>
          </w:p>
        </w:tc>
        <w:tc>
          <w:tcPr>
            <w:tcW w:w="14040" w:type="dxa"/>
            <w:shd w:val="clear" w:color="auto" w:fill="auto"/>
            <w:tcMar>
              <w:top w:w="70" w:type="dxa"/>
              <w:left w:w="85" w:type="dxa"/>
              <w:bottom w:w="70" w:type="dxa"/>
              <w:right w:w="85" w:type="dxa"/>
            </w:tcMar>
            <w:vAlign w:val="top"/>
          </w:tcPr>
          <w:p w14:paraId="2ACF02F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DT=(Article)</w:t>
            </w:r>
          </w:p>
        </w:tc>
      </w:tr>
      <w:tr w14:paraId="7046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733BF1F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#6</w:t>
            </w:r>
          </w:p>
        </w:tc>
        <w:tc>
          <w:tcPr>
            <w:tcW w:w="14040" w:type="dxa"/>
            <w:shd w:val="clear" w:color="auto" w:fill="auto"/>
            <w:tcMar>
              <w:top w:w="70" w:type="dxa"/>
              <w:left w:w="85" w:type="dxa"/>
              <w:bottom w:w="70" w:type="dxa"/>
              <w:right w:w="85" w:type="dxa"/>
            </w:tcMar>
            <w:vAlign w:val="top"/>
          </w:tcPr>
          <w:p w14:paraId="76FCE34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AND #5  [Recommended sensitive search]</w:t>
            </w:r>
          </w:p>
        </w:tc>
      </w:tr>
      <w:tr w14:paraId="71F7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7F9F706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#7</w:t>
            </w:r>
          </w:p>
        </w:tc>
        <w:tc>
          <w:tcPr>
            <w:tcW w:w="14040" w:type="dxa"/>
            <w:shd w:val="clear" w:color="auto" w:fill="auto"/>
            <w:tcMar>
              <w:top w:w="70" w:type="dxa"/>
              <w:left w:w="85" w:type="dxa"/>
              <w:bottom w:w="70" w:type="dxa"/>
              <w:right w:w="85" w:type="dxa"/>
            </w:tcMar>
            <w:vAlign w:val="top"/>
          </w:tcPr>
          <w:p w14:paraId="5003D80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AND #4 AND #5  [Optional precision search]</w:t>
            </w:r>
          </w:p>
        </w:tc>
      </w:tr>
      <w:tr w14:paraId="6936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D9EAF7"/>
            <w:tcMar>
              <w:top w:w="70" w:type="dxa"/>
              <w:left w:w="85" w:type="dxa"/>
              <w:bottom w:w="70" w:type="dxa"/>
              <w:right w:w="85" w:type="dxa"/>
            </w:tcMar>
            <w:vAlign w:val="center"/>
          </w:tcPr>
          <w:p w14:paraId="57F39CB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b/>
                <w:sz w:val="21"/>
                <w:szCs w:val="21"/>
              </w:rPr>
              <w:t>No.</w:t>
            </w:r>
          </w:p>
        </w:tc>
        <w:tc>
          <w:tcPr>
            <w:tcW w:w="14040" w:type="dxa"/>
            <w:shd w:val="clear" w:color="auto" w:fill="D9EAF7"/>
            <w:tcMar>
              <w:top w:w="70" w:type="dxa"/>
              <w:left w:w="85" w:type="dxa"/>
              <w:bottom w:w="70" w:type="dxa"/>
              <w:right w:w="85" w:type="dxa"/>
            </w:tcMar>
            <w:vAlign w:val="center"/>
          </w:tcPr>
          <w:p w14:paraId="05B0C3C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lang w:val="en-US" w:eastAsia="zh-CN" w:bidi="ar-SA"/>
              </w:rPr>
            </w:pPr>
            <w:r>
              <w:rPr>
                <w:rFonts w:hint="default" w:ascii="Times New Roman" w:hAnsi="Times New Roman" w:eastAsia="Arial" w:cs="Times New Roman"/>
                <w:b/>
                <w:sz w:val="21"/>
                <w:szCs w:val="21"/>
              </w:rPr>
              <w:t>Search strategy</w:t>
            </w:r>
            <w:r>
              <w:rPr>
                <w:rFonts w:hint="default" w:ascii="Times New Roman" w:hAnsi="Times New Roman" w:eastAsia="宋体" w:cs="Times New Roman"/>
                <w:b/>
                <w:sz w:val="21"/>
                <w:szCs w:val="21"/>
                <w:lang w:val="en-US" w:eastAsia="zh-CN"/>
              </w:rPr>
              <w:t xml:space="preserve"> for Scopus</w:t>
            </w:r>
          </w:p>
        </w:tc>
      </w:tr>
      <w:tr w14:paraId="36BD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5326BED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w:t>
            </w:r>
          </w:p>
        </w:tc>
        <w:tc>
          <w:tcPr>
            <w:tcW w:w="14040" w:type="dxa"/>
            <w:shd w:val="clear" w:color="auto" w:fill="auto"/>
            <w:tcMar>
              <w:top w:w="70" w:type="dxa"/>
              <w:left w:w="85" w:type="dxa"/>
              <w:bottom w:w="70" w:type="dxa"/>
              <w:right w:w="85" w:type="dxa"/>
            </w:tcMar>
            <w:vAlign w:val="top"/>
          </w:tcPr>
          <w:p w14:paraId="197EA4E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TITLE-ABS-KEY("type 2 diabetes mellitus" OR "type 2 diabetes" OR "type II diabetes" OR T2DM OR T2D OR "non-insulin-dependent diabetes" OR NIDDM)</w:t>
            </w:r>
          </w:p>
        </w:tc>
      </w:tr>
      <w:tr w14:paraId="2A73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55C4383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#2</w:t>
            </w:r>
          </w:p>
        </w:tc>
        <w:tc>
          <w:tcPr>
            <w:tcW w:w="14040" w:type="dxa"/>
            <w:shd w:val="clear" w:color="auto" w:fill="auto"/>
            <w:tcMar>
              <w:top w:w="70" w:type="dxa"/>
              <w:left w:w="85" w:type="dxa"/>
              <w:bottom w:w="70" w:type="dxa"/>
              <w:right w:w="85" w:type="dxa"/>
            </w:tcMar>
            <w:vAlign w:val="top"/>
          </w:tcPr>
          <w:p w14:paraId="0BCF042F">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TITLE-ABS-KEY(remission* OR "diabetes remission" OR "glycemic remission" OR "glycaemic remission" OR "complete remission" OR "partial remission" OR "sustained remission" OR "remission trajectory" OR "remission trajectories" OR "diabetes reversal" OR "diabetes regression" OR "glycemic recovery" OR "glycaemic recovery" OR "diabetes resolution")</w:t>
            </w:r>
          </w:p>
        </w:tc>
      </w:tr>
      <w:tr w14:paraId="12D9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6412052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#3</w:t>
            </w:r>
          </w:p>
        </w:tc>
        <w:tc>
          <w:tcPr>
            <w:tcW w:w="14040" w:type="dxa"/>
            <w:shd w:val="clear" w:color="auto" w:fill="auto"/>
            <w:tcMar>
              <w:top w:w="70" w:type="dxa"/>
              <w:left w:w="85" w:type="dxa"/>
              <w:bottom w:w="70" w:type="dxa"/>
              <w:right w:w="85" w:type="dxa"/>
            </w:tcMar>
            <w:vAlign w:val="top"/>
          </w:tcPr>
          <w:p w14:paraId="29005A2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TITLE-ABS-KEY(complication* OR cardiovascular OR CVD OR macrovascular OR microvascular OR MACE OR "coronary heart disease" OR "coronary artery disease" OR "myocardial infarction" OR stroke OR "heart failure" OR mortality OR death OR kidney OR renal OR CKD OR nephropathy OR retinopathy OR neuropathy)</w:t>
            </w:r>
          </w:p>
        </w:tc>
      </w:tr>
      <w:tr w14:paraId="61E2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1E80105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#4</w:t>
            </w:r>
          </w:p>
        </w:tc>
        <w:tc>
          <w:tcPr>
            <w:tcW w:w="14040" w:type="dxa"/>
            <w:shd w:val="clear" w:color="auto" w:fill="auto"/>
            <w:tcMar>
              <w:top w:w="70" w:type="dxa"/>
              <w:left w:w="85" w:type="dxa"/>
              <w:bottom w:w="70" w:type="dxa"/>
              <w:right w:w="85" w:type="dxa"/>
            </w:tcMar>
            <w:vAlign w:val="top"/>
          </w:tcPr>
          <w:p w14:paraId="00232B4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TITLE-ABS-KEY(cohort OR prospective OR retrospective OR longitudinal OR "follow up" OR follow-up OR registry OR database OR "real world" OR real-world OR "post hoc" OR post-hoc OR "secondary analysis")</w:t>
            </w:r>
          </w:p>
        </w:tc>
      </w:tr>
      <w:tr w14:paraId="685F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6481F49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#5</w:t>
            </w:r>
          </w:p>
        </w:tc>
        <w:tc>
          <w:tcPr>
            <w:tcW w:w="14040" w:type="dxa"/>
            <w:shd w:val="clear" w:color="auto" w:fill="auto"/>
            <w:tcMar>
              <w:top w:w="70" w:type="dxa"/>
              <w:left w:w="85" w:type="dxa"/>
              <w:bottom w:w="70" w:type="dxa"/>
              <w:right w:w="85" w:type="dxa"/>
            </w:tcMar>
            <w:vAlign w:val="top"/>
          </w:tcPr>
          <w:p w14:paraId="4027689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DOCTYPE(ar)</w:t>
            </w:r>
          </w:p>
        </w:tc>
      </w:tr>
      <w:tr w14:paraId="21FB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33FE584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#6</w:t>
            </w:r>
          </w:p>
        </w:tc>
        <w:tc>
          <w:tcPr>
            <w:tcW w:w="14040" w:type="dxa"/>
            <w:shd w:val="clear" w:color="auto" w:fill="auto"/>
            <w:tcMar>
              <w:top w:w="70" w:type="dxa"/>
              <w:left w:w="85" w:type="dxa"/>
              <w:bottom w:w="70" w:type="dxa"/>
              <w:right w:w="85" w:type="dxa"/>
            </w:tcMar>
            <w:vAlign w:val="top"/>
          </w:tcPr>
          <w:p w14:paraId="5698A7B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AND #5  [Recommended sensitive search]</w:t>
            </w:r>
          </w:p>
        </w:tc>
      </w:tr>
      <w:tr w14:paraId="3DF1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57B7544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#7</w:t>
            </w:r>
          </w:p>
        </w:tc>
        <w:tc>
          <w:tcPr>
            <w:tcW w:w="14040" w:type="dxa"/>
            <w:shd w:val="clear" w:color="auto" w:fill="auto"/>
            <w:tcMar>
              <w:top w:w="70" w:type="dxa"/>
              <w:left w:w="85" w:type="dxa"/>
              <w:bottom w:w="70" w:type="dxa"/>
              <w:right w:w="85" w:type="dxa"/>
            </w:tcMar>
            <w:vAlign w:val="top"/>
          </w:tcPr>
          <w:p w14:paraId="4763F24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AND #4 AND #5  [Optional precision search]</w:t>
            </w:r>
          </w:p>
        </w:tc>
      </w:tr>
      <w:tr w14:paraId="7626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D9EAF7"/>
            <w:tcMar>
              <w:top w:w="70" w:type="dxa"/>
              <w:left w:w="85" w:type="dxa"/>
              <w:bottom w:w="70" w:type="dxa"/>
              <w:right w:w="85" w:type="dxa"/>
            </w:tcMar>
            <w:vAlign w:val="center"/>
          </w:tcPr>
          <w:p w14:paraId="78FE64E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b/>
                <w:sz w:val="21"/>
                <w:szCs w:val="21"/>
              </w:rPr>
              <w:t>No.</w:t>
            </w:r>
          </w:p>
        </w:tc>
        <w:tc>
          <w:tcPr>
            <w:tcW w:w="14040" w:type="dxa"/>
            <w:shd w:val="clear" w:color="auto" w:fill="D9EAF7"/>
            <w:tcMar>
              <w:top w:w="70" w:type="dxa"/>
              <w:left w:w="85" w:type="dxa"/>
              <w:bottom w:w="70" w:type="dxa"/>
              <w:right w:w="85" w:type="dxa"/>
            </w:tcMar>
            <w:vAlign w:val="center"/>
          </w:tcPr>
          <w:p w14:paraId="412FBDB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lang w:val="en-US" w:eastAsia="zh-CN" w:bidi="ar-SA"/>
              </w:rPr>
            </w:pPr>
            <w:r>
              <w:rPr>
                <w:rFonts w:hint="default" w:ascii="Times New Roman" w:hAnsi="Times New Roman" w:eastAsia="Arial" w:cs="Times New Roman"/>
                <w:b/>
                <w:sz w:val="21"/>
                <w:szCs w:val="21"/>
              </w:rPr>
              <w:t>Search strategy</w:t>
            </w:r>
            <w:r>
              <w:rPr>
                <w:rFonts w:hint="default" w:ascii="Times New Roman" w:hAnsi="Times New Roman" w:eastAsia="宋体" w:cs="Times New Roman"/>
                <w:b/>
                <w:sz w:val="21"/>
                <w:szCs w:val="21"/>
                <w:lang w:val="en-US" w:eastAsia="zh-CN"/>
              </w:rPr>
              <w:t xml:space="preserve"> for Embase</w:t>
            </w:r>
          </w:p>
        </w:tc>
      </w:tr>
      <w:tr w14:paraId="7BD7A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6F58AE6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w:t>
            </w:r>
          </w:p>
        </w:tc>
        <w:tc>
          <w:tcPr>
            <w:tcW w:w="14040" w:type="dxa"/>
            <w:shd w:val="clear" w:color="auto" w:fill="auto"/>
            <w:tcMar>
              <w:top w:w="70" w:type="dxa"/>
              <w:left w:w="85" w:type="dxa"/>
              <w:bottom w:w="70" w:type="dxa"/>
              <w:right w:w="85" w:type="dxa"/>
            </w:tcMar>
            <w:vAlign w:val="top"/>
          </w:tcPr>
          <w:p w14:paraId="2C81465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'type 2 diabetes mellitus'/exp OR 'type 2 diabetes mellitus':ti,ab OR 'type 2 diabetes':ti,ab OR 'type ii diabetes':ti,ab OR t2dm:ti,ab OR t2d:ti,ab OR 'non-insulin-dependent diabetes':ti,ab OR niddm:ti,ab</w:t>
            </w:r>
          </w:p>
        </w:tc>
      </w:tr>
      <w:tr w14:paraId="6A0F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089DC0F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#2</w:t>
            </w:r>
          </w:p>
        </w:tc>
        <w:tc>
          <w:tcPr>
            <w:tcW w:w="14040" w:type="dxa"/>
            <w:shd w:val="clear" w:color="auto" w:fill="auto"/>
            <w:tcMar>
              <w:top w:w="70" w:type="dxa"/>
              <w:left w:w="85" w:type="dxa"/>
              <w:bottom w:w="70" w:type="dxa"/>
              <w:right w:w="85" w:type="dxa"/>
            </w:tcMar>
            <w:vAlign w:val="top"/>
          </w:tcPr>
          <w:p w14:paraId="67E854D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'disease remission'/exp OR remission*:ti,ab OR 'diabetes remission':ti,ab OR 'glycemic remission':ti,ab OR 'glycaemic remission':ti,ab OR 'complete remission':ti,ab OR 'partial remission':ti,ab OR 'sustained remission':ti,ab OR 'remission trajectory':ti,ab OR 'remission trajectories':ti,ab OR 'diabetes reversal':ti,ab OR 'diabetes regression':ti,ab OR 'glycemic recovery':ti,ab OR 'glycaemic recovery':ti,ab OR 'diabetes resolution':ti,ab</w:t>
            </w:r>
          </w:p>
        </w:tc>
      </w:tr>
      <w:tr w14:paraId="24A3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2" w:type="dxa"/>
            <w:shd w:val="clear" w:color="auto" w:fill="auto"/>
            <w:tcMar>
              <w:top w:w="70" w:type="dxa"/>
              <w:left w:w="85" w:type="dxa"/>
              <w:bottom w:w="70" w:type="dxa"/>
              <w:right w:w="85" w:type="dxa"/>
            </w:tcMar>
            <w:vAlign w:val="top"/>
          </w:tcPr>
          <w:p w14:paraId="147E7EF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#3</w:t>
            </w:r>
          </w:p>
        </w:tc>
        <w:tc>
          <w:tcPr>
            <w:tcW w:w="14040" w:type="dxa"/>
            <w:shd w:val="clear" w:color="auto" w:fill="auto"/>
            <w:tcMar>
              <w:top w:w="70" w:type="dxa"/>
              <w:left w:w="85" w:type="dxa"/>
              <w:bottom w:w="70" w:type="dxa"/>
              <w:right w:w="85" w:type="dxa"/>
            </w:tcMar>
            <w:vAlign w:val="top"/>
          </w:tcPr>
          <w:p w14:paraId="13BAC25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'diabetes complication'/exp OR 'cardiovascular disease'/exp OR 'mortality'/exp OR 'kidney disease'/exp OR complication*:ti,ab OR cardiovascular:ti,ab OR cvd:ti,ab OR macrovascular:ti,ab OR microvascular:ti,ab OR mace:ti,ab OR 'coronary heart disease':ti,ab OR 'coronary artery disease':ti,ab OR 'myocardial infarction':ti,ab OR stroke:ti,ab OR 'heart failure':ti,ab OR mortality:ti,ab OR death:ti,ab OR kidney:ti,ab OR renal:ti,ab OR ckd:ti,ab OR nephropathy:ti,ab OR retinopathy:ti,ab OR neuropathy:ti,ab</w:t>
            </w:r>
          </w:p>
        </w:tc>
      </w:tr>
      <w:tr w14:paraId="157C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45EF4BC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#4</w:t>
            </w:r>
          </w:p>
        </w:tc>
        <w:tc>
          <w:tcPr>
            <w:tcW w:w="14040" w:type="dxa"/>
            <w:shd w:val="clear" w:color="auto" w:fill="auto"/>
            <w:tcMar>
              <w:top w:w="70" w:type="dxa"/>
              <w:left w:w="85" w:type="dxa"/>
              <w:bottom w:w="70" w:type="dxa"/>
              <w:right w:w="85" w:type="dxa"/>
            </w:tcMar>
            <w:vAlign w:val="top"/>
          </w:tcPr>
          <w:p w14:paraId="4BE5967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'cohort analysis'/exp OR 'prospective study'/exp OR 'retrospective study'/exp OR 'longitudinal study'/exp OR 'follow up'/exp OR 'randomized controlled trial'/exp OR cohort:ti,ab OR prospective:ti,ab OR retrospective:ti,ab OR longitudinal:ti,ab OR 'follow up':ti,ab OR follow-up:ti,ab OR registry:ti,ab OR database:ti,ab OR 'real world':ti,ab OR real-world:ti,ab OR 'post hoc':ti,ab OR post-hoc:ti,ab OR 'secondary analysis':ti,ab</w:t>
            </w:r>
          </w:p>
        </w:tc>
      </w:tr>
      <w:tr w14:paraId="0A20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1CFDCF7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#5</w:t>
            </w:r>
          </w:p>
        </w:tc>
        <w:tc>
          <w:tcPr>
            <w:tcW w:w="14040" w:type="dxa"/>
            <w:shd w:val="clear" w:color="auto" w:fill="auto"/>
            <w:tcMar>
              <w:top w:w="70" w:type="dxa"/>
              <w:left w:w="85" w:type="dxa"/>
              <w:bottom w:w="70" w:type="dxa"/>
              <w:right w:w="85" w:type="dxa"/>
            </w:tcMar>
            <w:vAlign w:val="top"/>
          </w:tcPr>
          <w:p w14:paraId="30540FF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'review'/it OR 'systematic review'/de OR 'meta analysis'/de OR 'network meta analysis'/de OR 'letter'/it OR 'editorial'/it OR 'comment'/it OR 'conference abstract'/it OR 'conference review'/it</w:t>
            </w:r>
          </w:p>
        </w:tc>
      </w:tr>
      <w:tr w14:paraId="1D8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499DDAF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#6</w:t>
            </w:r>
          </w:p>
        </w:tc>
        <w:tc>
          <w:tcPr>
            <w:tcW w:w="14040" w:type="dxa"/>
            <w:shd w:val="clear" w:color="auto" w:fill="auto"/>
            <w:tcMar>
              <w:top w:w="70" w:type="dxa"/>
              <w:left w:w="85" w:type="dxa"/>
              <w:bottom w:w="70" w:type="dxa"/>
              <w:right w:w="85" w:type="dxa"/>
            </w:tcMar>
            <w:vAlign w:val="top"/>
          </w:tcPr>
          <w:p w14:paraId="60ADB5A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NOT #5  [Recommended sensitive search]</w:t>
            </w:r>
          </w:p>
        </w:tc>
      </w:tr>
      <w:tr w14:paraId="22C7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shd w:val="clear" w:color="auto" w:fill="auto"/>
            <w:tcMar>
              <w:top w:w="70" w:type="dxa"/>
              <w:left w:w="85" w:type="dxa"/>
              <w:bottom w:w="70" w:type="dxa"/>
              <w:right w:w="85" w:type="dxa"/>
            </w:tcMar>
            <w:vAlign w:val="top"/>
          </w:tcPr>
          <w:p w14:paraId="59DD778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#7</w:t>
            </w:r>
          </w:p>
        </w:tc>
        <w:tc>
          <w:tcPr>
            <w:tcW w:w="14040" w:type="dxa"/>
            <w:shd w:val="clear" w:color="auto" w:fill="auto"/>
            <w:tcMar>
              <w:top w:w="70" w:type="dxa"/>
              <w:left w:w="85" w:type="dxa"/>
              <w:bottom w:w="70" w:type="dxa"/>
              <w:right w:w="85" w:type="dxa"/>
            </w:tcMar>
            <w:vAlign w:val="top"/>
          </w:tcPr>
          <w:p w14:paraId="76AC7B4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Arial" w:cs="Times New Roman"/>
                <w:sz w:val="21"/>
                <w:szCs w:val="21"/>
                <w:lang w:val="en-US" w:eastAsia="en-US" w:bidi="ar-SA"/>
              </w:rPr>
            </w:pPr>
            <w:r>
              <w:rPr>
                <w:rFonts w:hint="default" w:ascii="Times New Roman" w:hAnsi="Times New Roman" w:eastAsia="Arial" w:cs="Times New Roman"/>
                <w:sz w:val="21"/>
                <w:szCs w:val="21"/>
              </w:rPr>
              <w:t>#1 AND #2 AND #3 AND #4 NOT #5  [Optional precision search]</w:t>
            </w:r>
          </w:p>
        </w:tc>
      </w:tr>
    </w:tbl>
    <w:p w14:paraId="51929575">
      <w:pPr>
        <w:jc w:val="both"/>
        <w:rPr>
          <w:lang w:val="da-DK"/>
        </w:rPr>
      </w:pPr>
    </w:p>
    <w:p w14:paraId="625C95FA">
      <w:pPr>
        <w:jc w:val="both"/>
        <w:rPr>
          <w:b/>
          <w:bCs/>
          <w:sz w:val="24"/>
          <w:szCs w:val="24"/>
        </w:rPr>
      </w:pPr>
      <w:r>
        <w:rPr>
          <w:rFonts w:hint="eastAsia"/>
          <w:b/>
          <w:bCs/>
          <w:sz w:val="24"/>
          <w:szCs w:val="24"/>
          <w:lang w:val="en-US" w:eastAsia="zh-CN"/>
        </w:rPr>
        <w:t xml:space="preserve">Supplementary </w:t>
      </w:r>
      <w:r>
        <w:rPr>
          <w:b/>
          <w:bCs/>
          <w:sz w:val="24"/>
          <w:szCs w:val="24"/>
        </w:rPr>
        <w:t xml:space="preserve">Table </w:t>
      </w:r>
      <w:r>
        <w:rPr>
          <w:b/>
          <w:bCs/>
          <w:sz w:val="24"/>
          <w:szCs w:val="24"/>
          <w:lang w:val="en-US"/>
        </w:rPr>
        <w:t>S</w:t>
      </w:r>
      <w:r>
        <w:rPr>
          <w:rFonts w:hint="eastAsia"/>
          <w:b/>
          <w:bCs/>
          <w:sz w:val="24"/>
          <w:szCs w:val="24"/>
          <w:lang w:val="en-US" w:eastAsia="zh-CN"/>
        </w:rPr>
        <w:t>3.</w:t>
      </w:r>
      <w:r>
        <w:rPr>
          <w:b/>
          <w:bCs/>
          <w:sz w:val="24"/>
          <w:szCs w:val="24"/>
        </w:rPr>
        <w:t xml:space="preserve"> Studies excluded (n=</w:t>
      </w:r>
      <w:r>
        <w:rPr>
          <w:rFonts w:hint="eastAsia"/>
          <w:b/>
          <w:bCs/>
          <w:sz w:val="24"/>
          <w:szCs w:val="24"/>
          <w:lang w:val="en-US" w:eastAsia="zh-CN"/>
        </w:rPr>
        <w:t>26</w:t>
      </w:r>
      <w:r>
        <w:rPr>
          <w:b/>
          <w:bCs/>
          <w:sz w:val="24"/>
          <w:szCs w:val="24"/>
        </w:rPr>
        <w:t>) with reasons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5" w:type="dxa"/>
          <w:left w:w="65" w:type="dxa"/>
          <w:bottom w:w="55" w:type="dxa"/>
          <w:right w:w="65" w:type="dxa"/>
        </w:tblCellMar>
      </w:tblPr>
      <w:tblGrid>
        <w:gridCol w:w="917"/>
        <w:gridCol w:w="11618"/>
        <w:gridCol w:w="3100"/>
      </w:tblGrid>
      <w:tr w14:paraId="1530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tblHeader/>
        </w:trPr>
        <w:tc>
          <w:tcPr>
            <w:tcW w:w="917" w:type="dxa"/>
            <w:vAlign w:val="center"/>
          </w:tcPr>
          <w:p w14:paraId="010BD64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rPr>
            </w:pPr>
            <w:r>
              <w:rPr>
                <w:rFonts w:hint="default" w:ascii="Times New Roman" w:hAnsi="Times New Roman" w:cs="Times New Roman"/>
                <w:b/>
                <w:sz w:val="17"/>
              </w:rPr>
              <w:t>No.</w:t>
            </w:r>
          </w:p>
        </w:tc>
        <w:tc>
          <w:tcPr>
            <w:tcW w:w="11618" w:type="dxa"/>
            <w:vAlign w:val="center"/>
          </w:tcPr>
          <w:p w14:paraId="4EAA8EB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rPr>
            </w:pPr>
            <w:r>
              <w:rPr>
                <w:rFonts w:hint="default" w:ascii="Times New Roman" w:hAnsi="Times New Roman" w:cs="Times New Roman"/>
                <w:b/>
                <w:sz w:val="17"/>
              </w:rPr>
              <w:t>Full reference</w:t>
            </w:r>
          </w:p>
        </w:tc>
        <w:tc>
          <w:tcPr>
            <w:tcW w:w="3100" w:type="dxa"/>
            <w:vAlign w:val="center"/>
          </w:tcPr>
          <w:p w14:paraId="5F49F0E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rPr>
            </w:pPr>
            <w:r>
              <w:rPr>
                <w:rFonts w:hint="default" w:ascii="Times New Roman" w:hAnsi="Times New Roman" w:cs="Times New Roman"/>
                <w:b/>
                <w:sz w:val="17"/>
              </w:rPr>
              <w:t>Primary reason for exclusion</w:t>
            </w:r>
          </w:p>
        </w:tc>
      </w:tr>
      <w:tr w14:paraId="27C9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4F200E7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w:t>
            </w:r>
          </w:p>
        </w:tc>
        <w:tc>
          <w:tcPr>
            <w:tcW w:w="11618" w:type="dxa"/>
            <w:vAlign w:val="center"/>
          </w:tcPr>
          <w:p w14:paraId="4395F5DD">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Davies A, Grieve E, McCombie L, McIntosh A, McConnachie A, Leslie WS, et al. Cost-effectiveness of the diabetes remission clinical trial (DiRECT)/Counterweight-Plus weight management programme, based on 5-year follow-up. Diabet Med. 2026;43(6):e70306. doi:10.1111/dme.70306.</w:t>
            </w:r>
          </w:p>
        </w:tc>
        <w:tc>
          <w:tcPr>
            <w:tcW w:w="3100" w:type="dxa"/>
            <w:vAlign w:val="center"/>
          </w:tcPr>
          <w:p w14:paraId="2B57B0B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Ineligible study design or population</w:t>
            </w:r>
          </w:p>
        </w:tc>
      </w:tr>
      <w:tr w14:paraId="0C41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40837DB9">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w:t>
            </w:r>
          </w:p>
        </w:tc>
        <w:tc>
          <w:tcPr>
            <w:tcW w:w="11618" w:type="dxa"/>
            <w:vAlign w:val="center"/>
          </w:tcPr>
          <w:p w14:paraId="1993523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Ghusn W, Salame M, Sayegh L, Hage K, Storm AC, Abu Dayyeh BK, et al. The association between microvascular and macrovascular diseases and diabetes remission after bariatric surgery. Surg Endosc. 2024;38(4):1835-1843. doi:10.1007/s00464-024-10687-0.</w:t>
            </w:r>
          </w:p>
        </w:tc>
        <w:tc>
          <w:tcPr>
            <w:tcW w:w="3100" w:type="dxa"/>
            <w:vAlign w:val="center"/>
          </w:tcPr>
          <w:p w14:paraId="7283F183">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07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0F9672BF">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3</w:t>
            </w:r>
          </w:p>
        </w:tc>
        <w:tc>
          <w:tcPr>
            <w:tcW w:w="11618" w:type="dxa"/>
            <w:vAlign w:val="center"/>
          </w:tcPr>
          <w:p w14:paraId="386A1281">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Giudicelli G, Krause N, Turin-Huet V, Robert M, Segrestin B, Toso C, et al. Type 2 diabetes remission and metabolic outcomes 5 years after Roux-en-Y gastric bypass in young vs older adults: a multicentre matched cohort study. Diabetologia. 2026;69(6):1508-1518. doi:10.1007/s00125-025-06665-3.</w:t>
            </w:r>
          </w:p>
        </w:tc>
        <w:tc>
          <w:tcPr>
            <w:tcW w:w="3100" w:type="dxa"/>
            <w:vAlign w:val="center"/>
          </w:tcPr>
          <w:p w14:paraId="4F2C7F6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5C90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51C8548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4</w:t>
            </w:r>
          </w:p>
        </w:tc>
        <w:tc>
          <w:tcPr>
            <w:tcW w:w="11618" w:type="dxa"/>
            <w:vAlign w:val="center"/>
          </w:tcPr>
          <w:p w14:paraId="00C54C4F">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Madsen LR, Bek T, Richelsen B. Diabetic retinopathy in people with type 2 diabetes and obesity treated by Roux-en-Y gastric bypass compared with non-operated controls: with focus on the role of diabetes remission in a cross-sectional and a 6-year follow-up study. Diabet Med. 2019;36(4):457-464. doi:10.1111/dme.13876.</w:t>
            </w:r>
          </w:p>
        </w:tc>
        <w:tc>
          <w:tcPr>
            <w:tcW w:w="3100" w:type="dxa"/>
            <w:vAlign w:val="center"/>
          </w:tcPr>
          <w:p w14:paraId="258F6B3D">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3AE1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7348FCD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5</w:t>
            </w:r>
          </w:p>
        </w:tc>
        <w:tc>
          <w:tcPr>
            <w:tcW w:w="11618" w:type="dxa"/>
            <w:vAlign w:val="center"/>
          </w:tcPr>
          <w:p w14:paraId="521CD442">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Sjöström L, Peltonen M, Jacobson P, Ahlin S, Andersson-Assarsson J, Anveden Å, et al. Association of bariatric surgery with long-term remission of type 2 diabetes and with microvascular and macrovascular complications. JAMA. 2014;311(22):2297-2304. doi:10.1001/jama.2014.5988.</w:t>
            </w:r>
          </w:p>
        </w:tc>
        <w:tc>
          <w:tcPr>
            <w:tcW w:w="3100" w:type="dxa"/>
            <w:vAlign w:val="center"/>
          </w:tcPr>
          <w:p w14:paraId="55E08B52">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0899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7620BA2">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6</w:t>
            </w:r>
          </w:p>
        </w:tc>
        <w:tc>
          <w:tcPr>
            <w:tcW w:w="11618" w:type="dxa"/>
            <w:vAlign w:val="center"/>
          </w:tcPr>
          <w:p w14:paraId="70AD531F">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Abbatini F, Capoccia D, Casella G, Soricelli E, Leonetti F, Basso N. Long-term remission of type 2 diabetes in morbidly obese patients after sleeve gastrectomy. Surg Obes Relat Dis. 2013;9(4):498-502. doi:10.1016/j.soard.2012.09.003.</w:t>
            </w:r>
          </w:p>
        </w:tc>
        <w:tc>
          <w:tcPr>
            <w:tcW w:w="3100" w:type="dxa"/>
            <w:vAlign w:val="center"/>
          </w:tcPr>
          <w:p w14:paraId="7AD98532">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2789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5CE0F9B">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7</w:t>
            </w:r>
          </w:p>
        </w:tc>
        <w:tc>
          <w:tcPr>
            <w:tcW w:w="11618" w:type="dxa"/>
            <w:vAlign w:val="center"/>
          </w:tcPr>
          <w:p w14:paraId="69DD08FB">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Adami GF, Camerini G, Papadia F, Catalano MF, Carlini F, Cordera R, et al. Type 2 diabetes remission and control in overweight and mildly obese diabetic patients at long-term follow-up after biliopancreatic diversion. Obes Surg. 2019;29(1):239-245. doi:10.1007/s11695-018-3511-6.</w:t>
            </w:r>
          </w:p>
        </w:tc>
        <w:tc>
          <w:tcPr>
            <w:tcW w:w="3100" w:type="dxa"/>
            <w:vAlign w:val="center"/>
          </w:tcPr>
          <w:p w14:paraId="717D37C5">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3C95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66F887F6">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8</w:t>
            </w:r>
          </w:p>
        </w:tc>
        <w:tc>
          <w:tcPr>
            <w:tcW w:w="11618" w:type="dxa"/>
            <w:vAlign w:val="center"/>
          </w:tcPr>
          <w:p w14:paraId="25F6A2C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Agegn A, Abebe M, Hassen HM. Time to first remission and associated factors in type 2 diabetes mellitus: a retrospective cohort study in Ethiopia. BMC Endocr Disord. 2026. doi:10.1186/s12902-026-02346-3.</w:t>
            </w:r>
          </w:p>
        </w:tc>
        <w:tc>
          <w:tcPr>
            <w:tcW w:w="3100" w:type="dxa"/>
            <w:vAlign w:val="center"/>
          </w:tcPr>
          <w:p w14:paraId="0A6B2139">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6290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E85ACEB">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9</w:t>
            </w:r>
          </w:p>
        </w:tc>
        <w:tc>
          <w:tcPr>
            <w:tcW w:w="11618" w:type="dxa"/>
            <w:vAlign w:val="center"/>
          </w:tcPr>
          <w:p w14:paraId="11928C9A">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Agha A, Afandi B, Alhammadi WI, Almaskari HTJM, Alshamsi A, Saleem M, et al. Impact of bariatric surgery on type 2 diabetes mellitus: a comprehensive 5-year analysis of weight loss, glycemic control, and cardiometabolic outcomes. Obes Med. 2025;58:100656. doi:10.1016/j.obmed.2025.100656.</w:t>
            </w:r>
          </w:p>
        </w:tc>
        <w:tc>
          <w:tcPr>
            <w:tcW w:w="3100" w:type="dxa"/>
            <w:vAlign w:val="center"/>
          </w:tcPr>
          <w:p w14:paraId="3C875B9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40CF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623F612A">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10</w:t>
            </w:r>
          </w:p>
        </w:tc>
        <w:tc>
          <w:tcPr>
            <w:tcW w:w="11618" w:type="dxa"/>
            <w:vAlign w:val="center"/>
          </w:tcPr>
          <w:p w14:paraId="7E79D3B1">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AhmadQaderi F, Pazouki A, Pishgahroudsari M, Moradi R, Allam Aldin H, Ali A, et al. Anemia following one anastomosis gastric bypass: a comparative study of diabetic and non-diabetic patients. Obes Surg. 2026;36(6):2811-2818. doi:10.1007/s11695-026-08632-2.</w:t>
            </w:r>
          </w:p>
        </w:tc>
        <w:tc>
          <w:tcPr>
            <w:tcW w:w="3100" w:type="dxa"/>
            <w:vAlign w:val="center"/>
          </w:tcPr>
          <w:p w14:paraId="280A0C75">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1D04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737EB41F">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11</w:t>
            </w:r>
          </w:p>
        </w:tc>
        <w:tc>
          <w:tcPr>
            <w:tcW w:w="11618" w:type="dxa"/>
            <w:vAlign w:val="center"/>
          </w:tcPr>
          <w:p w14:paraId="1C73C17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Akpinar EO, Liem RSL, Nienhuijs SW, Greve JWM, Marang-van de Mheen PJ; Dutch Audit for Treatment of Obesity Research Group. Metabolic effects of bariatric surgery on patients with type 2 diabetes: a population-based study. Surg Obes Relat Dis. 2021;17(7):1349-1358. doi:10.1016/j.soard.2021.02.014.</w:t>
            </w:r>
          </w:p>
        </w:tc>
        <w:tc>
          <w:tcPr>
            <w:tcW w:w="3100" w:type="dxa"/>
            <w:vAlign w:val="center"/>
          </w:tcPr>
          <w:p w14:paraId="73F9A725">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50FB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56B0BB51">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12</w:t>
            </w:r>
          </w:p>
        </w:tc>
        <w:tc>
          <w:tcPr>
            <w:tcW w:w="11618" w:type="dxa"/>
            <w:vAlign w:val="center"/>
          </w:tcPr>
          <w:p w14:paraId="665C6EA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Almuhanna M, Soong TC, Lee WJ, Chen JC, Wu CC, Lee YC. Twenty years' experience of laparoscopic 1-anastomosis gastric bypass: surgical risk and long-term results. Surg Obes Relat Dis. 2021;17(5):968-975. doi:10.1016/j.soard.2021.01.010.</w:t>
            </w:r>
          </w:p>
        </w:tc>
        <w:tc>
          <w:tcPr>
            <w:tcW w:w="3100" w:type="dxa"/>
            <w:vAlign w:val="center"/>
          </w:tcPr>
          <w:p w14:paraId="668AE9F6">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7768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5D658CB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13</w:t>
            </w:r>
          </w:p>
        </w:tc>
        <w:tc>
          <w:tcPr>
            <w:tcW w:w="11618" w:type="dxa"/>
            <w:vAlign w:val="center"/>
          </w:tcPr>
          <w:p w14:paraId="155DE5F1">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Aminian A, Brethauer SA, Andalib A, Punchai S, Mackey J, Rodriguez J, et al. Can sleeve gastrectomy ‘cure’ diabetes? Long-term metabolic effects of sleeve gastrectomy in patients with type 2 diabetes. Ann Surg. 2016;264(4):674-681. doi:10.1097/SLA.0000000000001857.</w:t>
            </w:r>
          </w:p>
        </w:tc>
        <w:tc>
          <w:tcPr>
            <w:tcW w:w="3100" w:type="dxa"/>
            <w:vAlign w:val="center"/>
          </w:tcPr>
          <w:p w14:paraId="6426FE77">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3DF7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497F445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14</w:t>
            </w:r>
          </w:p>
        </w:tc>
        <w:tc>
          <w:tcPr>
            <w:tcW w:w="11618" w:type="dxa"/>
            <w:vAlign w:val="center"/>
          </w:tcPr>
          <w:p w14:paraId="76D45DE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Anazco D, Ghusn W, Campos A, Cifuentes L, Fansa S, Tama E, et al. Type 2 diabetes remission in patients with heterozygous variants in the leptin-melanocortin pathway after Roux-en-Y gastric bypass: a matched case-control study. Obes Surg. 2023;33(11):3502-3509. doi:10.1007/s11695-023-06859-x.</w:t>
            </w:r>
          </w:p>
        </w:tc>
        <w:tc>
          <w:tcPr>
            <w:tcW w:w="3100" w:type="dxa"/>
            <w:vAlign w:val="center"/>
          </w:tcPr>
          <w:p w14:paraId="786A9045">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7478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54456B91">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15</w:t>
            </w:r>
          </w:p>
        </w:tc>
        <w:tc>
          <w:tcPr>
            <w:tcW w:w="11618" w:type="dxa"/>
            <w:vAlign w:val="center"/>
          </w:tcPr>
          <w:p w14:paraId="4818CFEB">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Bilak JM, Yeo JL, Gulsin GS, Marsh AM, Sian M, Dattani A, et al. Impact of the remission of type 2 diabetes on cardiovascular structure and function, exercise capacity and risk profile: a propensity matched analysis. J Cardiovasc Dev Dis. 2023;10(5):191. doi:10.3390/jcdd10050191.</w:t>
            </w:r>
          </w:p>
        </w:tc>
        <w:tc>
          <w:tcPr>
            <w:tcW w:w="3100" w:type="dxa"/>
            <w:vAlign w:val="center"/>
          </w:tcPr>
          <w:p w14:paraId="43DAC918">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01CF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2C7EDC35">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16</w:t>
            </w:r>
          </w:p>
        </w:tc>
        <w:tc>
          <w:tcPr>
            <w:tcW w:w="11618" w:type="dxa"/>
            <w:vAlign w:val="center"/>
          </w:tcPr>
          <w:p w14:paraId="03EE04DF">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Butler AE, Ramanjaneya M, Moin ASM, Hunt SC, Atkin SL. Clinical improvement may not reflect metabolic homeostasis normalization in subjects with and without Roux-en-Y bariatric surgery after 12 years: comparison of surgical subjects to a lean cohort. Front Endocrinol (Lausanne). 2023;14:1228853. doi:10.3389/fendo.2023.1228853.</w:t>
            </w:r>
          </w:p>
        </w:tc>
        <w:tc>
          <w:tcPr>
            <w:tcW w:w="3100" w:type="dxa"/>
            <w:vAlign w:val="center"/>
          </w:tcPr>
          <w:p w14:paraId="40CAE991">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7648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235751E2">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17</w:t>
            </w:r>
          </w:p>
        </w:tc>
        <w:tc>
          <w:tcPr>
            <w:tcW w:w="11618" w:type="dxa"/>
            <w:vAlign w:val="center"/>
          </w:tcPr>
          <w:p w14:paraId="0FE756B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Caiazzo R, Arnalsteen L, Pigeyre M, Dezfoulian G, Verkindt H, Kirkby-Bott J, et al. Long-term metabolic outcome and quality of life after laparoscopic adjustable gastric banding in obese patients with type 2 diabetes mellitus or impaired fasting glucose. Br J Surg. 2010;97(6):884-891. doi:10.1002/bjs.6993.</w:t>
            </w:r>
          </w:p>
        </w:tc>
        <w:tc>
          <w:tcPr>
            <w:tcW w:w="3100" w:type="dxa"/>
            <w:vAlign w:val="center"/>
          </w:tcPr>
          <w:p w14:paraId="6DE52125">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4F7F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274F057">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18</w:t>
            </w:r>
          </w:p>
        </w:tc>
        <w:tc>
          <w:tcPr>
            <w:tcW w:w="11618" w:type="dxa"/>
            <w:vAlign w:val="center"/>
          </w:tcPr>
          <w:p w14:paraId="42CFB8A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Carlsson LMS, Sjöholm K, Karlsson C, Jacobson P, Andersson-Assarsson JC, Svensson PA, et al. Long-term incidence of microvascular disease after bariatric surgery or usual care in patients with obesity, stratified by baseline glycaemic status: a post-hoc analysis of participants from the Swedish Obese Subjects study. Lancet Diabetes Endocrinol. 2017;5(4):271-279. doi:10.1016/S2213-8587(17)30061-X.</w:t>
            </w:r>
          </w:p>
        </w:tc>
        <w:tc>
          <w:tcPr>
            <w:tcW w:w="3100" w:type="dxa"/>
            <w:vAlign w:val="center"/>
          </w:tcPr>
          <w:p w14:paraId="2A62E85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47B8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2525BAD">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19</w:t>
            </w:r>
          </w:p>
        </w:tc>
        <w:tc>
          <w:tcPr>
            <w:tcW w:w="11618" w:type="dxa"/>
            <w:vAlign w:val="center"/>
          </w:tcPr>
          <w:p w14:paraId="288CEB08">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Chen YJ, Corsino L, Shantavasinkul PC, Grant J, Portenier D, Ding L, et al. Gastric bypass surgery leads to long-term remission or improvement of type 2 diabetes and significant decrease of microvascular and macrovascular complications. Ann Surg. 2016;263(6):1138-1142. doi:10.1097/SLA.0000000000001509.</w:t>
            </w:r>
          </w:p>
        </w:tc>
        <w:tc>
          <w:tcPr>
            <w:tcW w:w="3100" w:type="dxa"/>
            <w:vAlign w:val="center"/>
          </w:tcPr>
          <w:p w14:paraId="7F5E5183">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5F43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6A391011">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20</w:t>
            </w:r>
          </w:p>
        </w:tc>
        <w:tc>
          <w:tcPr>
            <w:tcW w:w="11618" w:type="dxa"/>
            <w:vAlign w:val="center"/>
          </w:tcPr>
          <w:p w14:paraId="6FB59EE8">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Cheng JY, Yu HC, Gu YL, Ma CF, Li CF, Pan ZM, et al. Diabetes remission and diabetic complications of bariatric surgery vs medical management in patients with type 2 diabetes: a meta-analysis of randomized controlled trials. Diabetes Obes Metab. 2025;27(12):7441-7453. doi:10.1111/dom.70152.</w:t>
            </w:r>
          </w:p>
        </w:tc>
        <w:tc>
          <w:tcPr>
            <w:tcW w:w="3100" w:type="dxa"/>
            <w:vAlign w:val="center"/>
          </w:tcPr>
          <w:p w14:paraId="1A7FCC96">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Ineligible study design or population</w:t>
            </w:r>
          </w:p>
        </w:tc>
      </w:tr>
      <w:tr w14:paraId="7EF1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609BDD73">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21</w:t>
            </w:r>
          </w:p>
        </w:tc>
        <w:tc>
          <w:tcPr>
            <w:tcW w:w="11618" w:type="dxa"/>
            <w:vAlign w:val="center"/>
          </w:tcPr>
          <w:p w14:paraId="30577AE7">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de Almeida RR, Aidar FJ, Souza MFCD, Oliveira VB, Pereira LMC, Oliveira JLM, et al. Remission of diabetes and cardiometabolic risk in patients after 5 years of bariatric surgery: a case-control study. Obes Med. 2022;31:100407. doi:10.1016/j.obmed.2022.100407.</w:t>
            </w:r>
          </w:p>
        </w:tc>
        <w:tc>
          <w:tcPr>
            <w:tcW w:w="3100" w:type="dxa"/>
            <w:vAlign w:val="center"/>
          </w:tcPr>
          <w:p w14:paraId="7656D5C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302D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37521C66">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22</w:t>
            </w:r>
          </w:p>
        </w:tc>
        <w:tc>
          <w:tcPr>
            <w:tcW w:w="11618" w:type="dxa"/>
            <w:vAlign w:val="center"/>
          </w:tcPr>
          <w:p w14:paraId="35467249">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Dionne V, Iglesies-Grau J, Latour É, Besnier F, Gagnon C, Gayda M, et al. Optimizing cardiovascular health with a type 2 diabetes remission program: ultraprocessed food-intake reduction, Mediterranean diet, chrononutrition and physical training—the DIABEPIC-2 pilot study. Diabetes Obes Metab. 2025;27(12):7374-7384. doi:10.1111/dom.70142.</w:t>
            </w:r>
          </w:p>
        </w:tc>
        <w:tc>
          <w:tcPr>
            <w:tcW w:w="3100" w:type="dxa"/>
            <w:vAlign w:val="center"/>
          </w:tcPr>
          <w:p w14:paraId="0E7AE2E7">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01F5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15C2CCEC">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23</w:t>
            </w:r>
          </w:p>
        </w:tc>
        <w:tc>
          <w:tcPr>
            <w:tcW w:w="11618" w:type="dxa"/>
            <w:vAlign w:val="center"/>
          </w:tcPr>
          <w:p w14:paraId="72732288">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Inge TH, Miyano G, Bean J, Helmrath M, Courcoulas A, Harmon CM, et al. Reversal of type 2 diabetes mellitus and improvements in cardiovascular risk factors after surgical weight loss in adolescents. Pediatrics. 2009;123(1):214-222. doi:10.1542/peds.2008-0522.</w:t>
            </w:r>
          </w:p>
        </w:tc>
        <w:tc>
          <w:tcPr>
            <w:tcW w:w="3100" w:type="dxa"/>
            <w:vAlign w:val="center"/>
          </w:tcPr>
          <w:p w14:paraId="4DE4FE2A">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Ineligible study design or population</w:t>
            </w:r>
          </w:p>
        </w:tc>
      </w:tr>
      <w:tr w14:paraId="450D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758F86F0">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24</w:t>
            </w:r>
          </w:p>
        </w:tc>
        <w:tc>
          <w:tcPr>
            <w:tcW w:w="11618" w:type="dxa"/>
            <w:vAlign w:val="center"/>
          </w:tcPr>
          <w:p w14:paraId="3AAB3860">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Ke ZG, Li F, Zhou XM, Sun F, Zhu ZM, Tong WD. Impact of metabolic surgery on 10-year cardiovascular disease risk in Chinese individuals with type 2 diabetes. Surg Obes Relat Dis. 2021;17(3):498-507. doi:10.1016/j.soard.2020.11.013.</w:t>
            </w:r>
          </w:p>
        </w:tc>
        <w:tc>
          <w:tcPr>
            <w:tcW w:w="3100" w:type="dxa"/>
            <w:vAlign w:val="center"/>
          </w:tcPr>
          <w:p w14:paraId="61286F97">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r w14:paraId="1D72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378E898A">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25</w:t>
            </w:r>
          </w:p>
        </w:tc>
        <w:tc>
          <w:tcPr>
            <w:tcW w:w="11618" w:type="dxa"/>
            <w:vAlign w:val="center"/>
          </w:tcPr>
          <w:p w14:paraId="55B5F56A">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Lautenbach A, Wernecke M, Mann O, Wagner J, Wolter S, Stoll F, et al. Low-grade hepatic steatosis is associated with long-term remission of type 2 diabetes independent of type of bariatric-metabolic surgery. Obes Surg. 2023;33(2):530-538. doi:10.1007/s11695-022-06406-0.</w:t>
            </w:r>
          </w:p>
        </w:tc>
        <w:tc>
          <w:tcPr>
            <w:tcW w:w="3100" w:type="dxa"/>
            <w:vAlign w:val="center"/>
          </w:tcPr>
          <w:p w14:paraId="34D1DEBB">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Remission was assessed as the outcome rather than the exposure</w:t>
            </w:r>
          </w:p>
        </w:tc>
      </w:tr>
      <w:tr w14:paraId="0543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5" w:type="dxa"/>
            <w:left w:w="65" w:type="dxa"/>
            <w:bottom w:w="55" w:type="dxa"/>
            <w:right w:w="65" w:type="dxa"/>
          </w:tblCellMar>
        </w:tblPrEx>
        <w:trPr>
          <w:cantSplit/>
        </w:trPr>
        <w:tc>
          <w:tcPr>
            <w:tcW w:w="917" w:type="dxa"/>
            <w:vAlign w:val="center"/>
          </w:tcPr>
          <w:p w14:paraId="6FA99BD0">
            <w:pPr>
              <w:keepNext w:val="0"/>
              <w:keepLines w:val="0"/>
              <w:widowControl/>
              <w:suppressLineNumbers w:val="0"/>
              <w:spacing w:before="0" w:beforeAutospacing="0" w:after="20" w:afterAutospacing="0" w:line="240" w:lineRule="auto"/>
              <w:ind w:left="0" w:right="0"/>
              <w:jc w:val="center"/>
              <w:rPr>
                <w:rFonts w:hint="default" w:ascii="Times New Roman" w:hAnsi="Times New Roman" w:cs="Times New Roman"/>
              </w:rPr>
            </w:pPr>
            <w:r>
              <w:rPr>
                <w:rFonts w:hint="default" w:ascii="Times New Roman" w:hAnsi="Times New Roman" w:cs="Times New Roman"/>
                <w:sz w:val="16"/>
              </w:rPr>
              <w:t>26</w:t>
            </w:r>
          </w:p>
        </w:tc>
        <w:tc>
          <w:tcPr>
            <w:tcW w:w="11618" w:type="dxa"/>
            <w:vAlign w:val="center"/>
          </w:tcPr>
          <w:p w14:paraId="0A1AE184">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Shah SS, Todkar JS, Shah PS, Cummings DE. Diabetes remission and reduced cardiovascular risk after gastric bypass in Asian Indians with body mass index &lt;35 kg/m². Surg Obes Relat Dis. 2010;6(4):332-338. doi:10.1016/j.soard.2009.08.009.</w:t>
            </w:r>
          </w:p>
        </w:tc>
        <w:tc>
          <w:tcPr>
            <w:tcW w:w="3100" w:type="dxa"/>
            <w:vAlign w:val="center"/>
          </w:tcPr>
          <w:p w14:paraId="2A3A7ECC">
            <w:pPr>
              <w:keepNext w:val="0"/>
              <w:keepLines w:val="0"/>
              <w:widowControl/>
              <w:suppressLineNumbers w:val="0"/>
              <w:spacing w:before="0" w:beforeAutospacing="0" w:after="20" w:afterAutospacing="0" w:line="240" w:lineRule="auto"/>
              <w:ind w:left="0" w:right="0"/>
              <w:jc w:val="left"/>
              <w:rPr>
                <w:rFonts w:hint="default" w:ascii="Times New Roman" w:hAnsi="Times New Roman" w:cs="Times New Roman"/>
              </w:rPr>
            </w:pPr>
            <w:r>
              <w:rPr>
                <w:rFonts w:hint="default" w:ascii="Times New Roman" w:hAnsi="Times New Roman" w:cs="Times New Roman"/>
                <w:sz w:val="16"/>
              </w:rPr>
              <w:t>No eligible longitudinal analysis of adverse health outcomes after remission</w:t>
            </w:r>
          </w:p>
        </w:tc>
      </w:tr>
    </w:tbl>
    <w:p w14:paraId="2D37DF7B">
      <w:pPr>
        <w:pStyle w:val="12"/>
        <w:rPr>
          <w:lang w:val="da-DK"/>
        </w:rPr>
      </w:pPr>
    </w:p>
    <w:p w14:paraId="331C4E54">
      <w:pPr>
        <w:spacing w:after="80"/>
        <w:rPr>
          <w:rFonts w:hint="eastAsia"/>
          <w:b/>
          <w:bCs/>
          <w:sz w:val="24"/>
          <w:szCs w:val="24"/>
          <w:lang w:val="en-US" w:eastAsia="zh-CN"/>
        </w:rPr>
      </w:pPr>
      <w:r>
        <w:rPr>
          <w:rFonts w:hint="eastAsia"/>
          <w:b/>
          <w:bCs/>
          <w:sz w:val="24"/>
          <w:szCs w:val="24"/>
          <w:lang w:val="en-US" w:eastAsia="zh-CN"/>
        </w:rPr>
        <w:t xml:space="preserve">Supplementary </w:t>
      </w:r>
      <w:r>
        <w:rPr>
          <w:b/>
          <w:bCs/>
          <w:sz w:val="24"/>
          <w:szCs w:val="24"/>
        </w:rPr>
        <w:t>Table S</w:t>
      </w:r>
      <w:r>
        <w:rPr>
          <w:rFonts w:hint="eastAsia"/>
          <w:b/>
          <w:bCs/>
          <w:sz w:val="24"/>
          <w:szCs w:val="24"/>
          <w:lang w:val="en-US" w:eastAsia="zh-CN"/>
        </w:rPr>
        <w:t>4</w:t>
      </w:r>
      <w:r>
        <w:rPr>
          <w:rFonts w:ascii="Times New Roman" w:hAnsi="Times New Roman" w:eastAsia="Times New Roman"/>
          <w:b/>
          <w:sz w:val="20"/>
        </w:rPr>
        <w:t xml:space="preserve">. </w:t>
      </w:r>
      <w:r>
        <w:rPr>
          <w:rFonts w:hint="eastAsia"/>
          <w:b/>
          <w:bCs/>
          <w:sz w:val="24"/>
          <w:szCs w:val="24"/>
          <w:lang w:val="en-US" w:eastAsia="zh-CN"/>
        </w:rPr>
        <w:t>Basic characteristics of the included studies</w:t>
      </w:r>
    </w:p>
    <w:tbl>
      <w:tblPr>
        <w:tblStyle w:val="6"/>
        <w:tblW w:w="6271" w:type="pct"/>
        <w:jc w:val="center"/>
        <w:tblLayout w:type="autofit"/>
        <w:tblCellMar>
          <w:top w:w="0" w:type="dxa"/>
          <w:left w:w="108" w:type="dxa"/>
          <w:bottom w:w="0" w:type="dxa"/>
          <w:right w:w="108" w:type="dxa"/>
        </w:tblCellMar>
      </w:tblPr>
      <w:tblGrid>
        <w:gridCol w:w="944"/>
        <w:gridCol w:w="381"/>
        <w:gridCol w:w="596"/>
        <w:gridCol w:w="998"/>
        <w:gridCol w:w="885"/>
        <w:gridCol w:w="716"/>
        <w:gridCol w:w="882"/>
        <w:gridCol w:w="772"/>
        <w:gridCol w:w="1030"/>
        <w:gridCol w:w="698"/>
        <w:gridCol w:w="1284"/>
        <w:gridCol w:w="882"/>
        <w:gridCol w:w="1174"/>
        <w:gridCol w:w="945"/>
        <w:gridCol w:w="1781"/>
        <w:gridCol w:w="1280"/>
        <w:gridCol w:w="1174"/>
        <w:gridCol w:w="1174"/>
      </w:tblGrid>
      <w:tr w14:paraId="422C5F05">
        <w:tblPrEx>
          <w:tblCellMar>
            <w:top w:w="0" w:type="dxa"/>
            <w:left w:w="108" w:type="dxa"/>
            <w:bottom w:w="0" w:type="dxa"/>
            <w:right w:w="108" w:type="dxa"/>
          </w:tblCellMar>
        </w:tblPrEx>
        <w:trPr>
          <w:tblHeader/>
          <w:jc w:val="center"/>
        </w:trPr>
        <w:tc>
          <w:tcPr>
            <w:tcW w:w="268"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47B1A512">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Study</w:t>
            </w:r>
          </w:p>
        </w:tc>
        <w:tc>
          <w:tcPr>
            <w:tcW w:w="108"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30CC6468">
            <w:pPr>
              <w:keepNext w:val="0"/>
              <w:keepLines w:val="0"/>
              <w:widowControl/>
              <w:suppressLineNumbers w:val="0"/>
              <w:spacing w:before="0" w:beforeAutospacing="0" w:after="0" w:afterAutospacing="0"/>
              <w:ind w:left="0" w:right="0"/>
              <w:jc w:val="center"/>
              <w:rPr>
                <w:rFonts w:hint="default" w:ascii="Times New Roman" w:hAnsi="Times New Roman" w:eastAsia="Times New Roman"/>
                <w:b/>
                <w:sz w:val="13"/>
              </w:rPr>
            </w:pPr>
            <w:r>
              <w:rPr>
                <w:rFonts w:hint="eastAsia" w:ascii="Times New Roman" w:hAnsi="Times New Roman" w:eastAsia="宋体"/>
                <w:b/>
                <w:sz w:val="13"/>
              </w:rPr>
              <w:t>Y</w:t>
            </w:r>
            <w:r>
              <w:rPr>
                <w:rFonts w:hint="default" w:ascii="Times New Roman" w:hAnsi="Times New Roman" w:eastAsia="Times New Roman"/>
                <w:b/>
                <w:sz w:val="13"/>
              </w:rPr>
              <w:t>ear</w:t>
            </w:r>
          </w:p>
        </w:tc>
        <w:tc>
          <w:tcPr>
            <w:tcW w:w="169"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21B24204">
            <w:pPr>
              <w:keepNext w:val="0"/>
              <w:keepLines w:val="0"/>
              <w:widowControl/>
              <w:suppressLineNumbers w:val="0"/>
              <w:spacing w:before="0" w:beforeAutospacing="0" w:after="0" w:afterAutospacing="0"/>
              <w:ind w:left="0" w:right="0"/>
              <w:jc w:val="center"/>
              <w:rPr>
                <w:rFonts w:hint="default" w:ascii="Times New Roman" w:hAnsi="Times New Roman" w:eastAsia="宋体"/>
                <w:b/>
                <w:sz w:val="13"/>
              </w:rPr>
            </w:pPr>
            <w:r>
              <w:rPr>
                <w:rFonts w:hint="eastAsia" w:ascii="Times New Roman" w:hAnsi="Times New Roman" w:eastAsia="宋体"/>
                <w:b/>
                <w:sz w:val="13"/>
              </w:rPr>
              <w:t>C</w:t>
            </w:r>
            <w:r>
              <w:rPr>
                <w:rFonts w:hint="default" w:ascii="Times New Roman" w:hAnsi="Times New Roman" w:eastAsia="Times New Roman"/>
                <w:b/>
                <w:sz w:val="13"/>
              </w:rPr>
              <w:t>ountry</w:t>
            </w:r>
          </w:p>
        </w:tc>
        <w:tc>
          <w:tcPr>
            <w:tcW w:w="28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34A45AA6">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Study design and data source</w:t>
            </w:r>
          </w:p>
        </w:tc>
        <w:tc>
          <w:tcPr>
            <w:tcW w:w="251"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4666E711">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Study population</w:t>
            </w:r>
          </w:p>
        </w:tc>
        <w:tc>
          <w:tcPr>
            <w:tcW w:w="20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1A1F6198">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Sample size</w:t>
            </w:r>
          </w:p>
        </w:tc>
        <w:tc>
          <w:tcPr>
            <w:tcW w:w="250"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10FA76E7">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Age, years</w:t>
            </w:r>
          </w:p>
        </w:tc>
        <w:tc>
          <w:tcPr>
            <w:tcW w:w="219"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3887C811">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Women, %</w:t>
            </w:r>
          </w:p>
        </w:tc>
        <w:tc>
          <w:tcPr>
            <w:tcW w:w="292"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00537184">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Definition of diabetes remission</w:t>
            </w:r>
          </w:p>
        </w:tc>
        <w:tc>
          <w:tcPr>
            <w:tcW w:w="198"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7FC9111D">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Follow-up</w:t>
            </w:r>
          </w:p>
        </w:tc>
        <w:tc>
          <w:tcPr>
            <w:tcW w:w="364"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52966B7E">
            <w:pPr>
              <w:keepNext w:val="0"/>
              <w:keepLines w:val="0"/>
              <w:widowControl/>
              <w:suppressLineNumbers w:val="0"/>
              <w:spacing w:before="0" w:beforeAutospacing="0" w:after="0" w:afterAutospacing="0"/>
              <w:ind w:left="0" w:right="0"/>
              <w:jc w:val="center"/>
              <w:rPr>
                <w:rFonts w:hint="default"/>
              </w:rPr>
            </w:pPr>
            <w:r>
              <w:rPr>
                <w:rFonts w:hint="default" w:ascii="Times New Roman" w:hAnsi="Times New Roman" w:eastAsia="Times New Roman"/>
                <w:b/>
                <w:sz w:val="13"/>
              </w:rPr>
              <w:t>Outcome(s) included in quantitative synthesis</w:t>
            </w:r>
          </w:p>
        </w:tc>
        <w:tc>
          <w:tcPr>
            <w:tcW w:w="250"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6744B8CA">
            <w:pPr>
              <w:keepNext w:val="0"/>
              <w:keepLines w:val="0"/>
              <w:widowControl/>
              <w:suppressLineNumbers w:val="0"/>
              <w:spacing w:before="0" w:beforeAutospacing="0" w:after="0" w:afterAutospacing="0"/>
              <w:ind w:left="0" w:right="0"/>
              <w:jc w:val="center"/>
              <w:rPr>
                <w:rFonts w:hint="default" w:ascii="Times New Roman" w:hAnsi="Times New Roman" w:eastAsia="Times New Roman"/>
                <w:b/>
                <w:sz w:val="13"/>
              </w:rPr>
            </w:pPr>
            <w:r>
              <w:rPr>
                <w:rFonts w:hint="eastAsia" w:ascii="Times New Roman" w:hAnsi="Times New Roman" w:eastAsia="Times New Roman"/>
                <w:b/>
                <w:sz w:val="13"/>
              </w:rPr>
              <w:t>Selected adjusted effect estimate(s)</w:t>
            </w:r>
          </w:p>
        </w:tc>
        <w:tc>
          <w:tcPr>
            <w:tcW w:w="33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177E0345">
            <w:pPr>
              <w:keepNext w:val="0"/>
              <w:keepLines w:val="0"/>
              <w:widowControl/>
              <w:suppressLineNumbers w:val="0"/>
              <w:tabs>
                <w:tab w:val="left" w:pos="341"/>
              </w:tabs>
              <w:spacing w:before="0" w:beforeAutospacing="0" w:after="0" w:afterAutospacing="0"/>
              <w:ind w:left="0" w:right="0"/>
              <w:jc w:val="center"/>
              <w:rPr>
                <w:rFonts w:hint="eastAsia" w:ascii="Times New Roman" w:hAnsi="Times New Roman" w:eastAsia="宋体"/>
                <w:b/>
                <w:sz w:val="13"/>
                <w:lang w:eastAsia="zh-CN"/>
              </w:rPr>
            </w:pPr>
            <w:r>
              <w:rPr>
                <w:rFonts w:hint="eastAsia" w:ascii="Times New Roman" w:hAnsi="Times New Roman" w:eastAsia="宋体"/>
                <w:b/>
                <w:sz w:val="13"/>
                <w:lang w:eastAsia="zh-CN"/>
              </w:rPr>
              <w:t>Covariates</w:t>
            </w:r>
          </w:p>
        </w:tc>
        <w:tc>
          <w:tcPr>
            <w:tcW w:w="268"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1A64F422">
            <w:pPr>
              <w:keepNext w:val="0"/>
              <w:keepLines w:val="0"/>
              <w:widowControl/>
              <w:suppressLineNumbers w:val="0"/>
              <w:spacing w:before="0" w:beforeAutospacing="0" w:after="0" w:afterAutospacing="0"/>
              <w:ind w:left="0" w:right="0"/>
              <w:jc w:val="center"/>
              <w:rPr>
                <w:rFonts w:hint="default" w:ascii="Times New Roman" w:hAnsi="Times New Roman" w:eastAsia="Times New Roman"/>
                <w:b/>
                <w:sz w:val="13"/>
              </w:rPr>
            </w:pPr>
          </w:p>
          <w:p w14:paraId="7504A5A1">
            <w:pPr>
              <w:keepNext w:val="0"/>
              <w:keepLines w:val="0"/>
              <w:widowControl/>
              <w:suppressLineNumbers w:val="0"/>
              <w:bidi w:val="0"/>
              <w:spacing w:before="0" w:beforeAutospacing="0" w:after="0" w:afterAutospacing="0"/>
              <w:ind w:left="0" w:right="0"/>
              <w:jc w:val="center"/>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Times New Roman"/>
                <w:b/>
                <w:sz w:val="13"/>
                <w:lang w:val="en-US" w:eastAsia="zh-CN"/>
              </w:rPr>
              <w:t>Comparator group definition</w:t>
            </w:r>
          </w:p>
        </w:tc>
        <w:tc>
          <w:tcPr>
            <w:tcW w:w="505"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0689E9ED">
            <w:pPr>
              <w:keepNext w:val="0"/>
              <w:keepLines w:val="0"/>
              <w:widowControl/>
              <w:suppressLineNumbers w:val="0"/>
              <w:spacing w:before="0" w:beforeAutospacing="0" w:after="0" w:afterAutospacing="0"/>
              <w:ind w:left="0" w:right="0"/>
              <w:jc w:val="center"/>
              <w:rPr>
                <w:rFonts w:hint="default" w:ascii="Times New Roman" w:hAnsi="Times New Roman" w:eastAsia="Times New Roman"/>
                <w:b/>
                <w:sz w:val="13"/>
              </w:rPr>
            </w:pPr>
            <w:r>
              <w:rPr>
                <w:rFonts w:hint="eastAsia" w:ascii="Times New Roman" w:hAnsi="Times New Roman" w:eastAsia="Times New Roman"/>
                <w:b/>
                <w:sz w:val="13"/>
              </w:rPr>
              <w:t>Timing of remission assessment and temporal handling</w:t>
            </w:r>
          </w:p>
        </w:tc>
        <w:tc>
          <w:tcPr>
            <w:tcW w:w="36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57150A51">
            <w:pPr>
              <w:keepNext w:val="0"/>
              <w:keepLines w:val="0"/>
              <w:widowControl/>
              <w:suppressLineNumbers w:val="0"/>
              <w:spacing w:before="0" w:beforeAutospacing="0" w:after="0" w:afterAutospacing="0"/>
              <w:ind w:left="0" w:right="0"/>
              <w:jc w:val="center"/>
              <w:rPr>
                <w:rFonts w:hint="eastAsia" w:ascii="Times New Roman" w:hAnsi="Times New Roman" w:eastAsia="Times New Roman"/>
                <w:b/>
                <w:sz w:val="13"/>
              </w:rPr>
            </w:pPr>
            <w:r>
              <w:rPr>
                <w:rFonts w:hint="eastAsia" w:ascii="Times New Roman" w:hAnsi="Times New Roman" w:eastAsia="Times New Roman"/>
                <w:b/>
                <w:sz w:val="13"/>
              </w:rPr>
              <w:t>Outcome components</w:t>
            </w:r>
          </w:p>
        </w:tc>
        <w:tc>
          <w:tcPr>
            <w:tcW w:w="33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4999686D">
            <w:pPr>
              <w:keepNext w:val="0"/>
              <w:keepLines w:val="0"/>
              <w:widowControl/>
              <w:suppressLineNumbers w:val="0"/>
              <w:spacing w:before="0" w:beforeAutospacing="0" w:after="0" w:afterAutospacing="0"/>
              <w:ind w:left="0" w:right="0"/>
              <w:jc w:val="center"/>
              <w:rPr>
                <w:rFonts w:hint="eastAsia" w:ascii="Times New Roman" w:hAnsi="Times New Roman" w:eastAsia="Times New Roman"/>
                <w:b/>
                <w:sz w:val="13"/>
              </w:rPr>
            </w:pPr>
            <w:r>
              <w:rPr>
                <w:rFonts w:hint="eastAsia" w:ascii="Times New Roman" w:hAnsi="Times New Roman" w:eastAsia="Times New Roman"/>
                <w:b/>
                <w:sz w:val="13"/>
              </w:rPr>
              <w:t>Remission definition category</w:t>
            </w:r>
          </w:p>
        </w:tc>
        <w:tc>
          <w:tcPr>
            <w:tcW w:w="333" w:type="pct"/>
            <w:tcBorders>
              <w:top w:val="single" w:color="000000" w:sz="10" w:space="0"/>
              <w:left w:val="nil"/>
              <w:bottom w:val="single" w:color="000000" w:sz="8" w:space="0"/>
              <w:right w:val="nil"/>
            </w:tcBorders>
            <w:tcMar>
              <w:top w:w="35" w:type="dxa"/>
              <w:left w:w="35" w:type="dxa"/>
              <w:bottom w:w="35" w:type="dxa"/>
              <w:right w:w="35" w:type="dxa"/>
            </w:tcMar>
            <w:vAlign w:val="center"/>
          </w:tcPr>
          <w:p w14:paraId="764B0B8C">
            <w:pPr>
              <w:keepNext w:val="0"/>
              <w:keepLines w:val="0"/>
              <w:widowControl/>
              <w:suppressLineNumbers w:val="0"/>
              <w:spacing w:before="0" w:beforeAutospacing="0" w:after="0" w:afterAutospacing="0"/>
              <w:ind w:left="0" w:right="0"/>
              <w:jc w:val="center"/>
              <w:rPr>
                <w:rFonts w:hint="eastAsia" w:ascii="Times New Roman" w:hAnsi="Times New Roman" w:eastAsia="Times New Roman"/>
                <w:b/>
                <w:sz w:val="13"/>
              </w:rPr>
            </w:pPr>
            <w:r>
              <w:rPr>
                <w:rFonts w:hint="eastAsia" w:ascii="Times New Roman" w:hAnsi="Times New Roman" w:eastAsia="Times New Roman"/>
                <w:b/>
                <w:sz w:val="13"/>
              </w:rPr>
              <w:t>Competing-risk handling</w:t>
            </w:r>
          </w:p>
        </w:tc>
      </w:tr>
      <w:tr w14:paraId="4DC4371E">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1134FD6C">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Fadini</w:t>
            </w:r>
            <w:r>
              <w:rPr>
                <w:rFonts w:hint="eastAsia" w:eastAsia="宋体"/>
                <w:sz w:val="12"/>
                <w:vertAlign w:val="superscript"/>
                <w:lang w:val="en-US" w:eastAsia="zh-CN"/>
              </w:rPr>
              <w:t>16</w:t>
            </w:r>
          </w:p>
        </w:tc>
        <w:tc>
          <w:tcPr>
            <w:tcW w:w="108" w:type="pct"/>
            <w:tcBorders>
              <w:left w:val="nil"/>
              <w:bottom w:val="single" w:color="B7B7B7" w:sz="2" w:space="0"/>
              <w:right w:val="nil"/>
            </w:tcBorders>
            <w:tcMar>
              <w:top w:w="30" w:type="dxa"/>
              <w:left w:w="35" w:type="dxa"/>
              <w:bottom w:w="30" w:type="dxa"/>
              <w:right w:w="35" w:type="dxa"/>
            </w:tcMar>
          </w:tcPr>
          <w:p w14:paraId="72C10F8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2025</w:t>
            </w:r>
          </w:p>
        </w:tc>
        <w:tc>
          <w:tcPr>
            <w:tcW w:w="169" w:type="pct"/>
            <w:tcBorders>
              <w:left w:val="nil"/>
              <w:bottom w:val="single" w:color="B7B7B7" w:sz="2" w:space="0"/>
              <w:right w:val="nil"/>
            </w:tcBorders>
            <w:tcMar>
              <w:top w:w="30" w:type="dxa"/>
              <w:left w:w="35" w:type="dxa"/>
              <w:bottom w:w="30" w:type="dxa"/>
              <w:right w:w="35" w:type="dxa"/>
            </w:tcMar>
          </w:tcPr>
          <w:p w14:paraId="6126ED77">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Italy</w:t>
            </w:r>
          </w:p>
        </w:tc>
        <w:tc>
          <w:tcPr>
            <w:tcW w:w="283" w:type="pct"/>
            <w:tcBorders>
              <w:left w:val="nil"/>
              <w:bottom w:val="single" w:color="B7B7B7" w:sz="2" w:space="0"/>
              <w:right w:val="nil"/>
            </w:tcBorders>
            <w:tcMar>
              <w:top w:w="30" w:type="dxa"/>
              <w:left w:w="35" w:type="dxa"/>
              <w:bottom w:w="30" w:type="dxa"/>
              <w:right w:w="35" w:type="dxa"/>
            </w:tcMar>
          </w:tcPr>
          <w:p w14:paraId="0154E549">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Multicentre retrospective cohort using electronic clinical records (GLIMPLES)</w:t>
            </w:r>
          </w:p>
        </w:tc>
        <w:tc>
          <w:tcPr>
            <w:tcW w:w="251" w:type="pct"/>
            <w:tcBorders>
              <w:left w:val="nil"/>
              <w:bottom w:val="single" w:color="B7B7B7" w:sz="2" w:space="0"/>
              <w:right w:val="nil"/>
            </w:tcBorders>
            <w:tcMar>
              <w:top w:w="30" w:type="dxa"/>
              <w:left w:w="35" w:type="dxa"/>
              <w:bottom w:w="30" w:type="dxa"/>
              <w:right w:w="35" w:type="dxa"/>
            </w:tcMar>
          </w:tcPr>
          <w:p w14:paraId="71BB9194">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People with type 2 diabetes who initiated a GLP-1 receptor agonist during 2010–2022</w:t>
            </w:r>
          </w:p>
        </w:tc>
        <w:tc>
          <w:tcPr>
            <w:tcW w:w="203" w:type="pct"/>
            <w:tcBorders>
              <w:left w:val="nil"/>
              <w:bottom w:val="single" w:color="B7B7B7" w:sz="2" w:space="0"/>
              <w:right w:val="nil"/>
            </w:tcBorders>
            <w:tcMar>
              <w:top w:w="30" w:type="dxa"/>
              <w:left w:w="35" w:type="dxa"/>
              <w:bottom w:w="30" w:type="dxa"/>
              <w:right w:w="35" w:type="dxa"/>
            </w:tcMar>
          </w:tcPr>
          <w:p w14:paraId="721A80A2">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14,141</w:t>
            </w:r>
          </w:p>
        </w:tc>
        <w:tc>
          <w:tcPr>
            <w:tcW w:w="250" w:type="pct"/>
            <w:tcBorders>
              <w:left w:val="nil"/>
              <w:bottom w:val="single" w:color="B7B7B7" w:sz="2" w:space="0"/>
              <w:right w:val="nil"/>
            </w:tcBorders>
            <w:tcMar>
              <w:top w:w="30" w:type="dxa"/>
              <w:left w:w="35" w:type="dxa"/>
              <w:bottom w:w="30" w:type="dxa"/>
              <w:right w:w="35" w:type="dxa"/>
            </w:tcMar>
          </w:tcPr>
          <w:p w14:paraId="4C0298B2">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Approximately 60</w:t>
            </w:r>
          </w:p>
        </w:tc>
        <w:tc>
          <w:tcPr>
            <w:tcW w:w="219" w:type="pct"/>
            <w:tcBorders>
              <w:left w:val="nil"/>
              <w:bottom w:val="single" w:color="B7B7B7" w:sz="2" w:space="0"/>
              <w:right w:val="nil"/>
            </w:tcBorders>
            <w:tcMar>
              <w:top w:w="30" w:type="dxa"/>
              <w:left w:w="35" w:type="dxa"/>
              <w:bottom w:w="30" w:type="dxa"/>
              <w:right w:w="35" w:type="dxa"/>
            </w:tcMar>
          </w:tcPr>
          <w:p w14:paraId="2269E7B7">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40.0</w:t>
            </w:r>
          </w:p>
        </w:tc>
        <w:tc>
          <w:tcPr>
            <w:tcW w:w="292" w:type="pct"/>
            <w:tcBorders>
              <w:left w:val="nil"/>
              <w:bottom w:val="single" w:color="B7B7B7" w:sz="2" w:space="0"/>
              <w:right w:val="nil"/>
            </w:tcBorders>
            <w:tcMar>
              <w:top w:w="30" w:type="dxa"/>
              <w:left w:w="35" w:type="dxa"/>
              <w:bottom w:w="30" w:type="dxa"/>
              <w:right w:w="35" w:type="dxa"/>
            </w:tcMar>
          </w:tcPr>
          <w:p w14:paraId="6E67DC5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HbA1c &lt;6.5% maintained for at least 3 months without usual glucose-lowering pharmacotherapy.</w:t>
            </w:r>
          </w:p>
        </w:tc>
        <w:tc>
          <w:tcPr>
            <w:tcW w:w="198" w:type="pct"/>
            <w:tcBorders>
              <w:left w:val="nil"/>
              <w:bottom w:val="single" w:color="B7B7B7" w:sz="2" w:space="0"/>
              <w:right w:val="nil"/>
            </w:tcBorders>
            <w:tcMar>
              <w:top w:w="30" w:type="dxa"/>
              <w:left w:w="35" w:type="dxa"/>
              <w:bottom w:w="30" w:type="dxa"/>
              <w:right w:w="35" w:type="dxa"/>
            </w:tcMar>
          </w:tcPr>
          <w:p w14:paraId="11202F4B">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Mean 4.0 years</w:t>
            </w:r>
          </w:p>
        </w:tc>
        <w:tc>
          <w:tcPr>
            <w:tcW w:w="364" w:type="pct"/>
            <w:tcBorders>
              <w:left w:val="nil"/>
              <w:bottom w:val="single" w:color="B7B7B7" w:sz="2" w:space="0"/>
              <w:right w:val="nil"/>
            </w:tcBorders>
            <w:tcMar>
              <w:top w:w="30" w:type="dxa"/>
              <w:left w:w="35" w:type="dxa"/>
              <w:bottom w:w="30" w:type="dxa"/>
              <w:right w:w="35" w:type="dxa"/>
            </w:tcMar>
          </w:tcPr>
          <w:p w14:paraId="38E1E6FF">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 xml:space="preserve">Cardiovascular events; </w:t>
            </w:r>
            <w:r>
              <w:rPr>
                <w:rFonts w:hint="eastAsia" w:ascii="Times New Roman" w:hAnsi="Times New Roman" w:eastAsia="宋体"/>
                <w:sz w:val="12"/>
              </w:rPr>
              <w:t>M</w:t>
            </w:r>
            <w:r>
              <w:rPr>
                <w:rFonts w:hint="default" w:ascii="Times New Roman" w:hAnsi="Times New Roman" w:eastAsia="Times New Roman"/>
                <w:sz w:val="12"/>
              </w:rPr>
              <w:t xml:space="preserve">acrovascular complications; </w:t>
            </w:r>
            <w:r>
              <w:rPr>
                <w:rFonts w:hint="eastAsia" w:ascii="Times New Roman" w:hAnsi="Times New Roman" w:eastAsia="宋体"/>
                <w:sz w:val="12"/>
              </w:rPr>
              <w:t>M</w:t>
            </w:r>
            <w:r>
              <w:rPr>
                <w:rFonts w:hint="default" w:ascii="Times New Roman" w:hAnsi="Times New Roman" w:eastAsia="Times New Roman"/>
                <w:sz w:val="12"/>
              </w:rPr>
              <w:t>icrovascular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61DE248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Cardiovascular events: HR 0.71 (95% CI 0.47–1.08); Microvascular complications: HR 0.84 (95% CI 0.72–0.97); Macrovascular complications: HR 1.01 (95% CI 0.83–1.14).</w:t>
            </w:r>
          </w:p>
        </w:tc>
        <w:tc>
          <w:tcPr>
            <w:tcW w:w="333" w:type="pct"/>
            <w:tcBorders>
              <w:left w:val="nil"/>
              <w:bottom w:val="single" w:color="B7B7B7" w:sz="2" w:space="0"/>
              <w:right w:val="nil"/>
            </w:tcBorders>
            <w:tcMar>
              <w:top w:w="30" w:type="dxa"/>
              <w:left w:w="35" w:type="dxa"/>
              <w:bottom w:w="30" w:type="dxa"/>
              <w:right w:w="35" w:type="dxa"/>
            </w:tcMar>
            <w:vAlign w:val="top"/>
          </w:tcPr>
          <w:p w14:paraId="5B494365">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Age, diabetes duration, BMI, eGFR, macroangiopathy, sulfonylurea use, SGLT-2 inhibitor use, insulin use, statin use, and antiplatelet therapy.</w:t>
            </w:r>
          </w:p>
        </w:tc>
        <w:tc>
          <w:tcPr>
            <w:tcW w:w="268" w:type="pct"/>
            <w:tcBorders>
              <w:left w:val="nil"/>
              <w:bottom w:val="single" w:color="B7B7B7" w:sz="2" w:space="0"/>
              <w:right w:val="nil"/>
            </w:tcBorders>
            <w:tcMar>
              <w:top w:w="30" w:type="dxa"/>
              <w:left w:w="35" w:type="dxa"/>
              <w:bottom w:w="30" w:type="dxa"/>
              <w:right w:w="35" w:type="dxa"/>
            </w:tcMar>
            <w:vAlign w:val="top"/>
          </w:tcPr>
          <w:p w14:paraId="2D7A4EFF">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For each remission definition, participants meeting that definition were compared with participants who did not meet the same remission definition during follow-up.</w:t>
            </w:r>
          </w:p>
        </w:tc>
        <w:tc>
          <w:tcPr>
            <w:tcW w:w="505" w:type="pct"/>
            <w:tcBorders>
              <w:left w:val="nil"/>
              <w:bottom w:val="single" w:color="B7B7B7" w:sz="2" w:space="0"/>
              <w:right w:val="nil"/>
            </w:tcBorders>
            <w:tcMar>
              <w:top w:w="30" w:type="dxa"/>
              <w:left w:w="35" w:type="dxa"/>
              <w:bottom w:w="30" w:type="dxa"/>
              <w:right w:w="35" w:type="dxa"/>
            </w:tcMar>
            <w:vAlign w:val="top"/>
          </w:tcPr>
          <w:p w14:paraId="1BF2C1F6">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The index date was initiation of GLP-1 receptor agonist therapy. Remission was identified during post-index follow-up using visits grouped into 3-month intervals, and only the first remission episode was considered. Incident complications were assessed during post-index follow-up; however, the article did not clearly state that outcome risk time was restarted at the date of remission.</w:t>
            </w:r>
          </w:p>
        </w:tc>
        <w:tc>
          <w:tcPr>
            <w:tcW w:w="363" w:type="pct"/>
            <w:tcBorders>
              <w:left w:val="nil"/>
              <w:bottom w:val="single" w:color="B7B7B7" w:sz="2" w:space="0"/>
              <w:right w:val="nil"/>
            </w:tcBorders>
            <w:tcMar>
              <w:top w:w="30" w:type="dxa"/>
              <w:left w:w="35" w:type="dxa"/>
              <w:bottom w:w="30" w:type="dxa"/>
              <w:right w:w="35" w:type="dxa"/>
            </w:tcMar>
            <w:vAlign w:val="top"/>
          </w:tcPr>
          <w:p w14:paraId="44BC21FE">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Cardiovascular events: acute myocardial infarction, stroke or transient ischaemic attack, or revascularisation at any site. Microvascular complications (microangiopathy): new chronic kidney disease, retinopathy or maculopathy, or neuropathy. Macrovascular complications (macroangiopathy): new coronary artery disease, cerebrovascular disease, peripheral arterial disease, or asymptomatic atherosclerosis.</w:t>
            </w:r>
          </w:p>
        </w:tc>
        <w:tc>
          <w:tcPr>
            <w:tcW w:w="333" w:type="pct"/>
            <w:tcBorders>
              <w:left w:val="nil"/>
              <w:bottom w:val="single" w:color="B7B7B7" w:sz="2" w:space="0"/>
              <w:right w:val="nil"/>
            </w:tcBorders>
            <w:tcMar>
              <w:top w:w="30" w:type="dxa"/>
              <w:left w:w="35" w:type="dxa"/>
              <w:bottom w:w="30" w:type="dxa"/>
              <w:right w:w="35" w:type="dxa"/>
            </w:tcMar>
            <w:vAlign w:val="top"/>
          </w:tcPr>
          <w:p w14:paraId="67C09910">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Sustained/confirmed remission</w:t>
            </w:r>
          </w:p>
        </w:tc>
        <w:tc>
          <w:tcPr>
            <w:tcW w:w="333" w:type="pct"/>
            <w:tcBorders>
              <w:left w:val="nil"/>
              <w:bottom w:val="single" w:color="B7B7B7" w:sz="2" w:space="0"/>
              <w:right w:val="nil"/>
            </w:tcBorders>
            <w:tcMar>
              <w:top w:w="30" w:type="dxa"/>
              <w:left w:w="35" w:type="dxa"/>
              <w:bottom w:w="30" w:type="dxa"/>
              <w:right w:w="35" w:type="dxa"/>
            </w:tcMar>
            <w:vAlign w:val="top"/>
          </w:tcPr>
          <w:p w14:paraId="28255110">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 competing-risk analysis was performed; vital status was unavailable, and censoring at the last clinical encounter could reflect either death or loss to follow-up.</w:t>
            </w:r>
          </w:p>
        </w:tc>
      </w:tr>
      <w:tr w14:paraId="6244A5AA">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47265FBD">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Shimayama</w:t>
            </w:r>
            <w:r>
              <w:rPr>
                <w:rFonts w:hint="eastAsia" w:eastAsia="宋体"/>
                <w:sz w:val="12"/>
                <w:vertAlign w:val="superscript"/>
                <w:lang w:val="en-US" w:eastAsia="zh-CN"/>
              </w:rPr>
              <w:t>17</w:t>
            </w:r>
          </w:p>
        </w:tc>
        <w:tc>
          <w:tcPr>
            <w:tcW w:w="108" w:type="pct"/>
            <w:tcBorders>
              <w:left w:val="nil"/>
              <w:bottom w:val="single" w:color="B7B7B7" w:sz="2" w:space="0"/>
              <w:right w:val="nil"/>
            </w:tcBorders>
            <w:tcMar>
              <w:top w:w="30" w:type="dxa"/>
              <w:left w:w="35" w:type="dxa"/>
              <w:bottom w:w="30" w:type="dxa"/>
              <w:right w:w="35" w:type="dxa"/>
            </w:tcMar>
          </w:tcPr>
          <w:p w14:paraId="16EB06BA">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2025</w:t>
            </w:r>
          </w:p>
        </w:tc>
        <w:tc>
          <w:tcPr>
            <w:tcW w:w="169" w:type="pct"/>
            <w:tcBorders>
              <w:left w:val="nil"/>
              <w:bottom w:val="single" w:color="B7B7B7" w:sz="2" w:space="0"/>
              <w:right w:val="nil"/>
            </w:tcBorders>
            <w:tcMar>
              <w:top w:w="30" w:type="dxa"/>
              <w:left w:w="35" w:type="dxa"/>
              <w:bottom w:w="30" w:type="dxa"/>
              <w:right w:w="35" w:type="dxa"/>
            </w:tcMar>
          </w:tcPr>
          <w:p w14:paraId="003CD6D7">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Japan</w:t>
            </w:r>
          </w:p>
        </w:tc>
        <w:tc>
          <w:tcPr>
            <w:tcW w:w="283" w:type="pct"/>
            <w:tcBorders>
              <w:left w:val="nil"/>
              <w:bottom w:val="single" w:color="B7B7B7" w:sz="2" w:space="0"/>
              <w:right w:val="nil"/>
            </w:tcBorders>
            <w:tcMar>
              <w:top w:w="30" w:type="dxa"/>
              <w:left w:w="35" w:type="dxa"/>
              <w:bottom w:w="30" w:type="dxa"/>
              <w:right w:w="35" w:type="dxa"/>
            </w:tcMar>
          </w:tcPr>
          <w:p w14:paraId="2A1D8750">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Retrospective historical cohort using a nationwide claims database (JMDC)</w:t>
            </w:r>
          </w:p>
        </w:tc>
        <w:tc>
          <w:tcPr>
            <w:tcW w:w="251" w:type="pct"/>
            <w:tcBorders>
              <w:left w:val="nil"/>
              <w:bottom w:val="single" w:color="B7B7B7" w:sz="2" w:space="0"/>
              <w:right w:val="nil"/>
            </w:tcBorders>
            <w:tcMar>
              <w:top w:w="30" w:type="dxa"/>
              <w:left w:w="35" w:type="dxa"/>
              <w:bottom w:w="30" w:type="dxa"/>
              <w:right w:w="35" w:type="dxa"/>
            </w:tcMar>
          </w:tcPr>
          <w:p w14:paraId="1439F53C">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20–72 years with type 2 diabetes at the first health check-up, no prior coronary artery disease or stroke, and &gt;3 years of follow-up</w:t>
            </w:r>
          </w:p>
        </w:tc>
        <w:tc>
          <w:tcPr>
            <w:tcW w:w="203" w:type="pct"/>
            <w:tcBorders>
              <w:left w:val="nil"/>
              <w:bottom w:val="single" w:color="B7B7B7" w:sz="2" w:space="0"/>
              <w:right w:val="nil"/>
            </w:tcBorders>
            <w:tcMar>
              <w:top w:w="30" w:type="dxa"/>
              <w:left w:w="35" w:type="dxa"/>
              <w:bottom w:w="30" w:type="dxa"/>
              <w:right w:w="35" w:type="dxa"/>
            </w:tcMar>
          </w:tcPr>
          <w:p w14:paraId="0C696114">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18,058 with diabetes at baseline</w:t>
            </w:r>
          </w:p>
        </w:tc>
        <w:tc>
          <w:tcPr>
            <w:tcW w:w="250" w:type="pct"/>
            <w:tcBorders>
              <w:left w:val="nil"/>
              <w:bottom w:val="single" w:color="B7B7B7" w:sz="2" w:space="0"/>
              <w:right w:val="nil"/>
            </w:tcBorders>
            <w:tcMar>
              <w:top w:w="30" w:type="dxa"/>
              <w:left w:w="35" w:type="dxa"/>
              <w:bottom w:w="30" w:type="dxa"/>
              <w:right w:w="35" w:type="dxa"/>
            </w:tcMar>
          </w:tcPr>
          <w:p w14:paraId="12A1CB06">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No remission: 51 (46–55); remission: 50 (44–55)</w:t>
            </w:r>
          </w:p>
        </w:tc>
        <w:tc>
          <w:tcPr>
            <w:tcW w:w="219" w:type="pct"/>
            <w:tcBorders>
              <w:left w:val="nil"/>
              <w:bottom w:val="single" w:color="B7B7B7" w:sz="2" w:space="0"/>
              <w:right w:val="nil"/>
            </w:tcBorders>
            <w:tcMar>
              <w:top w:w="30" w:type="dxa"/>
              <w:left w:w="35" w:type="dxa"/>
              <w:bottom w:w="30" w:type="dxa"/>
              <w:right w:w="35" w:type="dxa"/>
            </w:tcMar>
          </w:tcPr>
          <w:p w14:paraId="3F053004">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No remission: 13.35; remission: 13.64</w:t>
            </w:r>
          </w:p>
        </w:tc>
        <w:tc>
          <w:tcPr>
            <w:tcW w:w="292" w:type="pct"/>
            <w:tcBorders>
              <w:left w:val="nil"/>
              <w:bottom w:val="single" w:color="B7B7B7" w:sz="2" w:space="0"/>
              <w:right w:val="nil"/>
            </w:tcBorders>
            <w:tcMar>
              <w:top w:w="30" w:type="dxa"/>
              <w:left w:w="35" w:type="dxa"/>
              <w:bottom w:w="30" w:type="dxa"/>
              <w:right w:w="35" w:type="dxa"/>
            </w:tcMar>
          </w:tcPr>
          <w:p w14:paraId="27B8A5E6">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HbA1c &lt;6.5% and no diabetes medication at the second annual check-up; a single-assessment epidemiological surrogate definition.</w:t>
            </w:r>
          </w:p>
        </w:tc>
        <w:tc>
          <w:tcPr>
            <w:tcW w:w="198" w:type="pct"/>
            <w:tcBorders>
              <w:left w:val="nil"/>
              <w:bottom w:val="single" w:color="B7B7B7" w:sz="2" w:space="0"/>
              <w:right w:val="nil"/>
            </w:tcBorders>
            <w:tcMar>
              <w:top w:w="30" w:type="dxa"/>
              <w:left w:w="35" w:type="dxa"/>
              <w:bottom w:w="30" w:type="dxa"/>
              <w:right w:w="35" w:type="dxa"/>
            </w:tcMar>
          </w:tcPr>
          <w:p w14:paraId="585A1929">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Median 5.0 years</w:t>
            </w:r>
          </w:p>
        </w:tc>
        <w:tc>
          <w:tcPr>
            <w:tcW w:w="364" w:type="pct"/>
            <w:tcBorders>
              <w:left w:val="nil"/>
              <w:bottom w:val="single" w:color="B7B7B7" w:sz="2" w:space="0"/>
              <w:right w:val="nil"/>
            </w:tcBorders>
            <w:tcMar>
              <w:top w:w="30" w:type="dxa"/>
              <w:left w:w="35" w:type="dxa"/>
              <w:bottom w:w="30" w:type="dxa"/>
              <w:right w:w="35" w:type="dxa"/>
            </w:tcMar>
          </w:tcPr>
          <w:p w14:paraId="6A336873">
            <w:pPr>
              <w:keepNext w:val="0"/>
              <w:keepLines w:val="0"/>
              <w:widowControl/>
              <w:suppressLineNumbers w:val="0"/>
              <w:spacing w:before="0" w:beforeAutospacing="0" w:after="0" w:afterAutospacing="0" w:line="221" w:lineRule="auto"/>
              <w:ind w:left="0" w:right="0"/>
              <w:jc w:val="left"/>
              <w:rPr>
                <w:rFonts w:hint="default" w:eastAsia="宋体"/>
              </w:rPr>
            </w:pPr>
            <w:r>
              <w:rPr>
                <w:rFonts w:hint="default" w:ascii="Times New Roman" w:hAnsi="Times New Roman" w:eastAsia="Times New Roman"/>
                <w:sz w:val="12"/>
              </w:rPr>
              <w:t>Cardiovascular events</w:t>
            </w:r>
            <w:r>
              <w:rPr>
                <w:rFonts w:hint="eastAsia" w:ascii="Times New Roman" w:hAnsi="Times New Roman" w:eastAsia="宋体"/>
                <w:sz w:val="12"/>
              </w:rPr>
              <w:t xml:space="preserve">; </w:t>
            </w:r>
            <w:r>
              <w:rPr>
                <w:rFonts w:hint="default" w:ascii="Times New Roman" w:hAnsi="Times New Roman" w:eastAsia="Times New Roman"/>
                <w:sz w:val="12"/>
              </w:rPr>
              <w:t>Macrovascular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6FA65F4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Cardiovascular events: HR 0.71 (95% CI 0.57–0.89) (the same CVD estimate also contributed to the submitted broader macrovascular analysis).</w:t>
            </w:r>
          </w:p>
        </w:tc>
        <w:tc>
          <w:tcPr>
            <w:tcW w:w="333" w:type="pct"/>
            <w:tcBorders>
              <w:left w:val="nil"/>
              <w:bottom w:val="single" w:color="B7B7B7" w:sz="2" w:space="0"/>
              <w:right w:val="nil"/>
            </w:tcBorders>
            <w:tcMar>
              <w:top w:w="30" w:type="dxa"/>
              <w:left w:w="35" w:type="dxa"/>
              <w:bottom w:w="30" w:type="dxa"/>
              <w:right w:w="35" w:type="dxa"/>
            </w:tcMar>
            <w:vAlign w:val="top"/>
          </w:tcPr>
          <w:p w14:paraId="181EBE0A">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Age, sex, current smoking, BMI, systolic blood pressure, LDL-C, HDL-C, antihypertensive drug therapy, and dyslipidemic drug therapy.</w:t>
            </w:r>
          </w:p>
        </w:tc>
        <w:tc>
          <w:tcPr>
            <w:tcW w:w="268" w:type="pct"/>
            <w:tcBorders>
              <w:left w:val="nil"/>
              <w:bottom w:val="single" w:color="B7B7B7" w:sz="2" w:space="0"/>
              <w:right w:val="nil"/>
            </w:tcBorders>
            <w:tcMar>
              <w:top w:w="30" w:type="dxa"/>
              <w:left w:w="35" w:type="dxa"/>
              <w:bottom w:w="30" w:type="dxa"/>
              <w:right w:w="35" w:type="dxa"/>
            </w:tcMar>
            <w:vAlign w:val="top"/>
          </w:tcPr>
          <w:p w14:paraId="601019E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DM+/remission was compared with DM+/no remission; the comparator had diabetes at the first check-up and did not meet remission criteria at the second check-up.</w:t>
            </w:r>
          </w:p>
        </w:tc>
        <w:tc>
          <w:tcPr>
            <w:tcW w:w="505" w:type="pct"/>
            <w:tcBorders>
              <w:left w:val="nil"/>
              <w:bottom w:val="single" w:color="B7B7B7" w:sz="2" w:space="0"/>
              <w:right w:val="nil"/>
            </w:tcBorders>
            <w:tcMar>
              <w:top w:w="30" w:type="dxa"/>
              <w:left w:w="35" w:type="dxa"/>
              <w:bottom w:w="30" w:type="dxa"/>
              <w:right w:w="35" w:type="dxa"/>
            </w:tcMar>
            <w:vAlign w:val="top"/>
          </w:tcPr>
          <w:p w14:paraId="4094FFE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Diabetes status was defined at the first health check-up, and remission was assessed at the second check-up approximately 1 year later. This 1-year period served as the baseline classification window. Remission was treated as a fixed exposure thereafter; the exact calendar time origin for outcome follow-up was not explicitly stated.</w:t>
            </w:r>
          </w:p>
        </w:tc>
        <w:tc>
          <w:tcPr>
            <w:tcW w:w="363" w:type="pct"/>
            <w:tcBorders>
              <w:left w:val="nil"/>
              <w:bottom w:val="single" w:color="B7B7B7" w:sz="2" w:space="0"/>
              <w:right w:val="nil"/>
            </w:tcBorders>
            <w:tcMar>
              <w:top w:w="30" w:type="dxa"/>
              <w:left w:w="35" w:type="dxa"/>
              <w:bottom w:w="30" w:type="dxa"/>
              <w:right w:w="35" w:type="dxa"/>
            </w:tcMar>
            <w:vAlign w:val="top"/>
          </w:tcPr>
          <w:p w14:paraId="40EACB2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Cardiovascular disease: composite of coronary artery disease and stroke, identified using claims-based ICD-10 and relevant procedure codes.</w:t>
            </w:r>
          </w:p>
        </w:tc>
        <w:tc>
          <w:tcPr>
            <w:tcW w:w="333" w:type="pct"/>
            <w:tcBorders>
              <w:left w:val="nil"/>
              <w:bottom w:val="single" w:color="B7B7B7" w:sz="2" w:space="0"/>
              <w:right w:val="nil"/>
            </w:tcBorders>
            <w:tcMar>
              <w:top w:w="30" w:type="dxa"/>
              <w:left w:w="35" w:type="dxa"/>
              <w:bottom w:w="30" w:type="dxa"/>
              <w:right w:w="35" w:type="dxa"/>
            </w:tcMar>
            <w:vAlign w:val="top"/>
          </w:tcPr>
          <w:p w14:paraId="4B97ABF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Single-time-point surrogate definition</w:t>
            </w:r>
          </w:p>
        </w:tc>
        <w:tc>
          <w:tcPr>
            <w:tcW w:w="333" w:type="pct"/>
            <w:tcBorders>
              <w:left w:val="nil"/>
              <w:bottom w:val="single" w:color="B7B7B7" w:sz="2" w:space="0"/>
              <w:right w:val="nil"/>
            </w:tcBorders>
            <w:tcMar>
              <w:top w:w="30" w:type="dxa"/>
              <w:left w:w="35" w:type="dxa"/>
              <w:bottom w:w="30" w:type="dxa"/>
              <w:right w:w="35" w:type="dxa"/>
            </w:tcMar>
            <w:vAlign w:val="top"/>
          </w:tcPr>
          <w:p w14:paraId="50D1377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Not Report</w:t>
            </w:r>
          </w:p>
        </w:tc>
      </w:tr>
      <w:tr w14:paraId="5F34E7F9">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1D21D07C">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Wu</w:t>
            </w:r>
            <w:r>
              <w:rPr>
                <w:rFonts w:hint="eastAsia" w:eastAsia="宋体"/>
                <w:sz w:val="12"/>
                <w:vertAlign w:val="superscript"/>
                <w:lang w:val="en-US" w:eastAsia="zh-CN"/>
              </w:rPr>
              <w:t>18</w:t>
            </w:r>
          </w:p>
        </w:tc>
        <w:tc>
          <w:tcPr>
            <w:tcW w:w="108" w:type="pct"/>
            <w:tcBorders>
              <w:left w:val="nil"/>
              <w:bottom w:val="single" w:color="B7B7B7" w:sz="2" w:space="0"/>
              <w:right w:val="nil"/>
            </w:tcBorders>
            <w:tcMar>
              <w:top w:w="30" w:type="dxa"/>
              <w:left w:w="35" w:type="dxa"/>
              <w:bottom w:w="30" w:type="dxa"/>
              <w:right w:w="35" w:type="dxa"/>
            </w:tcMar>
          </w:tcPr>
          <w:p w14:paraId="09C2E309">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2024</w:t>
            </w:r>
          </w:p>
        </w:tc>
        <w:tc>
          <w:tcPr>
            <w:tcW w:w="169" w:type="pct"/>
            <w:tcBorders>
              <w:left w:val="nil"/>
              <w:bottom w:val="single" w:color="B7B7B7" w:sz="2" w:space="0"/>
              <w:right w:val="nil"/>
            </w:tcBorders>
            <w:tcMar>
              <w:top w:w="30" w:type="dxa"/>
              <w:left w:w="35" w:type="dxa"/>
              <w:bottom w:w="30" w:type="dxa"/>
              <w:right w:w="35" w:type="dxa"/>
            </w:tcMar>
          </w:tcPr>
          <w:p w14:paraId="2500A255">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China</w:t>
            </w:r>
          </w:p>
        </w:tc>
        <w:tc>
          <w:tcPr>
            <w:tcW w:w="283" w:type="pct"/>
            <w:tcBorders>
              <w:left w:val="nil"/>
              <w:bottom w:val="single" w:color="B7B7B7" w:sz="2" w:space="0"/>
              <w:right w:val="nil"/>
            </w:tcBorders>
            <w:tcMar>
              <w:top w:w="30" w:type="dxa"/>
              <w:left w:w="35" w:type="dxa"/>
              <w:bottom w:w="30" w:type="dxa"/>
              <w:right w:w="35" w:type="dxa"/>
            </w:tcMar>
          </w:tcPr>
          <w:p w14:paraId="67CF482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Population-based cohort using territory-wide electronic medical records (RAMP-DM)</w:t>
            </w:r>
          </w:p>
        </w:tc>
        <w:tc>
          <w:tcPr>
            <w:tcW w:w="251" w:type="pct"/>
            <w:tcBorders>
              <w:left w:val="nil"/>
              <w:bottom w:val="single" w:color="B7B7B7" w:sz="2" w:space="0"/>
              <w:right w:val="nil"/>
            </w:tcBorders>
            <w:tcMar>
              <w:top w:w="30" w:type="dxa"/>
              <w:left w:w="35" w:type="dxa"/>
              <w:bottom w:w="30" w:type="dxa"/>
              <w:right w:w="35" w:type="dxa"/>
            </w:tcMar>
          </w:tcPr>
          <w:p w14:paraId="3CB3DEC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18–75 years with newly diagnosed type 2 diabetes and no major baseline cardiovascular, cancer, renal, or insulin-related exclusions</w:t>
            </w:r>
          </w:p>
        </w:tc>
        <w:tc>
          <w:tcPr>
            <w:tcW w:w="203" w:type="pct"/>
            <w:tcBorders>
              <w:left w:val="nil"/>
              <w:bottom w:val="single" w:color="B7B7B7" w:sz="2" w:space="0"/>
              <w:right w:val="nil"/>
            </w:tcBorders>
            <w:tcMar>
              <w:top w:w="30" w:type="dxa"/>
              <w:left w:w="35" w:type="dxa"/>
              <w:bottom w:w="30" w:type="dxa"/>
              <w:right w:w="35" w:type="dxa"/>
            </w:tcMar>
          </w:tcPr>
          <w:p w14:paraId="2D1780C2">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37,326</w:t>
            </w:r>
          </w:p>
        </w:tc>
        <w:tc>
          <w:tcPr>
            <w:tcW w:w="250" w:type="pct"/>
            <w:tcBorders>
              <w:left w:val="nil"/>
              <w:bottom w:val="single" w:color="B7B7B7" w:sz="2" w:space="0"/>
              <w:right w:val="nil"/>
            </w:tcBorders>
            <w:tcMar>
              <w:top w:w="30" w:type="dxa"/>
              <w:left w:w="35" w:type="dxa"/>
              <w:bottom w:w="30" w:type="dxa"/>
              <w:right w:w="35" w:type="dxa"/>
            </w:tcMar>
          </w:tcPr>
          <w:p w14:paraId="609E970D">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56.6 (SD 9.9)</w:t>
            </w:r>
          </w:p>
        </w:tc>
        <w:tc>
          <w:tcPr>
            <w:tcW w:w="219" w:type="pct"/>
            <w:tcBorders>
              <w:left w:val="nil"/>
              <w:bottom w:val="single" w:color="B7B7B7" w:sz="2" w:space="0"/>
              <w:right w:val="nil"/>
            </w:tcBorders>
            <w:tcMar>
              <w:top w:w="30" w:type="dxa"/>
              <w:left w:w="35" w:type="dxa"/>
              <w:bottom w:w="30" w:type="dxa"/>
              <w:right w:w="35" w:type="dxa"/>
            </w:tcMar>
          </w:tcPr>
          <w:p w14:paraId="39B242D5">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49.5</w:t>
            </w:r>
          </w:p>
        </w:tc>
        <w:tc>
          <w:tcPr>
            <w:tcW w:w="292" w:type="pct"/>
            <w:tcBorders>
              <w:left w:val="nil"/>
              <w:bottom w:val="single" w:color="B7B7B7" w:sz="2" w:space="0"/>
              <w:right w:val="nil"/>
            </w:tcBorders>
            <w:tcMar>
              <w:top w:w="30" w:type="dxa"/>
              <w:left w:w="35" w:type="dxa"/>
              <w:bottom w:w="30" w:type="dxa"/>
              <w:right w:w="35" w:type="dxa"/>
            </w:tcMar>
          </w:tcPr>
          <w:p w14:paraId="1489A544">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At least two consecutive HbA1c values &lt;6.5% at least 6 months apart, without glucose-lowering drugs between measurements and for at least 3 months before the first qualifying value.</w:t>
            </w:r>
          </w:p>
        </w:tc>
        <w:tc>
          <w:tcPr>
            <w:tcW w:w="198" w:type="pct"/>
            <w:tcBorders>
              <w:left w:val="nil"/>
              <w:bottom w:val="single" w:color="B7B7B7" w:sz="2" w:space="0"/>
              <w:right w:val="nil"/>
            </w:tcBorders>
            <w:tcMar>
              <w:top w:w="30" w:type="dxa"/>
              <w:left w:w="35" w:type="dxa"/>
              <w:bottom w:w="30" w:type="dxa"/>
              <w:right w:w="35" w:type="dxa"/>
            </w:tcMar>
          </w:tcPr>
          <w:p w14:paraId="5E7187A7">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Median 7.9 years (IQR 5.0–10.4) for mortality</w:t>
            </w:r>
          </w:p>
        </w:tc>
        <w:tc>
          <w:tcPr>
            <w:tcW w:w="364" w:type="pct"/>
            <w:tcBorders>
              <w:left w:val="nil"/>
              <w:bottom w:val="single" w:color="B7B7B7" w:sz="2" w:space="0"/>
              <w:right w:val="nil"/>
            </w:tcBorders>
            <w:tcMar>
              <w:top w:w="30" w:type="dxa"/>
              <w:left w:w="35" w:type="dxa"/>
              <w:bottom w:w="30" w:type="dxa"/>
              <w:right w:w="35" w:type="dxa"/>
            </w:tcMar>
          </w:tcPr>
          <w:p w14:paraId="28463BC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All-cause mortality</w:t>
            </w:r>
          </w:p>
        </w:tc>
        <w:tc>
          <w:tcPr>
            <w:tcW w:w="250" w:type="pct"/>
            <w:tcBorders>
              <w:left w:val="nil"/>
              <w:bottom w:val="single" w:color="B7B7B7" w:sz="2" w:space="0"/>
              <w:right w:val="nil"/>
            </w:tcBorders>
            <w:tcMar>
              <w:top w:w="30" w:type="dxa"/>
              <w:left w:w="35" w:type="dxa"/>
              <w:bottom w:w="30" w:type="dxa"/>
              <w:right w:w="35" w:type="dxa"/>
            </w:tcMar>
            <w:vAlign w:val="top"/>
          </w:tcPr>
          <w:p w14:paraId="28AF37C6">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All-cause mortality: HR 0.69 (95% CI 0.52–0.93).</w:t>
            </w:r>
          </w:p>
        </w:tc>
        <w:tc>
          <w:tcPr>
            <w:tcW w:w="333" w:type="pct"/>
            <w:tcBorders>
              <w:left w:val="nil"/>
              <w:bottom w:val="single" w:color="B7B7B7" w:sz="2" w:space="0"/>
              <w:right w:val="nil"/>
            </w:tcBorders>
            <w:tcMar>
              <w:top w:w="30" w:type="dxa"/>
              <w:left w:w="35" w:type="dxa"/>
              <w:bottom w:w="30" w:type="dxa"/>
              <w:right w:w="35" w:type="dxa"/>
            </w:tcMar>
            <w:vAlign w:val="top"/>
          </w:tcPr>
          <w:p w14:paraId="59DD0AE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1-year weight change, age at diabetes diagnosis, sex, assessment year, BMI, waist circumference, HbA1c, systolic blood pressure, LDL-C, HDL-C, triglycerides, eGFR, smoking, alcohol drinking, oral GLD use, blood pressure-lowering drug use, lipid-lowering drug use, and diabetes duration.</w:t>
            </w:r>
          </w:p>
        </w:tc>
        <w:tc>
          <w:tcPr>
            <w:tcW w:w="268" w:type="pct"/>
            <w:tcBorders>
              <w:left w:val="nil"/>
              <w:bottom w:val="single" w:color="B7B7B7" w:sz="2" w:space="0"/>
              <w:right w:val="nil"/>
            </w:tcBorders>
            <w:tcMar>
              <w:top w:w="30" w:type="dxa"/>
              <w:left w:w="35" w:type="dxa"/>
              <w:bottom w:w="30" w:type="dxa"/>
              <w:right w:w="35" w:type="dxa"/>
            </w:tcMar>
            <w:vAlign w:val="top"/>
          </w:tcPr>
          <w:p w14:paraId="4628A4F1">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Participants who achieved incident diabetes remission were compared with participants who did not achieve remission during follow-up.</w:t>
            </w:r>
          </w:p>
        </w:tc>
        <w:tc>
          <w:tcPr>
            <w:tcW w:w="505" w:type="pct"/>
            <w:tcBorders>
              <w:left w:val="nil"/>
              <w:bottom w:val="single" w:color="B7B7B7" w:sz="2" w:space="0"/>
              <w:right w:val="nil"/>
            </w:tcBorders>
            <w:tcMar>
              <w:top w:w="30" w:type="dxa"/>
              <w:left w:w="35" w:type="dxa"/>
              <w:bottom w:w="30" w:type="dxa"/>
              <w:right w:w="35" w:type="dxa"/>
            </w:tcMar>
            <w:vAlign w:val="top"/>
          </w:tcPr>
          <w:p w14:paraId="36DDC6C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was confirmed by two consecutive HbA1c measurements &lt;6.5% at least 6 months apart, and the date of the first qualifying HbA1c measurement was defined as the incident remission date. For the mortality analysis, participants with remission were followed from the date of remission, whereas those without remission were followed from the baseline RAMP-DM assessment.</w:t>
            </w:r>
          </w:p>
        </w:tc>
        <w:tc>
          <w:tcPr>
            <w:tcW w:w="363" w:type="pct"/>
            <w:tcBorders>
              <w:left w:val="nil"/>
              <w:bottom w:val="single" w:color="B7B7B7" w:sz="2" w:space="0"/>
              <w:right w:val="nil"/>
            </w:tcBorders>
            <w:tcMar>
              <w:top w:w="30" w:type="dxa"/>
              <w:left w:w="35" w:type="dxa"/>
              <w:bottom w:w="30" w:type="dxa"/>
              <w:right w:w="35" w:type="dxa"/>
            </w:tcMar>
            <w:vAlign w:val="top"/>
          </w:tcPr>
          <w:p w14:paraId="2ABB63DF">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All-cause mortality: death from any cause recorded in the Hong Kong Hospital Authority electronic medical record system.</w:t>
            </w:r>
          </w:p>
        </w:tc>
        <w:tc>
          <w:tcPr>
            <w:tcW w:w="333" w:type="pct"/>
            <w:tcBorders>
              <w:left w:val="nil"/>
              <w:bottom w:val="single" w:color="B7B7B7" w:sz="2" w:space="0"/>
              <w:right w:val="nil"/>
            </w:tcBorders>
            <w:tcMar>
              <w:top w:w="30" w:type="dxa"/>
              <w:left w:w="35" w:type="dxa"/>
              <w:bottom w:w="30" w:type="dxa"/>
              <w:right w:w="35" w:type="dxa"/>
            </w:tcMar>
            <w:vAlign w:val="top"/>
          </w:tcPr>
          <w:p w14:paraId="24E06BC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Sustained/confirmed remission</w:t>
            </w:r>
          </w:p>
        </w:tc>
        <w:tc>
          <w:tcPr>
            <w:tcW w:w="333" w:type="pct"/>
            <w:tcBorders>
              <w:left w:val="nil"/>
              <w:bottom w:val="single" w:color="B7B7B7" w:sz="2" w:space="0"/>
              <w:right w:val="nil"/>
            </w:tcBorders>
            <w:tcMar>
              <w:top w:w="30" w:type="dxa"/>
              <w:left w:w="35" w:type="dxa"/>
              <w:bottom w:w="30" w:type="dxa"/>
              <w:right w:w="35" w:type="dxa"/>
            </w:tcMar>
            <w:vAlign w:val="top"/>
          </w:tcPr>
          <w:p w14:paraId="5083BB5E">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Cause-specific mortality was analysed using conventional Cox proportional-hazards models; competing-risk handling was not reported.</w:t>
            </w:r>
          </w:p>
        </w:tc>
      </w:tr>
      <w:tr w14:paraId="42B2BC64">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23BE4D92">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Gregg</w:t>
            </w:r>
            <w:r>
              <w:rPr>
                <w:rFonts w:hint="eastAsia" w:eastAsia="宋体"/>
                <w:sz w:val="12"/>
                <w:vertAlign w:val="superscript"/>
                <w:lang w:val="en-US" w:eastAsia="zh-CN"/>
              </w:rPr>
              <w:t>11</w:t>
            </w:r>
          </w:p>
        </w:tc>
        <w:tc>
          <w:tcPr>
            <w:tcW w:w="108" w:type="pct"/>
            <w:tcBorders>
              <w:left w:val="nil"/>
              <w:bottom w:val="single" w:color="B7B7B7" w:sz="2" w:space="0"/>
              <w:right w:val="nil"/>
            </w:tcBorders>
            <w:tcMar>
              <w:top w:w="30" w:type="dxa"/>
              <w:left w:w="35" w:type="dxa"/>
              <w:bottom w:w="30" w:type="dxa"/>
              <w:right w:w="35" w:type="dxa"/>
            </w:tcMar>
          </w:tcPr>
          <w:p w14:paraId="2D7F8CF7">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2024</w:t>
            </w:r>
          </w:p>
        </w:tc>
        <w:tc>
          <w:tcPr>
            <w:tcW w:w="169" w:type="pct"/>
            <w:tcBorders>
              <w:left w:val="nil"/>
              <w:bottom w:val="single" w:color="B7B7B7" w:sz="2" w:space="0"/>
              <w:right w:val="nil"/>
            </w:tcBorders>
            <w:tcMar>
              <w:top w:w="30" w:type="dxa"/>
              <w:left w:w="35" w:type="dxa"/>
              <w:bottom w:w="30" w:type="dxa"/>
              <w:right w:w="35" w:type="dxa"/>
            </w:tcMar>
          </w:tcPr>
          <w:p w14:paraId="79FB452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United States</w:t>
            </w:r>
          </w:p>
        </w:tc>
        <w:tc>
          <w:tcPr>
            <w:tcW w:w="283" w:type="pct"/>
            <w:tcBorders>
              <w:left w:val="nil"/>
              <w:bottom w:val="single" w:color="B7B7B7" w:sz="2" w:space="0"/>
              <w:right w:val="nil"/>
            </w:tcBorders>
            <w:tcMar>
              <w:top w:w="30" w:type="dxa"/>
              <w:left w:w="35" w:type="dxa"/>
              <w:bottom w:w="30" w:type="dxa"/>
              <w:right w:w="35" w:type="dxa"/>
            </w:tcMar>
          </w:tcPr>
          <w:p w14:paraId="419E1E7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Post hoc observational analysis of a multicentre randomised trial (Look AHEAD)</w:t>
            </w:r>
          </w:p>
        </w:tc>
        <w:tc>
          <w:tcPr>
            <w:tcW w:w="251" w:type="pct"/>
            <w:tcBorders>
              <w:left w:val="nil"/>
              <w:bottom w:val="single" w:color="B7B7B7" w:sz="2" w:space="0"/>
              <w:right w:val="nil"/>
            </w:tcBorders>
            <w:tcMar>
              <w:top w:w="30" w:type="dxa"/>
              <w:left w:w="35" w:type="dxa"/>
              <w:bottom w:w="30" w:type="dxa"/>
              <w:right w:w="35" w:type="dxa"/>
            </w:tcMar>
          </w:tcPr>
          <w:p w14:paraId="4498A6C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45–76 years with type 2 diabetes and overweight or obesity</w:t>
            </w:r>
          </w:p>
        </w:tc>
        <w:tc>
          <w:tcPr>
            <w:tcW w:w="203" w:type="pct"/>
            <w:tcBorders>
              <w:left w:val="nil"/>
              <w:bottom w:val="single" w:color="B7B7B7" w:sz="2" w:space="0"/>
              <w:right w:val="nil"/>
            </w:tcBorders>
            <w:tcMar>
              <w:top w:w="30" w:type="dxa"/>
              <w:left w:w="35" w:type="dxa"/>
              <w:bottom w:w="30" w:type="dxa"/>
              <w:right w:w="35" w:type="dxa"/>
            </w:tcMar>
          </w:tcPr>
          <w:p w14:paraId="6F6DAD6C">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4,132</w:t>
            </w:r>
          </w:p>
        </w:tc>
        <w:tc>
          <w:tcPr>
            <w:tcW w:w="250" w:type="pct"/>
            <w:tcBorders>
              <w:left w:val="nil"/>
              <w:bottom w:val="single" w:color="B7B7B7" w:sz="2" w:space="0"/>
              <w:right w:val="nil"/>
            </w:tcBorders>
            <w:tcMar>
              <w:top w:w="30" w:type="dxa"/>
              <w:left w:w="35" w:type="dxa"/>
              <w:bottom w:w="30" w:type="dxa"/>
              <w:right w:w="35" w:type="dxa"/>
            </w:tcMar>
          </w:tcPr>
          <w:p w14:paraId="7AD902C8">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Mean 59</w:t>
            </w:r>
          </w:p>
        </w:tc>
        <w:tc>
          <w:tcPr>
            <w:tcW w:w="219" w:type="pct"/>
            <w:tcBorders>
              <w:left w:val="nil"/>
              <w:bottom w:val="single" w:color="B7B7B7" w:sz="2" w:space="0"/>
              <w:right w:val="nil"/>
            </w:tcBorders>
            <w:tcMar>
              <w:top w:w="30" w:type="dxa"/>
              <w:left w:w="35" w:type="dxa"/>
              <w:bottom w:w="30" w:type="dxa"/>
              <w:right w:w="35" w:type="dxa"/>
            </w:tcMar>
          </w:tcPr>
          <w:p w14:paraId="015424BF">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58.0</w:t>
            </w:r>
          </w:p>
        </w:tc>
        <w:tc>
          <w:tcPr>
            <w:tcW w:w="292" w:type="pct"/>
            <w:tcBorders>
              <w:left w:val="nil"/>
              <w:bottom w:val="single" w:color="B7B7B7" w:sz="2" w:space="0"/>
              <w:right w:val="nil"/>
            </w:tcBorders>
            <w:tcMar>
              <w:top w:w="30" w:type="dxa"/>
              <w:left w:w="35" w:type="dxa"/>
              <w:bottom w:w="30" w:type="dxa"/>
              <w:right w:w="35" w:type="dxa"/>
            </w:tcMar>
          </w:tcPr>
          <w:p w14:paraId="776E8AAE">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HbA1c &lt;6.5% without glucose-lowering medication at a single follow-up visit; an epidemiological surrogate definition.</w:t>
            </w:r>
          </w:p>
        </w:tc>
        <w:tc>
          <w:tcPr>
            <w:tcW w:w="198" w:type="pct"/>
            <w:tcBorders>
              <w:left w:val="nil"/>
              <w:bottom w:val="single" w:color="B7B7B7" w:sz="2" w:space="0"/>
              <w:right w:val="nil"/>
            </w:tcBorders>
            <w:tcMar>
              <w:top w:w="30" w:type="dxa"/>
              <w:left w:w="35" w:type="dxa"/>
              <w:bottom w:w="30" w:type="dxa"/>
              <w:right w:w="35" w:type="dxa"/>
            </w:tcMar>
          </w:tcPr>
          <w:p w14:paraId="4E073767">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12-year follow-up; median 10.2 years</w:t>
            </w:r>
          </w:p>
        </w:tc>
        <w:tc>
          <w:tcPr>
            <w:tcW w:w="364" w:type="pct"/>
            <w:tcBorders>
              <w:left w:val="nil"/>
              <w:bottom w:val="single" w:color="B7B7B7" w:sz="2" w:space="0"/>
              <w:right w:val="nil"/>
            </w:tcBorders>
            <w:tcMar>
              <w:top w:w="30" w:type="dxa"/>
              <w:left w:w="35" w:type="dxa"/>
              <w:bottom w:w="30" w:type="dxa"/>
              <w:right w:w="35" w:type="dxa"/>
            </w:tcMar>
          </w:tcPr>
          <w:p w14:paraId="3EFE0704">
            <w:pPr>
              <w:keepNext w:val="0"/>
              <w:keepLines w:val="0"/>
              <w:widowControl/>
              <w:suppressLineNumbers w:val="0"/>
              <w:spacing w:before="0" w:beforeAutospacing="0" w:after="0" w:afterAutospacing="0" w:line="221" w:lineRule="auto"/>
              <w:ind w:left="0" w:right="0"/>
              <w:jc w:val="left"/>
              <w:rPr>
                <w:rFonts w:hint="default" w:eastAsia="宋体"/>
              </w:rPr>
            </w:pPr>
            <w:r>
              <w:rPr>
                <w:rFonts w:hint="default" w:ascii="Times New Roman" w:hAnsi="Times New Roman" w:eastAsia="Times New Roman"/>
                <w:sz w:val="12"/>
              </w:rPr>
              <w:t>Cardiovascular events</w:t>
            </w:r>
            <w:r>
              <w:rPr>
                <w:rFonts w:hint="eastAsia" w:ascii="Times New Roman" w:hAnsi="Times New Roman" w:eastAsia="宋体"/>
                <w:sz w:val="12"/>
              </w:rPr>
              <w:t xml:space="preserve">; </w:t>
            </w:r>
            <w:r>
              <w:rPr>
                <w:rFonts w:hint="default" w:ascii="Times New Roman" w:hAnsi="Times New Roman" w:eastAsia="Times New Roman"/>
                <w:sz w:val="12"/>
              </w:rPr>
              <w:t>Macrovascular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605ACDF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Cardiovascular events: HR 0.60 (95% CI 0.47–0.79) (the same CVD estimate also contributed to the submitted broader macrovascular analysis).</w:t>
            </w:r>
          </w:p>
        </w:tc>
        <w:tc>
          <w:tcPr>
            <w:tcW w:w="333" w:type="pct"/>
            <w:tcBorders>
              <w:left w:val="nil"/>
              <w:bottom w:val="single" w:color="B7B7B7" w:sz="2" w:space="0"/>
              <w:right w:val="nil"/>
            </w:tcBorders>
            <w:tcMar>
              <w:top w:w="30" w:type="dxa"/>
              <w:left w:w="35" w:type="dxa"/>
              <w:bottom w:w="30" w:type="dxa"/>
              <w:right w:w="35" w:type="dxa"/>
            </w:tcMar>
            <w:vAlign w:val="top"/>
          </w:tcPr>
          <w:p w14:paraId="6519E391">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Baseline mean blood pressure, history of cardiovascular disease, diabetes duration, HbA1c, and intervention arm.</w:t>
            </w:r>
          </w:p>
        </w:tc>
        <w:tc>
          <w:tcPr>
            <w:tcW w:w="268" w:type="pct"/>
            <w:tcBorders>
              <w:left w:val="nil"/>
              <w:bottom w:val="single" w:color="B7B7B7" w:sz="2" w:space="0"/>
              <w:right w:val="nil"/>
            </w:tcBorders>
            <w:tcMar>
              <w:top w:w="30" w:type="dxa"/>
              <w:left w:w="35" w:type="dxa"/>
              <w:bottom w:w="30" w:type="dxa"/>
              <w:right w:w="35" w:type="dxa"/>
            </w:tcMar>
            <w:vAlign w:val="top"/>
          </w:tcPr>
          <w:p w14:paraId="4D548E0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Participants with any documented remission before the first CVD event were compared with participants with no remission before the event/during follow-up.</w:t>
            </w:r>
          </w:p>
        </w:tc>
        <w:tc>
          <w:tcPr>
            <w:tcW w:w="505" w:type="pct"/>
            <w:tcBorders>
              <w:left w:val="nil"/>
              <w:bottom w:val="single" w:color="B7B7B7" w:sz="2" w:space="0"/>
              <w:right w:val="nil"/>
            </w:tcBorders>
            <w:tcMar>
              <w:top w:w="30" w:type="dxa"/>
              <w:left w:w="35" w:type="dxa"/>
              <w:bottom w:w="30" w:type="dxa"/>
              <w:right w:w="35" w:type="dxa"/>
            </w:tcMar>
            <w:vAlign w:val="top"/>
          </w:tcPr>
          <w:p w14:paraId="5D555AC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was assessed repeatedly at scheduled follow-up visits (annually during years 1–4 and every 2 years thereafter). Outcome follow-up began at study baseline, but only remission occurring before the first outcome event was considered. If an event occurred before remission, the event was attributed to the no-remission group and subsequent remission was not considered in the time-to-first-event analysis.</w:t>
            </w:r>
          </w:p>
        </w:tc>
        <w:tc>
          <w:tcPr>
            <w:tcW w:w="363" w:type="pct"/>
            <w:tcBorders>
              <w:left w:val="nil"/>
              <w:bottom w:val="single" w:color="B7B7B7" w:sz="2" w:space="0"/>
              <w:right w:val="nil"/>
            </w:tcBorders>
            <w:tcMar>
              <w:top w:w="30" w:type="dxa"/>
              <w:left w:w="35" w:type="dxa"/>
              <w:bottom w:w="30" w:type="dxa"/>
              <w:right w:w="35" w:type="dxa"/>
            </w:tcMar>
            <w:vAlign w:val="top"/>
          </w:tcPr>
          <w:p w14:paraId="126009C3">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Cardiovascular disease: composite of cardiovascular death, non-fatal acute myocardial infarction, non-fatal stroke, or hospital admission for angina.</w:t>
            </w:r>
          </w:p>
        </w:tc>
        <w:tc>
          <w:tcPr>
            <w:tcW w:w="333" w:type="pct"/>
            <w:tcBorders>
              <w:left w:val="nil"/>
              <w:bottom w:val="single" w:color="B7B7B7" w:sz="2" w:space="0"/>
              <w:right w:val="nil"/>
            </w:tcBorders>
            <w:tcMar>
              <w:top w:w="30" w:type="dxa"/>
              <w:left w:w="35" w:type="dxa"/>
              <w:bottom w:w="30" w:type="dxa"/>
              <w:right w:w="35" w:type="dxa"/>
            </w:tcMar>
            <w:vAlign w:val="top"/>
          </w:tcPr>
          <w:p w14:paraId="413E9507">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Single-time-point surrogate definition</w:t>
            </w:r>
          </w:p>
        </w:tc>
        <w:tc>
          <w:tcPr>
            <w:tcW w:w="333" w:type="pct"/>
            <w:tcBorders>
              <w:left w:val="nil"/>
              <w:bottom w:val="single" w:color="B7B7B7" w:sz="2" w:space="0"/>
              <w:right w:val="nil"/>
            </w:tcBorders>
            <w:tcMar>
              <w:top w:w="30" w:type="dxa"/>
              <w:left w:w="35" w:type="dxa"/>
              <w:bottom w:w="30" w:type="dxa"/>
              <w:right w:w="35" w:type="dxa"/>
            </w:tcMar>
            <w:vAlign w:val="top"/>
          </w:tcPr>
          <w:p w14:paraId="166DB97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Not Report</w:t>
            </w:r>
          </w:p>
        </w:tc>
      </w:tr>
      <w:tr w14:paraId="70D45036">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4A0680DB">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Carlsson</w:t>
            </w:r>
            <w:r>
              <w:rPr>
                <w:rFonts w:hint="eastAsia" w:eastAsia="宋体"/>
                <w:sz w:val="12"/>
                <w:vertAlign w:val="superscript"/>
                <w:lang w:val="en-US" w:eastAsia="zh-CN"/>
              </w:rPr>
              <w:t>19</w:t>
            </w:r>
          </w:p>
        </w:tc>
        <w:tc>
          <w:tcPr>
            <w:tcW w:w="108" w:type="pct"/>
            <w:tcBorders>
              <w:left w:val="nil"/>
              <w:bottom w:val="single" w:color="B7B7B7" w:sz="2" w:space="0"/>
              <w:right w:val="nil"/>
            </w:tcBorders>
            <w:tcMar>
              <w:top w:w="30" w:type="dxa"/>
              <w:left w:w="35" w:type="dxa"/>
              <w:bottom w:w="30" w:type="dxa"/>
              <w:right w:w="35" w:type="dxa"/>
            </w:tcMar>
          </w:tcPr>
          <w:p w14:paraId="71B875F1">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2024</w:t>
            </w:r>
          </w:p>
        </w:tc>
        <w:tc>
          <w:tcPr>
            <w:tcW w:w="169" w:type="pct"/>
            <w:tcBorders>
              <w:left w:val="nil"/>
              <w:bottom w:val="single" w:color="B7B7B7" w:sz="2" w:space="0"/>
              <w:right w:val="nil"/>
            </w:tcBorders>
            <w:tcMar>
              <w:top w:w="30" w:type="dxa"/>
              <w:left w:w="35" w:type="dxa"/>
              <w:bottom w:w="30" w:type="dxa"/>
              <w:right w:w="35" w:type="dxa"/>
            </w:tcMar>
          </w:tcPr>
          <w:p w14:paraId="40B81CF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Sweden</w:t>
            </w:r>
          </w:p>
        </w:tc>
        <w:tc>
          <w:tcPr>
            <w:tcW w:w="283" w:type="pct"/>
            <w:tcBorders>
              <w:left w:val="nil"/>
              <w:bottom w:val="single" w:color="B7B7B7" w:sz="2" w:space="0"/>
              <w:right w:val="nil"/>
            </w:tcBorders>
            <w:tcMar>
              <w:top w:w="30" w:type="dxa"/>
              <w:left w:w="35" w:type="dxa"/>
              <w:bottom w:w="30" w:type="dxa"/>
              <w:right w:w="35" w:type="dxa"/>
            </w:tcMar>
          </w:tcPr>
          <w:p w14:paraId="4115B9DC">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Post hoc analysis of a prospective controlled cohort (Swedish Obese Subjects study)</w:t>
            </w:r>
          </w:p>
        </w:tc>
        <w:tc>
          <w:tcPr>
            <w:tcW w:w="251" w:type="pct"/>
            <w:tcBorders>
              <w:left w:val="nil"/>
              <w:bottom w:val="single" w:color="B7B7B7" w:sz="2" w:space="0"/>
              <w:right w:val="nil"/>
            </w:tcBorders>
            <w:tcMar>
              <w:top w:w="30" w:type="dxa"/>
              <w:left w:w="35" w:type="dxa"/>
              <w:bottom w:w="30" w:type="dxa"/>
              <w:right w:w="35" w:type="dxa"/>
            </w:tcMar>
          </w:tcPr>
          <w:p w14:paraId="0C73F2BE">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37–60 years with obesity and type 2 diabetes who underwent bariatric surgery or received usual obesity care</w:t>
            </w:r>
          </w:p>
        </w:tc>
        <w:tc>
          <w:tcPr>
            <w:tcW w:w="203" w:type="pct"/>
            <w:tcBorders>
              <w:left w:val="nil"/>
              <w:bottom w:val="single" w:color="B7B7B7" w:sz="2" w:space="0"/>
              <w:right w:val="nil"/>
            </w:tcBorders>
            <w:tcMar>
              <w:top w:w="30" w:type="dxa"/>
              <w:left w:w="35" w:type="dxa"/>
              <w:bottom w:w="30" w:type="dxa"/>
              <w:right w:w="35" w:type="dxa"/>
            </w:tcMar>
          </w:tcPr>
          <w:p w14:paraId="2DB45891">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586</w:t>
            </w:r>
          </w:p>
        </w:tc>
        <w:tc>
          <w:tcPr>
            <w:tcW w:w="250" w:type="pct"/>
            <w:tcBorders>
              <w:left w:val="nil"/>
              <w:bottom w:val="single" w:color="B7B7B7" w:sz="2" w:space="0"/>
              <w:right w:val="nil"/>
            </w:tcBorders>
            <w:tcMar>
              <w:top w:w="30" w:type="dxa"/>
              <w:left w:w="35" w:type="dxa"/>
              <w:bottom w:w="30" w:type="dxa"/>
              <w:right w:w="35" w:type="dxa"/>
            </w:tcMar>
          </w:tcPr>
          <w:p w14:paraId="3B6C9062">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Remission: 48.9 (SD 6.0); no remission: 50.2 (SD 6.2)</w:t>
            </w:r>
          </w:p>
        </w:tc>
        <w:tc>
          <w:tcPr>
            <w:tcW w:w="219" w:type="pct"/>
            <w:tcBorders>
              <w:left w:val="nil"/>
              <w:bottom w:val="single" w:color="B7B7B7" w:sz="2" w:space="0"/>
              <w:right w:val="nil"/>
            </w:tcBorders>
            <w:tcMar>
              <w:top w:w="30" w:type="dxa"/>
              <w:left w:w="35" w:type="dxa"/>
              <w:bottom w:w="30" w:type="dxa"/>
              <w:right w:w="35" w:type="dxa"/>
            </w:tcMar>
          </w:tcPr>
          <w:p w14:paraId="3F254A5A">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Remission: 61.3; no remission: 60.6</w:t>
            </w:r>
          </w:p>
        </w:tc>
        <w:tc>
          <w:tcPr>
            <w:tcW w:w="292" w:type="pct"/>
            <w:tcBorders>
              <w:left w:val="nil"/>
              <w:bottom w:val="single" w:color="B7B7B7" w:sz="2" w:space="0"/>
              <w:right w:val="nil"/>
            </w:tcBorders>
            <w:tcMar>
              <w:top w:w="30" w:type="dxa"/>
              <w:left w:w="35" w:type="dxa"/>
              <w:bottom w:w="30" w:type="dxa"/>
              <w:right w:w="35" w:type="dxa"/>
            </w:tcMar>
          </w:tcPr>
          <w:p w14:paraId="4FC377B4">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HbA1c &lt;48 mmol/mol or fasting blood glucose &lt;6.1 mmol/L (corresponding plasma glucose &lt;7.0 mmol/L), without diabetes medication, assessed at 2 years.</w:t>
            </w:r>
          </w:p>
        </w:tc>
        <w:tc>
          <w:tcPr>
            <w:tcW w:w="198" w:type="pct"/>
            <w:tcBorders>
              <w:left w:val="nil"/>
              <w:bottom w:val="single" w:color="B7B7B7" w:sz="2" w:space="0"/>
              <w:right w:val="nil"/>
            </w:tcBorders>
            <w:tcMar>
              <w:top w:w="30" w:type="dxa"/>
              <w:left w:w="35" w:type="dxa"/>
              <w:bottom w:w="30" w:type="dxa"/>
              <w:right w:w="35" w:type="dxa"/>
            </w:tcMar>
          </w:tcPr>
          <w:p w14:paraId="730A771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Median 26.2 years (IQR 22.7–28.7); maximum 32.2 years</w:t>
            </w:r>
          </w:p>
        </w:tc>
        <w:tc>
          <w:tcPr>
            <w:tcW w:w="364" w:type="pct"/>
            <w:tcBorders>
              <w:left w:val="nil"/>
              <w:bottom w:val="single" w:color="B7B7B7" w:sz="2" w:space="0"/>
              <w:right w:val="nil"/>
            </w:tcBorders>
            <w:tcMar>
              <w:top w:w="30" w:type="dxa"/>
              <w:left w:w="35" w:type="dxa"/>
              <w:bottom w:w="30" w:type="dxa"/>
              <w:right w:w="35" w:type="dxa"/>
            </w:tcMar>
          </w:tcPr>
          <w:p w14:paraId="1DDF6C9C">
            <w:pPr>
              <w:keepNext w:val="0"/>
              <w:keepLines w:val="0"/>
              <w:widowControl/>
              <w:suppressLineNumbers w:val="0"/>
              <w:spacing w:before="0" w:beforeAutospacing="0" w:after="0" w:afterAutospacing="0" w:line="221" w:lineRule="auto"/>
              <w:ind w:left="0" w:right="0"/>
              <w:jc w:val="left"/>
              <w:rPr>
                <w:rFonts w:hint="default" w:eastAsia="宋体"/>
              </w:rPr>
            </w:pPr>
            <w:r>
              <w:rPr>
                <w:rFonts w:hint="default" w:ascii="Times New Roman" w:hAnsi="Times New Roman" w:eastAsia="Times New Roman"/>
                <w:sz w:val="12"/>
              </w:rPr>
              <w:t xml:space="preserve">All-cause mortality; </w:t>
            </w:r>
            <w:r>
              <w:rPr>
                <w:rFonts w:hint="eastAsia" w:ascii="Times New Roman" w:hAnsi="Times New Roman" w:eastAsia="宋体"/>
                <w:sz w:val="12"/>
              </w:rPr>
              <w:t>C</w:t>
            </w:r>
            <w:r>
              <w:rPr>
                <w:rFonts w:hint="default" w:ascii="Times New Roman" w:hAnsi="Times New Roman" w:eastAsia="Times New Roman"/>
                <w:sz w:val="12"/>
              </w:rPr>
              <w:t xml:space="preserve">ardiovascular events; </w:t>
            </w:r>
            <w:r>
              <w:rPr>
                <w:rFonts w:hint="eastAsia" w:ascii="Times New Roman" w:hAnsi="Times New Roman" w:eastAsia="宋体"/>
                <w:sz w:val="12"/>
              </w:rPr>
              <w:t>,M</w:t>
            </w:r>
            <w:r>
              <w:rPr>
                <w:rFonts w:hint="default" w:ascii="Times New Roman" w:hAnsi="Times New Roman" w:eastAsia="Times New Roman"/>
                <w:sz w:val="12"/>
              </w:rPr>
              <w:t>icrovascular complications</w:t>
            </w:r>
            <w:r>
              <w:rPr>
                <w:rFonts w:hint="eastAsia" w:ascii="Times New Roman" w:hAnsi="Times New Roman" w:eastAsia="宋体"/>
                <w:sz w:val="12"/>
              </w:rPr>
              <w:t xml:space="preserve">; </w:t>
            </w:r>
            <w:r>
              <w:rPr>
                <w:rFonts w:hint="default" w:ascii="Times New Roman" w:hAnsi="Times New Roman" w:eastAsia="Times New Roman"/>
                <w:sz w:val="12"/>
              </w:rPr>
              <w:t>Macrovascular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135CC81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All-cause mortality: HR 0.71 (95% CI 0.54–0.95); Cardiovascular events: HR 0.54 (95% CI 0.38–0.77) (the same CVD estimate also contributed to the submitted broader macrovascular analysis); Microvascular complications: HR 0.36 (95% CI 0.28–0.48).</w:t>
            </w:r>
          </w:p>
        </w:tc>
        <w:tc>
          <w:tcPr>
            <w:tcW w:w="333" w:type="pct"/>
            <w:tcBorders>
              <w:left w:val="nil"/>
              <w:bottom w:val="single" w:color="B7B7B7" w:sz="2" w:space="0"/>
              <w:right w:val="nil"/>
            </w:tcBorders>
            <w:tcMar>
              <w:top w:w="30" w:type="dxa"/>
              <w:left w:w="35" w:type="dxa"/>
              <w:bottom w:w="30" w:type="dxa"/>
              <w:right w:w="35" w:type="dxa"/>
            </w:tcMar>
            <w:vAlign w:val="top"/>
          </w:tcPr>
          <w:p w14:paraId="35E4103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Age, sex, baseline BMI, smoking, year of study inclusion, diabetes duration, previous cardiovascular disease, hypertension, and total cholesterol.</w:t>
            </w:r>
          </w:p>
        </w:tc>
        <w:tc>
          <w:tcPr>
            <w:tcW w:w="268" w:type="pct"/>
            <w:tcBorders>
              <w:left w:val="nil"/>
              <w:bottom w:val="single" w:color="B7B7B7" w:sz="2" w:space="0"/>
              <w:right w:val="nil"/>
            </w:tcBorders>
            <w:tcMar>
              <w:top w:w="30" w:type="dxa"/>
              <w:left w:w="35" w:type="dxa"/>
              <w:bottom w:w="30" w:type="dxa"/>
              <w:right w:w="35" w:type="dxa"/>
            </w:tcMar>
            <w:vAlign w:val="top"/>
          </w:tcPr>
          <w:p w14:paraId="26B43FE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Participants in remission at the 2-year examination were compared with participants with T2D who were not in remission at that examination.</w:t>
            </w:r>
          </w:p>
        </w:tc>
        <w:tc>
          <w:tcPr>
            <w:tcW w:w="505" w:type="pct"/>
            <w:tcBorders>
              <w:left w:val="nil"/>
              <w:bottom w:val="single" w:color="B7B7B7" w:sz="2" w:space="0"/>
              <w:right w:val="nil"/>
            </w:tcBorders>
            <w:tcMar>
              <w:top w:w="30" w:type="dxa"/>
              <w:left w:w="35" w:type="dxa"/>
              <w:bottom w:w="30" w:type="dxa"/>
              <w:right w:w="35" w:type="dxa"/>
            </w:tcMar>
            <w:vAlign w:val="top"/>
          </w:tcPr>
          <w:p w14:paraId="2630D30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status was determined at the 2-year examination and treated as a fixed exposure. Survival and morbidity analyses were conditioned on participants surviving and attending the 2-year examination, and outcome follow-up therefore began after this 2-year landmark.</w:t>
            </w:r>
          </w:p>
        </w:tc>
        <w:tc>
          <w:tcPr>
            <w:tcW w:w="363" w:type="pct"/>
            <w:tcBorders>
              <w:left w:val="nil"/>
              <w:bottom w:val="single" w:color="B7B7B7" w:sz="2" w:space="0"/>
              <w:right w:val="nil"/>
            </w:tcBorders>
            <w:tcMar>
              <w:top w:w="30" w:type="dxa"/>
              <w:left w:w="35" w:type="dxa"/>
              <w:bottom w:w="30" w:type="dxa"/>
              <w:right w:w="35" w:type="dxa"/>
            </w:tcMar>
            <w:vAlign w:val="top"/>
          </w:tcPr>
          <w:p w14:paraId="10EEAE09">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All-cause mortality: death from any cause. Cardiovascular disease: incident cardiovascular disease captured through the Swedish National Patient Register using prespecified ICD and intervention codes. Microvascular complications: incident microvascular events captured through the Swedish National Patient Register using prespecified ICD and intervention codes.</w:t>
            </w:r>
          </w:p>
        </w:tc>
        <w:tc>
          <w:tcPr>
            <w:tcW w:w="333" w:type="pct"/>
            <w:tcBorders>
              <w:left w:val="nil"/>
              <w:bottom w:val="single" w:color="B7B7B7" w:sz="2" w:space="0"/>
              <w:right w:val="nil"/>
            </w:tcBorders>
            <w:tcMar>
              <w:top w:w="30" w:type="dxa"/>
              <w:left w:w="35" w:type="dxa"/>
              <w:bottom w:w="30" w:type="dxa"/>
              <w:right w:w="35" w:type="dxa"/>
            </w:tcMar>
            <w:vAlign w:val="top"/>
          </w:tcPr>
          <w:p w14:paraId="3691B71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Single-time-point remission</w:t>
            </w:r>
          </w:p>
        </w:tc>
        <w:tc>
          <w:tcPr>
            <w:tcW w:w="333" w:type="pct"/>
            <w:tcBorders>
              <w:left w:val="nil"/>
              <w:bottom w:val="single" w:color="B7B7B7" w:sz="2" w:space="0"/>
              <w:right w:val="nil"/>
            </w:tcBorders>
            <w:tcMar>
              <w:top w:w="30" w:type="dxa"/>
              <w:left w:w="35" w:type="dxa"/>
              <w:bottom w:w="30" w:type="dxa"/>
              <w:right w:w="35" w:type="dxa"/>
            </w:tcMar>
            <w:vAlign w:val="top"/>
          </w:tcPr>
          <w:p w14:paraId="27A1C07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Fine–Gray competing-risk regression was used for cause-specific mortality, with deaths from other causes treated as competing events. For cause-specific morbidity, conventional Cox models were used and no competing-risk adjustment was reported.</w:t>
            </w:r>
          </w:p>
        </w:tc>
      </w:tr>
      <w:tr w14:paraId="140B3EB7">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6F581243">
            <w:pPr>
              <w:keepNext w:val="0"/>
              <w:keepLines w:val="0"/>
              <w:widowControl/>
              <w:suppressLineNumbers w:val="0"/>
              <w:spacing w:before="0" w:beforeAutospacing="0" w:after="0" w:afterAutospacing="0" w:line="221" w:lineRule="auto"/>
              <w:ind w:left="0" w:right="0"/>
              <w:jc w:val="left"/>
              <w:rPr>
                <w:rFonts w:hint="eastAsia" w:eastAsia="宋体"/>
                <w:lang w:val="en-US" w:eastAsia="zh-CN"/>
              </w:rPr>
            </w:pPr>
            <w:r>
              <w:rPr>
                <w:rFonts w:hint="default" w:ascii="Times New Roman" w:hAnsi="Times New Roman" w:eastAsia="Times New Roman"/>
                <w:sz w:val="12"/>
              </w:rPr>
              <w:t>Dambha-Miller</w:t>
            </w:r>
            <w:r>
              <w:rPr>
                <w:rFonts w:hint="eastAsia" w:eastAsia="宋体"/>
                <w:sz w:val="12"/>
                <w:vertAlign w:val="superscript"/>
                <w:lang w:val="en-US" w:eastAsia="zh-CN"/>
              </w:rPr>
              <w:t>9</w:t>
            </w:r>
          </w:p>
        </w:tc>
        <w:tc>
          <w:tcPr>
            <w:tcW w:w="108" w:type="pct"/>
            <w:tcBorders>
              <w:left w:val="nil"/>
              <w:bottom w:val="single" w:color="B7B7B7" w:sz="2" w:space="0"/>
              <w:right w:val="nil"/>
            </w:tcBorders>
            <w:tcMar>
              <w:top w:w="30" w:type="dxa"/>
              <w:left w:w="35" w:type="dxa"/>
              <w:bottom w:w="30" w:type="dxa"/>
              <w:right w:w="35" w:type="dxa"/>
            </w:tcMar>
          </w:tcPr>
          <w:p w14:paraId="68174EB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2023</w:t>
            </w:r>
          </w:p>
        </w:tc>
        <w:tc>
          <w:tcPr>
            <w:tcW w:w="169" w:type="pct"/>
            <w:tcBorders>
              <w:left w:val="nil"/>
              <w:bottom w:val="single" w:color="B7B7B7" w:sz="2" w:space="0"/>
              <w:right w:val="nil"/>
            </w:tcBorders>
            <w:tcMar>
              <w:top w:w="30" w:type="dxa"/>
              <w:left w:w="35" w:type="dxa"/>
              <w:bottom w:w="30" w:type="dxa"/>
              <w:right w:w="35" w:type="dxa"/>
            </w:tcMar>
          </w:tcPr>
          <w:p w14:paraId="3B31AC50">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United Kingdom</w:t>
            </w:r>
          </w:p>
        </w:tc>
        <w:tc>
          <w:tcPr>
            <w:tcW w:w="283" w:type="pct"/>
            <w:tcBorders>
              <w:left w:val="nil"/>
              <w:bottom w:val="single" w:color="B7B7B7" w:sz="2" w:space="0"/>
              <w:right w:val="nil"/>
            </w:tcBorders>
            <w:tcMar>
              <w:top w:w="30" w:type="dxa"/>
              <w:left w:w="35" w:type="dxa"/>
              <w:bottom w:w="30" w:type="dxa"/>
              <w:right w:w="35" w:type="dxa"/>
            </w:tcMar>
          </w:tcPr>
          <w:p w14:paraId="14AF31CD">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Population-based retrospective cohort using linked primary-care electronic records (CHIA)</w:t>
            </w:r>
          </w:p>
        </w:tc>
        <w:tc>
          <w:tcPr>
            <w:tcW w:w="251" w:type="pct"/>
            <w:tcBorders>
              <w:left w:val="nil"/>
              <w:bottom w:val="single" w:color="B7B7B7" w:sz="2" w:space="0"/>
              <w:right w:val="nil"/>
            </w:tcBorders>
            <w:tcMar>
              <w:top w:w="30" w:type="dxa"/>
              <w:left w:w="35" w:type="dxa"/>
              <w:bottom w:w="30" w:type="dxa"/>
              <w:right w:w="35" w:type="dxa"/>
            </w:tcMar>
          </w:tcPr>
          <w:p w14:paraId="30BBDF38">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People with type 2 diabetes registered in 150 primary-care practices with continuous linked records from 2013 to 2020 or death</w:t>
            </w:r>
          </w:p>
        </w:tc>
        <w:tc>
          <w:tcPr>
            <w:tcW w:w="203" w:type="pct"/>
            <w:tcBorders>
              <w:left w:val="nil"/>
              <w:bottom w:val="single" w:color="B7B7B7" w:sz="2" w:space="0"/>
              <w:right w:val="nil"/>
            </w:tcBorders>
            <w:tcMar>
              <w:top w:w="30" w:type="dxa"/>
              <w:left w:w="35" w:type="dxa"/>
              <w:bottom w:w="30" w:type="dxa"/>
              <w:right w:w="35" w:type="dxa"/>
            </w:tcMar>
          </w:tcPr>
          <w:p w14:paraId="655F7B1E">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60,287 overall; 60,138 in the adjusted mortality analysis</w:t>
            </w:r>
          </w:p>
        </w:tc>
        <w:tc>
          <w:tcPr>
            <w:tcW w:w="250" w:type="pct"/>
            <w:tcBorders>
              <w:left w:val="nil"/>
              <w:bottom w:val="single" w:color="B7B7B7" w:sz="2" w:space="0"/>
              <w:right w:val="nil"/>
            </w:tcBorders>
            <w:tcMar>
              <w:top w:w="30" w:type="dxa"/>
              <w:left w:w="35" w:type="dxa"/>
              <w:bottom w:w="30" w:type="dxa"/>
              <w:right w:w="35" w:type="dxa"/>
            </w:tcMar>
          </w:tcPr>
          <w:p w14:paraId="1AEE689F">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64.6 (SD 12.0)</w:t>
            </w:r>
          </w:p>
        </w:tc>
        <w:tc>
          <w:tcPr>
            <w:tcW w:w="219" w:type="pct"/>
            <w:tcBorders>
              <w:left w:val="nil"/>
              <w:bottom w:val="single" w:color="B7B7B7" w:sz="2" w:space="0"/>
              <w:right w:val="nil"/>
            </w:tcBorders>
            <w:tcMar>
              <w:top w:w="30" w:type="dxa"/>
              <w:left w:w="35" w:type="dxa"/>
              <w:bottom w:w="30" w:type="dxa"/>
              <w:right w:w="35" w:type="dxa"/>
            </w:tcMar>
          </w:tcPr>
          <w:p w14:paraId="04C21525">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42.9</w:t>
            </w:r>
          </w:p>
        </w:tc>
        <w:tc>
          <w:tcPr>
            <w:tcW w:w="292" w:type="pct"/>
            <w:tcBorders>
              <w:left w:val="nil"/>
              <w:bottom w:val="single" w:color="B7B7B7" w:sz="2" w:space="0"/>
              <w:right w:val="nil"/>
            </w:tcBorders>
            <w:tcMar>
              <w:top w:w="30" w:type="dxa"/>
              <w:left w:w="35" w:type="dxa"/>
              <w:bottom w:w="30" w:type="dxa"/>
              <w:right w:w="35" w:type="dxa"/>
            </w:tcMar>
          </w:tcPr>
          <w:p w14:paraId="44CA7835">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Two HbA1c measurements &lt;48 mmol/mol (6.5%) at least 6 months apart, without diabetes medication and with no history of bariatric surgery.</w:t>
            </w:r>
          </w:p>
        </w:tc>
        <w:tc>
          <w:tcPr>
            <w:tcW w:w="198" w:type="pct"/>
            <w:tcBorders>
              <w:left w:val="nil"/>
              <w:bottom w:val="single" w:color="B7B7B7" w:sz="2" w:space="0"/>
              <w:right w:val="nil"/>
            </w:tcBorders>
            <w:tcMar>
              <w:top w:w="30" w:type="dxa"/>
              <w:left w:w="35" w:type="dxa"/>
              <w:bottom w:w="30" w:type="dxa"/>
              <w:right w:w="35" w:type="dxa"/>
            </w:tcMar>
          </w:tcPr>
          <w:p w14:paraId="5BEA0A5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Mean 6.9 years</w:t>
            </w:r>
          </w:p>
        </w:tc>
        <w:tc>
          <w:tcPr>
            <w:tcW w:w="364" w:type="pct"/>
            <w:tcBorders>
              <w:left w:val="nil"/>
              <w:bottom w:val="single" w:color="B7B7B7" w:sz="2" w:space="0"/>
              <w:right w:val="nil"/>
            </w:tcBorders>
            <w:tcMar>
              <w:top w:w="30" w:type="dxa"/>
              <w:left w:w="35" w:type="dxa"/>
              <w:bottom w:w="30" w:type="dxa"/>
              <w:right w:w="35" w:type="dxa"/>
            </w:tcMar>
          </w:tcPr>
          <w:p w14:paraId="2FE0E1AC">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All-cause mortality</w:t>
            </w:r>
          </w:p>
        </w:tc>
        <w:tc>
          <w:tcPr>
            <w:tcW w:w="250" w:type="pct"/>
            <w:tcBorders>
              <w:left w:val="nil"/>
              <w:bottom w:val="single" w:color="B7B7B7" w:sz="2" w:space="0"/>
              <w:right w:val="nil"/>
            </w:tcBorders>
            <w:tcMar>
              <w:top w:w="30" w:type="dxa"/>
              <w:left w:w="35" w:type="dxa"/>
              <w:bottom w:w="30" w:type="dxa"/>
              <w:right w:w="35" w:type="dxa"/>
            </w:tcMar>
            <w:vAlign w:val="top"/>
          </w:tcPr>
          <w:p w14:paraId="1950484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All-cause mortality: HR 0.92 (95% CI 0.86–0.99).</w:t>
            </w:r>
          </w:p>
        </w:tc>
        <w:tc>
          <w:tcPr>
            <w:tcW w:w="333" w:type="pct"/>
            <w:tcBorders>
              <w:left w:val="nil"/>
              <w:bottom w:val="single" w:color="B7B7B7" w:sz="2" w:space="0"/>
              <w:right w:val="nil"/>
            </w:tcBorders>
            <w:tcMar>
              <w:top w:w="30" w:type="dxa"/>
              <w:left w:w="35" w:type="dxa"/>
              <w:bottom w:w="30" w:type="dxa"/>
              <w:right w:w="35" w:type="dxa"/>
            </w:tcMar>
            <w:vAlign w:val="top"/>
          </w:tcPr>
          <w:p w14:paraId="23FD744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Age, sex, ethnicity, Index of Multiple Deprivation, baseline weight, diabetes duration, number of comorbidities, and clustering within practices.</w:t>
            </w:r>
          </w:p>
        </w:tc>
        <w:tc>
          <w:tcPr>
            <w:tcW w:w="268" w:type="pct"/>
            <w:tcBorders>
              <w:left w:val="nil"/>
              <w:bottom w:val="single" w:color="B7B7B7" w:sz="2" w:space="0"/>
              <w:right w:val="nil"/>
            </w:tcBorders>
            <w:tcMar>
              <w:top w:w="30" w:type="dxa"/>
              <w:left w:w="35" w:type="dxa"/>
              <w:bottom w:w="30" w:type="dxa"/>
              <w:right w:w="35" w:type="dxa"/>
            </w:tcMar>
            <w:vAlign w:val="top"/>
          </w:tcPr>
          <w:p w14:paraId="44F78147">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Participants who achieved remission at any point during follow-up were compared with participants who did not achieve remission during follow-up.</w:t>
            </w:r>
          </w:p>
        </w:tc>
        <w:tc>
          <w:tcPr>
            <w:tcW w:w="505" w:type="pct"/>
            <w:tcBorders>
              <w:left w:val="nil"/>
              <w:bottom w:val="single" w:color="B7B7B7" w:sz="2" w:space="0"/>
              <w:right w:val="nil"/>
            </w:tcBorders>
            <w:tcMar>
              <w:top w:w="30" w:type="dxa"/>
              <w:left w:w="35" w:type="dxa"/>
              <w:bottom w:w="30" w:type="dxa"/>
              <w:right w:w="35" w:type="dxa"/>
            </w:tcMar>
            <w:vAlign w:val="top"/>
          </w:tcPr>
          <w:p w14:paraId="0C30464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could be achieved at any point during the 7-year follow-up and required at least two follow-up HbA1c measurements. The selected analysis classified participants according to whether remission occurred at any point during follow-up. The article did not describe resetting time zero to the date of remission for this binary ever-remission comparison.</w:t>
            </w:r>
          </w:p>
        </w:tc>
        <w:tc>
          <w:tcPr>
            <w:tcW w:w="363" w:type="pct"/>
            <w:tcBorders>
              <w:left w:val="nil"/>
              <w:bottom w:val="single" w:color="B7B7B7" w:sz="2" w:space="0"/>
              <w:right w:val="nil"/>
            </w:tcBorders>
            <w:tcMar>
              <w:top w:w="30" w:type="dxa"/>
              <w:left w:w="35" w:type="dxa"/>
              <w:bottom w:w="30" w:type="dxa"/>
              <w:right w:w="35" w:type="dxa"/>
            </w:tcMar>
            <w:vAlign w:val="top"/>
          </w:tcPr>
          <w:p w14:paraId="1BD4ACD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All-cause mortality: death from any cause.</w:t>
            </w:r>
          </w:p>
        </w:tc>
        <w:tc>
          <w:tcPr>
            <w:tcW w:w="333" w:type="pct"/>
            <w:tcBorders>
              <w:left w:val="nil"/>
              <w:bottom w:val="single" w:color="B7B7B7" w:sz="2" w:space="0"/>
              <w:right w:val="nil"/>
            </w:tcBorders>
            <w:tcMar>
              <w:top w:w="30" w:type="dxa"/>
              <w:left w:w="35" w:type="dxa"/>
              <w:bottom w:w="30" w:type="dxa"/>
              <w:right w:w="35" w:type="dxa"/>
            </w:tcMar>
            <w:vAlign w:val="top"/>
          </w:tcPr>
          <w:p w14:paraId="11F0B56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Sustained/confirmed remission</w:t>
            </w:r>
          </w:p>
        </w:tc>
        <w:tc>
          <w:tcPr>
            <w:tcW w:w="333" w:type="pct"/>
            <w:tcBorders>
              <w:left w:val="nil"/>
              <w:bottom w:val="single" w:color="B7B7B7" w:sz="2" w:space="0"/>
              <w:right w:val="nil"/>
            </w:tcBorders>
            <w:tcMar>
              <w:top w:w="30" w:type="dxa"/>
              <w:left w:w="35" w:type="dxa"/>
              <w:bottom w:w="30" w:type="dxa"/>
              <w:right w:w="35" w:type="dxa"/>
            </w:tcMar>
            <w:vAlign w:val="top"/>
          </w:tcPr>
          <w:p w14:paraId="15CD8B2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Not Report</w:t>
            </w:r>
          </w:p>
        </w:tc>
      </w:tr>
      <w:tr w14:paraId="5AAEBDD6">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1192CFF4">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Hounkpatin</w:t>
            </w:r>
            <w:r>
              <w:rPr>
                <w:rFonts w:hint="eastAsia" w:eastAsia="宋体"/>
                <w:sz w:val="12"/>
                <w:vertAlign w:val="superscript"/>
                <w:lang w:val="en-US" w:eastAsia="zh-CN"/>
              </w:rPr>
              <w:t>10</w:t>
            </w:r>
          </w:p>
        </w:tc>
        <w:tc>
          <w:tcPr>
            <w:tcW w:w="108" w:type="pct"/>
            <w:tcBorders>
              <w:left w:val="nil"/>
              <w:bottom w:val="single" w:color="B7B7B7" w:sz="2" w:space="0"/>
              <w:right w:val="nil"/>
            </w:tcBorders>
            <w:tcMar>
              <w:top w:w="30" w:type="dxa"/>
              <w:left w:w="35" w:type="dxa"/>
              <w:bottom w:w="30" w:type="dxa"/>
              <w:right w:w="35" w:type="dxa"/>
            </w:tcMar>
          </w:tcPr>
          <w:p w14:paraId="4D93022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2021</w:t>
            </w:r>
          </w:p>
        </w:tc>
        <w:tc>
          <w:tcPr>
            <w:tcW w:w="169" w:type="pct"/>
            <w:tcBorders>
              <w:left w:val="nil"/>
              <w:bottom w:val="single" w:color="B7B7B7" w:sz="2" w:space="0"/>
              <w:right w:val="nil"/>
            </w:tcBorders>
            <w:tcMar>
              <w:top w:w="30" w:type="dxa"/>
              <w:left w:w="35" w:type="dxa"/>
              <w:bottom w:w="30" w:type="dxa"/>
              <w:right w:w="35" w:type="dxa"/>
            </w:tcMar>
          </w:tcPr>
          <w:p w14:paraId="7BF4222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United Kingdom</w:t>
            </w:r>
          </w:p>
        </w:tc>
        <w:tc>
          <w:tcPr>
            <w:tcW w:w="283" w:type="pct"/>
            <w:tcBorders>
              <w:left w:val="nil"/>
              <w:bottom w:val="single" w:color="B7B7B7" w:sz="2" w:space="0"/>
              <w:right w:val="nil"/>
            </w:tcBorders>
            <w:tcMar>
              <w:top w:w="30" w:type="dxa"/>
              <w:left w:w="35" w:type="dxa"/>
              <w:bottom w:w="30" w:type="dxa"/>
              <w:right w:w="35" w:type="dxa"/>
            </w:tcMar>
          </w:tcPr>
          <w:p w14:paraId="41A76592">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Population-based retrospective cohort using linked primary-care electronic records (CHIA)</w:t>
            </w:r>
          </w:p>
        </w:tc>
        <w:tc>
          <w:tcPr>
            <w:tcW w:w="251" w:type="pct"/>
            <w:tcBorders>
              <w:left w:val="nil"/>
              <w:bottom w:val="single" w:color="B7B7B7" w:sz="2" w:space="0"/>
              <w:right w:val="nil"/>
            </w:tcBorders>
            <w:tcMar>
              <w:top w:w="30" w:type="dxa"/>
              <w:left w:w="35" w:type="dxa"/>
              <w:bottom w:w="30" w:type="dxa"/>
              <w:right w:w="35" w:type="dxa"/>
            </w:tcMar>
          </w:tcPr>
          <w:p w14:paraId="6585B3B8">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18–85 years with type 2 diabetes registered in 150 general practices and continuous records from 2013 to 2020</w:t>
            </w:r>
          </w:p>
        </w:tc>
        <w:tc>
          <w:tcPr>
            <w:tcW w:w="203" w:type="pct"/>
            <w:tcBorders>
              <w:left w:val="nil"/>
              <w:bottom w:val="single" w:color="B7B7B7" w:sz="2" w:space="0"/>
              <w:right w:val="nil"/>
            </w:tcBorders>
            <w:tcMar>
              <w:top w:w="30" w:type="dxa"/>
              <w:left w:w="35" w:type="dxa"/>
              <w:bottom w:w="30" w:type="dxa"/>
              <w:right w:w="35" w:type="dxa"/>
            </w:tcMar>
          </w:tcPr>
          <w:p w14:paraId="6CFC5C26">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60,287 overall; 59,483 in maximally adjusted analysis</w:t>
            </w:r>
          </w:p>
        </w:tc>
        <w:tc>
          <w:tcPr>
            <w:tcW w:w="250" w:type="pct"/>
            <w:tcBorders>
              <w:left w:val="nil"/>
              <w:bottom w:val="single" w:color="B7B7B7" w:sz="2" w:space="0"/>
              <w:right w:val="nil"/>
            </w:tcBorders>
            <w:tcMar>
              <w:top w:w="30" w:type="dxa"/>
              <w:left w:w="35" w:type="dxa"/>
              <w:bottom w:w="30" w:type="dxa"/>
              <w:right w:w="35" w:type="dxa"/>
            </w:tcMar>
          </w:tcPr>
          <w:p w14:paraId="2A3459C9">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Remission: 67.0 (SD 11.4); no remission: 64.2 (SD 12.0)</w:t>
            </w:r>
          </w:p>
        </w:tc>
        <w:tc>
          <w:tcPr>
            <w:tcW w:w="219" w:type="pct"/>
            <w:tcBorders>
              <w:left w:val="nil"/>
              <w:bottom w:val="single" w:color="B7B7B7" w:sz="2" w:space="0"/>
              <w:right w:val="nil"/>
            </w:tcBorders>
            <w:tcMar>
              <w:top w:w="30" w:type="dxa"/>
              <w:left w:w="35" w:type="dxa"/>
              <w:bottom w:w="30" w:type="dxa"/>
              <w:right w:w="35" w:type="dxa"/>
            </w:tcMar>
          </w:tcPr>
          <w:p w14:paraId="03994909">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Remission: 47.2; no remission: 42.3</w:t>
            </w:r>
          </w:p>
        </w:tc>
        <w:tc>
          <w:tcPr>
            <w:tcW w:w="292" w:type="pct"/>
            <w:tcBorders>
              <w:left w:val="nil"/>
              <w:bottom w:val="single" w:color="B7B7B7" w:sz="2" w:space="0"/>
              <w:right w:val="nil"/>
            </w:tcBorders>
            <w:tcMar>
              <w:top w:w="30" w:type="dxa"/>
              <w:left w:w="35" w:type="dxa"/>
              <w:bottom w:w="30" w:type="dxa"/>
              <w:right w:w="35" w:type="dxa"/>
            </w:tcMar>
          </w:tcPr>
          <w:p w14:paraId="68328762">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Two consecutive HbA1c measurements &lt;48 mmol/mol (6.5%) at least 6 months apart, without diabetes medication or bariatric surgery; remission assessed during a 2-year landmark period.</w:t>
            </w:r>
          </w:p>
        </w:tc>
        <w:tc>
          <w:tcPr>
            <w:tcW w:w="198" w:type="pct"/>
            <w:tcBorders>
              <w:left w:val="nil"/>
              <w:bottom w:val="single" w:color="B7B7B7" w:sz="2" w:space="0"/>
              <w:right w:val="nil"/>
            </w:tcBorders>
            <w:tcMar>
              <w:top w:w="30" w:type="dxa"/>
              <w:left w:w="35" w:type="dxa"/>
              <w:bottom w:w="30" w:type="dxa"/>
              <w:right w:w="35" w:type="dxa"/>
            </w:tcMar>
          </w:tcPr>
          <w:p w14:paraId="7DA4786B">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7 years overall; outcomes assessed over the subsequent 5 years</w:t>
            </w:r>
          </w:p>
        </w:tc>
        <w:tc>
          <w:tcPr>
            <w:tcW w:w="364" w:type="pct"/>
            <w:tcBorders>
              <w:left w:val="nil"/>
              <w:bottom w:val="single" w:color="B7B7B7" w:sz="2" w:space="0"/>
              <w:right w:val="nil"/>
            </w:tcBorders>
            <w:tcMar>
              <w:top w:w="30" w:type="dxa"/>
              <w:left w:w="35" w:type="dxa"/>
              <w:bottom w:w="30" w:type="dxa"/>
              <w:right w:w="35" w:type="dxa"/>
            </w:tcMar>
          </w:tcPr>
          <w:p w14:paraId="3CF8D7A2">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 xml:space="preserve">Cardiovascular events; </w:t>
            </w:r>
            <w:r>
              <w:rPr>
                <w:rFonts w:hint="eastAsia" w:ascii="Times New Roman" w:hAnsi="Times New Roman" w:eastAsia="宋体"/>
                <w:sz w:val="12"/>
              </w:rPr>
              <w:t>M</w:t>
            </w:r>
            <w:r>
              <w:rPr>
                <w:rFonts w:hint="default" w:ascii="Times New Roman" w:hAnsi="Times New Roman" w:eastAsia="Times New Roman"/>
                <w:sz w:val="12"/>
              </w:rPr>
              <w:t xml:space="preserve">acrovascular complications; </w:t>
            </w:r>
            <w:r>
              <w:rPr>
                <w:rFonts w:hint="eastAsia" w:ascii="Times New Roman" w:hAnsi="Times New Roman" w:eastAsia="宋体"/>
                <w:sz w:val="12"/>
              </w:rPr>
              <w:t>M</w:t>
            </w:r>
            <w:r>
              <w:rPr>
                <w:rFonts w:hint="default" w:ascii="Times New Roman" w:hAnsi="Times New Roman" w:eastAsia="Times New Roman"/>
                <w:sz w:val="12"/>
              </w:rPr>
              <w:t>icrovascular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4083A63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Cardiovascular events: HR 0.75 (95% CI 0.64–0.88); Microvascular complications: HR 0.68 (95% CI 0.62–0.74); Macrovascular complications: HR 0.78 (95% CI 0.69–0.89).</w:t>
            </w:r>
          </w:p>
        </w:tc>
        <w:tc>
          <w:tcPr>
            <w:tcW w:w="333" w:type="pct"/>
            <w:tcBorders>
              <w:left w:val="nil"/>
              <w:bottom w:val="single" w:color="B7B7B7" w:sz="2" w:space="0"/>
              <w:right w:val="nil"/>
            </w:tcBorders>
            <w:tcMar>
              <w:top w:w="30" w:type="dxa"/>
              <w:left w:w="35" w:type="dxa"/>
              <w:bottom w:w="30" w:type="dxa"/>
              <w:right w:w="35" w:type="dxa"/>
            </w:tcMar>
            <w:vAlign w:val="top"/>
          </w:tcPr>
          <w:p w14:paraId="3844F875">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Baseline weight; age, sex, ethnicity, and Index of Multiple Deprivation; diabetes duration; pre-existing CVD; number of comorbidities; last observed BMI; last observed hypertension status; and clustering within practices.</w:t>
            </w:r>
          </w:p>
        </w:tc>
        <w:tc>
          <w:tcPr>
            <w:tcW w:w="268" w:type="pct"/>
            <w:tcBorders>
              <w:left w:val="nil"/>
              <w:bottom w:val="single" w:color="B7B7B7" w:sz="2" w:space="0"/>
              <w:right w:val="nil"/>
            </w:tcBorders>
            <w:tcMar>
              <w:top w:w="30" w:type="dxa"/>
              <w:left w:w="35" w:type="dxa"/>
              <w:bottom w:w="30" w:type="dxa"/>
              <w:right w:w="35" w:type="dxa"/>
            </w:tcMar>
            <w:vAlign w:val="top"/>
          </w:tcPr>
          <w:p w14:paraId="788F3E8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Participants who achieved remission during the first 2 years were compared with those who did not achieve remission during that 2-year assessment period.</w:t>
            </w:r>
          </w:p>
        </w:tc>
        <w:tc>
          <w:tcPr>
            <w:tcW w:w="505" w:type="pct"/>
            <w:tcBorders>
              <w:left w:val="nil"/>
              <w:bottom w:val="single" w:color="B7B7B7" w:sz="2" w:space="0"/>
              <w:right w:val="nil"/>
            </w:tcBorders>
            <w:tcMar>
              <w:top w:w="30" w:type="dxa"/>
              <w:left w:w="35" w:type="dxa"/>
              <w:bottom w:w="30" w:type="dxa"/>
              <w:right w:w="35" w:type="dxa"/>
            </w:tcMar>
            <w:vAlign w:val="top"/>
          </w:tcPr>
          <w:p w14:paraId="05473582">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was assessed during the first 2 years of follow-up using two consecutive HbA1c measurements &lt;6.5% at least 6 months apart. A 2-year landmark approach was used: only participants alive at the end of the remission-assessment period were included, and cardiovascular, microvascular, and macrovascular outcomes were assessed during the subsequent 5 years.</w:t>
            </w:r>
          </w:p>
        </w:tc>
        <w:tc>
          <w:tcPr>
            <w:tcW w:w="363" w:type="pct"/>
            <w:tcBorders>
              <w:left w:val="nil"/>
              <w:bottom w:val="single" w:color="B7B7B7" w:sz="2" w:space="0"/>
              <w:right w:val="nil"/>
            </w:tcBorders>
            <w:tcMar>
              <w:top w:w="30" w:type="dxa"/>
              <w:left w:w="35" w:type="dxa"/>
              <w:bottom w:w="30" w:type="dxa"/>
              <w:right w:w="35" w:type="dxa"/>
            </w:tcMar>
            <w:vAlign w:val="top"/>
          </w:tcPr>
          <w:p w14:paraId="37A4A96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Cardiovascular events: myocardial infarction, amputation, and stroke. Microvascular complications: peripheral neuropathy, retinopathy, and nephropathy. Macrovascular complications: stroke, myocardial infarction, coronary heart disease, peripheral arterial disease, and amputation.</w:t>
            </w:r>
          </w:p>
        </w:tc>
        <w:tc>
          <w:tcPr>
            <w:tcW w:w="333" w:type="pct"/>
            <w:tcBorders>
              <w:left w:val="nil"/>
              <w:bottom w:val="single" w:color="B7B7B7" w:sz="2" w:space="0"/>
              <w:right w:val="nil"/>
            </w:tcBorders>
            <w:tcMar>
              <w:top w:w="30" w:type="dxa"/>
              <w:left w:w="35" w:type="dxa"/>
              <w:bottom w:w="30" w:type="dxa"/>
              <w:right w:w="35" w:type="dxa"/>
            </w:tcMar>
            <w:vAlign w:val="top"/>
          </w:tcPr>
          <w:p w14:paraId="48F0F3C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Sustained/confirmed remission</w:t>
            </w:r>
          </w:p>
        </w:tc>
        <w:tc>
          <w:tcPr>
            <w:tcW w:w="333" w:type="pct"/>
            <w:tcBorders>
              <w:left w:val="nil"/>
              <w:bottom w:val="single" w:color="B7B7B7" w:sz="2" w:space="0"/>
              <w:right w:val="nil"/>
            </w:tcBorders>
            <w:tcMar>
              <w:top w:w="30" w:type="dxa"/>
              <w:left w:w="35" w:type="dxa"/>
              <w:bottom w:w="30" w:type="dxa"/>
              <w:right w:w="35" w:type="dxa"/>
            </w:tcMar>
            <w:vAlign w:val="top"/>
          </w:tcPr>
          <w:p w14:paraId="26C3E87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Not Report</w:t>
            </w:r>
          </w:p>
        </w:tc>
      </w:tr>
      <w:tr w14:paraId="0EA67D16">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62151A79">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Madsen</w:t>
            </w:r>
            <w:r>
              <w:rPr>
                <w:rFonts w:hint="eastAsia" w:eastAsia="宋体"/>
                <w:sz w:val="12"/>
                <w:vertAlign w:val="superscript"/>
                <w:lang w:val="en-US" w:eastAsia="zh-CN"/>
              </w:rPr>
              <w:t>20</w:t>
            </w:r>
          </w:p>
        </w:tc>
        <w:tc>
          <w:tcPr>
            <w:tcW w:w="108" w:type="pct"/>
            <w:tcBorders>
              <w:left w:val="nil"/>
              <w:bottom w:val="single" w:color="B7B7B7" w:sz="2" w:space="0"/>
              <w:right w:val="nil"/>
            </w:tcBorders>
            <w:tcMar>
              <w:top w:w="30" w:type="dxa"/>
              <w:left w:w="35" w:type="dxa"/>
              <w:bottom w:w="30" w:type="dxa"/>
              <w:right w:w="35" w:type="dxa"/>
            </w:tcMar>
          </w:tcPr>
          <w:p w14:paraId="5B1081E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 xml:space="preserve"> 2019</w:t>
            </w:r>
          </w:p>
        </w:tc>
        <w:tc>
          <w:tcPr>
            <w:tcW w:w="169" w:type="pct"/>
            <w:tcBorders>
              <w:left w:val="nil"/>
              <w:bottom w:val="single" w:color="B7B7B7" w:sz="2" w:space="0"/>
              <w:right w:val="nil"/>
            </w:tcBorders>
            <w:tcMar>
              <w:top w:w="30" w:type="dxa"/>
              <w:left w:w="35" w:type="dxa"/>
              <w:bottom w:w="30" w:type="dxa"/>
              <w:right w:w="35" w:type="dxa"/>
            </w:tcMar>
          </w:tcPr>
          <w:p w14:paraId="7A83327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Denmark</w:t>
            </w:r>
          </w:p>
        </w:tc>
        <w:tc>
          <w:tcPr>
            <w:tcW w:w="283" w:type="pct"/>
            <w:tcBorders>
              <w:left w:val="nil"/>
              <w:bottom w:val="single" w:color="B7B7B7" w:sz="2" w:space="0"/>
              <w:right w:val="nil"/>
            </w:tcBorders>
            <w:tcMar>
              <w:top w:w="30" w:type="dxa"/>
              <w:left w:w="35" w:type="dxa"/>
              <w:bottom w:w="30" w:type="dxa"/>
              <w:right w:w="35" w:type="dxa"/>
            </w:tcMar>
          </w:tcPr>
          <w:p w14:paraId="2813E0D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Population-based matched cohort with a 1-year landmark analysis using nationwide Danish registries</w:t>
            </w:r>
          </w:p>
        </w:tc>
        <w:tc>
          <w:tcPr>
            <w:tcW w:w="251" w:type="pct"/>
            <w:tcBorders>
              <w:left w:val="nil"/>
              <w:bottom w:val="single" w:color="B7B7B7" w:sz="2" w:space="0"/>
              <w:right w:val="nil"/>
            </w:tcBorders>
            <w:tcMar>
              <w:top w:w="30" w:type="dxa"/>
              <w:left w:w="35" w:type="dxa"/>
              <w:bottom w:w="30" w:type="dxa"/>
              <w:right w:w="35" w:type="dxa"/>
            </w:tcMar>
          </w:tcPr>
          <w:p w14:paraId="063A4D4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with type 2 diabetes and obesity who underwent Roux-en-Y gastric bypass during 2006–2015</w:t>
            </w:r>
          </w:p>
        </w:tc>
        <w:tc>
          <w:tcPr>
            <w:tcW w:w="203" w:type="pct"/>
            <w:tcBorders>
              <w:left w:val="nil"/>
              <w:bottom w:val="single" w:color="B7B7B7" w:sz="2" w:space="0"/>
              <w:right w:val="nil"/>
            </w:tcBorders>
            <w:tcMar>
              <w:top w:w="30" w:type="dxa"/>
              <w:left w:w="35" w:type="dxa"/>
              <w:bottom w:w="30" w:type="dxa"/>
              <w:right w:w="35" w:type="dxa"/>
            </w:tcMar>
          </w:tcPr>
          <w:p w14:paraId="4BDECA63">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1,061 classified by 1-year remission status (1,111 overall)</w:t>
            </w:r>
          </w:p>
        </w:tc>
        <w:tc>
          <w:tcPr>
            <w:tcW w:w="250" w:type="pct"/>
            <w:tcBorders>
              <w:left w:val="nil"/>
              <w:bottom w:val="single" w:color="B7B7B7" w:sz="2" w:space="0"/>
              <w:right w:val="nil"/>
            </w:tcBorders>
            <w:tcMar>
              <w:top w:w="30" w:type="dxa"/>
              <w:left w:w="35" w:type="dxa"/>
              <w:bottom w:w="30" w:type="dxa"/>
              <w:right w:w="35" w:type="dxa"/>
            </w:tcMar>
          </w:tcPr>
          <w:p w14:paraId="6BF2E068">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Median 46.8 (IQR 39.9–54.3)</w:t>
            </w:r>
          </w:p>
        </w:tc>
        <w:tc>
          <w:tcPr>
            <w:tcW w:w="219" w:type="pct"/>
            <w:tcBorders>
              <w:left w:val="nil"/>
              <w:bottom w:val="single" w:color="B7B7B7" w:sz="2" w:space="0"/>
              <w:right w:val="nil"/>
            </w:tcBorders>
            <w:tcMar>
              <w:top w:w="30" w:type="dxa"/>
              <w:left w:w="35" w:type="dxa"/>
              <w:bottom w:w="30" w:type="dxa"/>
              <w:right w:w="35" w:type="dxa"/>
            </w:tcMar>
          </w:tcPr>
          <w:p w14:paraId="22914355">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63.5</w:t>
            </w:r>
          </w:p>
        </w:tc>
        <w:tc>
          <w:tcPr>
            <w:tcW w:w="292" w:type="pct"/>
            <w:tcBorders>
              <w:left w:val="nil"/>
              <w:bottom w:val="single" w:color="B7B7B7" w:sz="2" w:space="0"/>
              <w:right w:val="nil"/>
            </w:tcBorders>
            <w:tcMar>
              <w:top w:w="30" w:type="dxa"/>
              <w:left w:w="35" w:type="dxa"/>
              <w:bottom w:w="30" w:type="dxa"/>
              <w:right w:w="35" w:type="dxa"/>
            </w:tcMar>
          </w:tcPr>
          <w:p w14:paraId="52ECE704">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No glucose-lowering drug use with HbA1c &lt;48 mmol/mol, or metformin monotherapy with HbA1c &lt;42 mmol/mol; participants with neither medication use nor HbA1c testing during 6 months were also classified as remitted.</w:t>
            </w:r>
          </w:p>
        </w:tc>
        <w:tc>
          <w:tcPr>
            <w:tcW w:w="198" w:type="pct"/>
            <w:tcBorders>
              <w:left w:val="nil"/>
              <w:bottom w:val="single" w:color="B7B7B7" w:sz="2" w:space="0"/>
              <w:right w:val="nil"/>
            </w:tcBorders>
            <w:tcMar>
              <w:top w:w="30" w:type="dxa"/>
              <w:left w:w="35" w:type="dxa"/>
              <w:bottom w:w="30" w:type="dxa"/>
              <w:right w:w="35" w:type="dxa"/>
            </w:tcMar>
          </w:tcPr>
          <w:p w14:paraId="36DD2843">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Median 5.3 years (IQR 4.0–6.3) from surgery; outcome analysis began 1 year after surgery</w:t>
            </w:r>
          </w:p>
        </w:tc>
        <w:tc>
          <w:tcPr>
            <w:tcW w:w="364" w:type="pct"/>
            <w:tcBorders>
              <w:left w:val="nil"/>
              <w:bottom w:val="single" w:color="B7B7B7" w:sz="2" w:space="0"/>
              <w:right w:val="nil"/>
            </w:tcBorders>
            <w:tcMar>
              <w:top w:w="30" w:type="dxa"/>
              <w:left w:w="35" w:type="dxa"/>
              <w:bottom w:w="30" w:type="dxa"/>
              <w:right w:w="35" w:type="dxa"/>
            </w:tcMar>
          </w:tcPr>
          <w:p w14:paraId="204C7C08">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 xml:space="preserve">Macrovascular complications; </w:t>
            </w:r>
            <w:r>
              <w:rPr>
                <w:rFonts w:hint="eastAsia" w:ascii="Times New Roman" w:hAnsi="Times New Roman" w:eastAsia="宋体"/>
                <w:sz w:val="12"/>
              </w:rPr>
              <w:t>M</w:t>
            </w:r>
            <w:r>
              <w:rPr>
                <w:rFonts w:hint="default" w:ascii="Times New Roman" w:hAnsi="Times New Roman" w:eastAsia="Times New Roman"/>
                <w:sz w:val="12"/>
              </w:rPr>
              <w:t>icrovascular complications</w:t>
            </w:r>
          </w:p>
        </w:tc>
        <w:tc>
          <w:tcPr>
            <w:tcW w:w="250" w:type="pct"/>
            <w:tcBorders>
              <w:left w:val="nil"/>
              <w:bottom w:val="single" w:color="B7B7B7" w:sz="2" w:space="0"/>
              <w:right w:val="nil"/>
            </w:tcBorders>
            <w:tcMar>
              <w:top w:w="30" w:type="dxa"/>
              <w:left w:w="35" w:type="dxa"/>
              <w:bottom w:w="30" w:type="dxa"/>
              <w:right w:w="35" w:type="dxa"/>
            </w:tcMar>
            <w:vAlign w:val="top"/>
          </w:tcPr>
          <w:p w14:paraId="36435CC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Microvascular complications: HR 0.43 (95% CI 0.25–0.72); Macrovascular complications: HR 0.76 (95% CI 0.40–1.45).</w:t>
            </w:r>
          </w:p>
        </w:tc>
        <w:tc>
          <w:tcPr>
            <w:tcW w:w="333" w:type="pct"/>
            <w:tcBorders>
              <w:left w:val="nil"/>
              <w:bottom w:val="single" w:color="B7B7B7" w:sz="2" w:space="0"/>
              <w:right w:val="nil"/>
            </w:tcBorders>
            <w:tcMar>
              <w:top w:w="30" w:type="dxa"/>
              <w:left w:w="35" w:type="dxa"/>
              <w:bottom w:w="30" w:type="dxa"/>
              <w:right w:w="35" w:type="dxa"/>
            </w:tcMar>
            <w:vAlign w:val="top"/>
          </w:tcPr>
          <w:p w14:paraId="4395E59C">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Sex, age, diabetes duration, and pre-index microvascular and macrovascular disease.</w:t>
            </w:r>
          </w:p>
        </w:tc>
        <w:tc>
          <w:tcPr>
            <w:tcW w:w="268" w:type="pct"/>
            <w:tcBorders>
              <w:left w:val="nil"/>
              <w:bottom w:val="single" w:color="B7B7B7" w:sz="2" w:space="0"/>
              <w:right w:val="nil"/>
            </w:tcBorders>
            <w:tcMar>
              <w:top w:w="30" w:type="dxa"/>
              <w:left w:w="35" w:type="dxa"/>
              <w:bottom w:w="30" w:type="dxa"/>
              <w:right w:w="35" w:type="dxa"/>
            </w:tcMar>
            <w:vAlign w:val="top"/>
          </w:tcPr>
          <w:p w14:paraId="044754A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Among RYGB-operated participants, those with successful diabetes remission within the first year were compared with those without successful remission within the first year.</w:t>
            </w:r>
          </w:p>
        </w:tc>
        <w:tc>
          <w:tcPr>
            <w:tcW w:w="505" w:type="pct"/>
            <w:tcBorders>
              <w:left w:val="nil"/>
              <w:bottom w:val="single" w:color="B7B7B7" w:sz="2" w:space="0"/>
              <w:right w:val="nil"/>
            </w:tcBorders>
            <w:tcMar>
              <w:top w:w="30" w:type="dxa"/>
              <w:left w:w="35" w:type="dxa"/>
              <w:bottom w:w="30" w:type="dxa"/>
              <w:right w:w="35" w:type="dxa"/>
            </w:tcMar>
            <w:vAlign w:val="top"/>
          </w:tcPr>
          <w:p w14:paraId="2A7554B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Remission status was determined during the first year after Roux-en-Y gastric bypass using 6-month assessment periods. For remission-versus-non-remission complication analyses, outcome follow-up began on day 366, and participants who developed microvascular or macrovascular complications during the first year were excluded.</w:t>
            </w:r>
          </w:p>
        </w:tc>
        <w:tc>
          <w:tcPr>
            <w:tcW w:w="363" w:type="pct"/>
            <w:tcBorders>
              <w:left w:val="nil"/>
              <w:bottom w:val="single" w:color="B7B7B7" w:sz="2" w:space="0"/>
              <w:right w:val="nil"/>
            </w:tcBorders>
            <w:tcMar>
              <w:top w:w="30" w:type="dxa"/>
              <w:left w:w="35" w:type="dxa"/>
              <w:bottom w:w="30" w:type="dxa"/>
              <w:right w:w="35" w:type="dxa"/>
            </w:tcMar>
            <w:vAlign w:val="top"/>
          </w:tcPr>
          <w:p w14:paraId="0D9C524A">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Microvascular complications: diabetic retinopathy, diabetic neuropathy, and diabetic kidney disease. Macrovascular complications: ischaemic heart disease, cerebrovascular disease, and peripheral and abdominal vascular disease.</w:t>
            </w:r>
          </w:p>
        </w:tc>
        <w:tc>
          <w:tcPr>
            <w:tcW w:w="333" w:type="pct"/>
            <w:tcBorders>
              <w:left w:val="nil"/>
              <w:bottom w:val="single" w:color="B7B7B7" w:sz="2" w:space="0"/>
              <w:right w:val="nil"/>
            </w:tcBorders>
            <w:tcMar>
              <w:top w:w="30" w:type="dxa"/>
              <w:left w:w="35" w:type="dxa"/>
              <w:bottom w:w="30" w:type="dxa"/>
              <w:right w:w="35" w:type="dxa"/>
            </w:tcMar>
            <w:vAlign w:val="top"/>
          </w:tcPr>
          <w:p w14:paraId="3C43EE25">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Surrogate/modified definition</w:t>
            </w:r>
          </w:p>
        </w:tc>
        <w:tc>
          <w:tcPr>
            <w:tcW w:w="333" w:type="pct"/>
            <w:tcBorders>
              <w:left w:val="nil"/>
              <w:bottom w:val="single" w:color="B7B7B7" w:sz="2" w:space="0"/>
              <w:right w:val="nil"/>
            </w:tcBorders>
            <w:tcMar>
              <w:top w:w="30" w:type="dxa"/>
              <w:left w:w="35" w:type="dxa"/>
              <w:bottom w:w="30" w:type="dxa"/>
              <w:right w:w="35" w:type="dxa"/>
            </w:tcMar>
            <w:vAlign w:val="top"/>
          </w:tcPr>
          <w:p w14:paraId="5CDF6751">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Follow-up ended at death; no competing-risk regression was reported.</w:t>
            </w:r>
          </w:p>
        </w:tc>
      </w:tr>
      <w:tr w14:paraId="0DBEE624">
        <w:tblPrEx>
          <w:tblCellMar>
            <w:top w:w="0" w:type="dxa"/>
            <w:left w:w="108" w:type="dxa"/>
            <w:bottom w:w="0" w:type="dxa"/>
            <w:right w:w="108" w:type="dxa"/>
          </w:tblCellMar>
        </w:tblPrEx>
        <w:trPr>
          <w:cantSplit/>
          <w:jc w:val="center"/>
        </w:trPr>
        <w:tc>
          <w:tcPr>
            <w:tcW w:w="268" w:type="pct"/>
            <w:tcBorders>
              <w:left w:val="nil"/>
              <w:bottom w:val="single" w:color="B7B7B7" w:sz="2" w:space="0"/>
              <w:right w:val="nil"/>
            </w:tcBorders>
            <w:tcMar>
              <w:top w:w="30" w:type="dxa"/>
              <w:left w:w="35" w:type="dxa"/>
              <w:bottom w:w="30" w:type="dxa"/>
              <w:right w:w="35" w:type="dxa"/>
            </w:tcMar>
          </w:tcPr>
          <w:p w14:paraId="72BB1E6F">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Friedman</w:t>
            </w:r>
            <w:r>
              <w:rPr>
                <w:rFonts w:hint="eastAsia" w:eastAsia="宋体"/>
                <w:sz w:val="12"/>
                <w:vertAlign w:val="superscript"/>
                <w:lang w:val="en-US" w:eastAsia="zh-CN"/>
              </w:rPr>
              <w:t>21</w:t>
            </w:r>
          </w:p>
        </w:tc>
        <w:tc>
          <w:tcPr>
            <w:tcW w:w="108" w:type="pct"/>
            <w:tcBorders>
              <w:left w:val="nil"/>
              <w:bottom w:val="single" w:color="B7B7B7" w:sz="2" w:space="0"/>
              <w:right w:val="nil"/>
            </w:tcBorders>
            <w:tcMar>
              <w:top w:w="30" w:type="dxa"/>
              <w:left w:w="35" w:type="dxa"/>
              <w:bottom w:w="30" w:type="dxa"/>
              <w:right w:w="35" w:type="dxa"/>
            </w:tcMar>
          </w:tcPr>
          <w:p w14:paraId="096AC54E">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2019</w:t>
            </w:r>
          </w:p>
        </w:tc>
        <w:tc>
          <w:tcPr>
            <w:tcW w:w="169" w:type="pct"/>
            <w:tcBorders>
              <w:left w:val="nil"/>
              <w:bottom w:val="single" w:color="B7B7B7" w:sz="2" w:space="0"/>
              <w:right w:val="nil"/>
            </w:tcBorders>
            <w:tcMar>
              <w:top w:w="30" w:type="dxa"/>
              <w:left w:w="35" w:type="dxa"/>
              <w:bottom w:w="30" w:type="dxa"/>
              <w:right w:w="35" w:type="dxa"/>
            </w:tcMar>
          </w:tcPr>
          <w:p w14:paraId="33BD50B9">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United States</w:t>
            </w:r>
          </w:p>
        </w:tc>
        <w:tc>
          <w:tcPr>
            <w:tcW w:w="283" w:type="pct"/>
            <w:tcBorders>
              <w:left w:val="nil"/>
              <w:bottom w:val="single" w:color="B7B7B7" w:sz="2" w:space="0"/>
              <w:right w:val="nil"/>
            </w:tcBorders>
            <w:tcMar>
              <w:top w:w="30" w:type="dxa"/>
              <w:left w:w="35" w:type="dxa"/>
              <w:bottom w:w="30" w:type="dxa"/>
              <w:right w:w="35" w:type="dxa"/>
            </w:tcMar>
          </w:tcPr>
          <w:p w14:paraId="6D3F3F72">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Prospective multicentre observational bariatric-surgery cohort (LABS-2)</w:t>
            </w:r>
          </w:p>
        </w:tc>
        <w:tc>
          <w:tcPr>
            <w:tcW w:w="251" w:type="pct"/>
            <w:tcBorders>
              <w:left w:val="nil"/>
              <w:bottom w:val="single" w:color="B7B7B7" w:sz="2" w:space="0"/>
              <w:right w:val="nil"/>
            </w:tcBorders>
            <w:tcMar>
              <w:top w:w="30" w:type="dxa"/>
              <w:left w:w="35" w:type="dxa"/>
              <w:bottom w:w="30" w:type="dxa"/>
              <w:right w:w="35" w:type="dxa"/>
            </w:tcMar>
          </w:tcPr>
          <w:p w14:paraId="2FADD7D6">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with type 2 diabetes undergoing first-time bariatric surgery at 10 hospitals across six clinical centres</w:t>
            </w:r>
          </w:p>
        </w:tc>
        <w:tc>
          <w:tcPr>
            <w:tcW w:w="203" w:type="pct"/>
            <w:tcBorders>
              <w:left w:val="nil"/>
              <w:bottom w:val="single" w:color="B7B7B7" w:sz="2" w:space="0"/>
              <w:right w:val="nil"/>
            </w:tcBorders>
            <w:tcMar>
              <w:top w:w="30" w:type="dxa"/>
              <w:left w:w="35" w:type="dxa"/>
              <w:bottom w:w="30" w:type="dxa"/>
              <w:right w:w="35" w:type="dxa"/>
            </w:tcMar>
          </w:tcPr>
          <w:p w14:paraId="09E22B19">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737 overall; 477 in albuminuria analysis</w:t>
            </w:r>
          </w:p>
        </w:tc>
        <w:tc>
          <w:tcPr>
            <w:tcW w:w="250" w:type="pct"/>
            <w:tcBorders>
              <w:left w:val="nil"/>
              <w:bottom w:val="single" w:color="B7B7B7" w:sz="2" w:space="0"/>
              <w:right w:val="nil"/>
            </w:tcBorders>
            <w:tcMar>
              <w:top w:w="30" w:type="dxa"/>
              <w:left w:w="35" w:type="dxa"/>
              <w:bottom w:w="30" w:type="dxa"/>
              <w:right w:w="35" w:type="dxa"/>
            </w:tcMar>
          </w:tcPr>
          <w:p w14:paraId="2A38AFDD">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Median 52 (IQR 44–58)</w:t>
            </w:r>
          </w:p>
        </w:tc>
        <w:tc>
          <w:tcPr>
            <w:tcW w:w="219" w:type="pct"/>
            <w:tcBorders>
              <w:left w:val="nil"/>
              <w:bottom w:val="single" w:color="B7B7B7" w:sz="2" w:space="0"/>
              <w:right w:val="nil"/>
            </w:tcBorders>
            <w:tcMar>
              <w:top w:w="30" w:type="dxa"/>
              <w:left w:w="35" w:type="dxa"/>
              <w:bottom w:w="30" w:type="dxa"/>
              <w:right w:w="35" w:type="dxa"/>
            </w:tcMar>
          </w:tcPr>
          <w:p w14:paraId="08A2F458">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70.6</w:t>
            </w:r>
          </w:p>
        </w:tc>
        <w:tc>
          <w:tcPr>
            <w:tcW w:w="292" w:type="pct"/>
            <w:tcBorders>
              <w:left w:val="nil"/>
              <w:bottom w:val="single" w:color="B7B7B7" w:sz="2" w:space="0"/>
              <w:right w:val="nil"/>
            </w:tcBorders>
            <w:tcMar>
              <w:top w:w="30" w:type="dxa"/>
              <w:left w:w="35" w:type="dxa"/>
              <w:bottom w:w="30" w:type="dxa"/>
              <w:right w:w="35" w:type="dxa"/>
            </w:tcMar>
          </w:tcPr>
          <w:p w14:paraId="140F1C14">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Partial remission: HbA1c 5.7% to &lt;6.5% or fasting glucose 100–125 mg/dL; complete remission: HbA1c &lt;5.7% or fasting glucose &lt;100 mg/dL. Both required no active diabetes medication, with specified exceptions for metformin.</w:t>
            </w:r>
          </w:p>
        </w:tc>
        <w:tc>
          <w:tcPr>
            <w:tcW w:w="198" w:type="pct"/>
            <w:tcBorders>
              <w:left w:val="nil"/>
              <w:bottom w:val="single" w:color="B7B7B7" w:sz="2" w:space="0"/>
              <w:right w:val="nil"/>
            </w:tcBorders>
            <w:tcMar>
              <w:top w:w="30" w:type="dxa"/>
              <w:left w:w="35" w:type="dxa"/>
              <w:bottom w:w="30" w:type="dxa"/>
              <w:right w:w="35" w:type="dxa"/>
            </w:tcMar>
          </w:tcPr>
          <w:p w14:paraId="4263540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Up to 5 years</w:t>
            </w:r>
          </w:p>
        </w:tc>
        <w:tc>
          <w:tcPr>
            <w:tcW w:w="364" w:type="pct"/>
            <w:tcBorders>
              <w:left w:val="nil"/>
              <w:bottom w:val="single" w:color="B7B7B7" w:sz="2" w:space="0"/>
              <w:right w:val="nil"/>
            </w:tcBorders>
            <w:tcMar>
              <w:top w:w="30" w:type="dxa"/>
              <w:left w:w="35" w:type="dxa"/>
              <w:bottom w:w="30" w:type="dxa"/>
              <w:right w:w="35" w:type="dxa"/>
            </w:tcMar>
          </w:tcPr>
          <w:p w14:paraId="10D5B7F2">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Not included (renal outcomes were not sufficiently comparable for pooling)</w:t>
            </w:r>
          </w:p>
        </w:tc>
        <w:tc>
          <w:tcPr>
            <w:tcW w:w="250" w:type="pct"/>
            <w:tcBorders>
              <w:left w:val="nil"/>
              <w:bottom w:val="single" w:color="B7B7B7" w:sz="2" w:space="0"/>
              <w:right w:val="nil"/>
            </w:tcBorders>
            <w:tcMar>
              <w:top w:w="30" w:type="dxa"/>
              <w:left w:w="35" w:type="dxa"/>
              <w:bottom w:w="30" w:type="dxa"/>
              <w:right w:w="35" w:type="dxa"/>
            </w:tcMar>
            <w:vAlign w:val="top"/>
          </w:tcPr>
          <w:p w14:paraId="7D02FCA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Not included in the quantitative meta-analysis.</w:t>
            </w:r>
          </w:p>
        </w:tc>
        <w:tc>
          <w:tcPr>
            <w:tcW w:w="333" w:type="pct"/>
            <w:tcBorders>
              <w:left w:val="nil"/>
              <w:bottom w:val="single" w:color="B7B7B7" w:sz="2" w:space="0"/>
              <w:right w:val="nil"/>
            </w:tcBorders>
            <w:tcMar>
              <w:top w:w="30" w:type="dxa"/>
              <w:left w:w="35" w:type="dxa"/>
              <w:bottom w:w="30" w:type="dxa"/>
              <w:right w:w="35" w:type="dxa"/>
            </w:tcMar>
            <w:vAlign w:val="top"/>
          </w:tcPr>
          <w:p w14:paraId="12523545">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Not applicable to the quantitative synthesis</w:t>
            </w:r>
          </w:p>
        </w:tc>
        <w:tc>
          <w:tcPr>
            <w:tcW w:w="268" w:type="pct"/>
            <w:tcBorders>
              <w:left w:val="nil"/>
              <w:bottom w:val="single" w:color="B7B7B7" w:sz="2" w:space="0"/>
              <w:right w:val="nil"/>
            </w:tcBorders>
            <w:tcMar>
              <w:top w:w="30" w:type="dxa"/>
              <w:left w:w="35" w:type="dxa"/>
              <w:bottom w:w="30" w:type="dxa"/>
              <w:right w:w="35" w:type="dxa"/>
            </w:tcMar>
            <w:vAlign w:val="top"/>
          </w:tcPr>
          <w:p w14:paraId="386B859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 xml:space="preserve">No pooled comparator was used in this meta-analysis. </w:t>
            </w:r>
          </w:p>
        </w:tc>
        <w:tc>
          <w:tcPr>
            <w:tcW w:w="505" w:type="pct"/>
            <w:tcBorders>
              <w:left w:val="nil"/>
              <w:bottom w:val="single" w:color="B7B7B7" w:sz="2" w:space="0"/>
              <w:right w:val="nil"/>
            </w:tcBorders>
            <w:tcMar>
              <w:top w:w="30" w:type="dxa"/>
              <w:left w:w="35" w:type="dxa"/>
              <w:bottom w:w="30" w:type="dxa"/>
              <w:right w:w="35" w:type="dxa"/>
            </w:tcMar>
            <w:vAlign w:val="top"/>
          </w:tcPr>
          <w:p w14:paraId="07578B68">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Diabetes remission status and kidney outcomes were assessed repeatedly at annual visits for up to 5 years after bariatric surgery. Longitudinal kidney outcomes were analyzed using mixed-effects models rather than a time-to-event framework; therefore, this study was included in the qualitative synthesis but not in the quantitative meta-analysis.</w:t>
            </w:r>
          </w:p>
        </w:tc>
        <w:tc>
          <w:tcPr>
            <w:tcW w:w="363" w:type="pct"/>
            <w:tcBorders>
              <w:left w:val="nil"/>
              <w:bottom w:val="single" w:color="B7B7B7" w:sz="2" w:space="0"/>
              <w:right w:val="nil"/>
            </w:tcBorders>
            <w:tcMar>
              <w:top w:w="30" w:type="dxa"/>
              <w:left w:w="35" w:type="dxa"/>
              <w:bottom w:w="30" w:type="dxa"/>
              <w:right w:w="35" w:type="dxa"/>
            </w:tcMar>
            <w:vAlign w:val="top"/>
          </w:tcPr>
          <w:p w14:paraId="30D6B4C9">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Kidney outcomes: estimated glomerular filtration rate (eGFR), urinary albumin excretion/albuminuria, and prognostic risk for chronic kidney disease.</w:t>
            </w:r>
          </w:p>
        </w:tc>
        <w:tc>
          <w:tcPr>
            <w:tcW w:w="333" w:type="pct"/>
            <w:tcBorders>
              <w:left w:val="nil"/>
              <w:bottom w:val="single" w:color="B7B7B7" w:sz="2" w:space="0"/>
              <w:right w:val="nil"/>
            </w:tcBorders>
            <w:tcMar>
              <w:top w:w="30" w:type="dxa"/>
              <w:left w:w="35" w:type="dxa"/>
              <w:bottom w:w="30" w:type="dxa"/>
              <w:right w:w="35" w:type="dxa"/>
            </w:tcMar>
            <w:vAlign w:val="top"/>
          </w:tcPr>
          <w:p w14:paraId="1E603E8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Surrogate/modified definition</w:t>
            </w:r>
          </w:p>
        </w:tc>
        <w:tc>
          <w:tcPr>
            <w:tcW w:w="333" w:type="pct"/>
            <w:tcBorders>
              <w:left w:val="nil"/>
              <w:bottom w:val="single" w:color="B7B7B7" w:sz="2" w:space="0"/>
              <w:right w:val="nil"/>
            </w:tcBorders>
            <w:tcMar>
              <w:top w:w="30" w:type="dxa"/>
              <w:left w:w="35" w:type="dxa"/>
              <w:bottom w:w="30" w:type="dxa"/>
              <w:right w:w="35" w:type="dxa"/>
            </w:tcMar>
            <w:vAlign w:val="top"/>
          </w:tcPr>
          <w:p w14:paraId="246043EF">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Not Report</w:t>
            </w:r>
          </w:p>
        </w:tc>
      </w:tr>
      <w:tr w14:paraId="5B45B25D">
        <w:tblPrEx>
          <w:tblCellMar>
            <w:top w:w="0" w:type="dxa"/>
            <w:left w:w="108" w:type="dxa"/>
            <w:bottom w:w="0" w:type="dxa"/>
            <w:right w:w="108" w:type="dxa"/>
          </w:tblCellMar>
        </w:tblPrEx>
        <w:trPr>
          <w:cantSplit/>
          <w:jc w:val="center"/>
        </w:trPr>
        <w:tc>
          <w:tcPr>
            <w:tcW w:w="268" w:type="pct"/>
            <w:tcBorders>
              <w:left w:val="nil"/>
              <w:bottom w:val="single" w:color="000000" w:sz="10" w:space="0"/>
              <w:right w:val="nil"/>
            </w:tcBorders>
            <w:tcMar>
              <w:top w:w="30" w:type="dxa"/>
              <w:left w:w="35" w:type="dxa"/>
              <w:bottom w:w="30" w:type="dxa"/>
              <w:right w:w="35" w:type="dxa"/>
            </w:tcMar>
          </w:tcPr>
          <w:p w14:paraId="7CC15620">
            <w:pPr>
              <w:keepNext w:val="0"/>
              <w:keepLines w:val="0"/>
              <w:widowControl/>
              <w:suppressLineNumbers w:val="0"/>
              <w:spacing w:before="0" w:beforeAutospacing="0" w:after="0" w:afterAutospacing="0" w:line="221" w:lineRule="auto"/>
              <w:ind w:left="0" w:right="0"/>
              <w:jc w:val="left"/>
              <w:rPr>
                <w:rFonts w:hint="default" w:eastAsia="宋体"/>
                <w:lang w:val="en-US" w:eastAsia="zh-CN"/>
              </w:rPr>
            </w:pPr>
            <w:r>
              <w:rPr>
                <w:rFonts w:hint="default" w:ascii="Times New Roman" w:hAnsi="Times New Roman" w:eastAsia="Times New Roman"/>
                <w:sz w:val="12"/>
              </w:rPr>
              <w:t>Coleman</w:t>
            </w:r>
            <w:r>
              <w:rPr>
                <w:rFonts w:hint="eastAsia" w:eastAsia="宋体"/>
                <w:sz w:val="12"/>
                <w:vertAlign w:val="superscript"/>
                <w:lang w:val="en-US" w:eastAsia="zh-CN"/>
              </w:rPr>
              <w:t>22</w:t>
            </w:r>
          </w:p>
        </w:tc>
        <w:tc>
          <w:tcPr>
            <w:tcW w:w="108" w:type="pct"/>
            <w:tcBorders>
              <w:left w:val="nil"/>
              <w:bottom w:val="single" w:color="000000" w:sz="10" w:space="0"/>
              <w:right w:val="nil"/>
            </w:tcBorders>
            <w:tcMar>
              <w:top w:w="30" w:type="dxa"/>
              <w:left w:w="35" w:type="dxa"/>
              <w:bottom w:w="30" w:type="dxa"/>
              <w:right w:w="35" w:type="dxa"/>
            </w:tcMar>
          </w:tcPr>
          <w:p w14:paraId="6A4917BE">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2016</w:t>
            </w:r>
          </w:p>
        </w:tc>
        <w:tc>
          <w:tcPr>
            <w:tcW w:w="169" w:type="pct"/>
            <w:tcBorders>
              <w:left w:val="nil"/>
              <w:bottom w:val="single" w:color="000000" w:sz="10" w:space="0"/>
              <w:right w:val="nil"/>
            </w:tcBorders>
            <w:tcMar>
              <w:top w:w="30" w:type="dxa"/>
              <w:left w:w="35" w:type="dxa"/>
              <w:bottom w:w="30" w:type="dxa"/>
              <w:right w:w="35" w:type="dxa"/>
            </w:tcMar>
          </w:tcPr>
          <w:p w14:paraId="385424A4">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rPr>
              <w:t>United States</w:t>
            </w:r>
          </w:p>
        </w:tc>
        <w:tc>
          <w:tcPr>
            <w:tcW w:w="283" w:type="pct"/>
            <w:tcBorders>
              <w:left w:val="nil"/>
              <w:bottom w:val="single" w:color="000000" w:sz="10" w:space="0"/>
              <w:right w:val="nil"/>
            </w:tcBorders>
            <w:tcMar>
              <w:top w:w="30" w:type="dxa"/>
              <w:left w:w="35" w:type="dxa"/>
              <w:bottom w:w="30" w:type="dxa"/>
              <w:right w:w="35" w:type="dxa"/>
            </w:tcMar>
          </w:tcPr>
          <w:p w14:paraId="572C3930">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Multisite retrospective bariatric-surgery cohort using the Health Care Systems Research Network Virtual Data Warehouse</w:t>
            </w:r>
          </w:p>
        </w:tc>
        <w:tc>
          <w:tcPr>
            <w:tcW w:w="251" w:type="pct"/>
            <w:tcBorders>
              <w:left w:val="nil"/>
              <w:bottom w:val="single" w:color="000000" w:sz="10" w:space="0"/>
              <w:right w:val="nil"/>
            </w:tcBorders>
            <w:tcMar>
              <w:top w:w="30" w:type="dxa"/>
              <w:left w:w="35" w:type="dxa"/>
              <w:bottom w:w="30" w:type="dxa"/>
              <w:right w:w="35" w:type="dxa"/>
            </w:tcMar>
          </w:tcPr>
          <w:p w14:paraId="1DC2836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Adults aged 20–79 years with severe obesity and type 2 diabetes who underwent primary bariatric surgery and were free of major pre-existing microvascular disease</w:t>
            </w:r>
          </w:p>
        </w:tc>
        <w:tc>
          <w:tcPr>
            <w:tcW w:w="203" w:type="pct"/>
            <w:tcBorders>
              <w:left w:val="nil"/>
              <w:bottom w:val="single" w:color="000000" w:sz="10" w:space="0"/>
              <w:right w:val="nil"/>
            </w:tcBorders>
            <w:tcMar>
              <w:top w:w="30" w:type="dxa"/>
              <w:left w:w="35" w:type="dxa"/>
              <w:bottom w:w="30" w:type="dxa"/>
              <w:right w:w="35" w:type="dxa"/>
            </w:tcMar>
          </w:tcPr>
          <w:p w14:paraId="5EB608EE">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4,683</w:t>
            </w:r>
          </w:p>
        </w:tc>
        <w:tc>
          <w:tcPr>
            <w:tcW w:w="250" w:type="pct"/>
            <w:tcBorders>
              <w:left w:val="nil"/>
              <w:bottom w:val="single" w:color="000000" w:sz="10" w:space="0"/>
              <w:right w:val="nil"/>
            </w:tcBorders>
            <w:tcMar>
              <w:top w:w="30" w:type="dxa"/>
              <w:left w:w="35" w:type="dxa"/>
              <w:bottom w:w="30" w:type="dxa"/>
              <w:right w:w="35" w:type="dxa"/>
            </w:tcMar>
          </w:tcPr>
          <w:p w14:paraId="61728153">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46.7 (SD 9.7)</w:t>
            </w:r>
          </w:p>
        </w:tc>
        <w:tc>
          <w:tcPr>
            <w:tcW w:w="219" w:type="pct"/>
            <w:tcBorders>
              <w:left w:val="nil"/>
              <w:bottom w:val="single" w:color="000000" w:sz="10" w:space="0"/>
              <w:right w:val="nil"/>
            </w:tcBorders>
            <w:tcMar>
              <w:top w:w="30" w:type="dxa"/>
              <w:left w:w="35" w:type="dxa"/>
              <w:bottom w:w="30" w:type="dxa"/>
              <w:right w:w="35" w:type="dxa"/>
            </w:tcMar>
          </w:tcPr>
          <w:p w14:paraId="6148B4F4">
            <w:pPr>
              <w:keepNext w:val="0"/>
              <w:keepLines w:val="0"/>
              <w:widowControl/>
              <w:suppressLineNumbers w:val="0"/>
              <w:spacing w:before="0" w:beforeAutospacing="0" w:after="0" w:afterAutospacing="0" w:line="221" w:lineRule="auto"/>
              <w:ind w:left="0" w:right="0"/>
              <w:jc w:val="center"/>
              <w:rPr>
                <w:rFonts w:hint="default"/>
              </w:rPr>
            </w:pPr>
            <w:r>
              <w:rPr>
                <w:rFonts w:hint="default" w:ascii="Times New Roman" w:hAnsi="Times New Roman" w:eastAsia="Times New Roman"/>
                <w:sz w:val="12"/>
              </w:rPr>
              <w:t>76.0</w:t>
            </w:r>
          </w:p>
        </w:tc>
        <w:tc>
          <w:tcPr>
            <w:tcW w:w="292" w:type="pct"/>
            <w:tcBorders>
              <w:left w:val="nil"/>
              <w:bottom w:val="single" w:color="000000" w:sz="10" w:space="0"/>
              <w:right w:val="nil"/>
            </w:tcBorders>
            <w:tcMar>
              <w:top w:w="30" w:type="dxa"/>
              <w:left w:w="35" w:type="dxa"/>
              <w:bottom w:w="30" w:type="dxa"/>
              <w:right w:w="35" w:type="dxa"/>
            </w:tcMar>
          </w:tcPr>
          <w:p w14:paraId="45BBC425">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HbA1c &lt;6.5% after discontinuation of all diabetes medications for at least 90 days and/or fasting plasma glucose &lt;126 mg/dL after discontinuation of all medications for at least 7 days.</w:t>
            </w:r>
          </w:p>
        </w:tc>
        <w:tc>
          <w:tcPr>
            <w:tcW w:w="198" w:type="pct"/>
            <w:tcBorders>
              <w:left w:val="nil"/>
              <w:bottom w:val="single" w:color="000000" w:sz="10" w:space="0"/>
              <w:right w:val="nil"/>
            </w:tcBorders>
            <w:tcMar>
              <w:top w:w="30" w:type="dxa"/>
              <w:left w:w="35" w:type="dxa"/>
              <w:bottom w:w="30" w:type="dxa"/>
              <w:right w:w="35" w:type="dxa"/>
            </w:tcMar>
          </w:tcPr>
          <w:p w14:paraId="6CC7149A">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Up to 10 years; cumulative outcomes reported at 1, 3, 5, and 7 years</w:t>
            </w:r>
          </w:p>
        </w:tc>
        <w:tc>
          <w:tcPr>
            <w:tcW w:w="364" w:type="pct"/>
            <w:tcBorders>
              <w:left w:val="nil"/>
              <w:bottom w:val="single" w:color="000000" w:sz="10" w:space="0"/>
              <w:right w:val="nil"/>
            </w:tcBorders>
            <w:tcMar>
              <w:top w:w="30" w:type="dxa"/>
              <w:left w:w="35" w:type="dxa"/>
              <w:bottom w:w="30" w:type="dxa"/>
              <w:right w:w="35" w:type="dxa"/>
            </w:tcMar>
          </w:tcPr>
          <w:p w14:paraId="13DDE3FE">
            <w:pPr>
              <w:keepNext w:val="0"/>
              <w:keepLines w:val="0"/>
              <w:widowControl/>
              <w:suppressLineNumbers w:val="0"/>
              <w:spacing w:before="0" w:beforeAutospacing="0" w:after="0" w:afterAutospacing="0" w:line="221" w:lineRule="auto"/>
              <w:ind w:left="0" w:right="0"/>
              <w:jc w:val="left"/>
              <w:rPr>
                <w:rFonts w:hint="default"/>
              </w:rPr>
            </w:pPr>
            <w:r>
              <w:rPr>
                <w:rFonts w:hint="default" w:ascii="Times New Roman" w:hAnsi="Times New Roman" w:eastAsia="Times New Roman"/>
                <w:sz w:val="12"/>
              </w:rPr>
              <w:t>Microvascular complications</w:t>
            </w:r>
          </w:p>
        </w:tc>
        <w:tc>
          <w:tcPr>
            <w:tcW w:w="250" w:type="pct"/>
            <w:tcBorders>
              <w:left w:val="nil"/>
              <w:bottom w:val="single" w:color="000000" w:sz="10" w:space="0"/>
              <w:right w:val="nil"/>
            </w:tcBorders>
            <w:tcMar>
              <w:top w:w="30" w:type="dxa"/>
              <w:left w:w="35" w:type="dxa"/>
              <w:bottom w:w="30" w:type="dxa"/>
              <w:right w:w="35" w:type="dxa"/>
            </w:tcMar>
            <w:vAlign w:val="top"/>
          </w:tcPr>
          <w:p w14:paraId="3654DC5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Microvascular complications: HR 0.71 (95% CI 0.60–0.85).</w:t>
            </w:r>
          </w:p>
        </w:tc>
        <w:tc>
          <w:tcPr>
            <w:tcW w:w="333" w:type="pct"/>
            <w:tcBorders>
              <w:left w:val="nil"/>
              <w:bottom w:val="single" w:color="000000" w:sz="10" w:space="0"/>
              <w:right w:val="nil"/>
            </w:tcBorders>
            <w:tcMar>
              <w:top w:w="30" w:type="dxa"/>
              <w:left w:w="35" w:type="dxa"/>
              <w:bottom w:w="30" w:type="dxa"/>
              <w:right w:w="35" w:type="dxa"/>
            </w:tcMar>
            <w:vAlign w:val="top"/>
          </w:tcPr>
          <w:p w14:paraId="3C0D39A1">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Age, sex, race/ethnicity, bariatric procedure, surgery year, insurance, BMI, smoking, observed diabetes duration before surgery, insulin use, oral diabetes medication use, LDL cholesterol, triglycerides, blood pressure and antihypertensive treatment, cholesterol-lowering treatment, aspirin/other platelet inhibitor use, and pre-surgery cardiovascular event; stratified by study site.</w:t>
            </w:r>
          </w:p>
        </w:tc>
        <w:tc>
          <w:tcPr>
            <w:tcW w:w="268" w:type="pct"/>
            <w:tcBorders>
              <w:left w:val="nil"/>
              <w:bottom w:val="single" w:color="000000" w:sz="10" w:space="0"/>
              <w:right w:val="nil"/>
            </w:tcBorders>
            <w:tcMar>
              <w:top w:w="30" w:type="dxa"/>
              <w:left w:w="35" w:type="dxa"/>
              <w:bottom w:w="30" w:type="dxa"/>
              <w:right w:w="35" w:type="dxa"/>
            </w:tcMar>
            <w:vAlign w:val="top"/>
          </w:tcPr>
          <w:p w14:paraId="5752878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rPr>
            </w:pPr>
            <w:r>
              <w:rPr>
                <w:rFonts w:hint="default" w:ascii="Times New Roman" w:hAnsi="Times New Roman" w:eastAsia="Times New Roman"/>
                <w:sz w:val="12"/>
                <w:lang w:val="en-US" w:eastAsia="zh-CN"/>
              </w:rPr>
              <w:t>At each point in follow-up, patients currently in remission were compared with patients who had not remitted; the selected estimate came from the adjusted main-effects model.</w:t>
            </w:r>
          </w:p>
        </w:tc>
        <w:tc>
          <w:tcPr>
            <w:tcW w:w="505" w:type="pct"/>
            <w:tcBorders>
              <w:left w:val="nil"/>
              <w:bottom w:val="single" w:color="000000" w:sz="10" w:space="0"/>
              <w:right w:val="nil"/>
            </w:tcBorders>
            <w:tcMar>
              <w:top w:w="30" w:type="dxa"/>
              <w:left w:w="35" w:type="dxa"/>
              <w:bottom w:w="30" w:type="dxa"/>
              <w:right w:w="35" w:type="dxa"/>
            </w:tcMar>
            <w:vAlign w:val="top"/>
          </w:tcPr>
          <w:p w14:paraId="7D63950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Follow-up began on the date of bariatric surgery. Remission and relapse status were assessed continuously throughout postsurgical follow-up and modeled as time-varying exposure states in Cox regression. Participants were followed until the first incident microvascular event or censoring.</w:t>
            </w:r>
          </w:p>
        </w:tc>
        <w:tc>
          <w:tcPr>
            <w:tcW w:w="363" w:type="pct"/>
            <w:tcBorders>
              <w:left w:val="nil"/>
              <w:bottom w:val="single" w:color="000000" w:sz="10" w:space="0"/>
              <w:right w:val="nil"/>
            </w:tcBorders>
            <w:tcMar>
              <w:top w:w="30" w:type="dxa"/>
              <w:left w:w="35" w:type="dxa"/>
              <w:bottom w:w="30" w:type="dxa"/>
              <w:right w:w="35" w:type="dxa"/>
            </w:tcMar>
            <w:vAlign w:val="top"/>
          </w:tcPr>
          <w:p w14:paraId="133F1AB0">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Microvascular disease: first occurrence of retinopathy, neuropathy, or nephropathy; nephropathy incorporated renal-function criteria including repeated reduced eGFR measurements.</w:t>
            </w:r>
          </w:p>
        </w:tc>
        <w:tc>
          <w:tcPr>
            <w:tcW w:w="333" w:type="pct"/>
            <w:tcBorders>
              <w:left w:val="nil"/>
              <w:bottom w:val="single" w:color="000000" w:sz="10" w:space="0"/>
              <w:right w:val="nil"/>
            </w:tcBorders>
            <w:tcMar>
              <w:top w:w="30" w:type="dxa"/>
              <w:left w:w="35" w:type="dxa"/>
              <w:bottom w:w="30" w:type="dxa"/>
              <w:right w:w="35" w:type="dxa"/>
            </w:tcMar>
            <w:vAlign w:val="top"/>
          </w:tcPr>
          <w:p w14:paraId="29D5912B">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Surrogate/modified definition</w:t>
            </w:r>
          </w:p>
        </w:tc>
        <w:tc>
          <w:tcPr>
            <w:tcW w:w="333" w:type="pct"/>
            <w:tcBorders>
              <w:left w:val="nil"/>
              <w:bottom w:val="single" w:color="000000" w:sz="10" w:space="0"/>
              <w:right w:val="nil"/>
            </w:tcBorders>
            <w:tcMar>
              <w:top w:w="30" w:type="dxa"/>
              <w:left w:w="35" w:type="dxa"/>
              <w:bottom w:w="30" w:type="dxa"/>
              <w:right w:w="35" w:type="dxa"/>
            </w:tcMar>
            <w:vAlign w:val="top"/>
          </w:tcPr>
          <w:p w14:paraId="0C1801BD">
            <w:pPr>
              <w:keepNext w:val="0"/>
              <w:keepLines w:val="0"/>
              <w:widowControl/>
              <w:suppressLineNumbers w:val="0"/>
              <w:spacing w:before="0" w:beforeAutospacing="0" w:after="0" w:afterAutospacing="0" w:line="221" w:lineRule="auto"/>
              <w:ind w:left="0" w:right="0"/>
              <w:jc w:val="left"/>
              <w:rPr>
                <w:rFonts w:hint="default" w:ascii="Times New Roman" w:hAnsi="Times New Roman" w:eastAsia="Times New Roman"/>
                <w:sz w:val="12"/>
                <w:lang w:val="en-US" w:eastAsia="zh-CN"/>
              </w:rPr>
            </w:pPr>
            <w:r>
              <w:rPr>
                <w:rFonts w:hint="default" w:ascii="Times New Roman" w:hAnsi="Times New Roman" w:eastAsia="Times New Roman"/>
                <w:sz w:val="12"/>
                <w:lang w:val="en-US" w:eastAsia="zh-CN"/>
              </w:rPr>
              <w:t>Death was treated as a censoring event; no competing-risk regression was reported.</w:t>
            </w:r>
          </w:p>
        </w:tc>
      </w:tr>
    </w:tbl>
    <w:p w14:paraId="52EE3A17">
      <w:pPr>
        <w:spacing w:before="60"/>
      </w:pPr>
      <w:r>
        <w:rPr>
          <w:rFonts w:ascii="Times New Roman" w:hAnsi="Times New Roman" w:eastAsia="Times New Roman"/>
          <w:sz w:val="13"/>
        </w:rPr>
        <w:t>Abbreviations: CHIA, Care and Health Information Analytics; GLIMPLES, GLP-1RA for Simplification in Diabetes; GLP-1, glucagon-like peptide-1; HbA1c, glycated hemoglobin; IQR, interquartile range; LABS-2, Longitudinal Assessment of Bariatric Surgery-2; Look AHEAD, Action for Health in Diabetes; RAMP-DM, Risk Assessment and Management Programme for Diabetes Mellitus; SD, standard deviation.</w:t>
      </w:r>
    </w:p>
    <w:p w14:paraId="033D3B9D">
      <w:pPr>
        <w:pStyle w:val="12"/>
        <w:rPr>
          <w:lang w:val="da-DK"/>
        </w:rPr>
      </w:pPr>
    </w:p>
    <w:p w14:paraId="776126C9">
      <w:pPr>
        <w:jc w:val="both"/>
        <w:rPr>
          <w:sz w:val="21"/>
          <w:szCs w:val="21"/>
          <w:lang w:eastAsia="zh-CN"/>
        </w:rPr>
      </w:pPr>
      <w:r>
        <w:rPr>
          <w:rFonts w:hint="eastAsia"/>
          <w:b/>
          <w:bCs/>
          <w:sz w:val="24"/>
          <w:szCs w:val="24"/>
          <w:lang w:val="en-US" w:eastAsia="zh-CN"/>
        </w:rPr>
        <w:t xml:space="preserve">Supplementary </w:t>
      </w:r>
      <w:r>
        <w:rPr>
          <w:b/>
          <w:bCs/>
          <w:sz w:val="24"/>
          <w:szCs w:val="24"/>
        </w:rPr>
        <w:t>Table S</w:t>
      </w:r>
      <w:r>
        <w:rPr>
          <w:rFonts w:hint="eastAsia"/>
          <w:b/>
          <w:bCs/>
          <w:sz w:val="24"/>
          <w:szCs w:val="24"/>
          <w:lang w:val="en-US" w:eastAsia="zh-CN"/>
        </w:rPr>
        <w:t>5</w:t>
      </w:r>
      <w:r>
        <w:rPr>
          <w:b/>
          <w:bCs/>
          <w:sz w:val="24"/>
          <w:szCs w:val="24"/>
        </w:rPr>
        <w:t>. Quality assessment of included studies</w:t>
      </w:r>
    </w:p>
    <w:tbl>
      <w:tblPr>
        <w:tblStyle w:val="6"/>
        <w:tblW w:w="38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7"/>
        <w:gridCol w:w="455"/>
        <w:gridCol w:w="682"/>
        <w:gridCol w:w="686"/>
        <w:gridCol w:w="696"/>
        <w:gridCol w:w="696"/>
        <w:gridCol w:w="696"/>
        <w:gridCol w:w="646"/>
        <w:gridCol w:w="719"/>
        <w:gridCol w:w="682"/>
        <w:gridCol w:w="2000"/>
      </w:tblGrid>
      <w:tr w14:paraId="1C3E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vMerge w:val="restart"/>
            <w:tcBorders>
              <w:top w:val="single" w:color="000000" w:sz="12" w:space="0"/>
              <w:left w:val="nil"/>
              <w:bottom w:val="single" w:color="000000" w:sz="4" w:space="0"/>
              <w:right w:val="nil"/>
              <w:tl2br w:val="nil"/>
            </w:tcBorders>
            <w:shd w:val="clear" w:color="auto" w:fill="FFFFFF"/>
            <w:vAlign w:val="center"/>
          </w:tcPr>
          <w:p w14:paraId="6519ED25">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Author</w:t>
            </w:r>
          </w:p>
          <w:p w14:paraId="2EAB95A9">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(Publication Year)</w:t>
            </w:r>
          </w:p>
        </w:tc>
        <w:tc>
          <w:tcPr>
            <w:tcW w:w="9351" w:type="dxa"/>
            <w:gridSpan w:val="10"/>
            <w:tcBorders>
              <w:top w:val="single" w:color="000000" w:sz="12" w:space="0"/>
              <w:left w:val="nil"/>
              <w:bottom w:val="single" w:color="000000" w:sz="4" w:space="0"/>
              <w:right w:val="nil"/>
            </w:tcBorders>
            <w:shd w:val="clear" w:color="auto" w:fill="FFFFFF"/>
            <w:vAlign w:val="center"/>
          </w:tcPr>
          <w:p w14:paraId="0799397B">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Newcastle-Ottawa Scale</w:t>
            </w:r>
          </w:p>
        </w:tc>
      </w:tr>
      <w:tr w14:paraId="273E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vMerge w:val="continue"/>
            <w:tcBorders>
              <w:top w:val="single" w:color="000000" w:sz="4" w:space="0"/>
              <w:left w:val="nil"/>
              <w:bottom w:val="nil"/>
              <w:right w:val="nil"/>
            </w:tcBorders>
            <w:shd w:val="clear" w:color="auto" w:fill="FFFFFF"/>
            <w:vAlign w:val="center"/>
          </w:tcPr>
          <w:p w14:paraId="3488B245">
            <w:pPr>
              <w:keepNext w:val="0"/>
              <w:keepLines w:val="0"/>
              <w:widowControl/>
              <w:suppressLineNumbers w:val="0"/>
              <w:spacing w:before="0" w:beforeAutospacing="0" w:after="0" w:afterAutospacing="0"/>
              <w:ind w:left="0" w:right="0"/>
              <w:rPr>
                <w:rFonts w:hint="default"/>
                <w:b w:val="0"/>
                <w:color w:val="000000"/>
                <w:kern w:val="2"/>
                <w:sz w:val="20"/>
                <w:szCs w:val="20"/>
                <w:lang w:val="en-US" w:eastAsia="zh-CN"/>
              </w:rPr>
            </w:pPr>
          </w:p>
        </w:tc>
        <w:tc>
          <w:tcPr>
            <w:tcW w:w="2142" w:type="dxa"/>
            <w:gridSpan w:val="3"/>
            <w:tcBorders>
              <w:top w:val="single" w:color="000000" w:sz="4" w:space="0"/>
              <w:left w:val="nil"/>
              <w:bottom w:val="nil"/>
              <w:right w:val="nil"/>
            </w:tcBorders>
            <w:shd w:val="clear" w:color="auto" w:fill="FFFFFF"/>
            <w:vAlign w:val="center"/>
          </w:tcPr>
          <w:p w14:paraId="7B2BDA9A">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Selection</w:t>
            </w:r>
          </w:p>
        </w:tc>
        <w:tc>
          <w:tcPr>
            <w:tcW w:w="2454" w:type="dxa"/>
            <w:gridSpan w:val="3"/>
            <w:tcBorders>
              <w:top w:val="single" w:color="000000" w:sz="4" w:space="0"/>
              <w:left w:val="nil"/>
              <w:bottom w:val="nil"/>
              <w:right w:val="nil"/>
            </w:tcBorders>
            <w:shd w:val="clear" w:color="auto" w:fill="FFFFFF"/>
            <w:vAlign w:val="center"/>
          </w:tcPr>
          <w:p w14:paraId="5C6E4878">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Comparability</w:t>
            </w:r>
          </w:p>
        </w:tc>
        <w:tc>
          <w:tcPr>
            <w:tcW w:w="2405" w:type="dxa"/>
            <w:gridSpan w:val="3"/>
            <w:tcBorders>
              <w:top w:val="single" w:color="000000" w:sz="4" w:space="0"/>
              <w:left w:val="nil"/>
              <w:bottom w:val="nil"/>
              <w:right w:val="nil"/>
            </w:tcBorders>
            <w:shd w:val="clear" w:color="auto" w:fill="FFFFFF"/>
            <w:vAlign w:val="center"/>
          </w:tcPr>
          <w:p w14:paraId="0DDF0D9F">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Outcome</w:t>
            </w:r>
          </w:p>
        </w:tc>
        <w:tc>
          <w:tcPr>
            <w:tcW w:w="2350" w:type="dxa"/>
            <w:vMerge w:val="restart"/>
            <w:tcBorders>
              <w:top w:val="single" w:color="000000" w:sz="4" w:space="0"/>
              <w:left w:val="nil"/>
              <w:bottom w:val="nil"/>
              <w:right w:val="nil"/>
            </w:tcBorders>
            <w:shd w:val="clear" w:color="auto" w:fill="FFFFFF"/>
            <w:vAlign w:val="center"/>
          </w:tcPr>
          <w:p w14:paraId="411A4110">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Total</w:t>
            </w:r>
          </w:p>
        </w:tc>
      </w:tr>
      <w:tr w14:paraId="0FDA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vMerge w:val="continue"/>
            <w:tcBorders>
              <w:top w:val="nil"/>
              <w:left w:val="nil"/>
              <w:bottom w:val="nil"/>
              <w:right w:val="nil"/>
            </w:tcBorders>
            <w:shd w:val="clear" w:color="auto" w:fill="FFFFFF"/>
            <w:vAlign w:val="center"/>
          </w:tcPr>
          <w:p w14:paraId="30679291">
            <w:pPr>
              <w:keepNext w:val="0"/>
              <w:keepLines w:val="0"/>
              <w:widowControl/>
              <w:suppressLineNumbers w:val="0"/>
              <w:spacing w:before="0" w:beforeAutospacing="0" w:after="0" w:afterAutospacing="0"/>
              <w:ind w:left="0" w:right="0"/>
              <w:rPr>
                <w:rFonts w:hint="default"/>
                <w:b w:val="0"/>
                <w:color w:val="000000"/>
                <w:kern w:val="2"/>
                <w:sz w:val="20"/>
                <w:szCs w:val="20"/>
                <w:lang w:val="en-US" w:eastAsia="zh-CN"/>
              </w:rPr>
            </w:pPr>
          </w:p>
        </w:tc>
        <w:tc>
          <w:tcPr>
            <w:tcW w:w="535" w:type="dxa"/>
            <w:tcBorders>
              <w:top w:val="nil"/>
              <w:left w:val="nil"/>
              <w:bottom w:val="nil"/>
              <w:right w:val="nil"/>
            </w:tcBorders>
            <w:shd w:val="clear" w:color="auto" w:fill="FFFFFF"/>
            <w:vAlign w:val="center"/>
          </w:tcPr>
          <w:p w14:paraId="106E9706">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a</w:t>
            </w:r>
          </w:p>
        </w:tc>
        <w:tc>
          <w:tcPr>
            <w:tcW w:w="801" w:type="dxa"/>
            <w:tcBorders>
              <w:top w:val="nil"/>
              <w:left w:val="nil"/>
              <w:bottom w:val="nil"/>
              <w:right w:val="nil"/>
            </w:tcBorders>
            <w:shd w:val="clear" w:color="auto" w:fill="FFFFFF"/>
            <w:vAlign w:val="center"/>
          </w:tcPr>
          <w:p w14:paraId="7DA48C8E">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b</w:t>
            </w:r>
          </w:p>
        </w:tc>
        <w:tc>
          <w:tcPr>
            <w:tcW w:w="806" w:type="dxa"/>
            <w:tcBorders>
              <w:top w:val="nil"/>
              <w:left w:val="nil"/>
              <w:bottom w:val="nil"/>
              <w:right w:val="nil"/>
            </w:tcBorders>
            <w:shd w:val="clear" w:color="auto" w:fill="FFFFFF"/>
            <w:vAlign w:val="center"/>
          </w:tcPr>
          <w:p w14:paraId="2CB11973">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c</w:t>
            </w:r>
          </w:p>
        </w:tc>
        <w:tc>
          <w:tcPr>
            <w:tcW w:w="818" w:type="dxa"/>
            <w:tcBorders>
              <w:top w:val="nil"/>
              <w:left w:val="nil"/>
              <w:bottom w:val="nil"/>
              <w:right w:val="nil"/>
            </w:tcBorders>
            <w:shd w:val="clear" w:color="auto" w:fill="FFFFFF"/>
            <w:vAlign w:val="center"/>
          </w:tcPr>
          <w:p w14:paraId="212A1FFB">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d</w:t>
            </w:r>
          </w:p>
        </w:tc>
        <w:tc>
          <w:tcPr>
            <w:tcW w:w="818" w:type="dxa"/>
            <w:tcBorders>
              <w:top w:val="nil"/>
              <w:left w:val="nil"/>
              <w:bottom w:val="nil"/>
              <w:right w:val="nil"/>
            </w:tcBorders>
            <w:shd w:val="clear" w:color="auto" w:fill="FFFFFF"/>
            <w:vAlign w:val="center"/>
          </w:tcPr>
          <w:p w14:paraId="6819936F">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e</w:t>
            </w:r>
          </w:p>
        </w:tc>
        <w:tc>
          <w:tcPr>
            <w:tcW w:w="818" w:type="dxa"/>
            <w:tcBorders>
              <w:top w:val="nil"/>
              <w:left w:val="nil"/>
              <w:bottom w:val="nil"/>
              <w:right w:val="nil"/>
            </w:tcBorders>
            <w:shd w:val="clear" w:color="auto" w:fill="FFFFFF"/>
            <w:vAlign w:val="center"/>
          </w:tcPr>
          <w:p w14:paraId="3839EC75">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f</w:t>
            </w:r>
          </w:p>
        </w:tc>
        <w:tc>
          <w:tcPr>
            <w:tcW w:w="759" w:type="dxa"/>
            <w:tcBorders>
              <w:top w:val="nil"/>
              <w:left w:val="nil"/>
              <w:bottom w:val="nil"/>
              <w:right w:val="nil"/>
            </w:tcBorders>
            <w:shd w:val="clear" w:color="auto" w:fill="FFFFFF"/>
            <w:vAlign w:val="center"/>
          </w:tcPr>
          <w:p w14:paraId="213103E5">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g</w:t>
            </w:r>
          </w:p>
        </w:tc>
        <w:tc>
          <w:tcPr>
            <w:tcW w:w="845" w:type="dxa"/>
            <w:tcBorders>
              <w:top w:val="nil"/>
              <w:left w:val="nil"/>
              <w:bottom w:val="nil"/>
              <w:right w:val="nil"/>
            </w:tcBorders>
            <w:shd w:val="clear" w:color="auto" w:fill="FFFFFF"/>
            <w:vAlign w:val="center"/>
          </w:tcPr>
          <w:p w14:paraId="706F354A">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h</w:t>
            </w:r>
          </w:p>
        </w:tc>
        <w:tc>
          <w:tcPr>
            <w:tcW w:w="801" w:type="dxa"/>
            <w:tcBorders>
              <w:top w:val="nil"/>
              <w:left w:val="nil"/>
              <w:bottom w:val="nil"/>
              <w:right w:val="nil"/>
            </w:tcBorders>
            <w:shd w:val="clear" w:color="auto" w:fill="FFFFFF"/>
            <w:vAlign w:val="center"/>
          </w:tcPr>
          <w:p w14:paraId="755C5490">
            <w:pPr>
              <w:keepNext w:val="0"/>
              <w:keepLines w:val="0"/>
              <w:widowControl/>
              <w:suppressLineNumbers w:val="0"/>
              <w:spacing w:before="0" w:beforeAutospacing="0" w:after="0" w:afterAutospacing="0"/>
              <w:ind w:left="0" w:right="0"/>
              <w:jc w:val="center"/>
              <w:rPr>
                <w:rFonts w:hint="default"/>
                <w:b w:val="0"/>
                <w:color w:val="000000"/>
                <w:sz w:val="20"/>
                <w:szCs w:val="20"/>
                <w:lang w:val="en-US" w:eastAsia="zh-CN"/>
              </w:rPr>
            </w:pPr>
            <w:r>
              <w:rPr>
                <w:rFonts w:hint="default"/>
                <w:b w:val="0"/>
                <w:color w:val="000000"/>
                <w:sz w:val="20"/>
                <w:szCs w:val="20"/>
                <w:lang w:val="en-US" w:eastAsia="zh-CN"/>
              </w:rPr>
              <w:t>i</w:t>
            </w:r>
          </w:p>
        </w:tc>
        <w:tc>
          <w:tcPr>
            <w:tcW w:w="2350" w:type="dxa"/>
            <w:vMerge w:val="continue"/>
            <w:tcBorders>
              <w:top w:val="nil"/>
              <w:left w:val="nil"/>
              <w:bottom w:val="nil"/>
              <w:right w:val="nil"/>
            </w:tcBorders>
            <w:shd w:val="clear" w:color="auto" w:fill="FFFFFF"/>
            <w:vAlign w:val="center"/>
          </w:tcPr>
          <w:p w14:paraId="7224FBBD">
            <w:pPr>
              <w:keepNext w:val="0"/>
              <w:keepLines w:val="0"/>
              <w:widowControl/>
              <w:suppressLineNumbers w:val="0"/>
              <w:spacing w:before="0" w:beforeAutospacing="0" w:after="0" w:afterAutospacing="0"/>
              <w:ind w:left="0" w:right="0"/>
              <w:rPr>
                <w:rFonts w:hint="default"/>
                <w:b w:val="0"/>
                <w:color w:val="000000"/>
                <w:kern w:val="2"/>
                <w:sz w:val="20"/>
                <w:szCs w:val="20"/>
                <w:lang w:val="en-US" w:eastAsia="zh-CN"/>
              </w:rPr>
            </w:pPr>
          </w:p>
        </w:tc>
      </w:tr>
      <w:tr w14:paraId="5B8D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4CEE4A72">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Carlsson et al., 2024</w:t>
            </w:r>
          </w:p>
        </w:tc>
        <w:tc>
          <w:tcPr>
            <w:tcW w:w="535" w:type="dxa"/>
            <w:tcBorders>
              <w:top w:val="nil"/>
              <w:left w:val="nil"/>
              <w:bottom w:val="nil"/>
              <w:right w:val="nil"/>
            </w:tcBorders>
            <w:shd w:val="clear" w:color="auto" w:fill="FFFFFF"/>
            <w:vAlign w:val="center"/>
          </w:tcPr>
          <w:p w14:paraId="6CAAD213">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01" w:type="dxa"/>
            <w:tcBorders>
              <w:top w:val="nil"/>
              <w:left w:val="nil"/>
              <w:bottom w:val="nil"/>
              <w:right w:val="nil"/>
            </w:tcBorders>
            <w:shd w:val="clear" w:color="auto" w:fill="FFFFFF"/>
            <w:vAlign w:val="center"/>
          </w:tcPr>
          <w:p w14:paraId="704A1ADC">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65F562C7">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11DB6C0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29CCD69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251043F">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691CB0D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0CB9EF2C">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5419192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61E64FB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5B20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538EC582">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Coleman et al., 2016</w:t>
            </w:r>
          </w:p>
        </w:tc>
        <w:tc>
          <w:tcPr>
            <w:tcW w:w="535" w:type="dxa"/>
            <w:tcBorders>
              <w:top w:val="nil"/>
              <w:left w:val="nil"/>
              <w:bottom w:val="nil"/>
              <w:right w:val="nil"/>
            </w:tcBorders>
            <w:shd w:val="clear" w:color="auto" w:fill="FFFFFF"/>
            <w:vAlign w:val="center"/>
          </w:tcPr>
          <w:p w14:paraId="273BEBD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40D341E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039396C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500D218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22CCC0F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24148E8A">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43AD1BC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63104EE1">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03AEEB8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2350" w:type="dxa"/>
            <w:tcBorders>
              <w:top w:val="nil"/>
              <w:left w:val="nil"/>
              <w:bottom w:val="nil"/>
              <w:right w:val="nil"/>
            </w:tcBorders>
            <w:shd w:val="clear" w:color="auto" w:fill="FFFFFF"/>
            <w:vAlign w:val="center"/>
          </w:tcPr>
          <w:p w14:paraId="688F439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4630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0B4BFC3E">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Dambha-Miller et al., 2023</w:t>
            </w:r>
          </w:p>
        </w:tc>
        <w:tc>
          <w:tcPr>
            <w:tcW w:w="535" w:type="dxa"/>
            <w:tcBorders>
              <w:top w:val="nil"/>
              <w:left w:val="nil"/>
              <w:bottom w:val="nil"/>
              <w:right w:val="nil"/>
            </w:tcBorders>
            <w:shd w:val="clear" w:color="auto" w:fill="FFFFFF"/>
            <w:vAlign w:val="center"/>
          </w:tcPr>
          <w:p w14:paraId="7D18811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301CE31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5F3FADF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2901855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A6545A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5A2EED57">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5554073C">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13A66077">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70CF7CA2">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62ED570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9</w:t>
            </w:r>
          </w:p>
        </w:tc>
      </w:tr>
      <w:tr w14:paraId="28EA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51089266">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Wu et al., 2024</w:t>
            </w:r>
          </w:p>
        </w:tc>
        <w:tc>
          <w:tcPr>
            <w:tcW w:w="535" w:type="dxa"/>
            <w:tcBorders>
              <w:top w:val="nil"/>
              <w:left w:val="nil"/>
              <w:bottom w:val="nil"/>
              <w:right w:val="nil"/>
            </w:tcBorders>
            <w:shd w:val="clear" w:color="auto" w:fill="FFFFFF"/>
            <w:vAlign w:val="center"/>
          </w:tcPr>
          <w:p w14:paraId="50E5397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01" w:type="dxa"/>
            <w:tcBorders>
              <w:top w:val="nil"/>
              <w:left w:val="nil"/>
              <w:bottom w:val="nil"/>
              <w:right w:val="nil"/>
            </w:tcBorders>
            <w:shd w:val="clear" w:color="auto" w:fill="FFFFFF"/>
            <w:vAlign w:val="center"/>
          </w:tcPr>
          <w:p w14:paraId="04DB092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61FA5B4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5C8DA623">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18" w:type="dxa"/>
            <w:tcBorders>
              <w:top w:val="nil"/>
              <w:left w:val="nil"/>
              <w:bottom w:val="nil"/>
              <w:right w:val="nil"/>
            </w:tcBorders>
            <w:shd w:val="clear" w:color="auto" w:fill="FFFFFF"/>
            <w:vAlign w:val="center"/>
          </w:tcPr>
          <w:p w14:paraId="412B6EA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A40994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759" w:type="dxa"/>
            <w:tcBorders>
              <w:top w:val="nil"/>
              <w:left w:val="nil"/>
              <w:bottom w:val="nil"/>
              <w:right w:val="nil"/>
            </w:tcBorders>
            <w:shd w:val="clear" w:color="auto" w:fill="FFFFFF"/>
            <w:vAlign w:val="center"/>
          </w:tcPr>
          <w:p w14:paraId="5B45948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1761024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7FA1067A">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5F82685C">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6</w:t>
            </w:r>
          </w:p>
        </w:tc>
      </w:tr>
      <w:tr w14:paraId="3253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1759C3B3">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Fadini et al., 2025</w:t>
            </w:r>
          </w:p>
        </w:tc>
        <w:tc>
          <w:tcPr>
            <w:tcW w:w="535" w:type="dxa"/>
            <w:tcBorders>
              <w:top w:val="nil"/>
              <w:left w:val="nil"/>
              <w:bottom w:val="nil"/>
              <w:right w:val="nil"/>
            </w:tcBorders>
            <w:shd w:val="clear" w:color="auto" w:fill="FFFFFF"/>
            <w:vAlign w:val="center"/>
          </w:tcPr>
          <w:p w14:paraId="69B5612C">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6E5DC932">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1EFC78C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56B3313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37384D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71BBE3A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501861D1">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526D6FF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4B6CEC7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2350" w:type="dxa"/>
            <w:tcBorders>
              <w:top w:val="nil"/>
              <w:left w:val="nil"/>
              <w:bottom w:val="nil"/>
              <w:right w:val="nil"/>
            </w:tcBorders>
            <w:shd w:val="clear" w:color="auto" w:fill="FFFFFF"/>
            <w:vAlign w:val="center"/>
          </w:tcPr>
          <w:p w14:paraId="2CB8384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3181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6791664D">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Friedman et al., 2019</w:t>
            </w:r>
          </w:p>
        </w:tc>
        <w:tc>
          <w:tcPr>
            <w:tcW w:w="535" w:type="dxa"/>
            <w:tcBorders>
              <w:top w:val="nil"/>
              <w:left w:val="nil"/>
              <w:bottom w:val="nil"/>
              <w:right w:val="nil"/>
            </w:tcBorders>
            <w:shd w:val="clear" w:color="auto" w:fill="FFFFFF"/>
            <w:vAlign w:val="center"/>
          </w:tcPr>
          <w:p w14:paraId="500E8D1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59475B29">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2181096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6E51FE7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18" w:type="dxa"/>
            <w:tcBorders>
              <w:top w:val="nil"/>
              <w:left w:val="nil"/>
              <w:bottom w:val="nil"/>
              <w:right w:val="nil"/>
            </w:tcBorders>
            <w:shd w:val="clear" w:color="auto" w:fill="FFFFFF"/>
            <w:vAlign w:val="center"/>
          </w:tcPr>
          <w:p w14:paraId="5A9C23D3">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3173496">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1C493DA7">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40CEFD5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5FDAE6D9">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2350" w:type="dxa"/>
            <w:tcBorders>
              <w:top w:val="nil"/>
              <w:left w:val="nil"/>
              <w:bottom w:val="nil"/>
              <w:right w:val="nil"/>
            </w:tcBorders>
            <w:shd w:val="clear" w:color="auto" w:fill="FFFFFF"/>
            <w:vAlign w:val="center"/>
          </w:tcPr>
          <w:p w14:paraId="6BD6FBA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7</w:t>
            </w:r>
          </w:p>
        </w:tc>
      </w:tr>
      <w:tr w14:paraId="2DF6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06220925">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Gregg et al., 2024</w:t>
            </w:r>
          </w:p>
        </w:tc>
        <w:tc>
          <w:tcPr>
            <w:tcW w:w="535" w:type="dxa"/>
            <w:tcBorders>
              <w:top w:val="nil"/>
              <w:left w:val="nil"/>
              <w:bottom w:val="nil"/>
              <w:right w:val="nil"/>
            </w:tcBorders>
            <w:shd w:val="clear" w:color="auto" w:fill="FFFFFF"/>
            <w:vAlign w:val="center"/>
          </w:tcPr>
          <w:p w14:paraId="62C57F4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01" w:type="dxa"/>
            <w:tcBorders>
              <w:top w:val="nil"/>
              <w:left w:val="nil"/>
              <w:bottom w:val="nil"/>
              <w:right w:val="nil"/>
            </w:tcBorders>
            <w:shd w:val="clear" w:color="auto" w:fill="FFFFFF"/>
            <w:vAlign w:val="center"/>
          </w:tcPr>
          <w:p w14:paraId="4DB0681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0394FA2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054DFA9F">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1B9465A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270D755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4A5C509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528DA373">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1EC45BC1">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6E00C0F2">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6C0A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35142DFE">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Hounkpatin et al., 2021</w:t>
            </w:r>
          </w:p>
        </w:tc>
        <w:tc>
          <w:tcPr>
            <w:tcW w:w="535" w:type="dxa"/>
            <w:tcBorders>
              <w:top w:val="nil"/>
              <w:left w:val="nil"/>
              <w:bottom w:val="nil"/>
              <w:right w:val="nil"/>
            </w:tcBorders>
            <w:shd w:val="clear" w:color="auto" w:fill="FFFFFF"/>
            <w:vAlign w:val="center"/>
          </w:tcPr>
          <w:p w14:paraId="62354C4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31BB316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75641E4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1CEB6BE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18" w:type="dxa"/>
            <w:tcBorders>
              <w:top w:val="nil"/>
              <w:left w:val="nil"/>
              <w:bottom w:val="nil"/>
              <w:right w:val="nil"/>
            </w:tcBorders>
            <w:shd w:val="clear" w:color="auto" w:fill="FFFFFF"/>
            <w:vAlign w:val="center"/>
          </w:tcPr>
          <w:p w14:paraId="0E97678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616C052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080F8CB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5795AACF">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23C6A3B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168449A7">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212C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nil"/>
              <w:right w:val="nil"/>
            </w:tcBorders>
            <w:shd w:val="clear" w:color="auto" w:fill="FFFFFF"/>
            <w:vAlign w:val="center"/>
          </w:tcPr>
          <w:p w14:paraId="09359889">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Madsen et al., 2019</w:t>
            </w:r>
          </w:p>
        </w:tc>
        <w:tc>
          <w:tcPr>
            <w:tcW w:w="535" w:type="dxa"/>
            <w:tcBorders>
              <w:top w:val="nil"/>
              <w:left w:val="nil"/>
              <w:bottom w:val="nil"/>
              <w:right w:val="nil"/>
            </w:tcBorders>
            <w:shd w:val="clear" w:color="auto" w:fill="FFFFFF"/>
            <w:vAlign w:val="center"/>
          </w:tcPr>
          <w:p w14:paraId="68296A8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17E9989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nil"/>
              <w:right w:val="nil"/>
            </w:tcBorders>
            <w:shd w:val="clear" w:color="auto" w:fill="FFFFFF"/>
            <w:vAlign w:val="center"/>
          </w:tcPr>
          <w:p w14:paraId="778E910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335E5C5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18" w:type="dxa"/>
            <w:tcBorders>
              <w:top w:val="nil"/>
              <w:left w:val="nil"/>
              <w:bottom w:val="nil"/>
              <w:right w:val="nil"/>
            </w:tcBorders>
            <w:shd w:val="clear" w:color="auto" w:fill="FFFFFF"/>
            <w:vAlign w:val="center"/>
          </w:tcPr>
          <w:p w14:paraId="46082754">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nil"/>
              <w:right w:val="nil"/>
            </w:tcBorders>
            <w:shd w:val="clear" w:color="auto" w:fill="FFFFFF"/>
            <w:vAlign w:val="center"/>
          </w:tcPr>
          <w:p w14:paraId="41D9992F">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nil"/>
              <w:right w:val="nil"/>
            </w:tcBorders>
            <w:shd w:val="clear" w:color="auto" w:fill="FFFFFF"/>
            <w:vAlign w:val="center"/>
          </w:tcPr>
          <w:p w14:paraId="53D6677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nil"/>
              <w:right w:val="nil"/>
            </w:tcBorders>
            <w:shd w:val="clear" w:color="auto" w:fill="FFFFFF"/>
            <w:vAlign w:val="center"/>
          </w:tcPr>
          <w:p w14:paraId="634CB77E">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nil"/>
              <w:right w:val="nil"/>
            </w:tcBorders>
            <w:shd w:val="clear" w:color="auto" w:fill="FFFFFF"/>
            <w:vAlign w:val="center"/>
          </w:tcPr>
          <w:p w14:paraId="11284680">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2350" w:type="dxa"/>
            <w:tcBorders>
              <w:top w:val="nil"/>
              <w:left w:val="nil"/>
              <w:bottom w:val="nil"/>
              <w:right w:val="nil"/>
            </w:tcBorders>
            <w:shd w:val="clear" w:color="auto" w:fill="FFFFFF"/>
            <w:vAlign w:val="center"/>
          </w:tcPr>
          <w:p w14:paraId="51255B4A">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8</w:t>
            </w:r>
          </w:p>
        </w:tc>
      </w:tr>
      <w:tr w14:paraId="30B4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6" w:type="dxa"/>
            <w:tcBorders>
              <w:top w:val="nil"/>
              <w:left w:val="nil"/>
              <w:bottom w:val="single" w:color="000000" w:sz="12" w:space="0"/>
              <w:right w:val="nil"/>
            </w:tcBorders>
            <w:shd w:val="clear" w:color="auto" w:fill="FFFFFF"/>
            <w:vAlign w:val="center"/>
          </w:tcPr>
          <w:p w14:paraId="54905365">
            <w:pPr>
              <w:keepNext w:val="0"/>
              <w:keepLines w:val="0"/>
              <w:widowControl/>
              <w:suppressLineNumbers w:val="0"/>
              <w:spacing w:before="0" w:beforeAutospacing="0" w:after="0" w:afterAutospacing="0" w:line="240" w:lineRule="auto"/>
              <w:ind w:left="0" w:right="0"/>
              <w:jc w:val="left"/>
              <w:rPr>
                <w:rFonts w:hint="default"/>
                <w:b w:val="0"/>
                <w:color w:val="000000"/>
                <w:sz w:val="20"/>
                <w:szCs w:val="20"/>
                <w:lang w:val="en-US" w:eastAsia="zh-CN"/>
              </w:rPr>
            </w:pPr>
            <w:r>
              <w:rPr>
                <w:rFonts w:hint="default" w:ascii="Times New Roman" w:hAnsi="Times New Roman" w:cs="Times New Roman"/>
                <w:b w:val="0"/>
                <w:color w:val="000000"/>
                <w:sz w:val="15"/>
              </w:rPr>
              <w:t>Shimayama et al., 2025</w:t>
            </w:r>
          </w:p>
        </w:tc>
        <w:tc>
          <w:tcPr>
            <w:tcW w:w="535" w:type="dxa"/>
            <w:tcBorders>
              <w:top w:val="nil"/>
              <w:left w:val="nil"/>
              <w:bottom w:val="single" w:color="000000" w:sz="12" w:space="0"/>
              <w:right w:val="nil"/>
            </w:tcBorders>
            <w:shd w:val="clear" w:color="auto" w:fill="FFFFFF"/>
            <w:vAlign w:val="center"/>
          </w:tcPr>
          <w:p w14:paraId="3FDC2CBF">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801" w:type="dxa"/>
            <w:tcBorders>
              <w:top w:val="nil"/>
              <w:left w:val="nil"/>
              <w:bottom w:val="single" w:color="000000" w:sz="12" w:space="0"/>
              <w:right w:val="nil"/>
            </w:tcBorders>
            <w:shd w:val="clear" w:color="auto" w:fill="FFFFFF"/>
            <w:vAlign w:val="center"/>
          </w:tcPr>
          <w:p w14:paraId="7CAD7A2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6" w:type="dxa"/>
            <w:tcBorders>
              <w:top w:val="nil"/>
              <w:left w:val="nil"/>
              <w:bottom w:val="single" w:color="000000" w:sz="12" w:space="0"/>
              <w:right w:val="nil"/>
            </w:tcBorders>
            <w:shd w:val="clear" w:color="auto" w:fill="FFFFFF"/>
            <w:vAlign w:val="center"/>
          </w:tcPr>
          <w:p w14:paraId="2634BB35">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single" w:color="000000" w:sz="12" w:space="0"/>
              <w:right w:val="nil"/>
            </w:tcBorders>
            <w:shd w:val="clear" w:color="auto" w:fill="FFFFFF"/>
            <w:vAlign w:val="center"/>
          </w:tcPr>
          <w:p w14:paraId="4FFEB632">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single" w:color="000000" w:sz="12" w:space="0"/>
              <w:right w:val="nil"/>
            </w:tcBorders>
            <w:shd w:val="clear" w:color="auto" w:fill="FFFFFF"/>
            <w:vAlign w:val="center"/>
          </w:tcPr>
          <w:p w14:paraId="79A0831D">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18" w:type="dxa"/>
            <w:tcBorders>
              <w:top w:val="nil"/>
              <w:left w:val="nil"/>
              <w:bottom w:val="single" w:color="000000" w:sz="12" w:space="0"/>
              <w:right w:val="nil"/>
            </w:tcBorders>
            <w:shd w:val="clear" w:color="auto" w:fill="FFFFFF"/>
            <w:vAlign w:val="center"/>
          </w:tcPr>
          <w:p w14:paraId="1DD2DF68">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759" w:type="dxa"/>
            <w:tcBorders>
              <w:top w:val="nil"/>
              <w:left w:val="nil"/>
              <w:bottom w:val="single" w:color="000000" w:sz="12" w:space="0"/>
              <w:right w:val="nil"/>
            </w:tcBorders>
            <w:shd w:val="clear" w:color="auto" w:fill="FFFFFF"/>
            <w:vAlign w:val="center"/>
          </w:tcPr>
          <w:p w14:paraId="3DD1539A">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45" w:type="dxa"/>
            <w:tcBorders>
              <w:top w:val="nil"/>
              <w:left w:val="nil"/>
              <w:bottom w:val="single" w:color="000000" w:sz="12" w:space="0"/>
              <w:right w:val="nil"/>
            </w:tcBorders>
            <w:shd w:val="clear" w:color="auto" w:fill="FFFFFF"/>
            <w:vAlign w:val="center"/>
          </w:tcPr>
          <w:p w14:paraId="228104FA">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w:t>
            </w:r>
          </w:p>
        </w:tc>
        <w:tc>
          <w:tcPr>
            <w:tcW w:w="801" w:type="dxa"/>
            <w:tcBorders>
              <w:top w:val="nil"/>
              <w:left w:val="nil"/>
              <w:bottom w:val="single" w:color="000000" w:sz="12" w:space="0"/>
              <w:right w:val="nil"/>
            </w:tcBorders>
            <w:shd w:val="clear" w:color="auto" w:fill="FFFFFF"/>
            <w:vAlign w:val="center"/>
          </w:tcPr>
          <w:p w14:paraId="4AA8AFFB">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0</w:t>
            </w:r>
          </w:p>
        </w:tc>
        <w:tc>
          <w:tcPr>
            <w:tcW w:w="2350" w:type="dxa"/>
            <w:tcBorders>
              <w:top w:val="nil"/>
              <w:left w:val="nil"/>
              <w:bottom w:val="single" w:color="000000" w:sz="12" w:space="0"/>
              <w:right w:val="nil"/>
            </w:tcBorders>
            <w:shd w:val="clear" w:color="auto" w:fill="FFFFFF"/>
            <w:vAlign w:val="center"/>
          </w:tcPr>
          <w:p w14:paraId="4473FCC3">
            <w:pPr>
              <w:keepNext w:val="0"/>
              <w:keepLines w:val="0"/>
              <w:widowControl/>
              <w:suppressLineNumbers w:val="0"/>
              <w:spacing w:before="0" w:beforeAutospacing="0" w:after="0" w:afterAutospacing="0" w:line="240" w:lineRule="auto"/>
              <w:ind w:left="0" w:right="0"/>
              <w:jc w:val="center"/>
              <w:rPr>
                <w:rFonts w:hint="default"/>
                <w:b w:val="0"/>
                <w:color w:val="000000"/>
                <w:sz w:val="20"/>
                <w:szCs w:val="20"/>
                <w:lang w:val="en-US" w:eastAsia="zh-CN"/>
              </w:rPr>
            </w:pPr>
            <w:r>
              <w:rPr>
                <w:rFonts w:hint="default" w:ascii="Times New Roman" w:hAnsi="Times New Roman" w:cs="Times New Roman"/>
                <w:b w:val="0"/>
                <w:color w:val="000000"/>
                <w:sz w:val="15"/>
              </w:rPr>
              <w:t>7</w:t>
            </w:r>
          </w:p>
        </w:tc>
      </w:tr>
    </w:tbl>
    <w:p w14:paraId="0BA20E6D">
      <w:pPr>
        <w:pStyle w:val="19"/>
        <w:numPr>
          <w:ilvl w:val="0"/>
          <w:numId w:val="0"/>
        </w:numPr>
        <w:rPr>
          <w:sz w:val="20"/>
          <w:szCs w:val="20"/>
        </w:rPr>
      </w:pPr>
      <w:r>
        <w:rPr>
          <w:rFonts w:hint="eastAsia" w:cs="Times New Roman"/>
          <w:sz w:val="20"/>
          <w:szCs w:val="20"/>
          <w:lang w:val="en-US" w:eastAsia="zh-CN" w:bidi="ar-SA"/>
        </w:rPr>
        <w:t xml:space="preserve">Note: </w:t>
      </w:r>
      <w:r>
        <w:rPr>
          <w:rFonts w:hint="default" w:ascii="Times New Roman" w:hAnsi="Times New Roman" w:eastAsia="等线" w:cs="Times New Roman"/>
          <w:sz w:val="20"/>
          <w:szCs w:val="20"/>
          <w:lang w:val="en-US" w:eastAsia="zh-CN" w:bidi="ar-SA"/>
        </w:rPr>
        <w:t>a.</w:t>
      </w:r>
      <w:r>
        <w:rPr>
          <w:sz w:val="20"/>
          <w:szCs w:val="20"/>
        </w:rPr>
        <w:t xml:space="preserve">Representativeness of the exposed cohort.  </w:t>
      </w:r>
    </w:p>
    <w:p w14:paraId="63102E35">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b.</w:t>
      </w:r>
      <w:r>
        <w:rPr>
          <w:sz w:val="20"/>
          <w:szCs w:val="20"/>
        </w:rPr>
        <w:t xml:space="preserve">Selection of the non-exposed cohort.   </w:t>
      </w:r>
    </w:p>
    <w:p w14:paraId="7EC99372">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c.</w:t>
      </w:r>
      <w:r>
        <w:rPr>
          <w:sz w:val="20"/>
          <w:szCs w:val="20"/>
        </w:rPr>
        <w:t xml:space="preserve">Ascertainment of exposure.   </w:t>
      </w:r>
    </w:p>
    <w:p w14:paraId="162A87B5">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d.</w:t>
      </w:r>
      <w:r>
        <w:rPr>
          <w:sz w:val="20"/>
          <w:szCs w:val="20"/>
        </w:rPr>
        <w:t xml:space="preserve">Demonstration that outcome of interest was not present at start of study.   </w:t>
      </w:r>
    </w:p>
    <w:p w14:paraId="78A4F800">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e.</w:t>
      </w:r>
      <w:r>
        <w:rPr>
          <w:sz w:val="20"/>
          <w:szCs w:val="20"/>
        </w:rPr>
        <w:t xml:space="preserve">Comparability of cohorts on the basis of the design or analysis (adjusted for age).   </w:t>
      </w:r>
    </w:p>
    <w:p w14:paraId="6BCB229D">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f.</w:t>
      </w:r>
      <w:r>
        <w:rPr>
          <w:sz w:val="20"/>
          <w:szCs w:val="20"/>
        </w:rPr>
        <w:t xml:space="preserve">Comparability of cohorts on the basis of the design or analysis (adjusted for any other factor).   </w:t>
      </w:r>
    </w:p>
    <w:p w14:paraId="6AFBE2BC">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g.</w:t>
      </w:r>
      <w:r>
        <w:rPr>
          <w:sz w:val="20"/>
          <w:szCs w:val="20"/>
        </w:rPr>
        <w:t xml:space="preserve">Assessment of outcome.  </w:t>
      </w:r>
    </w:p>
    <w:p w14:paraId="5C363052">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h.</w:t>
      </w:r>
      <w:r>
        <w:rPr>
          <w:sz w:val="20"/>
          <w:szCs w:val="20"/>
        </w:rPr>
        <w:t xml:space="preserve">Was follow-up long enough for outcomes to occur (&gt;5 years).  </w:t>
      </w:r>
    </w:p>
    <w:p w14:paraId="25E89487">
      <w:pPr>
        <w:pStyle w:val="19"/>
        <w:numPr>
          <w:ilvl w:val="0"/>
          <w:numId w:val="0"/>
        </w:numPr>
        <w:ind w:left="360" w:leftChars="0" w:hanging="360" w:firstLineChars="0"/>
        <w:rPr>
          <w:sz w:val="20"/>
          <w:szCs w:val="20"/>
        </w:rPr>
      </w:pPr>
      <w:r>
        <w:rPr>
          <w:rFonts w:hint="default" w:ascii="Times New Roman" w:hAnsi="Times New Roman" w:eastAsia="等线" w:cs="Times New Roman"/>
          <w:sz w:val="20"/>
          <w:szCs w:val="20"/>
          <w:lang w:val="en-US" w:eastAsia="zh-CN" w:bidi="ar-SA"/>
        </w:rPr>
        <w:t>i.</w:t>
      </w:r>
      <w:r>
        <w:rPr>
          <w:sz w:val="20"/>
          <w:szCs w:val="20"/>
        </w:rPr>
        <w:t>Adequacy of follow-up of cohorts (&gt;5 years).</w:t>
      </w:r>
    </w:p>
    <w:p w14:paraId="4D01393C">
      <w:pPr>
        <w:spacing w:before="0" w:after="100"/>
        <w:jc w:val="both"/>
        <w:rPr>
          <w:rFonts w:hint="eastAsia" w:ascii="Times New Roman" w:hAnsi="Times New Roman" w:eastAsia="Times New Roman"/>
          <w:b/>
          <w:sz w:val="22"/>
        </w:rPr>
      </w:pPr>
      <w:r>
        <w:rPr>
          <w:rFonts w:hint="eastAsia" w:ascii="Times New Roman" w:hAnsi="Times New Roman" w:eastAsia="Times New Roman"/>
          <w:b/>
          <w:sz w:val="22"/>
        </w:rPr>
        <w:t>Supplementary Table S6. Sensitivity analysis restricted to studies using valid temporal alignment strategies</w:t>
      </w:r>
    </w:p>
    <w:tbl>
      <w:tblPr>
        <w:tblStyle w:val="6"/>
        <w:tblW w:w="2071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77"/>
        <w:gridCol w:w="6118"/>
        <w:gridCol w:w="2732"/>
        <w:gridCol w:w="1085"/>
        <w:gridCol w:w="1095"/>
        <w:gridCol w:w="1095"/>
        <w:gridCol w:w="975"/>
        <w:gridCol w:w="916"/>
        <w:gridCol w:w="868"/>
        <w:gridCol w:w="916"/>
        <w:gridCol w:w="662"/>
        <w:gridCol w:w="1172"/>
      </w:tblGrid>
      <w:tr w14:paraId="1D7E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3077" w:type="dxa"/>
            <w:tcBorders>
              <w:top w:val="single" w:color="000000" w:sz="12" w:space="0"/>
              <w:left w:val="nil"/>
              <w:bottom w:val="single" w:color="000000" w:sz="4" w:space="0"/>
              <w:right w:val="nil"/>
              <w:tl2br w:val="nil"/>
            </w:tcBorders>
            <w:shd w:val="clear" w:color="auto" w:fill="FFFFFF"/>
            <w:vAlign w:val="center"/>
          </w:tcPr>
          <w:p w14:paraId="3AB8AAA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Outcome</w:t>
            </w:r>
          </w:p>
        </w:tc>
        <w:tc>
          <w:tcPr>
            <w:tcW w:w="6118" w:type="dxa"/>
            <w:tcBorders>
              <w:top w:val="single" w:color="000000" w:sz="12" w:space="0"/>
              <w:left w:val="nil"/>
              <w:bottom w:val="single" w:color="000000" w:sz="4" w:space="0"/>
              <w:right w:val="nil"/>
            </w:tcBorders>
            <w:shd w:val="clear" w:color="auto" w:fill="FFFFFF"/>
            <w:vAlign w:val="center"/>
          </w:tcPr>
          <w:p w14:paraId="04F5930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Studies</w:t>
            </w:r>
          </w:p>
        </w:tc>
        <w:tc>
          <w:tcPr>
            <w:tcW w:w="2732" w:type="dxa"/>
            <w:tcBorders>
              <w:top w:val="single" w:color="000000" w:sz="12" w:space="0"/>
              <w:left w:val="nil"/>
              <w:bottom w:val="single" w:color="000000" w:sz="4" w:space="0"/>
              <w:right w:val="nil"/>
            </w:tcBorders>
            <w:shd w:val="clear" w:color="auto" w:fill="FFFFFF"/>
            <w:vAlign w:val="center"/>
          </w:tcPr>
          <w:p w14:paraId="033CC82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lang w:val="en-US" w:eastAsia="zh-CN"/>
              </w:rPr>
            </w:pPr>
            <w:r>
              <w:rPr>
                <w:rFonts w:hint="default" w:ascii="Times New Roman" w:hAnsi="Times New Roman" w:eastAsia="Times New Roman"/>
                <w:b w:val="0"/>
                <w:color w:val="000000"/>
                <w:sz w:val="19"/>
                <w:lang w:val="en-US" w:eastAsia="zh-CN"/>
              </w:rPr>
              <w:t>Temporal strategy</w:t>
            </w:r>
          </w:p>
        </w:tc>
        <w:tc>
          <w:tcPr>
            <w:tcW w:w="1085" w:type="dxa"/>
            <w:tcBorders>
              <w:top w:val="single" w:color="000000" w:sz="12" w:space="0"/>
              <w:left w:val="nil"/>
              <w:bottom w:val="single" w:color="000000" w:sz="4" w:space="0"/>
              <w:right w:val="nil"/>
            </w:tcBorders>
            <w:shd w:val="clear" w:color="auto" w:fill="FFFFFF"/>
            <w:vAlign w:val="center"/>
          </w:tcPr>
          <w:p w14:paraId="16CC449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Pooled HR</w:t>
            </w:r>
          </w:p>
        </w:tc>
        <w:tc>
          <w:tcPr>
            <w:tcW w:w="1095" w:type="dxa"/>
            <w:tcBorders>
              <w:top w:val="single" w:color="000000" w:sz="12" w:space="0"/>
              <w:left w:val="nil"/>
              <w:bottom w:val="single" w:color="000000" w:sz="4" w:space="0"/>
              <w:right w:val="nil"/>
            </w:tcBorders>
            <w:shd w:val="clear" w:color="auto" w:fill="FFFFFF"/>
            <w:vAlign w:val="center"/>
          </w:tcPr>
          <w:p w14:paraId="40E223FA">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95% CI lower</w:t>
            </w:r>
          </w:p>
        </w:tc>
        <w:tc>
          <w:tcPr>
            <w:tcW w:w="1095" w:type="dxa"/>
            <w:tcBorders>
              <w:top w:val="single" w:color="000000" w:sz="12" w:space="0"/>
              <w:left w:val="nil"/>
              <w:bottom w:val="single" w:color="000000" w:sz="4" w:space="0"/>
              <w:right w:val="nil"/>
            </w:tcBorders>
            <w:shd w:val="clear" w:color="auto" w:fill="FFFFFF"/>
            <w:vAlign w:val="center"/>
          </w:tcPr>
          <w:p w14:paraId="28A4F36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95% CI upper</w:t>
            </w:r>
          </w:p>
        </w:tc>
        <w:tc>
          <w:tcPr>
            <w:tcW w:w="975" w:type="dxa"/>
            <w:tcBorders>
              <w:top w:val="single" w:color="000000" w:sz="12" w:space="0"/>
              <w:left w:val="nil"/>
              <w:bottom w:val="single" w:color="000000" w:sz="4" w:space="0"/>
              <w:right w:val="nil"/>
            </w:tcBorders>
            <w:shd w:val="clear" w:color="auto" w:fill="FFFFFF"/>
            <w:vAlign w:val="center"/>
          </w:tcPr>
          <w:p w14:paraId="468B4AB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P value</w:t>
            </w:r>
          </w:p>
        </w:tc>
        <w:tc>
          <w:tcPr>
            <w:tcW w:w="916" w:type="dxa"/>
            <w:tcBorders>
              <w:top w:val="single" w:color="000000" w:sz="12" w:space="0"/>
              <w:left w:val="nil"/>
              <w:bottom w:val="single" w:color="000000" w:sz="4" w:space="0"/>
              <w:right w:val="nil"/>
            </w:tcBorders>
            <w:shd w:val="clear" w:color="auto" w:fill="FFFFFF"/>
            <w:vAlign w:val="center"/>
          </w:tcPr>
          <w:p w14:paraId="6B336B9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Tau²</w:t>
            </w:r>
          </w:p>
        </w:tc>
        <w:tc>
          <w:tcPr>
            <w:tcW w:w="868" w:type="dxa"/>
            <w:tcBorders>
              <w:top w:val="single" w:color="000000" w:sz="12" w:space="0"/>
              <w:left w:val="nil"/>
              <w:bottom w:val="single" w:color="000000" w:sz="4" w:space="0"/>
              <w:right w:val="nil"/>
            </w:tcBorders>
            <w:shd w:val="clear" w:color="auto" w:fill="FFFFFF"/>
            <w:vAlign w:val="center"/>
          </w:tcPr>
          <w:p w14:paraId="0ACB5BF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I² (%)</w:t>
            </w:r>
          </w:p>
        </w:tc>
        <w:tc>
          <w:tcPr>
            <w:tcW w:w="916" w:type="dxa"/>
            <w:tcBorders>
              <w:top w:val="single" w:color="000000" w:sz="12" w:space="0"/>
              <w:left w:val="nil"/>
              <w:bottom w:val="single" w:color="000000" w:sz="4" w:space="0"/>
              <w:right w:val="nil"/>
            </w:tcBorders>
            <w:shd w:val="clear" w:color="auto" w:fill="FFFFFF"/>
            <w:vAlign w:val="center"/>
          </w:tcPr>
          <w:p w14:paraId="155F4C7B">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Q</w:t>
            </w:r>
          </w:p>
        </w:tc>
        <w:tc>
          <w:tcPr>
            <w:tcW w:w="662" w:type="dxa"/>
            <w:tcBorders>
              <w:top w:val="single" w:color="000000" w:sz="12" w:space="0"/>
              <w:left w:val="nil"/>
              <w:bottom w:val="single" w:color="000000" w:sz="4" w:space="0"/>
              <w:right w:val="nil"/>
            </w:tcBorders>
            <w:shd w:val="clear" w:color="auto" w:fill="FFFFFF"/>
            <w:vAlign w:val="center"/>
          </w:tcPr>
          <w:p w14:paraId="0885215A">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df</w:t>
            </w:r>
          </w:p>
        </w:tc>
        <w:tc>
          <w:tcPr>
            <w:tcW w:w="1172" w:type="dxa"/>
            <w:tcBorders>
              <w:top w:val="single" w:color="000000" w:sz="12" w:space="0"/>
              <w:left w:val="nil"/>
              <w:bottom w:val="single" w:color="000000" w:sz="4" w:space="0"/>
              <w:right w:val="nil"/>
            </w:tcBorders>
            <w:shd w:val="clear" w:color="auto" w:fill="FFFFFF"/>
            <w:vAlign w:val="center"/>
          </w:tcPr>
          <w:p w14:paraId="6F28271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Q-test P value</w:t>
            </w:r>
          </w:p>
        </w:tc>
      </w:tr>
      <w:tr w14:paraId="1BEF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3077" w:type="dxa"/>
            <w:tcBorders>
              <w:top w:val="nil"/>
              <w:left w:val="nil"/>
              <w:bottom w:val="nil"/>
              <w:right w:val="nil"/>
            </w:tcBorders>
            <w:shd w:val="clear" w:color="auto" w:fill="FFFFFF"/>
            <w:noWrap/>
            <w:vAlign w:val="center"/>
          </w:tcPr>
          <w:p w14:paraId="53A8E97E">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Cardiovascular events</w:t>
            </w:r>
          </w:p>
        </w:tc>
        <w:tc>
          <w:tcPr>
            <w:tcW w:w="6118" w:type="dxa"/>
            <w:tcBorders>
              <w:top w:val="nil"/>
              <w:left w:val="nil"/>
              <w:bottom w:val="nil"/>
              <w:right w:val="nil"/>
            </w:tcBorders>
            <w:shd w:val="clear" w:color="auto" w:fill="FFFFFF"/>
            <w:noWrap/>
            <w:vAlign w:val="center"/>
          </w:tcPr>
          <w:p w14:paraId="5EF3826C">
            <w:pPr>
              <w:keepNext w:val="0"/>
              <w:keepLines w:val="0"/>
              <w:widowControl/>
              <w:suppressLineNumbers w:val="0"/>
              <w:spacing w:before="0" w:beforeAutospacing="0" w:after="0" w:afterAutospacing="0" w:line="240" w:lineRule="auto"/>
              <w:ind w:left="0" w:right="0"/>
              <w:jc w:val="left"/>
              <w:rPr>
                <w:rFonts w:hint="eastAsia" w:ascii="Times New Roman" w:hAnsi="Times New Roman" w:eastAsia="Times New Roman"/>
                <w:b w:val="0"/>
                <w:color w:val="000000"/>
                <w:sz w:val="19"/>
                <w:lang w:val="en-US" w:eastAsia="zh-CN"/>
              </w:rPr>
            </w:pPr>
            <w:r>
              <w:rPr>
                <w:rFonts w:hint="default" w:ascii="Times New Roman" w:hAnsi="Times New Roman" w:eastAsia="Times New Roman"/>
                <w:b w:val="0"/>
                <w:color w:val="000000"/>
                <w:sz w:val="19"/>
                <w:lang w:val="en-US" w:eastAsia="zh-CN"/>
              </w:rPr>
              <w:t>2</w:t>
            </w:r>
            <w:r>
              <w:rPr>
                <w:rFonts w:hint="eastAsia" w:ascii="Times New Roman" w:hAnsi="Times New Roman" w:eastAsia="Times New Roman"/>
                <w:b w:val="0"/>
                <w:color w:val="000000"/>
                <w:sz w:val="19"/>
                <w:lang w:val="en-US" w:eastAsia="zh-CN"/>
              </w:rPr>
              <w:t xml:space="preserve"> </w:t>
            </w:r>
            <w:r>
              <w:rPr>
                <w:rFonts w:hint="default" w:ascii="Times New Roman" w:hAnsi="Times New Roman" w:eastAsia="Times New Roman"/>
                <w:b w:val="0"/>
                <w:color w:val="000000"/>
                <w:sz w:val="19"/>
                <w:lang w:val="en-US" w:eastAsia="zh-CN"/>
              </w:rPr>
              <w:t>studies</w:t>
            </w:r>
            <w:r>
              <w:rPr>
                <w:rFonts w:hint="eastAsia" w:ascii="Times New Roman" w:hAnsi="Times New Roman" w:eastAsia="Times New Roman"/>
                <w:b w:val="0"/>
                <w:color w:val="000000"/>
                <w:sz w:val="19"/>
                <w:lang w:val="en-US" w:eastAsia="zh-CN"/>
              </w:rPr>
              <w:t xml:space="preserve"> </w:t>
            </w:r>
            <w:r>
              <w:rPr>
                <w:rFonts w:hint="eastAsia" w:ascii="Times New Roman" w:hAnsi="Times New Roman" w:eastAsia="Times New Roman"/>
                <w:b w:val="0"/>
                <w:color w:val="000000"/>
                <w:sz w:val="19"/>
                <w:lang w:val="en-US" w:eastAsia="zh-CN"/>
              </w:rPr>
              <w:t>(</w:t>
            </w:r>
            <w:r>
              <w:rPr>
                <w:rFonts w:hint="default" w:ascii="Times New Roman" w:hAnsi="Times New Roman" w:eastAsia="Times New Roman"/>
                <w:b w:val="0"/>
                <w:color w:val="000000"/>
                <w:sz w:val="19"/>
                <w:lang w:val="en-US" w:eastAsia="zh-CN"/>
              </w:rPr>
              <w:t>Carlsson 2024; Hounkpatin 2021</w:t>
            </w:r>
            <w:r>
              <w:rPr>
                <w:rFonts w:hint="eastAsia" w:ascii="Times New Roman" w:hAnsi="Times New Roman" w:eastAsia="Times New Roman"/>
                <w:b w:val="0"/>
                <w:color w:val="000000"/>
                <w:sz w:val="19"/>
                <w:lang w:val="en-US" w:eastAsia="zh-CN"/>
              </w:rPr>
              <w:t>)</w:t>
            </w:r>
          </w:p>
        </w:tc>
        <w:tc>
          <w:tcPr>
            <w:tcW w:w="2732" w:type="dxa"/>
            <w:tcBorders>
              <w:top w:val="nil"/>
              <w:left w:val="nil"/>
              <w:bottom w:val="nil"/>
              <w:right w:val="nil"/>
            </w:tcBorders>
            <w:shd w:val="clear" w:color="auto" w:fill="FFFFFF"/>
            <w:noWrap/>
            <w:vAlign w:val="center"/>
          </w:tcPr>
          <w:p w14:paraId="64A14AD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lang w:val="en-US" w:eastAsia="zh-CN"/>
              </w:rPr>
            </w:pPr>
            <w:r>
              <w:rPr>
                <w:rFonts w:hint="eastAsia" w:eastAsia="Times New Roman"/>
                <w:b w:val="0"/>
                <w:color w:val="000000"/>
                <w:sz w:val="19"/>
                <w:lang w:val="en-US" w:eastAsia="zh-CN"/>
              </w:rPr>
              <w:t>Landmark</w:t>
            </w:r>
          </w:p>
        </w:tc>
        <w:tc>
          <w:tcPr>
            <w:tcW w:w="1085" w:type="dxa"/>
            <w:tcBorders>
              <w:top w:val="nil"/>
              <w:left w:val="nil"/>
              <w:bottom w:val="nil"/>
              <w:right w:val="nil"/>
            </w:tcBorders>
            <w:shd w:val="clear" w:color="auto" w:fill="FFFFFF"/>
            <w:noWrap/>
            <w:vAlign w:val="center"/>
          </w:tcPr>
          <w:p w14:paraId="241070F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0.70</w:t>
            </w:r>
          </w:p>
        </w:tc>
        <w:tc>
          <w:tcPr>
            <w:tcW w:w="1095" w:type="dxa"/>
            <w:tcBorders>
              <w:top w:val="nil"/>
              <w:left w:val="nil"/>
              <w:bottom w:val="nil"/>
              <w:right w:val="nil"/>
            </w:tcBorders>
            <w:shd w:val="clear" w:color="auto" w:fill="FFFFFF"/>
            <w:noWrap/>
            <w:vAlign w:val="center"/>
          </w:tcPr>
          <w:p w14:paraId="3A4209E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0.58</w:t>
            </w:r>
          </w:p>
        </w:tc>
        <w:tc>
          <w:tcPr>
            <w:tcW w:w="1095" w:type="dxa"/>
            <w:tcBorders>
              <w:top w:val="nil"/>
              <w:left w:val="nil"/>
              <w:bottom w:val="nil"/>
              <w:right w:val="nil"/>
            </w:tcBorders>
            <w:shd w:val="clear" w:color="auto" w:fill="FFFFFF"/>
            <w:noWrap/>
            <w:vAlign w:val="center"/>
          </w:tcPr>
          <w:p w14:paraId="288C6C4E">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0.84</w:t>
            </w:r>
          </w:p>
        </w:tc>
        <w:tc>
          <w:tcPr>
            <w:tcW w:w="975" w:type="dxa"/>
            <w:tcBorders>
              <w:top w:val="nil"/>
              <w:left w:val="nil"/>
              <w:bottom w:val="nil"/>
              <w:right w:val="nil"/>
            </w:tcBorders>
            <w:shd w:val="clear" w:color="auto" w:fill="FFFFFF"/>
            <w:noWrap/>
            <w:vAlign w:val="center"/>
          </w:tcPr>
          <w:p w14:paraId="729C8BF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0.025</w:t>
            </w:r>
          </w:p>
        </w:tc>
        <w:tc>
          <w:tcPr>
            <w:tcW w:w="916" w:type="dxa"/>
            <w:tcBorders>
              <w:top w:val="nil"/>
              <w:left w:val="nil"/>
              <w:bottom w:val="nil"/>
              <w:right w:val="nil"/>
            </w:tcBorders>
            <w:shd w:val="clear" w:color="auto" w:fill="FFFFFF"/>
            <w:noWrap/>
            <w:vAlign w:val="center"/>
          </w:tcPr>
          <w:p w14:paraId="31E4EAE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0.000</w:t>
            </w:r>
          </w:p>
        </w:tc>
        <w:tc>
          <w:tcPr>
            <w:tcW w:w="868" w:type="dxa"/>
            <w:tcBorders>
              <w:top w:val="nil"/>
              <w:left w:val="nil"/>
              <w:bottom w:val="nil"/>
              <w:right w:val="nil"/>
            </w:tcBorders>
            <w:shd w:val="clear" w:color="auto" w:fill="FFFFFF"/>
            <w:noWrap/>
            <w:vAlign w:val="center"/>
          </w:tcPr>
          <w:p w14:paraId="05E582B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w:t>
            </w:r>
          </w:p>
        </w:tc>
        <w:tc>
          <w:tcPr>
            <w:tcW w:w="916" w:type="dxa"/>
            <w:tcBorders>
              <w:top w:val="nil"/>
              <w:left w:val="nil"/>
              <w:bottom w:val="nil"/>
              <w:right w:val="nil"/>
            </w:tcBorders>
            <w:shd w:val="clear" w:color="auto" w:fill="FFFFFF"/>
            <w:noWrap/>
            <w:vAlign w:val="center"/>
          </w:tcPr>
          <w:p w14:paraId="3BE56BDB">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0.02</w:t>
            </w:r>
          </w:p>
        </w:tc>
        <w:tc>
          <w:tcPr>
            <w:tcW w:w="662" w:type="dxa"/>
            <w:tcBorders>
              <w:top w:val="nil"/>
              <w:left w:val="nil"/>
              <w:bottom w:val="nil"/>
              <w:right w:val="nil"/>
            </w:tcBorders>
            <w:shd w:val="clear" w:color="auto" w:fill="FFFFFF"/>
            <w:noWrap/>
            <w:vAlign w:val="center"/>
          </w:tcPr>
          <w:p w14:paraId="1ACD16FE">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1</w:t>
            </w:r>
          </w:p>
        </w:tc>
        <w:tc>
          <w:tcPr>
            <w:tcW w:w="1172" w:type="dxa"/>
            <w:tcBorders>
              <w:top w:val="nil"/>
              <w:left w:val="nil"/>
              <w:bottom w:val="nil"/>
              <w:right w:val="nil"/>
            </w:tcBorders>
            <w:shd w:val="clear" w:color="auto" w:fill="FFFFFF"/>
            <w:noWrap/>
            <w:vAlign w:val="center"/>
          </w:tcPr>
          <w:p w14:paraId="4B7FB0A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0.890</w:t>
            </w:r>
          </w:p>
        </w:tc>
      </w:tr>
      <w:tr w14:paraId="0DC2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3077" w:type="dxa"/>
            <w:tcBorders>
              <w:top w:val="nil"/>
              <w:left w:val="nil"/>
              <w:bottom w:val="nil"/>
              <w:right w:val="nil"/>
            </w:tcBorders>
            <w:shd w:val="clear" w:color="C0E6F5" w:fill="FFFFFF"/>
            <w:noWrap/>
            <w:vAlign w:val="center"/>
          </w:tcPr>
          <w:p w14:paraId="2FB1F369">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Microvascular complications</w:t>
            </w:r>
          </w:p>
        </w:tc>
        <w:tc>
          <w:tcPr>
            <w:tcW w:w="6118" w:type="dxa"/>
            <w:tcBorders>
              <w:top w:val="nil"/>
              <w:left w:val="nil"/>
              <w:bottom w:val="nil"/>
              <w:right w:val="nil"/>
            </w:tcBorders>
            <w:shd w:val="clear" w:color="C0E6F5" w:fill="FFFFFF"/>
            <w:noWrap/>
            <w:vAlign w:val="center"/>
          </w:tcPr>
          <w:p w14:paraId="2C8595EE">
            <w:pPr>
              <w:keepNext w:val="0"/>
              <w:keepLines w:val="0"/>
              <w:widowControl/>
              <w:suppressLineNumbers w:val="0"/>
              <w:spacing w:before="0" w:beforeAutospacing="0" w:after="0" w:afterAutospacing="0" w:line="240" w:lineRule="auto"/>
              <w:ind w:left="0" w:right="0"/>
              <w:jc w:val="left"/>
              <w:rPr>
                <w:rFonts w:hint="eastAsia" w:ascii="Times New Roman" w:hAnsi="Times New Roman" w:eastAsia="Times New Roman"/>
                <w:b w:val="0"/>
                <w:color w:val="000000"/>
                <w:sz w:val="19"/>
                <w:lang w:val="en-US" w:eastAsia="zh-CN"/>
              </w:rPr>
            </w:pPr>
            <w:r>
              <w:rPr>
                <w:rFonts w:hint="default" w:ascii="Times New Roman" w:hAnsi="Times New Roman" w:eastAsia="Times New Roman"/>
                <w:b w:val="0"/>
                <w:color w:val="000000"/>
                <w:sz w:val="19"/>
                <w:lang w:val="en-US" w:eastAsia="zh-CN"/>
              </w:rPr>
              <w:t>4</w:t>
            </w:r>
            <w:r>
              <w:rPr>
                <w:rFonts w:hint="eastAsia" w:ascii="Times New Roman" w:hAnsi="Times New Roman" w:eastAsia="Times New Roman"/>
                <w:b w:val="0"/>
                <w:color w:val="000000"/>
                <w:sz w:val="19"/>
                <w:lang w:val="en-US" w:eastAsia="zh-CN"/>
              </w:rPr>
              <w:t xml:space="preserve"> </w:t>
            </w:r>
            <w:r>
              <w:rPr>
                <w:rFonts w:hint="default" w:ascii="Times New Roman" w:hAnsi="Times New Roman" w:eastAsia="Times New Roman"/>
                <w:b w:val="0"/>
                <w:color w:val="000000"/>
                <w:sz w:val="19"/>
                <w:lang w:val="en-US" w:eastAsia="zh-CN"/>
              </w:rPr>
              <w:t>studies</w:t>
            </w:r>
            <w:r>
              <w:rPr>
                <w:rFonts w:hint="eastAsia" w:ascii="Times New Roman" w:hAnsi="Times New Roman" w:eastAsia="Times New Roman"/>
                <w:b w:val="0"/>
                <w:color w:val="000000"/>
                <w:sz w:val="19"/>
                <w:lang w:val="en-US" w:eastAsia="zh-CN"/>
              </w:rPr>
              <w:t xml:space="preserve"> </w:t>
            </w:r>
            <w:r>
              <w:rPr>
                <w:rFonts w:hint="eastAsia" w:ascii="Times New Roman" w:hAnsi="Times New Roman" w:eastAsia="Times New Roman"/>
                <w:b w:val="0"/>
                <w:color w:val="000000"/>
                <w:sz w:val="19"/>
                <w:lang w:val="en-US" w:eastAsia="zh-CN"/>
              </w:rPr>
              <w:t>(</w:t>
            </w:r>
            <w:r>
              <w:rPr>
                <w:rFonts w:hint="default" w:ascii="Times New Roman" w:hAnsi="Times New Roman" w:eastAsia="Times New Roman"/>
                <w:b w:val="0"/>
                <w:color w:val="000000"/>
                <w:sz w:val="19"/>
                <w:lang w:val="en-US" w:eastAsia="zh-CN"/>
              </w:rPr>
              <w:t>Carlsson 2024; Coleman 2016; Hounkpatin 2021; Madsen 2019</w:t>
            </w:r>
            <w:r>
              <w:rPr>
                <w:rFonts w:hint="eastAsia" w:ascii="Times New Roman" w:hAnsi="Times New Roman" w:eastAsia="Times New Roman"/>
                <w:b w:val="0"/>
                <w:color w:val="000000"/>
                <w:sz w:val="19"/>
                <w:lang w:val="en-US" w:eastAsia="zh-CN"/>
              </w:rPr>
              <w:t>)</w:t>
            </w:r>
          </w:p>
        </w:tc>
        <w:tc>
          <w:tcPr>
            <w:tcW w:w="2732" w:type="dxa"/>
            <w:tcBorders>
              <w:top w:val="nil"/>
              <w:left w:val="nil"/>
              <w:bottom w:val="nil"/>
              <w:right w:val="nil"/>
            </w:tcBorders>
            <w:shd w:val="clear" w:color="C0E6F5" w:fill="FFFFFF"/>
            <w:noWrap/>
            <w:vAlign w:val="center"/>
          </w:tcPr>
          <w:p w14:paraId="46163DD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lang w:val="en-US" w:eastAsia="zh-CN"/>
              </w:rPr>
            </w:pPr>
            <w:r>
              <w:rPr>
                <w:rFonts w:hint="eastAsia" w:eastAsia="Times New Roman"/>
                <w:b w:val="0"/>
                <w:color w:val="000000"/>
                <w:sz w:val="19"/>
                <w:lang w:val="en-US" w:eastAsia="zh-CN"/>
              </w:rPr>
              <w:t>Landmark/time-varying</w:t>
            </w:r>
          </w:p>
        </w:tc>
        <w:tc>
          <w:tcPr>
            <w:tcW w:w="1085" w:type="dxa"/>
            <w:tcBorders>
              <w:top w:val="nil"/>
              <w:left w:val="nil"/>
              <w:bottom w:val="nil"/>
              <w:right w:val="nil"/>
            </w:tcBorders>
            <w:shd w:val="clear" w:color="C0E6F5" w:fill="FFFFFF"/>
            <w:noWrap/>
            <w:vAlign w:val="center"/>
          </w:tcPr>
          <w:p w14:paraId="35ACD77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0.54</w:t>
            </w:r>
          </w:p>
        </w:tc>
        <w:tc>
          <w:tcPr>
            <w:tcW w:w="1095" w:type="dxa"/>
            <w:tcBorders>
              <w:top w:val="nil"/>
              <w:left w:val="nil"/>
              <w:bottom w:val="nil"/>
              <w:right w:val="nil"/>
            </w:tcBorders>
            <w:shd w:val="clear" w:color="C0E6F5" w:fill="FFFFFF"/>
            <w:noWrap/>
            <w:vAlign w:val="center"/>
          </w:tcPr>
          <w:p w14:paraId="5E0CB66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0.31</w:t>
            </w:r>
          </w:p>
        </w:tc>
        <w:tc>
          <w:tcPr>
            <w:tcW w:w="1095" w:type="dxa"/>
            <w:tcBorders>
              <w:top w:val="nil"/>
              <w:left w:val="nil"/>
              <w:bottom w:val="nil"/>
              <w:right w:val="nil"/>
            </w:tcBorders>
            <w:shd w:val="clear" w:color="C0E6F5" w:fill="FFFFFF"/>
            <w:noWrap/>
            <w:vAlign w:val="center"/>
          </w:tcPr>
          <w:p w14:paraId="2F2C1C3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0.93</w:t>
            </w:r>
          </w:p>
        </w:tc>
        <w:tc>
          <w:tcPr>
            <w:tcW w:w="975" w:type="dxa"/>
            <w:tcBorders>
              <w:top w:val="nil"/>
              <w:left w:val="nil"/>
              <w:bottom w:val="nil"/>
              <w:right w:val="nil"/>
            </w:tcBorders>
            <w:shd w:val="clear" w:color="C0E6F5" w:fill="FFFFFF"/>
            <w:noWrap/>
            <w:vAlign w:val="center"/>
          </w:tcPr>
          <w:p w14:paraId="1E79C3C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0.037</w:t>
            </w:r>
          </w:p>
        </w:tc>
        <w:tc>
          <w:tcPr>
            <w:tcW w:w="916" w:type="dxa"/>
            <w:tcBorders>
              <w:top w:val="nil"/>
              <w:left w:val="nil"/>
              <w:bottom w:val="nil"/>
              <w:right w:val="nil"/>
            </w:tcBorders>
            <w:shd w:val="clear" w:color="C0E6F5" w:fill="FFFFFF"/>
            <w:noWrap/>
            <w:vAlign w:val="center"/>
          </w:tcPr>
          <w:p w14:paraId="3F1A43C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0.101</w:t>
            </w:r>
          </w:p>
        </w:tc>
        <w:tc>
          <w:tcPr>
            <w:tcW w:w="868" w:type="dxa"/>
            <w:tcBorders>
              <w:top w:val="nil"/>
              <w:left w:val="nil"/>
              <w:bottom w:val="nil"/>
              <w:right w:val="nil"/>
            </w:tcBorders>
            <w:shd w:val="clear" w:color="C0E6F5" w:fill="FFFFFF"/>
            <w:noWrap/>
            <w:vAlign w:val="center"/>
          </w:tcPr>
          <w:p w14:paraId="229D120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91.1</w:t>
            </w:r>
          </w:p>
        </w:tc>
        <w:tc>
          <w:tcPr>
            <w:tcW w:w="916" w:type="dxa"/>
            <w:tcBorders>
              <w:top w:val="nil"/>
              <w:left w:val="nil"/>
              <w:bottom w:val="nil"/>
              <w:right w:val="nil"/>
            </w:tcBorders>
            <w:shd w:val="clear" w:color="C0E6F5" w:fill="FFFFFF"/>
            <w:noWrap/>
            <w:vAlign w:val="center"/>
          </w:tcPr>
          <w:p w14:paraId="18076DC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22.78</w:t>
            </w:r>
          </w:p>
        </w:tc>
        <w:tc>
          <w:tcPr>
            <w:tcW w:w="662" w:type="dxa"/>
            <w:tcBorders>
              <w:top w:val="nil"/>
              <w:left w:val="nil"/>
              <w:bottom w:val="nil"/>
              <w:right w:val="nil"/>
            </w:tcBorders>
            <w:shd w:val="clear" w:color="C0E6F5" w:fill="FFFFFF"/>
            <w:noWrap/>
            <w:vAlign w:val="center"/>
          </w:tcPr>
          <w:p w14:paraId="3C4AD78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3</w:t>
            </w:r>
          </w:p>
        </w:tc>
        <w:tc>
          <w:tcPr>
            <w:tcW w:w="1172" w:type="dxa"/>
            <w:tcBorders>
              <w:top w:val="nil"/>
              <w:left w:val="nil"/>
              <w:bottom w:val="nil"/>
              <w:right w:val="nil"/>
            </w:tcBorders>
            <w:shd w:val="clear" w:color="C0E6F5" w:fill="FFFFFF"/>
            <w:noWrap/>
            <w:vAlign w:val="center"/>
          </w:tcPr>
          <w:p w14:paraId="74F7CBD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0.000</w:t>
            </w:r>
          </w:p>
        </w:tc>
      </w:tr>
      <w:tr w14:paraId="20CA4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3077" w:type="dxa"/>
            <w:tcBorders>
              <w:top w:val="nil"/>
              <w:left w:val="nil"/>
              <w:bottom w:val="single" w:color="000000" w:sz="12" w:space="0"/>
              <w:right w:val="nil"/>
            </w:tcBorders>
            <w:shd w:val="clear" w:color="auto" w:fill="FFFFFF"/>
            <w:noWrap/>
            <w:vAlign w:val="center"/>
          </w:tcPr>
          <w:p w14:paraId="6DD5525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Macrovascular complications</w:t>
            </w:r>
          </w:p>
        </w:tc>
        <w:tc>
          <w:tcPr>
            <w:tcW w:w="6118" w:type="dxa"/>
            <w:tcBorders>
              <w:top w:val="nil"/>
              <w:left w:val="nil"/>
              <w:bottom w:val="single" w:color="000000" w:sz="12" w:space="0"/>
              <w:right w:val="nil"/>
            </w:tcBorders>
            <w:shd w:val="clear" w:color="auto" w:fill="FFFFFF"/>
            <w:noWrap/>
            <w:vAlign w:val="center"/>
          </w:tcPr>
          <w:p w14:paraId="70750922">
            <w:pPr>
              <w:keepNext w:val="0"/>
              <w:keepLines w:val="0"/>
              <w:widowControl/>
              <w:suppressLineNumbers w:val="0"/>
              <w:spacing w:before="0" w:beforeAutospacing="0" w:after="0" w:afterAutospacing="0" w:line="240" w:lineRule="auto"/>
              <w:ind w:left="0" w:right="0"/>
              <w:jc w:val="left"/>
              <w:rPr>
                <w:rFonts w:hint="eastAsia" w:ascii="Times New Roman" w:hAnsi="Times New Roman" w:eastAsia="Times New Roman"/>
                <w:b w:val="0"/>
                <w:color w:val="000000"/>
                <w:sz w:val="19"/>
                <w:lang w:val="en-US" w:eastAsia="zh-CN"/>
              </w:rPr>
            </w:pPr>
            <w:r>
              <w:rPr>
                <w:rFonts w:hint="default" w:ascii="Times New Roman" w:hAnsi="Times New Roman" w:eastAsia="Times New Roman"/>
                <w:b w:val="0"/>
                <w:color w:val="000000"/>
                <w:sz w:val="19"/>
                <w:lang w:val="en-US" w:eastAsia="zh-CN"/>
              </w:rPr>
              <w:t>3</w:t>
            </w:r>
            <w:r>
              <w:rPr>
                <w:rFonts w:hint="eastAsia" w:ascii="Times New Roman" w:hAnsi="Times New Roman" w:eastAsia="Times New Roman"/>
                <w:b w:val="0"/>
                <w:color w:val="000000"/>
                <w:sz w:val="19"/>
                <w:lang w:val="en-US" w:eastAsia="zh-CN"/>
              </w:rPr>
              <w:t xml:space="preserve"> </w:t>
            </w:r>
            <w:r>
              <w:rPr>
                <w:rFonts w:hint="default" w:ascii="Times New Roman" w:hAnsi="Times New Roman" w:eastAsia="Times New Roman"/>
                <w:b w:val="0"/>
                <w:color w:val="000000"/>
                <w:sz w:val="19"/>
                <w:lang w:val="en-US" w:eastAsia="zh-CN"/>
              </w:rPr>
              <w:t>studies</w:t>
            </w:r>
            <w:r>
              <w:rPr>
                <w:rFonts w:hint="eastAsia" w:ascii="Times New Roman" w:hAnsi="Times New Roman" w:eastAsia="Times New Roman"/>
                <w:b w:val="0"/>
                <w:color w:val="000000"/>
                <w:sz w:val="19"/>
                <w:lang w:val="en-US" w:eastAsia="zh-CN"/>
              </w:rPr>
              <w:t xml:space="preserve"> </w:t>
            </w:r>
            <w:r>
              <w:rPr>
                <w:rFonts w:hint="eastAsia" w:ascii="Times New Roman" w:hAnsi="Times New Roman" w:eastAsia="Times New Roman"/>
                <w:b w:val="0"/>
                <w:color w:val="000000"/>
                <w:sz w:val="19"/>
                <w:lang w:val="en-US" w:eastAsia="zh-CN"/>
              </w:rPr>
              <w:t>(</w:t>
            </w:r>
            <w:r>
              <w:rPr>
                <w:rFonts w:hint="default" w:ascii="Times New Roman" w:hAnsi="Times New Roman" w:eastAsia="Times New Roman"/>
                <w:b w:val="0"/>
                <w:color w:val="000000"/>
                <w:sz w:val="19"/>
                <w:lang w:val="en-US" w:eastAsia="zh-CN"/>
              </w:rPr>
              <w:t>Carlsson 2024; Hounkpatin 2021; Madsen 2019</w:t>
            </w:r>
            <w:r>
              <w:rPr>
                <w:rFonts w:hint="eastAsia" w:ascii="Times New Roman" w:hAnsi="Times New Roman" w:eastAsia="Times New Roman"/>
                <w:b w:val="0"/>
                <w:color w:val="000000"/>
                <w:sz w:val="19"/>
                <w:lang w:val="en-US" w:eastAsia="zh-CN"/>
              </w:rPr>
              <w:t>)</w:t>
            </w:r>
          </w:p>
        </w:tc>
        <w:tc>
          <w:tcPr>
            <w:tcW w:w="2732" w:type="dxa"/>
            <w:tcBorders>
              <w:top w:val="nil"/>
              <w:left w:val="nil"/>
              <w:bottom w:val="single" w:color="000000" w:sz="12" w:space="0"/>
              <w:right w:val="nil"/>
            </w:tcBorders>
            <w:shd w:val="clear" w:color="auto" w:fill="FFFFFF"/>
            <w:noWrap/>
            <w:vAlign w:val="center"/>
          </w:tcPr>
          <w:p w14:paraId="0C60DFF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lang w:val="en-US" w:eastAsia="zh-CN"/>
              </w:rPr>
            </w:pPr>
            <w:r>
              <w:rPr>
                <w:rFonts w:hint="eastAsia" w:eastAsia="Times New Roman"/>
                <w:b w:val="0"/>
                <w:color w:val="000000"/>
                <w:sz w:val="19"/>
                <w:lang w:val="en-US" w:eastAsia="zh-CN"/>
              </w:rPr>
              <w:t>Landmark</w:t>
            </w:r>
          </w:p>
        </w:tc>
        <w:tc>
          <w:tcPr>
            <w:tcW w:w="1085" w:type="dxa"/>
            <w:tcBorders>
              <w:top w:val="nil"/>
              <w:left w:val="nil"/>
              <w:bottom w:val="single" w:color="000000" w:sz="12" w:space="0"/>
              <w:right w:val="nil"/>
            </w:tcBorders>
            <w:shd w:val="clear" w:color="auto" w:fill="FFFFFF"/>
            <w:noWrap/>
            <w:vAlign w:val="center"/>
          </w:tcPr>
          <w:p w14:paraId="36584AF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0.70</w:t>
            </w:r>
          </w:p>
        </w:tc>
        <w:tc>
          <w:tcPr>
            <w:tcW w:w="1095" w:type="dxa"/>
            <w:tcBorders>
              <w:top w:val="nil"/>
              <w:left w:val="nil"/>
              <w:bottom w:val="single" w:color="000000" w:sz="12" w:space="0"/>
              <w:right w:val="nil"/>
            </w:tcBorders>
            <w:shd w:val="clear" w:color="auto" w:fill="FFFFFF"/>
            <w:noWrap/>
            <w:vAlign w:val="center"/>
          </w:tcPr>
          <w:p w14:paraId="7372167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0.42</w:t>
            </w:r>
          </w:p>
        </w:tc>
        <w:tc>
          <w:tcPr>
            <w:tcW w:w="1095" w:type="dxa"/>
            <w:tcBorders>
              <w:top w:val="nil"/>
              <w:left w:val="nil"/>
              <w:bottom w:val="single" w:color="000000" w:sz="12" w:space="0"/>
              <w:right w:val="nil"/>
            </w:tcBorders>
            <w:shd w:val="clear" w:color="auto" w:fill="FFFFFF"/>
            <w:noWrap/>
            <w:vAlign w:val="center"/>
          </w:tcPr>
          <w:p w14:paraId="6FC8289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1.16</w:t>
            </w:r>
          </w:p>
        </w:tc>
        <w:tc>
          <w:tcPr>
            <w:tcW w:w="975" w:type="dxa"/>
            <w:tcBorders>
              <w:top w:val="nil"/>
              <w:left w:val="nil"/>
              <w:bottom w:val="single" w:color="000000" w:sz="12" w:space="0"/>
              <w:right w:val="nil"/>
            </w:tcBorders>
            <w:shd w:val="clear" w:color="auto" w:fill="FFFFFF"/>
            <w:noWrap/>
            <w:vAlign w:val="center"/>
          </w:tcPr>
          <w:p w14:paraId="728F386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0.091</w:t>
            </w:r>
          </w:p>
        </w:tc>
        <w:tc>
          <w:tcPr>
            <w:tcW w:w="916" w:type="dxa"/>
            <w:tcBorders>
              <w:top w:val="nil"/>
              <w:left w:val="nil"/>
              <w:bottom w:val="single" w:color="000000" w:sz="12" w:space="0"/>
              <w:right w:val="nil"/>
            </w:tcBorders>
            <w:shd w:val="clear" w:color="auto" w:fill="FFFFFF"/>
            <w:noWrap/>
            <w:vAlign w:val="center"/>
          </w:tcPr>
          <w:p w14:paraId="09F373F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0.027</w:t>
            </w:r>
          </w:p>
        </w:tc>
        <w:tc>
          <w:tcPr>
            <w:tcW w:w="868" w:type="dxa"/>
            <w:tcBorders>
              <w:top w:val="nil"/>
              <w:left w:val="nil"/>
              <w:bottom w:val="single" w:color="000000" w:sz="12" w:space="0"/>
              <w:right w:val="nil"/>
            </w:tcBorders>
            <w:shd w:val="clear" w:color="auto" w:fill="FFFFFF"/>
            <w:noWrap/>
            <w:vAlign w:val="center"/>
          </w:tcPr>
          <w:p w14:paraId="7D9E6925">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48.7</w:t>
            </w:r>
          </w:p>
        </w:tc>
        <w:tc>
          <w:tcPr>
            <w:tcW w:w="916" w:type="dxa"/>
            <w:tcBorders>
              <w:top w:val="nil"/>
              <w:left w:val="nil"/>
              <w:bottom w:val="single" w:color="000000" w:sz="12" w:space="0"/>
              <w:right w:val="nil"/>
            </w:tcBorders>
            <w:shd w:val="clear" w:color="auto" w:fill="FFFFFF"/>
            <w:noWrap/>
            <w:vAlign w:val="center"/>
          </w:tcPr>
          <w:p w14:paraId="590E5F0E">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3.69</w:t>
            </w:r>
          </w:p>
        </w:tc>
        <w:tc>
          <w:tcPr>
            <w:tcW w:w="662" w:type="dxa"/>
            <w:tcBorders>
              <w:top w:val="nil"/>
              <w:left w:val="nil"/>
              <w:bottom w:val="single" w:color="000000" w:sz="12" w:space="0"/>
              <w:right w:val="nil"/>
            </w:tcBorders>
            <w:shd w:val="clear" w:color="auto" w:fill="FFFFFF"/>
            <w:noWrap/>
            <w:vAlign w:val="center"/>
          </w:tcPr>
          <w:p w14:paraId="4A0EA68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2</w:t>
            </w:r>
          </w:p>
        </w:tc>
        <w:tc>
          <w:tcPr>
            <w:tcW w:w="1172" w:type="dxa"/>
            <w:tcBorders>
              <w:top w:val="nil"/>
              <w:left w:val="nil"/>
              <w:bottom w:val="single" w:color="000000" w:sz="12" w:space="0"/>
              <w:right w:val="nil"/>
            </w:tcBorders>
            <w:shd w:val="clear" w:color="auto" w:fill="FFFFFF"/>
            <w:noWrap/>
            <w:vAlign w:val="center"/>
          </w:tcPr>
          <w:p w14:paraId="7E5134C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b w:val="0"/>
                <w:color w:val="000000"/>
                <w:sz w:val="19"/>
              </w:rPr>
            </w:pPr>
            <w:r>
              <w:rPr>
                <w:rFonts w:hint="default" w:ascii="Times New Roman" w:hAnsi="Times New Roman" w:eastAsia="Times New Roman"/>
                <w:b w:val="0"/>
                <w:color w:val="000000"/>
                <w:sz w:val="19"/>
                <w:lang w:val="en-US" w:eastAsia="zh-CN"/>
              </w:rPr>
              <w:t>0.158</w:t>
            </w:r>
          </w:p>
        </w:tc>
      </w:tr>
    </w:tbl>
    <w:p w14:paraId="6FE00C9B">
      <w:pPr>
        <w:spacing w:before="0" w:after="100"/>
        <w:jc w:val="both"/>
        <w:rPr>
          <w:rFonts w:hint="default" w:ascii="Times New Roman" w:hAnsi="Times New Roman" w:eastAsia="Times New Roman"/>
          <w:b w:val="0"/>
          <w:sz w:val="19"/>
          <w:lang w:val="en-US" w:eastAsia="zh-CN"/>
        </w:rPr>
      </w:pPr>
      <w:r>
        <w:rPr>
          <w:rFonts w:hint="default" w:ascii="Times New Roman" w:hAnsi="Times New Roman" w:eastAsia="Times New Roman"/>
          <w:b w:val="0"/>
          <w:sz w:val="19"/>
          <w:lang w:val="en-US" w:eastAsia="zh-CN"/>
        </w:rPr>
        <w:t>Abbreviations: HR, hazard ratio; CI, confidence interval; REML, restricted maximum likelihood.</w:t>
      </w:r>
    </w:p>
    <w:p w14:paraId="4EA58405">
      <w:pPr>
        <w:spacing w:before="0" w:after="100"/>
        <w:jc w:val="both"/>
      </w:pPr>
      <w:r>
        <w:rPr>
          <w:lang w:val="en-US" w:eastAsia="zh-CN"/>
        </w:rPr>
        <w:br w:type="page"/>
      </w:r>
      <w:r>
        <w:rPr>
          <w:rFonts w:ascii="Times New Roman" w:hAnsi="Times New Roman" w:eastAsia="Times New Roman"/>
          <w:b/>
          <w:sz w:val="22"/>
        </w:rPr>
        <w:t>Supplementary Table S</w:t>
      </w:r>
      <w:r>
        <w:rPr>
          <w:rFonts w:hint="eastAsia" w:eastAsia="宋体"/>
          <w:b/>
          <w:sz w:val="22"/>
          <w:lang w:val="en-US" w:eastAsia="zh-CN"/>
        </w:rPr>
        <w:t>7</w:t>
      </w:r>
      <w:r>
        <w:rPr>
          <w:rFonts w:ascii="Times New Roman" w:hAnsi="Times New Roman" w:eastAsia="Times New Roman"/>
          <w:b/>
          <w:sz w:val="22"/>
        </w:rPr>
        <w:t>. GRADE evidence profile for type 2 diabetes remission and adverse health outcomes</w:t>
      </w:r>
    </w:p>
    <w:tbl>
      <w:tblPr>
        <w:tblStyle w:val="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4"/>
        <w:gridCol w:w="792"/>
        <w:gridCol w:w="1512"/>
        <w:gridCol w:w="1036"/>
        <w:gridCol w:w="1324"/>
        <w:gridCol w:w="1123"/>
        <w:gridCol w:w="1123"/>
        <w:gridCol w:w="1267"/>
        <w:gridCol w:w="1267"/>
        <w:gridCol w:w="979"/>
        <w:gridCol w:w="1324"/>
        <w:gridCol w:w="1699"/>
        <w:gridCol w:w="1281"/>
      </w:tblGrid>
      <w:tr w14:paraId="02D2F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17" w:hRule="atLeast"/>
          <w:tblHeader/>
        </w:trPr>
        <w:tc>
          <w:tcPr>
            <w:tcW w:w="10668" w:type="dxa"/>
            <w:gridSpan w:val="9"/>
            <w:shd w:val="clear" w:color="auto" w:fill="345B9D"/>
            <w:tcMar>
              <w:top w:w="25" w:type="dxa"/>
              <w:left w:w="28" w:type="dxa"/>
              <w:bottom w:w="25" w:type="dxa"/>
              <w:right w:w="28" w:type="dxa"/>
            </w:tcMar>
            <w:vAlign w:val="center"/>
          </w:tcPr>
          <w:p w14:paraId="5B7C9635">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5"/>
              </w:rPr>
              <w:t>Certainty assessment</w:t>
            </w:r>
          </w:p>
        </w:tc>
        <w:tc>
          <w:tcPr>
            <w:tcW w:w="979" w:type="dxa"/>
            <w:vMerge w:val="restart"/>
            <w:shd w:val="clear" w:color="auto" w:fill="345B9D"/>
            <w:tcMar>
              <w:top w:w="25" w:type="dxa"/>
              <w:left w:w="28" w:type="dxa"/>
              <w:bottom w:w="25" w:type="dxa"/>
              <w:right w:w="28" w:type="dxa"/>
            </w:tcMar>
            <w:vAlign w:val="center"/>
          </w:tcPr>
          <w:p w14:paraId="27F78749">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5"/>
              </w:rPr>
              <w:t>Total</w:t>
            </w:r>
            <w:r>
              <w:rPr>
                <w:rFonts w:hint="default" w:ascii="Times New Roman" w:hAnsi="Times New Roman" w:eastAsia="Times New Roman"/>
                <w:b/>
                <w:color w:val="FFFFFF"/>
                <w:sz w:val="15"/>
              </w:rPr>
              <w:br w:type="textWrapping"/>
            </w:r>
            <w:r>
              <w:rPr>
                <w:rFonts w:hint="default" w:ascii="Times New Roman" w:hAnsi="Times New Roman" w:eastAsia="Times New Roman"/>
                <w:b/>
                <w:color w:val="FFFFFF"/>
                <w:sz w:val="15"/>
              </w:rPr>
              <w:t>no.</w:t>
            </w:r>
          </w:p>
        </w:tc>
        <w:tc>
          <w:tcPr>
            <w:tcW w:w="3023" w:type="dxa"/>
            <w:gridSpan w:val="2"/>
            <w:shd w:val="clear" w:color="auto" w:fill="345B9D"/>
            <w:tcMar>
              <w:top w:w="25" w:type="dxa"/>
              <w:left w:w="28" w:type="dxa"/>
              <w:bottom w:w="25" w:type="dxa"/>
              <w:right w:w="28" w:type="dxa"/>
            </w:tcMar>
            <w:vAlign w:val="center"/>
          </w:tcPr>
          <w:p w14:paraId="6183B453">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5"/>
              </w:rPr>
              <w:t>Effect</w:t>
            </w:r>
          </w:p>
        </w:tc>
        <w:tc>
          <w:tcPr>
            <w:tcW w:w="1281" w:type="dxa"/>
            <w:vMerge w:val="restart"/>
            <w:shd w:val="clear" w:color="auto" w:fill="345B9D"/>
            <w:tcMar>
              <w:top w:w="25" w:type="dxa"/>
              <w:left w:w="28" w:type="dxa"/>
              <w:bottom w:w="25" w:type="dxa"/>
              <w:right w:w="28" w:type="dxa"/>
            </w:tcMar>
            <w:vAlign w:val="center"/>
          </w:tcPr>
          <w:p w14:paraId="01E5F91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5"/>
              </w:rPr>
              <w:t>Certainty</w:t>
            </w:r>
          </w:p>
        </w:tc>
      </w:tr>
      <w:tr w14:paraId="1345C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90" w:hRule="atLeast"/>
          <w:tblHeader/>
        </w:trPr>
        <w:tc>
          <w:tcPr>
            <w:tcW w:w="1224" w:type="dxa"/>
            <w:vMerge w:val="restart"/>
            <w:shd w:val="clear" w:color="auto" w:fill="345B9D"/>
            <w:tcMar>
              <w:top w:w="25" w:type="dxa"/>
              <w:left w:w="28" w:type="dxa"/>
              <w:bottom w:w="25" w:type="dxa"/>
              <w:right w:w="28" w:type="dxa"/>
            </w:tcMar>
            <w:vAlign w:val="center"/>
          </w:tcPr>
          <w:p w14:paraId="10F8F71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Outcome</w:t>
            </w:r>
          </w:p>
        </w:tc>
        <w:tc>
          <w:tcPr>
            <w:tcW w:w="792" w:type="dxa"/>
            <w:vMerge w:val="restart"/>
            <w:shd w:val="clear" w:color="auto" w:fill="345B9D"/>
            <w:tcMar>
              <w:top w:w="25" w:type="dxa"/>
              <w:left w:w="28" w:type="dxa"/>
              <w:bottom w:w="25" w:type="dxa"/>
              <w:right w:w="28" w:type="dxa"/>
            </w:tcMar>
            <w:vAlign w:val="center"/>
          </w:tcPr>
          <w:p w14:paraId="5EF24F91">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No. of</w:t>
            </w:r>
            <w:r>
              <w:rPr>
                <w:rFonts w:hint="default" w:ascii="Times New Roman" w:hAnsi="Times New Roman" w:eastAsia="Times New Roman"/>
                <w:b/>
                <w:color w:val="FFFFFF"/>
                <w:sz w:val="14"/>
              </w:rPr>
              <w:br w:type="textWrapping"/>
            </w:r>
            <w:r>
              <w:rPr>
                <w:rFonts w:hint="default" w:ascii="Times New Roman" w:hAnsi="Times New Roman" w:eastAsia="Times New Roman"/>
                <w:b/>
                <w:color w:val="FFFFFF"/>
                <w:sz w:val="14"/>
              </w:rPr>
              <w:t>studies</w:t>
            </w:r>
          </w:p>
        </w:tc>
        <w:tc>
          <w:tcPr>
            <w:tcW w:w="1512" w:type="dxa"/>
            <w:vMerge w:val="restart"/>
            <w:shd w:val="clear" w:color="auto" w:fill="345B9D"/>
            <w:tcMar>
              <w:top w:w="25" w:type="dxa"/>
              <w:left w:w="28" w:type="dxa"/>
              <w:bottom w:w="25" w:type="dxa"/>
              <w:right w:w="28" w:type="dxa"/>
            </w:tcMar>
            <w:vAlign w:val="center"/>
          </w:tcPr>
          <w:p w14:paraId="720998FD">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Study design</w:t>
            </w:r>
          </w:p>
        </w:tc>
        <w:tc>
          <w:tcPr>
            <w:tcW w:w="1036" w:type="dxa"/>
            <w:vMerge w:val="restart"/>
            <w:shd w:val="clear" w:color="auto" w:fill="345B9D"/>
            <w:tcMar>
              <w:top w:w="25" w:type="dxa"/>
              <w:left w:w="28" w:type="dxa"/>
              <w:bottom w:w="25" w:type="dxa"/>
              <w:right w:w="28" w:type="dxa"/>
            </w:tcMar>
            <w:vAlign w:val="center"/>
          </w:tcPr>
          <w:p w14:paraId="7A4D21CD">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Risk of</w:t>
            </w:r>
            <w:r>
              <w:rPr>
                <w:rFonts w:hint="default" w:ascii="Times New Roman" w:hAnsi="Times New Roman" w:eastAsia="Times New Roman"/>
                <w:b/>
                <w:color w:val="FFFFFF"/>
                <w:sz w:val="14"/>
              </w:rPr>
              <w:br w:type="textWrapping"/>
            </w:r>
            <w:r>
              <w:rPr>
                <w:rFonts w:hint="default" w:ascii="Times New Roman" w:hAnsi="Times New Roman" w:eastAsia="Times New Roman"/>
                <w:b/>
                <w:color w:val="FFFFFF"/>
                <w:sz w:val="14"/>
              </w:rPr>
              <w:t>bias</w:t>
            </w:r>
          </w:p>
        </w:tc>
        <w:tc>
          <w:tcPr>
            <w:tcW w:w="1324" w:type="dxa"/>
            <w:vMerge w:val="restart"/>
            <w:shd w:val="clear" w:color="auto" w:fill="345B9D"/>
            <w:tcMar>
              <w:top w:w="25" w:type="dxa"/>
              <w:left w:w="28" w:type="dxa"/>
              <w:bottom w:w="25" w:type="dxa"/>
              <w:right w:w="28" w:type="dxa"/>
            </w:tcMar>
            <w:vAlign w:val="center"/>
          </w:tcPr>
          <w:p w14:paraId="56F6C89A">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Inconsistency</w:t>
            </w:r>
          </w:p>
        </w:tc>
        <w:tc>
          <w:tcPr>
            <w:tcW w:w="1123" w:type="dxa"/>
            <w:vMerge w:val="restart"/>
            <w:shd w:val="clear" w:color="auto" w:fill="345B9D"/>
            <w:tcMar>
              <w:top w:w="25" w:type="dxa"/>
              <w:left w:w="28" w:type="dxa"/>
              <w:bottom w:w="25" w:type="dxa"/>
              <w:right w:w="28" w:type="dxa"/>
            </w:tcMar>
            <w:vAlign w:val="center"/>
          </w:tcPr>
          <w:p w14:paraId="76A46FEB">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Indirectness</w:t>
            </w:r>
          </w:p>
        </w:tc>
        <w:tc>
          <w:tcPr>
            <w:tcW w:w="1123" w:type="dxa"/>
            <w:vMerge w:val="restart"/>
            <w:shd w:val="clear" w:color="auto" w:fill="345B9D"/>
            <w:tcMar>
              <w:top w:w="25" w:type="dxa"/>
              <w:left w:w="28" w:type="dxa"/>
              <w:bottom w:w="25" w:type="dxa"/>
              <w:right w:w="28" w:type="dxa"/>
            </w:tcMar>
            <w:vAlign w:val="center"/>
          </w:tcPr>
          <w:p w14:paraId="16E55121">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Imprecision</w:t>
            </w:r>
          </w:p>
        </w:tc>
        <w:tc>
          <w:tcPr>
            <w:tcW w:w="1267" w:type="dxa"/>
            <w:vMerge w:val="restart"/>
            <w:shd w:val="clear" w:color="auto" w:fill="345B9D"/>
            <w:tcMar>
              <w:top w:w="25" w:type="dxa"/>
              <w:left w:w="28" w:type="dxa"/>
              <w:bottom w:w="25" w:type="dxa"/>
              <w:right w:w="28" w:type="dxa"/>
            </w:tcMar>
            <w:vAlign w:val="center"/>
          </w:tcPr>
          <w:p w14:paraId="7827D6D1">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Publication</w:t>
            </w:r>
            <w:r>
              <w:rPr>
                <w:rFonts w:hint="default" w:ascii="Times New Roman" w:hAnsi="Times New Roman" w:eastAsia="Times New Roman"/>
                <w:b/>
                <w:color w:val="FFFFFF"/>
                <w:sz w:val="14"/>
              </w:rPr>
              <w:br w:type="textWrapping"/>
            </w:r>
            <w:r>
              <w:rPr>
                <w:rFonts w:hint="default" w:ascii="Times New Roman" w:hAnsi="Times New Roman" w:eastAsia="Times New Roman"/>
                <w:b/>
                <w:color w:val="FFFFFF"/>
                <w:sz w:val="14"/>
              </w:rPr>
              <w:t>bias</w:t>
            </w:r>
          </w:p>
        </w:tc>
        <w:tc>
          <w:tcPr>
            <w:tcW w:w="1267" w:type="dxa"/>
            <w:vMerge w:val="restart"/>
            <w:shd w:val="clear" w:color="auto" w:fill="345B9D"/>
            <w:tcMar>
              <w:top w:w="25" w:type="dxa"/>
              <w:left w:w="28" w:type="dxa"/>
              <w:bottom w:w="25" w:type="dxa"/>
              <w:right w:w="28" w:type="dxa"/>
            </w:tcMar>
            <w:vAlign w:val="center"/>
          </w:tcPr>
          <w:p w14:paraId="3FA407CA">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Other</w:t>
            </w:r>
            <w:r>
              <w:rPr>
                <w:rFonts w:hint="default" w:ascii="Times New Roman" w:hAnsi="Times New Roman" w:eastAsia="Times New Roman"/>
                <w:b/>
                <w:color w:val="FFFFFF"/>
                <w:sz w:val="14"/>
              </w:rPr>
              <w:br w:type="textWrapping"/>
            </w:r>
            <w:r>
              <w:rPr>
                <w:rFonts w:hint="default" w:ascii="Times New Roman" w:hAnsi="Times New Roman" w:eastAsia="Times New Roman"/>
                <w:b/>
                <w:color w:val="FFFFFF"/>
                <w:sz w:val="14"/>
              </w:rPr>
              <w:t>considerations</w:t>
            </w:r>
          </w:p>
        </w:tc>
        <w:tc>
          <w:tcPr>
            <w:tcW w:w="979" w:type="dxa"/>
            <w:vMerge w:val="continue"/>
            <w:tcMar>
              <w:top w:w="25" w:type="dxa"/>
              <w:left w:w="28" w:type="dxa"/>
              <w:bottom w:w="25" w:type="dxa"/>
              <w:right w:w="28" w:type="dxa"/>
            </w:tcMar>
          </w:tcPr>
          <w:p w14:paraId="2D6C8E9A">
            <w:pPr>
              <w:keepNext w:val="0"/>
              <w:keepLines w:val="0"/>
              <w:widowControl/>
              <w:suppressLineNumbers w:val="0"/>
              <w:spacing w:before="0" w:beforeAutospacing="0" w:after="0" w:afterAutospacing="0"/>
              <w:ind w:left="0" w:right="0"/>
              <w:rPr>
                <w:rFonts w:hint="default"/>
              </w:rPr>
            </w:pPr>
          </w:p>
        </w:tc>
        <w:tc>
          <w:tcPr>
            <w:tcW w:w="1324" w:type="dxa"/>
            <w:shd w:val="clear" w:color="auto" w:fill="345B9D"/>
            <w:tcMar>
              <w:top w:w="25" w:type="dxa"/>
              <w:left w:w="28" w:type="dxa"/>
              <w:bottom w:w="25" w:type="dxa"/>
              <w:right w:w="28" w:type="dxa"/>
            </w:tcMar>
            <w:vAlign w:val="center"/>
          </w:tcPr>
          <w:p w14:paraId="67115C91">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Relative</w:t>
            </w:r>
          </w:p>
        </w:tc>
        <w:tc>
          <w:tcPr>
            <w:tcW w:w="1699" w:type="dxa"/>
            <w:shd w:val="clear" w:color="auto" w:fill="345B9D"/>
            <w:tcMar>
              <w:top w:w="25" w:type="dxa"/>
              <w:left w:w="28" w:type="dxa"/>
              <w:bottom w:w="25" w:type="dxa"/>
              <w:right w:w="28" w:type="dxa"/>
            </w:tcMar>
            <w:vAlign w:val="center"/>
          </w:tcPr>
          <w:p w14:paraId="7F6855DF">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Absolute</w:t>
            </w:r>
          </w:p>
        </w:tc>
        <w:tc>
          <w:tcPr>
            <w:tcW w:w="1281" w:type="dxa"/>
            <w:vMerge w:val="continue"/>
            <w:tcMar>
              <w:top w:w="25" w:type="dxa"/>
              <w:left w:w="28" w:type="dxa"/>
              <w:bottom w:w="25" w:type="dxa"/>
              <w:right w:w="28" w:type="dxa"/>
            </w:tcMar>
          </w:tcPr>
          <w:p w14:paraId="1BE47434">
            <w:pPr>
              <w:keepNext w:val="0"/>
              <w:keepLines w:val="0"/>
              <w:widowControl/>
              <w:suppressLineNumbers w:val="0"/>
              <w:spacing w:before="0" w:beforeAutospacing="0" w:after="0" w:afterAutospacing="0"/>
              <w:ind w:left="0" w:right="0"/>
              <w:rPr>
                <w:rFonts w:hint="default"/>
              </w:rPr>
            </w:pPr>
          </w:p>
        </w:tc>
      </w:tr>
      <w:tr w14:paraId="4003B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46" w:hRule="atLeast"/>
          <w:tblHeader/>
        </w:trPr>
        <w:tc>
          <w:tcPr>
            <w:tcW w:w="1224" w:type="dxa"/>
            <w:vMerge w:val="continue"/>
            <w:tcMar>
              <w:top w:w="25" w:type="dxa"/>
              <w:left w:w="28" w:type="dxa"/>
              <w:bottom w:w="25" w:type="dxa"/>
              <w:right w:w="28" w:type="dxa"/>
            </w:tcMar>
          </w:tcPr>
          <w:p w14:paraId="1976E149">
            <w:pPr>
              <w:keepNext w:val="0"/>
              <w:keepLines w:val="0"/>
              <w:widowControl/>
              <w:suppressLineNumbers w:val="0"/>
              <w:spacing w:before="0" w:beforeAutospacing="0" w:after="0" w:afterAutospacing="0"/>
              <w:ind w:left="0" w:right="0"/>
              <w:rPr>
                <w:rFonts w:hint="default"/>
              </w:rPr>
            </w:pPr>
          </w:p>
        </w:tc>
        <w:tc>
          <w:tcPr>
            <w:tcW w:w="792" w:type="dxa"/>
            <w:vMerge w:val="continue"/>
            <w:tcMar>
              <w:top w:w="25" w:type="dxa"/>
              <w:left w:w="28" w:type="dxa"/>
              <w:bottom w:w="25" w:type="dxa"/>
              <w:right w:w="28" w:type="dxa"/>
            </w:tcMar>
          </w:tcPr>
          <w:p w14:paraId="0518B468">
            <w:pPr>
              <w:keepNext w:val="0"/>
              <w:keepLines w:val="0"/>
              <w:widowControl/>
              <w:suppressLineNumbers w:val="0"/>
              <w:spacing w:before="0" w:beforeAutospacing="0" w:after="0" w:afterAutospacing="0"/>
              <w:ind w:left="0" w:right="0"/>
              <w:rPr>
                <w:rFonts w:hint="default"/>
              </w:rPr>
            </w:pPr>
          </w:p>
        </w:tc>
        <w:tc>
          <w:tcPr>
            <w:tcW w:w="1512" w:type="dxa"/>
            <w:vMerge w:val="continue"/>
            <w:tcMar>
              <w:top w:w="25" w:type="dxa"/>
              <w:left w:w="28" w:type="dxa"/>
              <w:bottom w:w="25" w:type="dxa"/>
              <w:right w:w="28" w:type="dxa"/>
            </w:tcMar>
          </w:tcPr>
          <w:p w14:paraId="43EACE4D">
            <w:pPr>
              <w:keepNext w:val="0"/>
              <w:keepLines w:val="0"/>
              <w:widowControl/>
              <w:suppressLineNumbers w:val="0"/>
              <w:spacing w:before="0" w:beforeAutospacing="0" w:after="0" w:afterAutospacing="0"/>
              <w:ind w:left="0" w:right="0"/>
              <w:rPr>
                <w:rFonts w:hint="default"/>
              </w:rPr>
            </w:pPr>
          </w:p>
        </w:tc>
        <w:tc>
          <w:tcPr>
            <w:tcW w:w="1036" w:type="dxa"/>
            <w:vMerge w:val="continue"/>
            <w:tcMar>
              <w:top w:w="25" w:type="dxa"/>
              <w:left w:w="28" w:type="dxa"/>
              <w:bottom w:w="25" w:type="dxa"/>
              <w:right w:w="28" w:type="dxa"/>
            </w:tcMar>
          </w:tcPr>
          <w:p w14:paraId="4FFF2A14">
            <w:pPr>
              <w:keepNext w:val="0"/>
              <w:keepLines w:val="0"/>
              <w:widowControl/>
              <w:suppressLineNumbers w:val="0"/>
              <w:spacing w:before="0" w:beforeAutospacing="0" w:after="0" w:afterAutospacing="0"/>
              <w:ind w:left="0" w:right="0"/>
              <w:rPr>
                <w:rFonts w:hint="default"/>
              </w:rPr>
            </w:pPr>
          </w:p>
        </w:tc>
        <w:tc>
          <w:tcPr>
            <w:tcW w:w="1324" w:type="dxa"/>
            <w:vMerge w:val="continue"/>
            <w:tcMar>
              <w:top w:w="25" w:type="dxa"/>
              <w:left w:w="28" w:type="dxa"/>
              <w:bottom w:w="25" w:type="dxa"/>
              <w:right w:w="28" w:type="dxa"/>
            </w:tcMar>
          </w:tcPr>
          <w:p w14:paraId="46D3C175">
            <w:pPr>
              <w:keepNext w:val="0"/>
              <w:keepLines w:val="0"/>
              <w:widowControl/>
              <w:suppressLineNumbers w:val="0"/>
              <w:spacing w:before="0" w:beforeAutospacing="0" w:after="0" w:afterAutospacing="0"/>
              <w:ind w:left="0" w:right="0"/>
              <w:rPr>
                <w:rFonts w:hint="default"/>
              </w:rPr>
            </w:pPr>
          </w:p>
        </w:tc>
        <w:tc>
          <w:tcPr>
            <w:tcW w:w="1123" w:type="dxa"/>
            <w:vMerge w:val="continue"/>
            <w:tcMar>
              <w:top w:w="25" w:type="dxa"/>
              <w:left w:w="28" w:type="dxa"/>
              <w:bottom w:w="25" w:type="dxa"/>
              <w:right w:w="28" w:type="dxa"/>
            </w:tcMar>
          </w:tcPr>
          <w:p w14:paraId="6DE6A06A">
            <w:pPr>
              <w:keepNext w:val="0"/>
              <w:keepLines w:val="0"/>
              <w:widowControl/>
              <w:suppressLineNumbers w:val="0"/>
              <w:spacing w:before="0" w:beforeAutospacing="0" w:after="0" w:afterAutospacing="0"/>
              <w:ind w:left="0" w:right="0"/>
              <w:rPr>
                <w:rFonts w:hint="default"/>
              </w:rPr>
            </w:pPr>
          </w:p>
        </w:tc>
        <w:tc>
          <w:tcPr>
            <w:tcW w:w="1123" w:type="dxa"/>
            <w:vMerge w:val="continue"/>
            <w:tcMar>
              <w:top w:w="25" w:type="dxa"/>
              <w:left w:w="28" w:type="dxa"/>
              <w:bottom w:w="25" w:type="dxa"/>
              <w:right w:w="28" w:type="dxa"/>
            </w:tcMar>
          </w:tcPr>
          <w:p w14:paraId="434B109E">
            <w:pPr>
              <w:keepNext w:val="0"/>
              <w:keepLines w:val="0"/>
              <w:widowControl/>
              <w:suppressLineNumbers w:val="0"/>
              <w:spacing w:before="0" w:beforeAutospacing="0" w:after="0" w:afterAutospacing="0"/>
              <w:ind w:left="0" w:right="0"/>
              <w:rPr>
                <w:rFonts w:hint="default"/>
              </w:rPr>
            </w:pPr>
          </w:p>
        </w:tc>
        <w:tc>
          <w:tcPr>
            <w:tcW w:w="1267" w:type="dxa"/>
            <w:vMerge w:val="continue"/>
            <w:tcMar>
              <w:top w:w="25" w:type="dxa"/>
              <w:left w:w="28" w:type="dxa"/>
              <w:bottom w:w="25" w:type="dxa"/>
              <w:right w:w="28" w:type="dxa"/>
            </w:tcMar>
          </w:tcPr>
          <w:p w14:paraId="6E8E7DFA">
            <w:pPr>
              <w:keepNext w:val="0"/>
              <w:keepLines w:val="0"/>
              <w:widowControl/>
              <w:suppressLineNumbers w:val="0"/>
              <w:spacing w:before="0" w:beforeAutospacing="0" w:after="0" w:afterAutospacing="0"/>
              <w:ind w:left="0" w:right="0"/>
              <w:rPr>
                <w:rFonts w:hint="default"/>
              </w:rPr>
            </w:pPr>
          </w:p>
        </w:tc>
        <w:tc>
          <w:tcPr>
            <w:tcW w:w="1267" w:type="dxa"/>
            <w:vMerge w:val="continue"/>
            <w:tcMar>
              <w:top w:w="25" w:type="dxa"/>
              <w:left w:w="28" w:type="dxa"/>
              <w:bottom w:w="25" w:type="dxa"/>
              <w:right w:w="28" w:type="dxa"/>
            </w:tcMar>
          </w:tcPr>
          <w:p w14:paraId="5B57C2F3">
            <w:pPr>
              <w:keepNext w:val="0"/>
              <w:keepLines w:val="0"/>
              <w:widowControl/>
              <w:suppressLineNumbers w:val="0"/>
              <w:spacing w:before="0" w:beforeAutospacing="0" w:after="0" w:afterAutospacing="0"/>
              <w:ind w:left="0" w:right="0"/>
              <w:rPr>
                <w:rFonts w:hint="default"/>
              </w:rPr>
            </w:pPr>
          </w:p>
        </w:tc>
        <w:tc>
          <w:tcPr>
            <w:tcW w:w="979" w:type="dxa"/>
            <w:vMerge w:val="continue"/>
            <w:tcMar>
              <w:top w:w="25" w:type="dxa"/>
              <w:left w:w="28" w:type="dxa"/>
              <w:bottom w:w="25" w:type="dxa"/>
              <w:right w:w="28" w:type="dxa"/>
            </w:tcMar>
          </w:tcPr>
          <w:p w14:paraId="2047FEE5">
            <w:pPr>
              <w:keepNext w:val="0"/>
              <w:keepLines w:val="0"/>
              <w:widowControl/>
              <w:suppressLineNumbers w:val="0"/>
              <w:spacing w:before="0" w:beforeAutospacing="0" w:after="0" w:afterAutospacing="0"/>
              <w:ind w:left="0" w:right="0"/>
              <w:rPr>
                <w:rFonts w:hint="default"/>
              </w:rPr>
            </w:pPr>
          </w:p>
        </w:tc>
        <w:tc>
          <w:tcPr>
            <w:tcW w:w="1324" w:type="dxa"/>
            <w:shd w:val="clear" w:color="auto" w:fill="345B9D"/>
            <w:tcMar>
              <w:top w:w="25" w:type="dxa"/>
              <w:left w:w="28" w:type="dxa"/>
              <w:bottom w:w="25" w:type="dxa"/>
              <w:right w:w="28" w:type="dxa"/>
            </w:tcMar>
            <w:vAlign w:val="center"/>
          </w:tcPr>
          <w:p w14:paraId="76B9A7D5">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(95% CI)</w:t>
            </w:r>
          </w:p>
        </w:tc>
        <w:tc>
          <w:tcPr>
            <w:tcW w:w="1699" w:type="dxa"/>
            <w:shd w:val="clear" w:color="auto" w:fill="345B9D"/>
            <w:tcMar>
              <w:top w:w="25" w:type="dxa"/>
              <w:left w:w="28" w:type="dxa"/>
              <w:bottom w:w="25" w:type="dxa"/>
              <w:right w:w="28" w:type="dxa"/>
            </w:tcMar>
            <w:vAlign w:val="center"/>
          </w:tcPr>
          <w:p w14:paraId="103E0E93">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color w:val="FFFFFF"/>
                <w:sz w:val="14"/>
              </w:rPr>
              <w:t>(95% CI)</w:t>
            </w:r>
          </w:p>
        </w:tc>
        <w:tc>
          <w:tcPr>
            <w:tcW w:w="1281" w:type="dxa"/>
            <w:vMerge w:val="continue"/>
            <w:tcMar>
              <w:top w:w="25" w:type="dxa"/>
              <w:left w:w="28" w:type="dxa"/>
              <w:bottom w:w="25" w:type="dxa"/>
              <w:right w:w="28" w:type="dxa"/>
            </w:tcMar>
          </w:tcPr>
          <w:p w14:paraId="07117FBF">
            <w:pPr>
              <w:keepNext w:val="0"/>
              <w:keepLines w:val="0"/>
              <w:widowControl/>
              <w:suppressLineNumbers w:val="0"/>
              <w:spacing w:before="0" w:beforeAutospacing="0" w:after="0" w:afterAutospacing="0"/>
              <w:ind w:left="0" w:right="0"/>
              <w:rPr>
                <w:rFonts w:hint="default"/>
              </w:rPr>
            </w:pPr>
          </w:p>
        </w:tc>
      </w:tr>
      <w:tr w14:paraId="5DAEC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08" w:hRule="atLeast"/>
        </w:trPr>
        <w:tc>
          <w:tcPr>
            <w:tcW w:w="1224" w:type="dxa"/>
            <w:tcMar>
              <w:top w:w="25" w:type="dxa"/>
              <w:left w:w="28" w:type="dxa"/>
              <w:bottom w:w="25" w:type="dxa"/>
              <w:right w:w="28" w:type="dxa"/>
            </w:tcMar>
            <w:vAlign w:val="center"/>
          </w:tcPr>
          <w:p w14:paraId="10A75FDD">
            <w:pPr>
              <w:keepNext w:val="0"/>
              <w:keepLines w:val="0"/>
              <w:widowControl/>
              <w:suppressLineNumbers w:val="0"/>
              <w:spacing w:before="0" w:beforeAutospacing="0" w:after="0" w:afterAutospacing="0" w:line="240" w:lineRule="auto"/>
              <w:ind w:left="0" w:right="0"/>
              <w:jc w:val="left"/>
              <w:rPr>
                <w:rFonts w:hint="default"/>
              </w:rPr>
            </w:pPr>
            <w:r>
              <w:rPr>
                <w:rFonts w:hint="default" w:ascii="Times New Roman" w:hAnsi="Times New Roman" w:eastAsia="Times New Roman"/>
                <w:b w:val="0"/>
                <w:color w:val="000000"/>
                <w:sz w:val="13"/>
              </w:rPr>
              <w:t>All-cause mortality</w:t>
            </w:r>
          </w:p>
        </w:tc>
        <w:tc>
          <w:tcPr>
            <w:tcW w:w="792" w:type="dxa"/>
            <w:tcMar>
              <w:top w:w="25" w:type="dxa"/>
              <w:left w:w="28" w:type="dxa"/>
              <w:bottom w:w="25" w:type="dxa"/>
              <w:right w:w="28" w:type="dxa"/>
            </w:tcMar>
            <w:vAlign w:val="center"/>
          </w:tcPr>
          <w:p w14:paraId="1AC0EB54">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3</w:t>
            </w:r>
          </w:p>
        </w:tc>
        <w:tc>
          <w:tcPr>
            <w:tcW w:w="1512" w:type="dxa"/>
            <w:tcMar>
              <w:top w:w="25" w:type="dxa"/>
              <w:left w:w="28" w:type="dxa"/>
              <w:bottom w:w="25" w:type="dxa"/>
              <w:right w:w="28" w:type="dxa"/>
            </w:tcMar>
            <w:vAlign w:val="center"/>
          </w:tcPr>
          <w:p w14:paraId="05030EDE">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non-randomised</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studies</w:t>
            </w:r>
          </w:p>
        </w:tc>
        <w:tc>
          <w:tcPr>
            <w:tcW w:w="1036" w:type="dxa"/>
            <w:tcMar>
              <w:top w:w="25" w:type="dxa"/>
              <w:left w:w="28" w:type="dxa"/>
              <w:bottom w:w="25" w:type="dxa"/>
              <w:right w:w="28" w:type="dxa"/>
            </w:tcMar>
            <w:vAlign w:val="center"/>
          </w:tcPr>
          <w:p w14:paraId="69B8008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seriousᵃ</w:t>
            </w:r>
          </w:p>
        </w:tc>
        <w:tc>
          <w:tcPr>
            <w:tcW w:w="1324" w:type="dxa"/>
            <w:tcMar>
              <w:top w:w="25" w:type="dxa"/>
              <w:left w:w="28" w:type="dxa"/>
              <w:bottom w:w="25" w:type="dxa"/>
              <w:right w:w="28" w:type="dxa"/>
            </w:tcMar>
            <w:vAlign w:val="center"/>
          </w:tcPr>
          <w:p w14:paraId="3F94A32C">
            <w:pPr>
              <w:keepNext w:val="0"/>
              <w:keepLines w:val="0"/>
              <w:widowControl/>
              <w:suppressLineNumbers w:val="0"/>
              <w:spacing w:before="0" w:beforeAutospacing="0" w:after="0" w:afterAutospacing="0" w:line="240" w:lineRule="auto"/>
              <w:ind w:left="0" w:right="0"/>
              <w:jc w:val="center"/>
              <w:rPr>
                <w:rFonts w:hint="eastAsia" w:eastAsia="宋体"/>
                <w:lang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c</w:t>
            </w:r>
          </w:p>
        </w:tc>
        <w:tc>
          <w:tcPr>
            <w:tcW w:w="1123" w:type="dxa"/>
            <w:tcMar>
              <w:top w:w="25" w:type="dxa"/>
              <w:left w:w="28" w:type="dxa"/>
              <w:bottom w:w="25" w:type="dxa"/>
              <w:right w:w="28" w:type="dxa"/>
            </w:tcMar>
            <w:vAlign w:val="center"/>
          </w:tcPr>
          <w:p w14:paraId="4F8BAC0F">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123" w:type="dxa"/>
            <w:tcMar>
              <w:top w:w="25" w:type="dxa"/>
              <w:left w:w="28" w:type="dxa"/>
              <w:bottom w:w="25" w:type="dxa"/>
              <w:right w:w="28" w:type="dxa"/>
            </w:tcMar>
            <w:vAlign w:val="center"/>
          </w:tcPr>
          <w:p w14:paraId="1EA2A793">
            <w:pPr>
              <w:keepNext w:val="0"/>
              <w:keepLines w:val="0"/>
              <w:widowControl/>
              <w:suppressLineNumbers w:val="0"/>
              <w:spacing w:before="0" w:beforeAutospacing="0" w:after="0" w:afterAutospacing="0" w:line="240" w:lineRule="auto"/>
              <w:ind w:left="0" w:right="0"/>
              <w:jc w:val="center"/>
              <w:rPr>
                <w:rFonts w:hint="eastAsia" w:eastAsia="宋体"/>
                <w:lang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d</w:t>
            </w:r>
          </w:p>
        </w:tc>
        <w:tc>
          <w:tcPr>
            <w:tcW w:w="1267" w:type="dxa"/>
            <w:tcMar>
              <w:top w:w="25" w:type="dxa"/>
              <w:left w:w="28" w:type="dxa"/>
              <w:bottom w:w="25" w:type="dxa"/>
              <w:right w:w="28" w:type="dxa"/>
            </w:tcMar>
            <w:vAlign w:val="center"/>
          </w:tcPr>
          <w:p w14:paraId="182767F8">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assessed</w:t>
            </w:r>
          </w:p>
        </w:tc>
        <w:tc>
          <w:tcPr>
            <w:tcW w:w="1267" w:type="dxa"/>
            <w:tcMar>
              <w:top w:w="25" w:type="dxa"/>
              <w:left w:w="28" w:type="dxa"/>
              <w:bottom w:w="25" w:type="dxa"/>
              <w:right w:w="28" w:type="dxa"/>
            </w:tcMar>
            <w:vAlign w:val="center"/>
          </w:tcPr>
          <w:p w14:paraId="1137A925">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none</w:t>
            </w:r>
          </w:p>
        </w:tc>
        <w:tc>
          <w:tcPr>
            <w:tcW w:w="979" w:type="dxa"/>
            <w:tcMar>
              <w:top w:w="25" w:type="dxa"/>
              <w:left w:w="28" w:type="dxa"/>
              <w:bottom w:w="25" w:type="dxa"/>
              <w:right w:w="28" w:type="dxa"/>
            </w:tcMar>
            <w:vAlign w:val="center"/>
          </w:tcPr>
          <w:p w14:paraId="46342C4A">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98,050</w:t>
            </w:r>
          </w:p>
        </w:tc>
        <w:tc>
          <w:tcPr>
            <w:tcW w:w="1324" w:type="dxa"/>
            <w:tcMar>
              <w:top w:w="25" w:type="dxa"/>
              <w:left w:w="28" w:type="dxa"/>
              <w:bottom w:w="25" w:type="dxa"/>
              <w:right w:w="28" w:type="dxa"/>
            </w:tcMar>
            <w:vAlign w:val="center"/>
          </w:tcPr>
          <w:p w14:paraId="06D8F09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HR 0.80</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(0.</w:t>
            </w:r>
            <w:r>
              <w:rPr>
                <w:rFonts w:hint="eastAsia" w:eastAsia="宋体"/>
                <w:b w:val="0"/>
                <w:color w:val="000000"/>
                <w:sz w:val="13"/>
                <w:lang w:val="en-US" w:eastAsia="zh-CN"/>
              </w:rPr>
              <w:t>53</w:t>
            </w:r>
            <w:r>
              <w:rPr>
                <w:rFonts w:hint="default" w:ascii="Times New Roman" w:hAnsi="Times New Roman" w:eastAsia="Times New Roman"/>
                <w:b w:val="0"/>
                <w:color w:val="000000"/>
                <w:sz w:val="13"/>
              </w:rPr>
              <w:t xml:space="preserve"> to </w:t>
            </w:r>
            <w:r>
              <w:rPr>
                <w:rFonts w:hint="eastAsia" w:eastAsia="宋体"/>
                <w:b w:val="0"/>
                <w:color w:val="000000"/>
                <w:sz w:val="13"/>
                <w:lang w:val="en-US" w:eastAsia="zh-CN"/>
              </w:rPr>
              <w:t>1.21</w:t>
            </w:r>
            <w:r>
              <w:rPr>
                <w:rFonts w:hint="default" w:ascii="Times New Roman" w:hAnsi="Times New Roman" w:eastAsia="Times New Roman"/>
                <w:b w:val="0"/>
                <w:color w:val="000000"/>
                <w:sz w:val="13"/>
              </w:rPr>
              <w:t>)</w:t>
            </w:r>
          </w:p>
        </w:tc>
        <w:tc>
          <w:tcPr>
            <w:tcW w:w="1699" w:type="dxa"/>
            <w:tcMar>
              <w:top w:w="25" w:type="dxa"/>
              <w:left w:w="28" w:type="dxa"/>
              <w:bottom w:w="25" w:type="dxa"/>
              <w:right w:w="28" w:type="dxa"/>
            </w:tcMar>
            <w:vAlign w:val="center"/>
          </w:tcPr>
          <w:p w14:paraId="06D0C339">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b w:val="0"/>
                <w:sz w:val="16"/>
              </w:rPr>
              <w:t>Not estimable</w:t>
            </w:r>
            <w:r>
              <w:rPr>
                <w:rFonts w:hint="eastAsia"/>
                <w:b w:val="0"/>
                <w:sz w:val="16"/>
                <w:vertAlign w:val="superscript"/>
                <w:lang w:val="en-US" w:eastAsia="zh-CN"/>
              </w:rPr>
              <w:t>g</w:t>
            </w:r>
          </w:p>
        </w:tc>
        <w:tc>
          <w:tcPr>
            <w:tcW w:w="1281" w:type="dxa"/>
            <w:tcMar>
              <w:top w:w="25" w:type="dxa"/>
              <w:left w:w="28" w:type="dxa"/>
              <w:bottom w:w="25" w:type="dxa"/>
              <w:right w:w="28" w:type="dxa"/>
            </w:tcMar>
            <w:vAlign w:val="center"/>
          </w:tcPr>
          <w:p w14:paraId="3756E20E">
            <w:pPr>
              <w:keepNext w:val="0"/>
              <w:keepLines w:val="0"/>
              <w:widowControl/>
              <w:suppressLineNumbers w:val="0"/>
              <w:spacing w:before="0" w:beforeAutospacing="0" w:after="0" w:afterAutospacing="0" w:line="240" w:lineRule="auto"/>
              <w:ind w:left="0" w:right="0"/>
              <w:jc w:val="center"/>
              <w:rPr>
                <w:rFonts w:hint="default"/>
              </w:rPr>
            </w:pPr>
            <w:r>
              <w:rPr>
                <w:rFonts w:hint="default" w:ascii="DejaVu Sans" w:hAnsi="DejaVu Sans" w:eastAsia="DejaVu Sans"/>
                <w:b w:val="0"/>
                <w:color w:val="000000"/>
                <w:sz w:val="14"/>
              </w:rPr>
              <w:t>⨁◯◯◯</w:t>
            </w:r>
            <w:r>
              <w:rPr>
                <w:rFonts w:hint="default" w:ascii="DejaVu Sans" w:hAnsi="DejaVu Sans" w:eastAsia="DejaVu Sans"/>
                <w:b w:val="0"/>
                <w:color w:val="000000"/>
                <w:sz w:val="14"/>
              </w:rPr>
              <w:br w:type="textWrapping"/>
            </w:r>
            <w:r>
              <w:rPr>
                <w:rFonts w:hint="default" w:ascii="DejaVu Sans" w:hAnsi="DejaVu Sans" w:eastAsia="DejaVu Sans"/>
                <w:b w:val="0"/>
                <w:color w:val="000000"/>
                <w:sz w:val="14"/>
              </w:rPr>
              <w:t>Very low</w:t>
            </w:r>
          </w:p>
        </w:tc>
      </w:tr>
      <w:tr w14:paraId="3D1BC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08" w:hRule="atLeast"/>
        </w:trPr>
        <w:tc>
          <w:tcPr>
            <w:tcW w:w="1224" w:type="dxa"/>
            <w:tcMar>
              <w:top w:w="25" w:type="dxa"/>
              <w:left w:w="28" w:type="dxa"/>
              <w:bottom w:w="25" w:type="dxa"/>
              <w:right w:w="28" w:type="dxa"/>
            </w:tcMar>
            <w:vAlign w:val="center"/>
          </w:tcPr>
          <w:p w14:paraId="6810C428">
            <w:pPr>
              <w:keepNext w:val="0"/>
              <w:keepLines w:val="0"/>
              <w:widowControl/>
              <w:suppressLineNumbers w:val="0"/>
              <w:spacing w:before="0" w:beforeAutospacing="0" w:after="0" w:afterAutospacing="0" w:line="240" w:lineRule="auto"/>
              <w:ind w:left="0" w:right="0"/>
              <w:jc w:val="left"/>
              <w:rPr>
                <w:rFonts w:hint="default"/>
              </w:rPr>
            </w:pPr>
            <w:r>
              <w:rPr>
                <w:rFonts w:hint="default" w:ascii="Times New Roman" w:hAnsi="Times New Roman" w:eastAsia="Times New Roman"/>
                <w:b w:val="0"/>
                <w:color w:val="000000"/>
                <w:sz w:val="13"/>
              </w:rPr>
              <w:t>Cardiovascular events</w:t>
            </w:r>
          </w:p>
        </w:tc>
        <w:tc>
          <w:tcPr>
            <w:tcW w:w="792" w:type="dxa"/>
            <w:tcMar>
              <w:top w:w="25" w:type="dxa"/>
              <w:left w:w="28" w:type="dxa"/>
              <w:bottom w:w="25" w:type="dxa"/>
              <w:right w:w="28" w:type="dxa"/>
            </w:tcMar>
            <w:vAlign w:val="center"/>
          </w:tcPr>
          <w:p w14:paraId="5B023BA5">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5</w:t>
            </w:r>
          </w:p>
        </w:tc>
        <w:tc>
          <w:tcPr>
            <w:tcW w:w="1512" w:type="dxa"/>
            <w:tcMar>
              <w:top w:w="25" w:type="dxa"/>
              <w:left w:w="28" w:type="dxa"/>
              <w:bottom w:w="25" w:type="dxa"/>
              <w:right w:w="28" w:type="dxa"/>
            </w:tcMar>
            <w:vAlign w:val="center"/>
          </w:tcPr>
          <w:p w14:paraId="32D09CA3">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non-randomised</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studies</w:t>
            </w:r>
          </w:p>
        </w:tc>
        <w:tc>
          <w:tcPr>
            <w:tcW w:w="1036" w:type="dxa"/>
            <w:tcMar>
              <w:top w:w="25" w:type="dxa"/>
              <w:left w:w="28" w:type="dxa"/>
              <w:bottom w:w="25" w:type="dxa"/>
              <w:right w:w="28" w:type="dxa"/>
            </w:tcMar>
            <w:vAlign w:val="center"/>
          </w:tcPr>
          <w:p w14:paraId="123A2713">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seriousᵃ</w:t>
            </w:r>
          </w:p>
        </w:tc>
        <w:tc>
          <w:tcPr>
            <w:tcW w:w="1324" w:type="dxa"/>
            <w:tcMar>
              <w:top w:w="25" w:type="dxa"/>
              <w:left w:w="28" w:type="dxa"/>
              <w:bottom w:w="25" w:type="dxa"/>
              <w:right w:w="28" w:type="dxa"/>
            </w:tcMar>
            <w:vAlign w:val="center"/>
          </w:tcPr>
          <w:p w14:paraId="51EE343B">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123" w:type="dxa"/>
            <w:tcMar>
              <w:top w:w="25" w:type="dxa"/>
              <w:left w:w="28" w:type="dxa"/>
              <w:bottom w:w="25" w:type="dxa"/>
              <w:right w:w="28" w:type="dxa"/>
            </w:tcMar>
            <w:vAlign w:val="center"/>
          </w:tcPr>
          <w:p w14:paraId="528378BB">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123" w:type="dxa"/>
            <w:tcMar>
              <w:top w:w="25" w:type="dxa"/>
              <w:left w:w="28" w:type="dxa"/>
              <w:bottom w:w="25" w:type="dxa"/>
              <w:right w:w="28" w:type="dxa"/>
            </w:tcMar>
            <w:vAlign w:val="center"/>
          </w:tcPr>
          <w:p w14:paraId="5516C2EE">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267" w:type="dxa"/>
            <w:tcMar>
              <w:top w:w="25" w:type="dxa"/>
              <w:left w:w="28" w:type="dxa"/>
              <w:bottom w:w="25" w:type="dxa"/>
              <w:right w:w="28" w:type="dxa"/>
            </w:tcMar>
            <w:vAlign w:val="center"/>
          </w:tcPr>
          <w:p w14:paraId="1A521A48">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assessed</w:t>
            </w:r>
          </w:p>
        </w:tc>
        <w:tc>
          <w:tcPr>
            <w:tcW w:w="1267" w:type="dxa"/>
            <w:tcMar>
              <w:top w:w="25" w:type="dxa"/>
              <w:left w:w="28" w:type="dxa"/>
              <w:bottom w:w="25" w:type="dxa"/>
              <w:right w:w="28" w:type="dxa"/>
            </w:tcMar>
            <w:vAlign w:val="center"/>
          </w:tcPr>
          <w:p w14:paraId="0E000607">
            <w:pPr>
              <w:keepNext w:val="0"/>
              <w:keepLines w:val="0"/>
              <w:widowControl/>
              <w:suppressLineNumbers w:val="0"/>
              <w:spacing w:before="0" w:beforeAutospacing="0" w:after="0" w:afterAutospacing="0" w:line="240" w:lineRule="auto"/>
              <w:ind w:left="0" w:right="0"/>
              <w:jc w:val="center"/>
              <w:rPr>
                <w:rFonts w:hint="default" w:eastAsia="等线"/>
                <w:lang w:val="en-US" w:eastAsia="zh-CN"/>
              </w:rPr>
            </w:pPr>
            <w:r>
              <w:rPr>
                <w:rFonts w:hint="default" w:ascii="Times New Roman" w:hAnsi="Times New Roman" w:eastAsia="Times New Roman"/>
                <w:b w:val="0"/>
                <w:color w:val="000000"/>
                <w:sz w:val="13"/>
              </w:rPr>
              <w:t>none</w:t>
            </w:r>
          </w:p>
        </w:tc>
        <w:tc>
          <w:tcPr>
            <w:tcW w:w="979" w:type="dxa"/>
            <w:tcMar>
              <w:top w:w="25" w:type="dxa"/>
              <w:left w:w="28" w:type="dxa"/>
              <w:bottom w:w="25" w:type="dxa"/>
              <w:right w:w="28" w:type="dxa"/>
            </w:tcMar>
            <w:vAlign w:val="center"/>
          </w:tcPr>
          <w:p w14:paraId="414BDEEF">
            <w:pPr>
              <w:keepNext w:val="0"/>
              <w:keepLines w:val="0"/>
              <w:widowControl/>
              <w:suppressLineNumbers w:val="0"/>
              <w:spacing w:before="0" w:beforeAutospacing="0" w:after="0" w:afterAutospacing="0" w:line="240" w:lineRule="auto"/>
              <w:ind w:left="0" w:right="0"/>
              <w:jc w:val="center"/>
              <w:rPr>
                <w:rFonts w:hint="default" w:eastAsia="等线"/>
                <w:lang w:val="en-US" w:eastAsia="zh-CN"/>
              </w:rPr>
            </w:pPr>
            <w:r>
              <w:rPr>
                <w:rFonts w:hint="eastAsia" w:eastAsia="宋体"/>
                <w:b w:val="0"/>
                <w:color w:val="000000"/>
                <w:sz w:val="13"/>
                <w:lang w:val="en-US" w:eastAsia="zh-CN"/>
              </w:rPr>
              <w:t>96,400</w:t>
            </w:r>
          </w:p>
        </w:tc>
        <w:tc>
          <w:tcPr>
            <w:tcW w:w="1324" w:type="dxa"/>
            <w:tcMar>
              <w:top w:w="25" w:type="dxa"/>
              <w:left w:w="28" w:type="dxa"/>
              <w:bottom w:w="25" w:type="dxa"/>
              <w:right w:w="28" w:type="dxa"/>
            </w:tcMar>
            <w:vAlign w:val="center"/>
          </w:tcPr>
          <w:p w14:paraId="1D24A847">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HR 0.6</w:t>
            </w:r>
            <w:r>
              <w:rPr>
                <w:rFonts w:hint="eastAsia" w:eastAsia="宋体"/>
                <w:b w:val="0"/>
                <w:color w:val="000000"/>
                <w:sz w:val="13"/>
                <w:lang w:val="en-US" w:eastAsia="zh-CN"/>
              </w:rPr>
              <w:t>8</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(0.</w:t>
            </w:r>
            <w:r>
              <w:rPr>
                <w:rFonts w:hint="eastAsia" w:eastAsia="宋体"/>
                <w:b w:val="0"/>
                <w:color w:val="000000"/>
                <w:sz w:val="13"/>
                <w:lang w:val="en-US" w:eastAsia="zh-CN"/>
              </w:rPr>
              <w:t>59</w:t>
            </w:r>
            <w:r>
              <w:rPr>
                <w:rFonts w:hint="default" w:ascii="Times New Roman" w:hAnsi="Times New Roman" w:eastAsia="Times New Roman"/>
                <w:b w:val="0"/>
                <w:color w:val="000000"/>
                <w:sz w:val="13"/>
              </w:rPr>
              <w:t xml:space="preserve"> to 0.</w:t>
            </w:r>
            <w:r>
              <w:rPr>
                <w:rFonts w:hint="eastAsia" w:eastAsia="宋体"/>
                <w:b w:val="0"/>
                <w:color w:val="000000"/>
                <w:sz w:val="13"/>
                <w:lang w:val="en-US" w:eastAsia="zh-CN"/>
              </w:rPr>
              <w:t>80</w:t>
            </w:r>
            <w:r>
              <w:rPr>
                <w:rFonts w:hint="default" w:ascii="Times New Roman" w:hAnsi="Times New Roman" w:eastAsia="Times New Roman"/>
                <w:b w:val="0"/>
                <w:color w:val="000000"/>
                <w:sz w:val="13"/>
              </w:rPr>
              <w:t>)</w:t>
            </w:r>
          </w:p>
        </w:tc>
        <w:tc>
          <w:tcPr>
            <w:tcW w:w="1699" w:type="dxa"/>
            <w:tcMar>
              <w:top w:w="25" w:type="dxa"/>
              <w:left w:w="28" w:type="dxa"/>
              <w:bottom w:w="25" w:type="dxa"/>
              <w:right w:w="28" w:type="dxa"/>
            </w:tcMar>
            <w:vAlign w:val="center"/>
          </w:tcPr>
          <w:p w14:paraId="5500A342">
            <w:pPr>
              <w:keepNext w:val="0"/>
              <w:keepLines w:val="0"/>
              <w:widowControl/>
              <w:suppressLineNumbers w:val="0"/>
              <w:spacing w:before="0" w:beforeAutospacing="0" w:after="0" w:afterAutospacing="0" w:line="240" w:lineRule="auto"/>
              <w:ind w:left="0" w:right="0"/>
              <w:jc w:val="center"/>
              <w:rPr>
                <w:rFonts w:hint="eastAsia" w:eastAsia="等线"/>
                <w:lang w:val="en-US" w:eastAsia="zh-CN"/>
              </w:rPr>
            </w:pPr>
            <w:r>
              <w:rPr>
                <w:rFonts w:hint="default" w:ascii="Times New Roman" w:hAnsi="Times New Roman"/>
                <w:b w:val="0"/>
                <w:sz w:val="16"/>
              </w:rPr>
              <w:t>Not estimable</w:t>
            </w:r>
            <w:r>
              <w:rPr>
                <w:rFonts w:hint="eastAsia"/>
                <w:b w:val="0"/>
                <w:sz w:val="16"/>
                <w:vertAlign w:val="superscript"/>
                <w:lang w:val="en-US" w:eastAsia="zh-CN"/>
              </w:rPr>
              <w:t>g</w:t>
            </w:r>
          </w:p>
        </w:tc>
        <w:tc>
          <w:tcPr>
            <w:tcW w:w="1281" w:type="dxa"/>
            <w:tcMar>
              <w:top w:w="25" w:type="dxa"/>
              <w:left w:w="28" w:type="dxa"/>
              <w:bottom w:w="25" w:type="dxa"/>
              <w:right w:w="28" w:type="dxa"/>
            </w:tcMar>
            <w:vAlign w:val="center"/>
          </w:tcPr>
          <w:p w14:paraId="43C4945B">
            <w:pPr>
              <w:keepNext w:val="0"/>
              <w:keepLines w:val="0"/>
              <w:widowControl/>
              <w:suppressLineNumbers w:val="0"/>
              <w:spacing w:before="0" w:beforeAutospacing="0" w:after="0" w:afterAutospacing="0" w:line="240" w:lineRule="auto"/>
              <w:ind w:left="0" w:right="0"/>
              <w:jc w:val="center"/>
              <w:rPr>
                <w:rFonts w:hint="default" w:eastAsia="等线"/>
                <w:lang w:val="en-US" w:eastAsia="zh-CN"/>
              </w:rPr>
            </w:pPr>
            <w:r>
              <w:rPr>
                <w:rFonts w:hint="default" w:ascii="Times New Roman" w:hAnsi="Times New Roman"/>
                <w:b w:val="0"/>
                <w:sz w:val="16"/>
              </w:rPr>
              <w:t>⨁⨁◯◯</w:t>
            </w:r>
            <w:r>
              <w:rPr>
                <w:rFonts w:hint="default" w:ascii="Times New Roman" w:hAnsi="Times New Roman"/>
                <w:b w:val="0"/>
                <w:sz w:val="16"/>
              </w:rPr>
              <w:br w:type="textWrapping"/>
            </w:r>
            <w:r>
              <w:rPr>
                <w:rFonts w:hint="eastAsia"/>
                <w:b w:val="0"/>
                <w:sz w:val="16"/>
                <w:lang w:val="en-US" w:eastAsia="zh-CN"/>
              </w:rPr>
              <w:t>Low</w:t>
            </w:r>
          </w:p>
        </w:tc>
      </w:tr>
      <w:tr w14:paraId="15746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08" w:hRule="atLeast"/>
        </w:trPr>
        <w:tc>
          <w:tcPr>
            <w:tcW w:w="1224" w:type="dxa"/>
            <w:tcMar>
              <w:top w:w="25" w:type="dxa"/>
              <w:left w:w="28" w:type="dxa"/>
              <w:bottom w:w="25" w:type="dxa"/>
              <w:right w:w="28" w:type="dxa"/>
            </w:tcMar>
            <w:vAlign w:val="center"/>
          </w:tcPr>
          <w:p w14:paraId="1C9965D9">
            <w:pPr>
              <w:keepNext w:val="0"/>
              <w:keepLines w:val="0"/>
              <w:widowControl/>
              <w:suppressLineNumbers w:val="0"/>
              <w:spacing w:before="0" w:beforeAutospacing="0" w:after="0" w:afterAutospacing="0" w:line="240" w:lineRule="auto"/>
              <w:ind w:left="0" w:right="0"/>
              <w:jc w:val="left"/>
              <w:rPr>
                <w:rFonts w:hint="default"/>
              </w:rPr>
            </w:pPr>
            <w:r>
              <w:rPr>
                <w:rFonts w:hint="default" w:ascii="Times New Roman" w:hAnsi="Times New Roman" w:eastAsia="Times New Roman"/>
                <w:b w:val="0"/>
                <w:color w:val="000000"/>
                <w:sz w:val="13"/>
              </w:rPr>
              <w:t>Microvascular complications</w:t>
            </w:r>
          </w:p>
        </w:tc>
        <w:tc>
          <w:tcPr>
            <w:tcW w:w="792" w:type="dxa"/>
            <w:tcMar>
              <w:top w:w="25" w:type="dxa"/>
              <w:left w:w="28" w:type="dxa"/>
              <w:bottom w:w="25" w:type="dxa"/>
              <w:right w:w="28" w:type="dxa"/>
            </w:tcMar>
            <w:vAlign w:val="center"/>
          </w:tcPr>
          <w:p w14:paraId="0F7AD2BF">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5</w:t>
            </w:r>
          </w:p>
        </w:tc>
        <w:tc>
          <w:tcPr>
            <w:tcW w:w="1512" w:type="dxa"/>
            <w:tcMar>
              <w:top w:w="25" w:type="dxa"/>
              <w:left w:w="28" w:type="dxa"/>
              <w:bottom w:w="25" w:type="dxa"/>
              <w:right w:w="28" w:type="dxa"/>
            </w:tcMar>
            <w:vAlign w:val="center"/>
          </w:tcPr>
          <w:p w14:paraId="1717D0F8">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non-randomised</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studies</w:t>
            </w:r>
          </w:p>
        </w:tc>
        <w:tc>
          <w:tcPr>
            <w:tcW w:w="1036" w:type="dxa"/>
            <w:tcMar>
              <w:top w:w="25" w:type="dxa"/>
              <w:left w:w="28" w:type="dxa"/>
              <w:bottom w:w="25" w:type="dxa"/>
              <w:right w:w="28" w:type="dxa"/>
            </w:tcMar>
            <w:vAlign w:val="center"/>
          </w:tcPr>
          <w:p w14:paraId="7DAE3201">
            <w:pPr>
              <w:keepNext w:val="0"/>
              <w:keepLines w:val="0"/>
              <w:widowControl/>
              <w:suppressLineNumbers w:val="0"/>
              <w:spacing w:before="0" w:beforeAutospacing="0" w:after="0" w:afterAutospacing="0" w:line="240" w:lineRule="auto"/>
              <w:ind w:left="0" w:right="0"/>
              <w:jc w:val="center"/>
              <w:rPr>
                <w:rFonts w:hint="eastAsia" w:eastAsia="宋体"/>
                <w:lang w:val="en-US"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b</w:t>
            </w:r>
          </w:p>
        </w:tc>
        <w:tc>
          <w:tcPr>
            <w:tcW w:w="1324" w:type="dxa"/>
            <w:tcMar>
              <w:top w:w="25" w:type="dxa"/>
              <w:left w:w="28" w:type="dxa"/>
              <w:bottom w:w="25" w:type="dxa"/>
              <w:right w:w="28" w:type="dxa"/>
            </w:tcMar>
            <w:vAlign w:val="center"/>
          </w:tcPr>
          <w:p w14:paraId="1DEDF3AD">
            <w:pPr>
              <w:keepNext w:val="0"/>
              <w:keepLines w:val="0"/>
              <w:widowControl/>
              <w:suppressLineNumbers w:val="0"/>
              <w:spacing w:before="0" w:beforeAutospacing="0" w:after="0" w:afterAutospacing="0" w:line="240" w:lineRule="auto"/>
              <w:ind w:left="0" w:right="0"/>
              <w:jc w:val="center"/>
              <w:rPr>
                <w:rFonts w:hint="eastAsia" w:eastAsia="宋体"/>
                <w:lang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e</w:t>
            </w:r>
          </w:p>
        </w:tc>
        <w:tc>
          <w:tcPr>
            <w:tcW w:w="1123" w:type="dxa"/>
            <w:tcMar>
              <w:top w:w="25" w:type="dxa"/>
              <w:left w:w="28" w:type="dxa"/>
              <w:bottom w:w="25" w:type="dxa"/>
              <w:right w:w="28" w:type="dxa"/>
            </w:tcMar>
            <w:vAlign w:val="center"/>
          </w:tcPr>
          <w:p w14:paraId="37F26C8C">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123" w:type="dxa"/>
            <w:tcMar>
              <w:top w:w="25" w:type="dxa"/>
              <w:left w:w="28" w:type="dxa"/>
              <w:bottom w:w="25" w:type="dxa"/>
              <w:right w:w="28" w:type="dxa"/>
            </w:tcMar>
            <w:vAlign w:val="center"/>
          </w:tcPr>
          <w:p w14:paraId="6F6B346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267" w:type="dxa"/>
            <w:tcMar>
              <w:top w:w="25" w:type="dxa"/>
              <w:left w:w="28" w:type="dxa"/>
              <w:bottom w:w="25" w:type="dxa"/>
              <w:right w:w="28" w:type="dxa"/>
            </w:tcMar>
            <w:vAlign w:val="center"/>
          </w:tcPr>
          <w:p w14:paraId="31EA80F6">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assessed</w:t>
            </w:r>
          </w:p>
        </w:tc>
        <w:tc>
          <w:tcPr>
            <w:tcW w:w="1267" w:type="dxa"/>
            <w:tcMar>
              <w:top w:w="25" w:type="dxa"/>
              <w:left w:w="28" w:type="dxa"/>
              <w:bottom w:w="25" w:type="dxa"/>
              <w:right w:w="28" w:type="dxa"/>
            </w:tcMar>
            <w:vAlign w:val="center"/>
          </w:tcPr>
          <w:p w14:paraId="55FF659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none</w:t>
            </w:r>
          </w:p>
        </w:tc>
        <w:tc>
          <w:tcPr>
            <w:tcW w:w="979" w:type="dxa"/>
            <w:tcMar>
              <w:top w:w="25" w:type="dxa"/>
              <w:left w:w="28" w:type="dxa"/>
              <w:bottom w:w="25" w:type="dxa"/>
              <w:right w:w="28" w:type="dxa"/>
            </w:tcMar>
            <w:vAlign w:val="center"/>
          </w:tcPr>
          <w:p w14:paraId="7C98AA97">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79,953</w:t>
            </w:r>
          </w:p>
        </w:tc>
        <w:tc>
          <w:tcPr>
            <w:tcW w:w="1324" w:type="dxa"/>
            <w:tcMar>
              <w:top w:w="25" w:type="dxa"/>
              <w:left w:w="28" w:type="dxa"/>
              <w:bottom w:w="25" w:type="dxa"/>
              <w:right w:w="28" w:type="dxa"/>
            </w:tcMar>
            <w:vAlign w:val="center"/>
          </w:tcPr>
          <w:p w14:paraId="6C541A0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HR 0.6</w:t>
            </w:r>
            <w:r>
              <w:rPr>
                <w:rFonts w:hint="eastAsia" w:eastAsia="宋体"/>
                <w:b w:val="0"/>
                <w:color w:val="000000"/>
                <w:sz w:val="13"/>
                <w:lang w:val="en-US" w:eastAsia="zh-CN"/>
              </w:rPr>
              <w:t>0</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(0.</w:t>
            </w:r>
            <w:r>
              <w:rPr>
                <w:rFonts w:hint="eastAsia" w:eastAsia="宋体"/>
                <w:b w:val="0"/>
                <w:color w:val="000000"/>
                <w:sz w:val="13"/>
                <w:lang w:val="en-US" w:eastAsia="zh-CN"/>
              </w:rPr>
              <w:t>3</w:t>
            </w:r>
            <w:r>
              <w:rPr>
                <w:rFonts w:hint="default" w:ascii="Times New Roman" w:hAnsi="Times New Roman" w:eastAsia="Times New Roman"/>
                <w:b w:val="0"/>
                <w:color w:val="000000"/>
                <w:sz w:val="13"/>
              </w:rPr>
              <w:t>8 to 0.</w:t>
            </w:r>
            <w:r>
              <w:rPr>
                <w:rFonts w:hint="eastAsia" w:eastAsia="宋体"/>
                <w:b w:val="0"/>
                <w:color w:val="000000"/>
                <w:sz w:val="13"/>
                <w:lang w:val="en-US" w:eastAsia="zh-CN"/>
              </w:rPr>
              <w:t>93</w:t>
            </w:r>
            <w:r>
              <w:rPr>
                <w:rFonts w:hint="default" w:ascii="Times New Roman" w:hAnsi="Times New Roman" w:eastAsia="Times New Roman"/>
                <w:b w:val="0"/>
                <w:color w:val="000000"/>
                <w:sz w:val="13"/>
              </w:rPr>
              <w:t>)</w:t>
            </w:r>
          </w:p>
        </w:tc>
        <w:tc>
          <w:tcPr>
            <w:tcW w:w="1699" w:type="dxa"/>
            <w:tcMar>
              <w:top w:w="25" w:type="dxa"/>
              <w:left w:w="28" w:type="dxa"/>
              <w:bottom w:w="25" w:type="dxa"/>
              <w:right w:w="28" w:type="dxa"/>
            </w:tcMar>
            <w:vAlign w:val="center"/>
          </w:tcPr>
          <w:p w14:paraId="0029AE1D">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b w:val="0"/>
                <w:sz w:val="16"/>
              </w:rPr>
              <w:t>Not estimable</w:t>
            </w:r>
            <w:r>
              <w:rPr>
                <w:rFonts w:hint="eastAsia"/>
                <w:b w:val="0"/>
                <w:sz w:val="16"/>
                <w:vertAlign w:val="superscript"/>
                <w:lang w:val="en-US" w:eastAsia="zh-CN"/>
              </w:rPr>
              <w:t>g</w:t>
            </w:r>
          </w:p>
        </w:tc>
        <w:tc>
          <w:tcPr>
            <w:tcW w:w="1281" w:type="dxa"/>
            <w:tcMar>
              <w:top w:w="25" w:type="dxa"/>
              <w:left w:w="28" w:type="dxa"/>
              <w:bottom w:w="25" w:type="dxa"/>
              <w:right w:w="28" w:type="dxa"/>
            </w:tcMar>
            <w:vAlign w:val="center"/>
          </w:tcPr>
          <w:p w14:paraId="7702597F">
            <w:pPr>
              <w:keepNext w:val="0"/>
              <w:keepLines w:val="0"/>
              <w:widowControl/>
              <w:suppressLineNumbers w:val="0"/>
              <w:spacing w:before="0" w:beforeAutospacing="0" w:after="0" w:afterAutospacing="0" w:line="240" w:lineRule="auto"/>
              <w:ind w:left="0" w:right="0"/>
              <w:jc w:val="center"/>
              <w:rPr>
                <w:rFonts w:hint="default"/>
              </w:rPr>
            </w:pPr>
            <w:r>
              <w:rPr>
                <w:rFonts w:hint="default" w:ascii="DejaVu Sans" w:hAnsi="DejaVu Sans" w:eastAsia="DejaVu Sans"/>
                <w:b w:val="0"/>
                <w:color w:val="000000"/>
                <w:sz w:val="14"/>
              </w:rPr>
              <w:t>⨁◯◯◯</w:t>
            </w:r>
            <w:r>
              <w:rPr>
                <w:rFonts w:hint="default" w:ascii="DejaVu Sans" w:hAnsi="DejaVu Sans" w:eastAsia="DejaVu Sans"/>
                <w:b w:val="0"/>
                <w:color w:val="000000"/>
                <w:sz w:val="14"/>
              </w:rPr>
              <w:br w:type="textWrapping"/>
            </w:r>
            <w:r>
              <w:rPr>
                <w:rFonts w:hint="default" w:ascii="DejaVu Sans" w:hAnsi="DejaVu Sans" w:eastAsia="DejaVu Sans"/>
                <w:b w:val="0"/>
                <w:color w:val="000000"/>
                <w:sz w:val="14"/>
              </w:rPr>
              <w:t>Very low</w:t>
            </w:r>
          </w:p>
        </w:tc>
      </w:tr>
      <w:tr w14:paraId="45FA7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08" w:hRule="atLeast"/>
        </w:trPr>
        <w:tc>
          <w:tcPr>
            <w:tcW w:w="1224" w:type="dxa"/>
            <w:tcMar>
              <w:top w:w="25" w:type="dxa"/>
              <w:left w:w="28" w:type="dxa"/>
              <w:bottom w:w="25" w:type="dxa"/>
              <w:right w:w="28" w:type="dxa"/>
            </w:tcMar>
            <w:vAlign w:val="center"/>
          </w:tcPr>
          <w:p w14:paraId="0208ADB2">
            <w:pPr>
              <w:keepNext w:val="0"/>
              <w:keepLines w:val="0"/>
              <w:widowControl/>
              <w:suppressLineNumbers w:val="0"/>
              <w:spacing w:before="0" w:beforeAutospacing="0" w:after="0" w:afterAutospacing="0" w:line="240" w:lineRule="auto"/>
              <w:ind w:left="0" w:right="0"/>
              <w:jc w:val="left"/>
              <w:rPr>
                <w:rFonts w:hint="default"/>
              </w:rPr>
            </w:pPr>
            <w:r>
              <w:rPr>
                <w:rFonts w:hint="default" w:ascii="Times New Roman" w:hAnsi="Times New Roman" w:eastAsia="Times New Roman"/>
                <w:b w:val="0"/>
                <w:color w:val="000000"/>
                <w:sz w:val="13"/>
              </w:rPr>
              <w:t>Macrovascular complications</w:t>
            </w:r>
          </w:p>
        </w:tc>
        <w:tc>
          <w:tcPr>
            <w:tcW w:w="792" w:type="dxa"/>
            <w:tcMar>
              <w:top w:w="25" w:type="dxa"/>
              <w:left w:w="28" w:type="dxa"/>
              <w:bottom w:w="25" w:type="dxa"/>
              <w:right w:w="28" w:type="dxa"/>
            </w:tcMar>
            <w:vAlign w:val="center"/>
          </w:tcPr>
          <w:p w14:paraId="3AA1F2F7">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6</w:t>
            </w:r>
          </w:p>
        </w:tc>
        <w:tc>
          <w:tcPr>
            <w:tcW w:w="1512" w:type="dxa"/>
            <w:tcMar>
              <w:top w:w="25" w:type="dxa"/>
              <w:left w:w="28" w:type="dxa"/>
              <w:bottom w:w="25" w:type="dxa"/>
              <w:right w:w="28" w:type="dxa"/>
            </w:tcMar>
            <w:vAlign w:val="center"/>
          </w:tcPr>
          <w:p w14:paraId="13002D7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non-randomised</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studies</w:t>
            </w:r>
          </w:p>
        </w:tc>
        <w:tc>
          <w:tcPr>
            <w:tcW w:w="1036" w:type="dxa"/>
            <w:tcMar>
              <w:top w:w="25" w:type="dxa"/>
              <w:left w:w="28" w:type="dxa"/>
              <w:bottom w:w="25" w:type="dxa"/>
              <w:right w:w="28" w:type="dxa"/>
            </w:tcMar>
            <w:vAlign w:val="center"/>
          </w:tcPr>
          <w:p w14:paraId="6A102422">
            <w:pPr>
              <w:keepNext w:val="0"/>
              <w:keepLines w:val="0"/>
              <w:widowControl/>
              <w:suppressLineNumbers w:val="0"/>
              <w:spacing w:before="0" w:beforeAutospacing="0" w:after="0" w:afterAutospacing="0" w:line="240" w:lineRule="auto"/>
              <w:ind w:left="0" w:right="0"/>
              <w:jc w:val="center"/>
              <w:rPr>
                <w:rFonts w:hint="eastAsia" w:eastAsia="宋体"/>
                <w:lang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b</w:t>
            </w:r>
          </w:p>
        </w:tc>
        <w:tc>
          <w:tcPr>
            <w:tcW w:w="1324" w:type="dxa"/>
            <w:tcMar>
              <w:top w:w="25" w:type="dxa"/>
              <w:left w:w="28" w:type="dxa"/>
              <w:bottom w:w="25" w:type="dxa"/>
              <w:right w:w="28" w:type="dxa"/>
            </w:tcMar>
            <w:vAlign w:val="center"/>
          </w:tcPr>
          <w:p w14:paraId="062EBD86">
            <w:pPr>
              <w:keepNext w:val="0"/>
              <w:keepLines w:val="0"/>
              <w:widowControl/>
              <w:suppressLineNumbers w:val="0"/>
              <w:spacing w:before="0" w:beforeAutospacing="0" w:after="0" w:afterAutospacing="0" w:line="240" w:lineRule="auto"/>
              <w:ind w:left="0" w:right="0"/>
              <w:jc w:val="center"/>
              <w:rPr>
                <w:rFonts w:hint="eastAsia" w:eastAsia="宋体"/>
                <w:lang w:eastAsia="zh-CN"/>
              </w:rPr>
            </w:pPr>
            <w:r>
              <w:rPr>
                <w:rFonts w:hint="default" w:ascii="Times New Roman" w:hAnsi="Times New Roman" w:eastAsia="Times New Roman"/>
                <w:b w:val="0"/>
                <w:color w:val="000000"/>
                <w:sz w:val="13"/>
              </w:rPr>
              <w:t>serious</w:t>
            </w:r>
            <w:r>
              <w:rPr>
                <w:rFonts w:hint="eastAsia" w:eastAsia="宋体"/>
                <w:b w:val="0"/>
                <w:color w:val="000000"/>
                <w:sz w:val="13"/>
                <w:vertAlign w:val="superscript"/>
                <w:lang w:val="en-US" w:eastAsia="zh-CN"/>
              </w:rPr>
              <w:t>f</w:t>
            </w:r>
          </w:p>
        </w:tc>
        <w:tc>
          <w:tcPr>
            <w:tcW w:w="1123" w:type="dxa"/>
            <w:tcMar>
              <w:top w:w="25" w:type="dxa"/>
              <w:left w:w="28" w:type="dxa"/>
              <w:bottom w:w="25" w:type="dxa"/>
              <w:right w:w="28" w:type="dxa"/>
            </w:tcMar>
            <w:vAlign w:val="center"/>
          </w:tcPr>
          <w:p w14:paraId="70286617">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123" w:type="dxa"/>
            <w:tcMar>
              <w:top w:w="25" w:type="dxa"/>
              <w:left w:w="28" w:type="dxa"/>
              <w:bottom w:w="25" w:type="dxa"/>
              <w:right w:w="28" w:type="dxa"/>
            </w:tcMar>
            <w:vAlign w:val="center"/>
          </w:tcPr>
          <w:p w14:paraId="4B38C2C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serious</w:t>
            </w:r>
          </w:p>
        </w:tc>
        <w:tc>
          <w:tcPr>
            <w:tcW w:w="1267" w:type="dxa"/>
            <w:tcMar>
              <w:top w:w="25" w:type="dxa"/>
              <w:left w:w="28" w:type="dxa"/>
              <w:bottom w:w="25" w:type="dxa"/>
              <w:right w:w="28" w:type="dxa"/>
            </w:tcMar>
            <w:vAlign w:val="center"/>
          </w:tcPr>
          <w:p w14:paraId="7138A1B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Not assessed</w:t>
            </w:r>
          </w:p>
        </w:tc>
        <w:tc>
          <w:tcPr>
            <w:tcW w:w="1267" w:type="dxa"/>
            <w:tcMar>
              <w:top w:w="25" w:type="dxa"/>
              <w:left w:w="28" w:type="dxa"/>
              <w:bottom w:w="25" w:type="dxa"/>
              <w:right w:w="28" w:type="dxa"/>
            </w:tcMar>
            <w:vAlign w:val="center"/>
          </w:tcPr>
          <w:p w14:paraId="0CD3830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none</w:t>
            </w:r>
          </w:p>
        </w:tc>
        <w:tc>
          <w:tcPr>
            <w:tcW w:w="979" w:type="dxa"/>
            <w:tcMar>
              <w:top w:w="25" w:type="dxa"/>
              <w:left w:w="28" w:type="dxa"/>
              <w:bottom w:w="25" w:type="dxa"/>
              <w:right w:w="28" w:type="dxa"/>
            </w:tcMar>
            <w:vAlign w:val="center"/>
          </w:tcPr>
          <w:p w14:paraId="1C89E775">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97,461</w:t>
            </w:r>
          </w:p>
        </w:tc>
        <w:tc>
          <w:tcPr>
            <w:tcW w:w="1324" w:type="dxa"/>
            <w:tcMar>
              <w:top w:w="25" w:type="dxa"/>
              <w:left w:w="28" w:type="dxa"/>
              <w:bottom w:w="25" w:type="dxa"/>
              <w:right w:w="28" w:type="dxa"/>
            </w:tcMar>
            <w:vAlign w:val="center"/>
          </w:tcPr>
          <w:p w14:paraId="7F11BF00">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eastAsia="Times New Roman"/>
                <w:b w:val="0"/>
                <w:color w:val="000000"/>
                <w:sz w:val="13"/>
              </w:rPr>
              <w:t>HR 0.74</w:t>
            </w:r>
            <w:r>
              <w:rPr>
                <w:rFonts w:hint="default" w:ascii="Times New Roman" w:hAnsi="Times New Roman" w:eastAsia="Times New Roman"/>
                <w:b w:val="0"/>
                <w:color w:val="000000"/>
                <w:sz w:val="13"/>
              </w:rPr>
              <w:br w:type="textWrapping"/>
            </w:r>
            <w:r>
              <w:rPr>
                <w:rFonts w:hint="default" w:ascii="Times New Roman" w:hAnsi="Times New Roman" w:eastAsia="Times New Roman"/>
                <w:b w:val="0"/>
                <w:color w:val="000000"/>
                <w:sz w:val="13"/>
              </w:rPr>
              <w:t>(0.</w:t>
            </w:r>
            <w:r>
              <w:rPr>
                <w:rFonts w:hint="eastAsia" w:eastAsia="宋体"/>
                <w:b w:val="0"/>
                <w:color w:val="000000"/>
                <w:sz w:val="13"/>
                <w:lang w:val="en-US" w:eastAsia="zh-CN"/>
              </w:rPr>
              <w:t>58</w:t>
            </w:r>
            <w:r>
              <w:rPr>
                <w:rFonts w:hint="default" w:ascii="Times New Roman" w:hAnsi="Times New Roman" w:eastAsia="Times New Roman"/>
                <w:b w:val="0"/>
                <w:color w:val="000000"/>
                <w:sz w:val="13"/>
              </w:rPr>
              <w:t xml:space="preserve"> to 0.</w:t>
            </w:r>
            <w:r>
              <w:rPr>
                <w:rFonts w:hint="eastAsia" w:eastAsia="宋体"/>
                <w:b w:val="0"/>
                <w:color w:val="000000"/>
                <w:sz w:val="13"/>
                <w:lang w:val="en-US" w:eastAsia="zh-CN"/>
              </w:rPr>
              <w:t>93</w:t>
            </w:r>
            <w:r>
              <w:rPr>
                <w:rFonts w:hint="default" w:ascii="Times New Roman" w:hAnsi="Times New Roman" w:eastAsia="Times New Roman"/>
                <w:b w:val="0"/>
                <w:color w:val="000000"/>
                <w:sz w:val="13"/>
              </w:rPr>
              <w:t>)</w:t>
            </w:r>
          </w:p>
        </w:tc>
        <w:tc>
          <w:tcPr>
            <w:tcW w:w="1699" w:type="dxa"/>
            <w:tcMar>
              <w:top w:w="25" w:type="dxa"/>
              <w:left w:w="28" w:type="dxa"/>
              <w:bottom w:w="25" w:type="dxa"/>
              <w:right w:w="28" w:type="dxa"/>
            </w:tcMar>
            <w:vAlign w:val="center"/>
          </w:tcPr>
          <w:p w14:paraId="079CE6B2">
            <w:pPr>
              <w:keepNext w:val="0"/>
              <w:keepLines w:val="0"/>
              <w:widowControl/>
              <w:suppressLineNumbers w:val="0"/>
              <w:spacing w:before="0" w:beforeAutospacing="0" w:after="0" w:afterAutospacing="0" w:line="240" w:lineRule="auto"/>
              <w:ind w:left="0" w:right="0"/>
              <w:jc w:val="center"/>
              <w:rPr>
                <w:rFonts w:hint="default"/>
              </w:rPr>
            </w:pPr>
            <w:r>
              <w:rPr>
                <w:rFonts w:hint="default" w:ascii="Times New Roman" w:hAnsi="Times New Roman"/>
                <w:b w:val="0"/>
                <w:sz w:val="16"/>
              </w:rPr>
              <w:t>Not estimable</w:t>
            </w:r>
            <w:r>
              <w:rPr>
                <w:rFonts w:hint="eastAsia"/>
                <w:b w:val="0"/>
                <w:sz w:val="16"/>
                <w:vertAlign w:val="superscript"/>
                <w:lang w:val="en-US" w:eastAsia="zh-CN"/>
              </w:rPr>
              <w:t>g</w:t>
            </w:r>
          </w:p>
        </w:tc>
        <w:tc>
          <w:tcPr>
            <w:tcW w:w="1281" w:type="dxa"/>
            <w:tcMar>
              <w:top w:w="25" w:type="dxa"/>
              <w:left w:w="28" w:type="dxa"/>
              <w:bottom w:w="25" w:type="dxa"/>
              <w:right w:w="28" w:type="dxa"/>
            </w:tcMar>
            <w:vAlign w:val="center"/>
          </w:tcPr>
          <w:p w14:paraId="726CC1B6">
            <w:pPr>
              <w:keepNext w:val="0"/>
              <w:keepLines w:val="0"/>
              <w:widowControl/>
              <w:suppressLineNumbers w:val="0"/>
              <w:spacing w:before="0" w:beforeAutospacing="0" w:after="0" w:afterAutospacing="0" w:line="240" w:lineRule="auto"/>
              <w:ind w:left="0" w:right="0"/>
              <w:jc w:val="center"/>
              <w:rPr>
                <w:rFonts w:hint="default"/>
              </w:rPr>
            </w:pPr>
            <w:r>
              <w:rPr>
                <w:rFonts w:hint="default" w:ascii="DejaVu Sans" w:hAnsi="DejaVu Sans" w:eastAsia="DejaVu Sans"/>
                <w:b w:val="0"/>
                <w:color w:val="000000"/>
                <w:sz w:val="14"/>
              </w:rPr>
              <w:t>⨁◯◯◯</w:t>
            </w:r>
            <w:r>
              <w:rPr>
                <w:rFonts w:hint="default" w:ascii="DejaVu Sans" w:hAnsi="DejaVu Sans" w:eastAsia="DejaVu Sans"/>
                <w:b w:val="0"/>
                <w:color w:val="000000"/>
                <w:sz w:val="14"/>
              </w:rPr>
              <w:br w:type="textWrapping"/>
            </w:r>
            <w:r>
              <w:rPr>
                <w:rFonts w:hint="default" w:ascii="DejaVu Sans" w:hAnsi="DejaVu Sans" w:eastAsia="DejaVu Sans"/>
                <w:b w:val="0"/>
                <w:color w:val="000000"/>
                <w:sz w:val="14"/>
              </w:rPr>
              <w:t>Very low</w:t>
            </w:r>
          </w:p>
        </w:tc>
      </w:tr>
    </w:tbl>
    <w:p w14:paraId="4C33D82B">
      <w:pPr>
        <w:spacing w:before="40" w:after="0" w:line="240" w:lineRule="auto"/>
      </w:pPr>
      <w:r>
        <w:rPr>
          <w:rFonts w:ascii="Times New Roman" w:hAnsi="Times New Roman" w:eastAsia="Times New Roman"/>
          <w:sz w:val="15"/>
        </w:rPr>
        <w:t>CI, confidence interval; GRADE, Grading of Recommendations Assessment, Development and Evaluation; HR, hazard ratio; NR, not reported.</w:t>
      </w:r>
    </w:p>
    <w:p w14:paraId="500D57EC">
      <w:pPr>
        <w:spacing w:before="20" w:after="20" w:line="240" w:lineRule="auto"/>
        <w:rPr>
          <w:rFonts w:ascii="Times New Roman" w:hAnsi="Times New Roman" w:eastAsia="Times New Roman"/>
          <w:b w:val="0"/>
          <w:sz w:val="15"/>
        </w:rPr>
      </w:pPr>
      <w:r>
        <w:rPr>
          <w:rFonts w:ascii="Times New Roman" w:hAnsi="Times New Roman" w:eastAsia="Times New Roman"/>
          <w:b w:val="0"/>
          <w:sz w:val="15"/>
        </w:rPr>
        <w:t xml:space="preserve">All included studies were observational, so certainty started at low. </w:t>
      </w:r>
      <w:r>
        <w:rPr>
          <w:rFonts w:ascii="Times New Roman" w:hAnsi="Times New Roman" w:eastAsia="Times New Roman"/>
          <w:b/>
          <w:sz w:val="15"/>
        </w:rPr>
        <w:t>High certainty:</w:t>
      </w:r>
      <w:r>
        <w:rPr>
          <w:rFonts w:ascii="Times New Roman" w:hAnsi="Times New Roman" w:eastAsia="Times New Roman"/>
          <w:b w:val="0"/>
          <w:sz w:val="15"/>
        </w:rPr>
        <w:t xml:space="preserve"> the true effect is very likely to be close to the estimate. </w:t>
      </w:r>
      <w:r>
        <w:rPr>
          <w:rFonts w:ascii="Times New Roman" w:hAnsi="Times New Roman" w:eastAsia="Times New Roman"/>
          <w:b/>
          <w:sz w:val="15"/>
        </w:rPr>
        <w:t>Moderate certainty:</w:t>
      </w:r>
      <w:r>
        <w:rPr>
          <w:rFonts w:ascii="Times New Roman" w:hAnsi="Times New Roman" w:eastAsia="Times New Roman"/>
          <w:b w:val="0"/>
          <w:sz w:val="15"/>
        </w:rPr>
        <w:t xml:space="preserve"> the true effect is likely to be close to the estimate, but may be substantially different. </w:t>
      </w:r>
      <w:r>
        <w:rPr>
          <w:rFonts w:ascii="Times New Roman" w:hAnsi="Times New Roman" w:eastAsia="Times New Roman"/>
          <w:b/>
          <w:sz w:val="15"/>
        </w:rPr>
        <w:t>Low certainty:</w:t>
      </w:r>
      <w:r>
        <w:rPr>
          <w:rFonts w:ascii="Times New Roman" w:hAnsi="Times New Roman" w:eastAsia="Times New Roman"/>
          <w:b w:val="0"/>
          <w:sz w:val="15"/>
        </w:rPr>
        <w:t xml:space="preserve"> confidence in the estimate is limited. </w:t>
      </w:r>
      <w:r>
        <w:rPr>
          <w:rFonts w:ascii="Times New Roman" w:hAnsi="Times New Roman" w:eastAsia="Times New Roman"/>
          <w:b/>
          <w:sz w:val="15"/>
        </w:rPr>
        <w:t>Very low certainty:</w:t>
      </w:r>
      <w:r>
        <w:rPr>
          <w:rFonts w:ascii="Times New Roman" w:hAnsi="Times New Roman" w:eastAsia="Times New Roman"/>
          <w:b w:val="0"/>
          <w:sz w:val="15"/>
        </w:rPr>
        <w:t xml:space="preserve"> there is very little confidence in the estimate, and the true effect is likely to be substantially different.</w:t>
      </w:r>
    </w:p>
    <w:p w14:paraId="4C1BDB99">
      <w:pPr>
        <w:spacing w:before="20" w:after="20" w:line="240" w:lineRule="auto"/>
        <w:rPr>
          <w:rFonts w:hint="eastAsia" w:ascii="Times New Roman" w:hAnsi="Times New Roman" w:eastAsia="Times New Roman"/>
          <w:b w:val="0"/>
          <w:sz w:val="15"/>
        </w:rPr>
      </w:pPr>
      <w:r>
        <w:rPr>
          <w:rFonts w:hint="eastAsia" w:ascii="Times New Roman" w:hAnsi="Times New Roman" w:eastAsia="Times New Roman"/>
          <w:b w:val="0"/>
          <w:sz w:val="15"/>
        </w:rPr>
        <w:t>a. No downgrade was applied for risk of bias because included studies used adjusted longitudinal analyses and no major limitations in study design or execution were identified. Residual confounding cannot be completely excluded.</w:t>
      </w:r>
    </w:p>
    <w:p w14:paraId="75972F57">
      <w:pPr>
        <w:spacing w:before="20" w:after="20" w:line="240" w:lineRule="auto"/>
        <w:rPr>
          <w:rFonts w:hint="eastAsia" w:ascii="Times New Roman" w:hAnsi="Times New Roman" w:eastAsia="Times New Roman"/>
          <w:b w:val="0"/>
          <w:sz w:val="15"/>
        </w:rPr>
      </w:pPr>
      <w:r>
        <w:rPr>
          <w:rFonts w:hint="eastAsia" w:eastAsia="宋体"/>
          <w:b w:val="0"/>
          <w:sz w:val="15"/>
          <w:lang w:val="en-US" w:eastAsia="zh-CN"/>
        </w:rPr>
        <w:t>b</w:t>
      </w:r>
      <w:r>
        <w:rPr>
          <w:rFonts w:hint="eastAsia" w:ascii="Times New Roman" w:hAnsi="Times New Roman" w:eastAsia="Times New Roman"/>
          <w:b w:val="0"/>
          <w:sz w:val="15"/>
        </w:rPr>
        <w:t>. Downgraded for serious risk of bias due to differences in remission definitions, outcome ascertainment approaches, and potential residual confounding across studies.</w:t>
      </w:r>
    </w:p>
    <w:p w14:paraId="3BD5F35C">
      <w:pPr>
        <w:spacing w:before="0" w:after="0" w:line="240" w:lineRule="auto"/>
        <w:ind w:left="0" w:firstLine="0"/>
      </w:pPr>
      <w:r>
        <w:rPr>
          <w:rFonts w:hint="eastAsia" w:eastAsia="宋体"/>
          <w:sz w:val="15"/>
          <w:lang w:val="en-US" w:eastAsia="zh-CN"/>
        </w:rPr>
        <w:t>c</w:t>
      </w:r>
      <w:r>
        <w:rPr>
          <w:rFonts w:ascii="Times New Roman" w:hAnsi="Times New Roman" w:eastAsia="Times New Roman"/>
          <w:sz w:val="15"/>
        </w:rPr>
        <w:t xml:space="preserve">. Downgraded one level for serious unexplained inconsistency (I² = </w:t>
      </w:r>
      <w:r>
        <w:rPr>
          <w:rFonts w:hint="eastAsia" w:eastAsia="宋体"/>
          <w:sz w:val="15"/>
          <w:lang w:val="en-US" w:eastAsia="zh-CN"/>
        </w:rPr>
        <w:t>65</w:t>
      </w:r>
      <w:r>
        <w:rPr>
          <w:rFonts w:ascii="Times New Roman" w:hAnsi="Times New Roman" w:eastAsia="Times New Roman"/>
          <w:sz w:val="15"/>
        </w:rPr>
        <w:t>%).</w:t>
      </w:r>
    </w:p>
    <w:p w14:paraId="24964A2C">
      <w:pPr>
        <w:spacing w:before="0" w:after="0" w:line="240" w:lineRule="auto"/>
        <w:ind w:left="0" w:firstLine="0"/>
      </w:pPr>
      <w:r>
        <w:rPr>
          <w:rFonts w:hint="eastAsia" w:eastAsia="宋体"/>
          <w:sz w:val="15"/>
          <w:lang w:val="en-US" w:eastAsia="zh-CN"/>
        </w:rPr>
        <w:t>d</w:t>
      </w:r>
      <w:r>
        <w:rPr>
          <w:rFonts w:ascii="Times New Roman" w:hAnsi="Times New Roman" w:eastAsia="Times New Roman"/>
          <w:sz w:val="15"/>
        </w:rPr>
        <w:t>. Downgraded one level for serious imprecision because the 95% CI ranged from a clinically important reduction to a trivial effect close to the null (HR 0.</w:t>
      </w:r>
      <w:r>
        <w:rPr>
          <w:rFonts w:hint="eastAsia" w:eastAsia="宋体"/>
          <w:sz w:val="15"/>
          <w:lang w:val="en-US" w:eastAsia="zh-CN"/>
        </w:rPr>
        <w:t>53</w:t>
      </w:r>
      <w:r>
        <w:rPr>
          <w:rFonts w:ascii="Times New Roman" w:hAnsi="Times New Roman" w:eastAsia="Times New Roman"/>
          <w:sz w:val="15"/>
        </w:rPr>
        <w:t xml:space="preserve">to </w:t>
      </w:r>
      <w:r>
        <w:rPr>
          <w:rFonts w:hint="eastAsia" w:eastAsia="宋体"/>
          <w:sz w:val="15"/>
          <w:lang w:val="en-US" w:eastAsia="zh-CN"/>
        </w:rPr>
        <w:t>1.21</w:t>
      </w:r>
      <w:r>
        <w:rPr>
          <w:rFonts w:ascii="Times New Roman" w:hAnsi="Times New Roman" w:eastAsia="Times New Roman"/>
          <w:sz w:val="15"/>
        </w:rPr>
        <w:t>).</w:t>
      </w:r>
    </w:p>
    <w:p w14:paraId="0E961F46">
      <w:pPr>
        <w:spacing w:before="0" w:after="0" w:line="240" w:lineRule="auto"/>
        <w:ind w:left="0" w:firstLine="0"/>
      </w:pPr>
      <w:r>
        <w:rPr>
          <w:rFonts w:hint="eastAsia" w:eastAsia="宋体"/>
          <w:sz w:val="15"/>
          <w:lang w:val="en-US" w:eastAsia="zh-CN"/>
        </w:rPr>
        <w:t>e</w:t>
      </w:r>
      <w:r>
        <w:rPr>
          <w:rFonts w:ascii="Times New Roman" w:hAnsi="Times New Roman" w:eastAsia="Times New Roman"/>
          <w:sz w:val="15"/>
        </w:rPr>
        <w:t xml:space="preserve">. Downgraded one level for serious unexplained inconsistency (I² = </w:t>
      </w:r>
      <w:r>
        <w:rPr>
          <w:rFonts w:hint="eastAsia" w:eastAsia="宋体"/>
          <w:sz w:val="15"/>
          <w:lang w:val="en-US" w:eastAsia="zh-CN"/>
        </w:rPr>
        <w:t>93.4</w:t>
      </w:r>
      <w:r>
        <w:rPr>
          <w:rFonts w:ascii="Times New Roman" w:hAnsi="Times New Roman" w:eastAsia="Times New Roman"/>
          <w:sz w:val="15"/>
        </w:rPr>
        <w:t>%).</w:t>
      </w:r>
    </w:p>
    <w:p w14:paraId="1380B671">
      <w:pPr>
        <w:spacing w:before="0" w:after="0" w:line="240" w:lineRule="auto"/>
        <w:ind w:left="0" w:firstLine="0"/>
      </w:pPr>
      <w:r>
        <w:rPr>
          <w:rFonts w:hint="eastAsia" w:eastAsia="宋体"/>
          <w:sz w:val="15"/>
          <w:lang w:val="en-US" w:eastAsia="zh-CN"/>
        </w:rPr>
        <w:t>f</w:t>
      </w:r>
      <w:r>
        <w:rPr>
          <w:rFonts w:ascii="Times New Roman" w:hAnsi="Times New Roman" w:eastAsia="Times New Roman"/>
          <w:sz w:val="15"/>
        </w:rPr>
        <w:t>. Downgraded one level for serious unexplained inconsistency (I² = 7</w:t>
      </w:r>
      <w:r>
        <w:rPr>
          <w:rFonts w:hint="eastAsia" w:eastAsia="宋体"/>
          <w:sz w:val="15"/>
          <w:lang w:val="en-US" w:eastAsia="zh-CN"/>
        </w:rPr>
        <w:t>5.6</w:t>
      </w:r>
      <w:r>
        <w:rPr>
          <w:rFonts w:ascii="Times New Roman" w:hAnsi="Times New Roman" w:eastAsia="Times New Roman"/>
          <w:sz w:val="15"/>
        </w:rPr>
        <w:t>%).</w:t>
      </w:r>
    </w:p>
    <w:p w14:paraId="6C71C9A9">
      <w:pPr>
        <w:spacing w:before="0" w:after="0" w:line="240" w:lineRule="auto"/>
        <w:ind w:left="0" w:firstLine="0"/>
        <w:rPr>
          <w:rFonts w:ascii="Times New Roman" w:hAnsi="Times New Roman" w:eastAsia="Times New Roman"/>
          <w:sz w:val="15"/>
        </w:rPr>
      </w:pPr>
      <w:r>
        <w:rPr>
          <w:rFonts w:hint="eastAsia" w:eastAsia="宋体"/>
          <w:sz w:val="15"/>
          <w:lang w:val="en-US" w:eastAsia="zh-CN"/>
        </w:rPr>
        <w:t>g</w:t>
      </w:r>
      <w:r>
        <w:rPr>
          <w:rFonts w:ascii="Times New Roman" w:hAnsi="Times New Roman" w:eastAsia="Times New Roman"/>
          <w:sz w:val="15"/>
        </w:rPr>
        <w:t>. Absolute effects were not estimated because a representative baseline risk and a common follow-up horizon were unavailable; an HR alone cannot be converted reliably into an absolute risk difference.</w:t>
      </w:r>
    </w:p>
    <w:p w14:paraId="386F4F99">
      <w:pPr>
        <w:widowControl/>
        <w:numPr>
          <w:ilvl w:val="0"/>
          <w:numId w:val="0"/>
        </w:numPr>
        <w:jc w:val="left"/>
        <w:textAlignment w:val="top"/>
        <w:rPr>
          <w:lang w:val="en-US"/>
        </w:rPr>
      </w:pPr>
    </w:p>
    <w:p w14:paraId="0076E494">
      <w:pPr>
        <w:widowControl/>
        <w:numPr>
          <w:ilvl w:val="0"/>
          <w:numId w:val="0"/>
        </w:numPr>
        <w:jc w:val="left"/>
        <w:textAlignment w:val="top"/>
        <w:rPr>
          <w:rFonts w:hint="eastAsia"/>
          <w:b/>
          <w:bCs/>
          <w:lang w:val="en-US"/>
        </w:rPr>
      </w:pPr>
      <w:r>
        <w:rPr>
          <w:lang w:val="en-US"/>
        </w:rPr>
        <w:br w:type="page"/>
      </w:r>
      <w:r>
        <w:rPr>
          <w:rFonts w:hint="default" w:ascii="Times New Roman" w:hAnsi="Times New Roman" w:eastAsia="等线" w:cs="Times New Roman"/>
          <w:b/>
          <w:bCs/>
          <w:color w:val="000000"/>
          <w:sz w:val="24"/>
          <w:szCs w:val="24"/>
          <w:lang w:val="en-US" w:eastAsia="zh-CN" w:bidi="ar-SA"/>
        </w:rPr>
        <w:t>Supplementary</w:t>
      </w:r>
      <w:r>
        <w:rPr>
          <w:rFonts w:hint="eastAsia" w:cs="Times New Roman"/>
          <w:b/>
          <w:bCs/>
          <w:color w:val="000000"/>
          <w:sz w:val="24"/>
          <w:szCs w:val="24"/>
          <w:lang w:val="en-US" w:eastAsia="zh-CN" w:bidi="ar-SA"/>
        </w:rPr>
        <w:t xml:space="preserve"> </w:t>
      </w:r>
      <w:r>
        <w:rPr>
          <w:b/>
          <w:bCs/>
          <w:lang w:val="en-US"/>
        </w:rPr>
        <w:t>Figure S1</w:t>
      </w:r>
      <w:r>
        <w:rPr>
          <w:lang w:val="en-US"/>
        </w:rPr>
        <w:t>.</w:t>
      </w:r>
      <w:r>
        <w:rPr>
          <w:rFonts w:hint="eastAsia"/>
          <w:b/>
          <w:bCs/>
          <w:lang w:val="en-US"/>
        </w:rPr>
        <w:t xml:space="preserve"> Subgroup analyses of the associations between type 2 diabetes remission and adverse health outcomes according to the approach to achieving remission</w:t>
      </w:r>
      <w:r>
        <w:rPr>
          <w:rFonts w:hint="eastAsia"/>
          <w:b/>
          <w:bCs/>
          <w:lang w:val="en-US" w:eastAsia="zh-CN"/>
        </w:rPr>
        <w:t>.</w:t>
      </w:r>
      <w:r>
        <w:rPr>
          <w:rFonts w:hint="eastAsia"/>
          <w:b/>
          <w:bCs/>
          <w:lang w:val="en-US"/>
        </w:rPr>
        <w:t xml:space="preserve"> (A) All-cause mortality; (B) cardiovascular events; (C) microvascular complications; and (D) macrovascular complications.</w:t>
      </w:r>
    </w:p>
    <w:p w14:paraId="22BA37AD">
      <w:pPr>
        <w:jc w:val="left"/>
        <w:rPr>
          <w:rFonts w:hint="eastAsia" w:eastAsia="等线"/>
          <w:lang w:val="en-US" w:eastAsia="zh-CN"/>
        </w:rPr>
      </w:pPr>
    </w:p>
    <w:p w14:paraId="42ED3C9A">
      <w:pPr>
        <w:jc w:val="left"/>
        <w:rPr>
          <w:rFonts w:hint="eastAsia" w:eastAsia="等线"/>
          <w:lang w:val="en-US" w:eastAsia="zh-CN"/>
        </w:rPr>
      </w:pPr>
      <w:r>
        <w:rPr>
          <w:rFonts w:hint="eastAsia" w:eastAsia="等线"/>
          <w:lang w:val="en-US" w:eastAsia="zh-CN"/>
        </w:rPr>
        <w:drawing>
          <wp:inline distT="0" distB="0" distL="114300" distR="114300">
            <wp:extent cx="15069185" cy="9418320"/>
            <wp:effectExtent l="0" t="0" r="3175" b="0"/>
            <wp:docPr id="2" name="图片 2" descr="Subgroup_Remission_Pathway_Combine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bgroup_Remission_Pathway_Combined_01"/>
                    <pic:cNvPicPr>
                      <a:picLocks noChangeAspect="1"/>
                    </pic:cNvPicPr>
                  </pic:nvPicPr>
                  <pic:blipFill>
                    <a:blip r:embed="rId6"/>
                    <a:stretch>
                      <a:fillRect/>
                    </a:stretch>
                  </pic:blipFill>
                  <pic:spPr>
                    <a:xfrm>
                      <a:off x="0" y="0"/>
                      <a:ext cx="15069185" cy="9418320"/>
                    </a:xfrm>
                    <a:prstGeom prst="rect">
                      <a:avLst/>
                    </a:prstGeom>
                  </pic:spPr>
                </pic:pic>
              </a:graphicData>
            </a:graphic>
          </wp:inline>
        </w:drawing>
      </w:r>
    </w:p>
    <w:p w14:paraId="24470E31">
      <w:pPr>
        <w:numPr>
          <w:ilvl w:val="0"/>
          <w:numId w:val="0"/>
        </w:numPr>
        <w:tabs>
          <w:tab w:val="left" w:pos="2469"/>
        </w:tabs>
        <w:spacing w:line="480" w:lineRule="auto"/>
        <w:rPr>
          <w:rFonts w:hint="default" w:eastAsia="等线"/>
          <w:b w:val="0"/>
          <w:bCs w:val="0"/>
          <w:lang w:val="en-US" w:eastAsia="zh-CN"/>
        </w:rPr>
      </w:pPr>
      <w:r>
        <w:rPr>
          <w:rFonts w:hint="eastAsia"/>
          <w:b w:val="0"/>
          <w:bCs w:val="0"/>
          <w:lang w:val="en-US" w:eastAsia="zh-CN"/>
        </w:rPr>
        <w:t xml:space="preserve">Note:CVD, </w:t>
      </w:r>
      <w:r>
        <w:rPr>
          <w:rFonts w:hint="eastAsia"/>
          <w:b w:val="0"/>
          <w:bCs w:val="0"/>
          <w:lang w:val="en-US"/>
        </w:rPr>
        <w:t xml:space="preserve">cardiovascular </w:t>
      </w:r>
      <w:r>
        <w:rPr>
          <w:rFonts w:hint="eastAsia"/>
          <w:b w:val="0"/>
          <w:bCs w:val="0"/>
          <w:lang w:val="en-US" w:eastAsia="zh-CN"/>
        </w:rPr>
        <w:t>disease.</w:t>
      </w:r>
    </w:p>
    <w:p w14:paraId="587E7A6B">
      <w:pPr>
        <w:numPr>
          <w:ilvl w:val="0"/>
          <w:numId w:val="0"/>
        </w:numPr>
        <w:spacing w:line="48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rPr>
        <w:t>Supplementary Figure S2. Subgroup analyses of the associations between type 2 diabetes remission and adverse health outcomes according to remission ascertainment strategy. (A) All-cause mortality; (B) cardiovascular events; (C) microvascular complications; and (D) macrovascular complications.</w:t>
      </w:r>
    </w:p>
    <w:p w14:paraId="265EF85E">
      <w:pPr>
        <w:jc w:val="both"/>
        <w:rPr>
          <w:rFonts w:hint="eastAsia" w:eastAsia="等线"/>
          <w:b/>
          <w:bCs/>
          <w:lang w:val="en-US" w:eastAsia="zh-CN"/>
        </w:rPr>
      </w:pPr>
    </w:p>
    <w:p w14:paraId="7828F465">
      <w:pPr>
        <w:numPr>
          <w:ilvl w:val="0"/>
          <w:numId w:val="0"/>
        </w:numPr>
        <w:tabs>
          <w:tab w:val="left" w:pos="2469"/>
        </w:tabs>
        <w:spacing w:line="480" w:lineRule="auto"/>
        <w:rPr>
          <w:rFonts w:hint="default" w:eastAsia="等线"/>
          <w:b w:val="0"/>
          <w:bCs w:val="0"/>
          <w:lang w:val="en-US" w:eastAsia="zh-CN"/>
        </w:rPr>
      </w:pPr>
      <w:r>
        <w:rPr>
          <w:rFonts w:hint="eastAsia"/>
          <w:b w:val="0"/>
          <w:bCs w:val="0"/>
          <w:lang w:val="en-US" w:eastAsia="zh-CN"/>
        </w:rPr>
        <w:t xml:space="preserve">Note:CVD, </w:t>
      </w:r>
      <w:r>
        <w:rPr>
          <w:rFonts w:hint="eastAsia"/>
          <w:b w:val="0"/>
          <w:bCs w:val="0"/>
          <w:lang w:val="en-US"/>
        </w:rPr>
        <w:t xml:space="preserve">cardiovascular </w:t>
      </w:r>
      <w:r>
        <w:rPr>
          <w:rFonts w:hint="eastAsia"/>
          <w:b w:val="0"/>
          <w:bCs w:val="0"/>
          <w:lang w:val="en-US" w:eastAsia="zh-CN"/>
        </w:rPr>
        <w:t>disease.</w:t>
      </w:r>
    </w:p>
    <w:p w14:paraId="28A67CA3">
      <w:pPr>
        <w:jc w:val="center"/>
        <w:rPr>
          <w:lang w:eastAsia="zh-CN"/>
        </w:rPr>
      </w:pPr>
    </w:p>
    <w:p w14:paraId="764DABA5">
      <w:pPr>
        <w:spacing w:line="48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rPr>
        <w:t>Supplementary Figure S</w:t>
      </w:r>
      <w:r>
        <w:rPr>
          <w:rFonts w:hint="eastAsia" w:cs="Times New Roman"/>
          <w:b/>
          <w:bCs/>
          <w:sz w:val="24"/>
          <w:szCs w:val="24"/>
          <w:lang w:val="en-US" w:eastAsia="zh-CN"/>
        </w:rPr>
        <w:t>3</w:t>
      </w:r>
      <w:r>
        <w:rPr>
          <w:rFonts w:hint="eastAsia" w:ascii="Times New Roman" w:hAnsi="Times New Roman" w:cs="Times New Roman"/>
          <w:b/>
          <w:bCs/>
          <w:sz w:val="24"/>
          <w:szCs w:val="24"/>
        </w:rPr>
        <w:t>.</w:t>
      </w:r>
      <w:r>
        <w:rPr>
          <w:rFonts w:hint="default" w:ascii="Times New Roman" w:hAnsi="Times New Roman" w:cs="Times New Roman"/>
          <w:b/>
          <w:bCs/>
          <w:sz w:val="24"/>
          <w:szCs w:val="24"/>
          <w:lang w:val="en-US" w:eastAsia="zh-CN"/>
        </w:rPr>
        <w:t xml:space="preserve"> Forest plot of the association between type 2 diabetes remission and</w:t>
      </w:r>
      <w:r>
        <w:rPr>
          <w:rFonts w:hint="eastAsia" w:cs="Times New Roman"/>
          <w:b/>
          <w:bCs/>
          <w:sz w:val="24"/>
          <w:szCs w:val="24"/>
          <w:lang w:val="en-US" w:eastAsia="zh-CN"/>
        </w:rPr>
        <w:t xml:space="preserve"> </w:t>
      </w:r>
      <w:r>
        <w:rPr>
          <w:rFonts w:hint="eastAsia" w:ascii="Times New Roman" w:hAnsi="Times New Roman" w:cs="Times New Roman"/>
          <w:b/>
          <w:bCs/>
          <w:sz w:val="24"/>
          <w:szCs w:val="24"/>
        </w:rPr>
        <w:t>macrovascular complications</w:t>
      </w:r>
      <w:r>
        <w:rPr>
          <w:rFonts w:hint="default" w:ascii="Times New Roman" w:hAnsi="Times New Roman" w:cs="Times New Roman"/>
          <w:b/>
          <w:bCs/>
          <w:sz w:val="24"/>
          <w:szCs w:val="24"/>
          <w:lang w:val="en-US" w:eastAsia="zh-CN"/>
        </w:rPr>
        <w:t>.</w:t>
      </w:r>
    </w:p>
    <w:p w14:paraId="4C71E99A">
      <w:pPr>
        <w:spacing w:line="48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drawing>
          <wp:inline distT="0" distB="0" distL="114300" distR="114300">
            <wp:extent cx="11315700" cy="6789420"/>
            <wp:effectExtent l="0" t="0" r="7620" b="7620"/>
            <wp:docPr id="1" name="图片 1" descr="Forest_REML_HK_Macrovascular_RevManStyl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orest_REML_HK_Macrovascular_RevManStyle_01"/>
                    <pic:cNvPicPr>
                      <a:picLocks noChangeAspect="1"/>
                    </pic:cNvPicPr>
                  </pic:nvPicPr>
                  <pic:blipFill>
                    <a:blip r:embed="rId7"/>
                    <a:stretch>
                      <a:fillRect/>
                    </a:stretch>
                  </pic:blipFill>
                  <pic:spPr>
                    <a:xfrm>
                      <a:off x="0" y="0"/>
                      <a:ext cx="11315700" cy="6789420"/>
                    </a:xfrm>
                    <a:prstGeom prst="rect">
                      <a:avLst/>
                    </a:prstGeom>
                  </pic:spPr>
                </pic:pic>
              </a:graphicData>
            </a:graphic>
          </wp:inline>
        </w:drawing>
      </w:r>
    </w:p>
    <w:p w14:paraId="2FF77F50">
      <w:pPr>
        <w:spacing w:line="480" w:lineRule="auto"/>
        <w:rPr>
          <w:rFonts w:hint="eastAsia" w:ascii="Times New Roman" w:hAnsi="Times New Roman" w:cs="Times New Roman"/>
          <w:b/>
          <w:bCs/>
          <w:sz w:val="24"/>
          <w:szCs w:val="24"/>
          <w:lang w:val="en-US" w:eastAsia="zh-CN"/>
        </w:rPr>
      </w:pPr>
    </w:p>
    <w:sectPr>
      <w:headerReference r:id="rId4" w:type="default"/>
      <w:pgSz w:w="16840" w:h="11907" w:orient="landscape"/>
      <w:pgMar w:top="1797" w:right="1440" w:bottom="1797"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Lucida Sans">
    <w:panose1 w:val="020B0602040502020204"/>
    <w:charset w:val="00"/>
    <w:family w:val="swiss"/>
    <w:pitch w:val="default"/>
    <w:sig w:usb0="8100AAF7" w:usb1="0000807B" w:usb2="00000008" w:usb3="00000000" w:csb0="6000009F" w:csb1="FFFF0000"/>
  </w:font>
  <w:font w:name="DejaVu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14"/>
      <w:ind w:left="1080"/>
      <w:rPr>
        <w:rFonts w:ascii="Lucida Sans" w:hAnsi="Lucida Sans"/>
        <w:sz w:val="20"/>
        <w:szCs w:val="20"/>
      </w:rPr>
    </w:pPr>
    <w:r>
      <w:rPr>
        <w:rFonts w:ascii="Lucida Sans" w:hAnsi="Lucida Sans"/>
        <w:sz w:val="20"/>
        <w:szCs w:val="20"/>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762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BC0C5">
    <w:pPr>
      <w:pStyle w:val="14"/>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4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c3szQztDQ2NTYxtDRX0lEKTi0uzszPAykwrwUA7+xByiwAAAA="/>
    <w:docVar w:name="EN.InstantFormat" w:val="&lt;ENInstantFormat&gt;&lt;Enabled&gt;1&lt;/Enabled&gt;&lt;ScanUnformatted&gt;1&lt;/ScanUnformatted&gt;&lt;ScanChanges&gt;1&lt;/ScanChanges&gt;&lt;Suspended&gt;0&lt;/Suspended&gt;&lt;/ENInstantFormat&gt;"/>
    <w:docVar w:name="EN.Layout" w:val="&lt;ENLayout&gt;&lt;Style&gt;Cardiovascular Diab&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d0tdv2gzzepqevvdh50zpx2d0rvd02xrze&quot;&gt;我的EndNote库-Dupl-Dupl Copy&lt;record-ids&gt;&lt;item&gt;3564&lt;/item&gt;&lt;item&gt;3565&lt;/item&gt;&lt;item&gt;3569&lt;/item&gt;&lt;item&gt;3575&lt;/item&gt;&lt;item&gt;3576&lt;/item&gt;&lt;item&gt;3577&lt;/item&gt;&lt;item&gt;3579&lt;/item&gt;&lt;item&gt;3580&lt;/item&gt;&lt;item&gt;3582&lt;/item&gt;&lt;item&gt;3585&lt;/item&gt;&lt;/record-ids&gt;&lt;/item&gt;&lt;/Libraries&gt;"/>
  </w:docVars>
  <w:rsids>
    <w:rsidRoot w:val="00256BAF"/>
    <w:rsid w:val="00030402"/>
    <w:rsid w:val="00030FA1"/>
    <w:rsid w:val="00043B9D"/>
    <w:rsid w:val="00066BF6"/>
    <w:rsid w:val="00077B44"/>
    <w:rsid w:val="000A1CD9"/>
    <w:rsid w:val="000F44FA"/>
    <w:rsid w:val="00100D46"/>
    <w:rsid w:val="0010769F"/>
    <w:rsid w:val="00111F24"/>
    <w:rsid w:val="00135CCB"/>
    <w:rsid w:val="00152CDB"/>
    <w:rsid w:val="00153262"/>
    <w:rsid w:val="0017307C"/>
    <w:rsid w:val="0017774E"/>
    <w:rsid w:val="0018323E"/>
    <w:rsid w:val="00190C83"/>
    <w:rsid w:val="0019628E"/>
    <w:rsid w:val="001A2061"/>
    <w:rsid w:val="001B13E7"/>
    <w:rsid w:val="001E0A73"/>
    <w:rsid w:val="0022578A"/>
    <w:rsid w:val="00246C93"/>
    <w:rsid w:val="00256BAF"/>
    <w:rsid w:val="00282D86"/>
    <w:rsid w:val="00291DB9"/>
    <w:rsid w:val="00297DA4"/>
    <w:rsid w:val="002A2A06"/>
    <w:rsid w:val="002A4120"/>
    <w:rsid w:val="002D64DB"/>
    <w:rsid w:val="003103C2"/>
    <w:rsid w:val="00314D62"/>
    <w:rsid w:val="00317A94"/>
    <w:rsid w:val="0032441E"/>
    <w:rsid w:val="00335813"/>
    <w:rsid w:val="00346B95"/>
    <w:rsid w:val="003516AD"/>
    <w:rsid w:val="0035612E"/>
    <w:rsid w:val="003579BE"/>
    <w:rsid w:val="00363B8D"/>
    <w:rsid w:val="0036521C"/>
    <w:rsid w:val="003760FB"/>
    <w:rsid w:val="003828A1"/>
    <w:rsid w:val="00394DFA"/>
    <w:rsid w:val="003A227D"/>
    <w:rsid w:val="003B79FF"/>
    <w:rsid w:val="00400A0B"/>
    <w:rsid w:val="004064CD"/>
    <w:rsid w:val="00423604"/>
    <w:rsid w:val="00443C1D"/>
    <w:rsid w:val="00461576"/>
    <w:rsid w:val="00465E05"/>
    <w:rsid w:val="00466E4A"/>
    <w:rsid w:val="004C1685"/>
    <w:rsid w:val="004D64A3"/>
    <w:rsid w:val="004E5BD8"/>
    <w:rsid w:val="004F26C3"/>
    <w:rsid w:val="005078EE"/>
    <w:rsid w:val="00550BF1"/>
    <w:rsid w:val="00562478"/>
    <w:rsid w:val="00566405"/>
    <w:rsid w:val="0058380A"/>
    <w:rsid w:val="0059028D"/>
    <w:rsid w:val="005979B8"/>
    <w:rsid w:val="005D0856"/>
    <w:rsid w:val="005D5B21"/>
    <w:rsid w:val="00601D3F"/>
    <w:rsid w:val="00611A82"/>
    <w:rsid w:val="006120A4"/>
    <w:rsid w:val="00627717"/>
    <w:rsid w:val="00630CAD"/>
    <w:rsid w:val="006743D7"/>
    <w:rsid w:val="00697421"/>
    <w:rsid w:val="006B0421"/>
    <w:rsid w:val="006C1C40"/>
    <w:rsid w:val="006E5FE2"/>
    <w:rsid w:val="006F3BA6"/>
    <w:rsid w:val="006F7ED2"/>
    <w:rsid w:val="007066D8"/>
    <w:rsid w:val="0070750F"/>
    <w:rsid w:val="00707EE5"/>
    <w:rsid w:val="00726794"/>
    <w:rsid w:val="00737138"/>
    <w:rsid w:val="0077253C"/>
    <w:rsid w:val="007954BA"/>
    <w:rsid w:val="00797199"/>
    <w:rsid w:val="007A12E2"/>
    <w:rsid w:val="007A330F"/>
    <w:rsid w:val="007B7136"/>
    <w:rsid w:val="007B7363"/>
    <w:rsid w:val="007D32E0"/>
    <w:rsid w:val="007D6D02"/>
    <w:rsid w:val="00805E46"/>
    <w:rsid w:val="008324F3"/>
    <w:rsid w:val="008412D5"/>
    <w:rsid w:val="00855FEF"/>
    <w:rsid w:val="00871DA2"/>
    <w:rsid w:val="00876408"/>
    <w:rsid w:val="008A3EAE"/>
    <w:rsid w:val="008B54A3"/>
    <w:rsid w:val="008C6A59"/>
    <w:rsid w:val="008E2C91"/>
    <w:rsid w:val="00914ABC"/>
    <w:rsid w:val="00925AD6"/>
    <w:rsid w:val="00930A31"/>
    <w:rsid w:val="009405F3"/>
    <w:rsid w:val="00947707"/>
    <w:rsid w:val="00950D38"/>
    <w:rsid w:val="009531C2"/>
    <w:rsid w:val="009827E5"/>
    <w:rsid w:val="009842F7"/>
    <w:rsid w:val="00995731"/>
    <w:rsid w:val="009C2CE9"/>
    <w:rsid w:val="009C6430"/>
    <w:rsid w:val="009E1184"/>
    <w:rsid w:val="00A165C6"/>
    <w:rsid w:val="00A179CC"/>
    <w:rsid w:val="00A21495"/>
    <w:rsid w:val="00A215D2"/>
    <w:rsid w:val="00A465C1"/>
    <w:rsid w:val="00A52E97"/>
    <w:rsid w:val="00A707A2"/>
    <w:rsid w:val="00A86593"/>
    <w:rsid w:val="00AA3BF4"/>
    <w:rsid w:val="00AB79CE"/>
    <w:rsid w:val="00AC20E0"/>
    <w:rsid w:val="00AD69E9"/>
    <w:rsid w:val="00AE30B0"/>
    <w:rsid w:val="00AE4BBD"/>
    <w:rsid w:val="00B03D13"/>
    <w:rsid w:val="00B15748"/>
    <w:rsid w:val="00B15D3A"/>
    <w:rsid w:val="00B51910"/>
    <w:rsid w:val="00B6631D"/>
    <w:rsid w:val="00B6731F"/>
    <w:rsid w:val="00B7161E"/>
    <w:rsid w:val="00B73484"/>
    <w:rsid w:val="00B97046"/>
    <w:rsid w:val="00BA0D75"/>
    <w:rsid w:val="00BB188D"/>
    <w:rsid w:val="00BB6F97"/>
    <w:rsid w:val="00BB73F1"/>
    <w:rsid w:val="00BC0B75"/>
    <w:rsid w:val="00BC57CD"/>
    <w:rsid w:val="00BF20BF"/>
    <w:rsid w:val="00BF4AA1"/>
    <w:rsid w:val="00C03D9B"/>
    <w:rsid w:val="00C22710"/>
    <w:rsid w:val="00C426C7"/>
    <w:rsid w:val="00C51A0D"/>
    <w:rsid w:val="00C83EBF"/>
    <w:rsid w:val="00C85DC5"/>
    <w:rsid w:val="00C91609"/>
    <w:rsid w:val="00C97F44"/>
    <w:rsid w:val="00CA3B88"/>
    <w:rsid w:val="00CC096E"/>
    <w:rsid w:val="00CC6148"/>
    <w:rsid w:val="00CD633E"/>
    <w:rsid w:val="00CF4962"/>
    <w:rsid w:val="00D062F1"/>
    <w:rsid w:val="00D10BDC"/>
    <w:rsid w:val="00D13D3F"/>
    <w:rsid w:val="00D277FD"/>
    <w:rsid w:val="00D51410"/>
    <w:rsid w:val="00D55B97"/>
    <w:rsid w:val="00D66FD7"/>
    <w:rsid w:val="00D9563A"/>
    <w:rsid w:val="00D95D84"/>
    <w:rsid w:val="00D97367"/>
    <w:rsid w:val="00DA400C"/>
    <w:rsid w:val="00DA41FB"/>
    <w:rsid w:val="00DB3330"/>
    <w:rsid w:val="00DB68D9"/>
    <w:rsid w:val="00DB766E"/>
    <w:rsid w:val="00DC4F19"/>
    <w:rsid w:val="00DD5518"/>
    <w:rsid w:val="00E07F26"/>
    <w:rsid w:val="00E16F7B"/>
    <w:rsid w:val="00E228FF"/>
    <w:rsid w:val="00E324A8"/>
    <w:rsid w:val="00E326F3"/>
    <w:rsid w:val="00E34E2B"/>
    <w:rsid w:val="00E66E3A"/>
    <w:rsid w:val="00E8026D"/>
    <w:rsid w:val="00E9316D"/>
    <w:rsid w:val="00EA0EEB"/>
    <w:rsid w:val="00EB1995"/>
    <w:rsid w:val="00EB40F1"/>
    <w:rsid w:val="00EB610E"/>
    <w:rsid w:val="00EC1519"/>
    <w:rsid w:val="00EE24DD"/>
    <w:rsid w:val="00F04E3E"/>
    <w:rsid w:val="00F1251C"/>
    <w:rsid w:val="00F31503"/>
    <w:rsid w:val="00F32580"/>
    <w:rsid w:val="00F47D83"/>
    <w:rsid w:val="00F62E8C"/>
    <w:rsid w:val="00F67C14"/>
    <w:rsid w:val="00F83263"/>
    <w:rsid w:val="00FB3483"/>
    <w:rsid w:val="00FB7579"/>
    <w:rsid w:val="00FD065C"/>
    <w:rsid w:val="00FF1C0B"/>
    <w:rsid w:val="01044658"/>
    <w:rsid w:val="01582C8E"/>
    <w:rsid w:val="019462D8"/>
    <w:rsid w:val="01C54B55"/>
    <w:rsid w:val="03416FD0"/>
    <w:rsid w:val="04026D71"/>
    <w:rsid w:val="04205325"/>
    <w:rsid w:val="05A54306"/>
    <w:rsid w:val="05B16412"/>
    <w:rsid w:val="06DA69AD"/>
    <w:rsid w:val="070741F5"/>
    <w:rsid w:val="07927587"/>
    <w:rsid w:val="07F8392C"/>
    <w:rsid w:val="088C7CFB"/>
    <w:rsid w:val="08D40D03"/>
    <w:rsid w:val="08E83684"/>
    <w:rsid w:val="094E2F83"/>
    <w:rsid w:val="09646A02"/>
    <w:rsid w:val="09F37A49"/>
    <w:rsid w:val="09FC77F2"/>
    <w:rsid w:val="0A3B0A90"/>
    <w:rsid w:val="0B183F48"/>
    <w:rsid w:val="0B2E35CF"/>
    <w:rsid w:val="0BD460C1"/>
    <w:rsid w:val="0BF4422B"/>
    <w:rsid w:val="0D3F2F8E"/>
    <w:rsid w:val="0E1B5F48"/>
    <w:rsid w:val="0E63197E"/>
    <w:rsid w:val="0E7476E7"/>
    <w:rsid w:val="0F5A5680"/>
    <w:rsid w:val="0F5B6472"/>
    <w:rsid w:val="0FEB1C2B"/>
    <w:rsid w:val="0FF84BE0"/>
    <w:rsid w:val="10226275"/>
    <w:rsid w:val="10273DFE"/>
    <w:rsid w:val="10335578"/>
    <w:rsid w:val="109E6365"/>
    <w:rsid w:val="112E0021"/>
    <w:rsid w:val="12353631"/>
    <w:rsid w:val="13E42C19"/>
    <w:rsid w:val="13EF0A3E"/>
    <w:rsid w:val="14215818"/>
    <w:rsid w:val="165D7F95"/>
    <w:rsid w:val="167D71BE"/>
    <w:rsid w:val="168D1478"/>
    <w:rsid w:val="16901DB2"/>
    <w:rsid w:val="172244D9"/>
    <w:rsid w:val="17626C76"/>
    <w:rsid w:val="17A408C9"/>
    <w:rsid w:val="1869193F"/>
    <w:rsid w:val="193B357A"/>
    <w:rsid w:val="1951749F"/>
    <w:rsid w:val="1B261D69"/>
    <w:rsid w:val="1BCA6B98"/>
    <w:rsid w:val="1C21432F"/>
    <w:rsid w:val="1CAF732F"/>
    <w:rsid w:val="1CE2194A"/>
    <w:rsid w:val="1D2247B2"/>
    <w:rsid w:val="1E4D4075"/>
    <w:rsid w:val="1EBA2EF4"/>
    <w:rsid w:val="1F6D266B"/>
    <w:rsid w:val="21DF66CB"/>
    <w:rsid w:val="220C43C8"/>
    <w:rsid w:val="22573150"/>
    <w:rsid w:val="22D447A0"/>
    <w:rsid w:val="232371BC"/>
    <w:rsid w:val="23B34692"/>
    <w:rsid w:val="24080473"/>
    <w:rsid w:val="240902B3"/>
    <w:rsid w:val="25062208"/>
    <w:rsid w:val="25E62F48"/>
    <w:rsid w:val="26775B6F"/>
    <w:rsid w:val="27337CE7"/>
    <w:rsid w:val="27C640FF"/>
    <w:rsid w:val="27F42B67"/>
    <w:rsid w:val="29167585"/>
    <w:rsid w:val="2A905D7A"/>
    <w:rsid w:val="2A9117EF"/>
    <w:rsid w:val="2B3B1E99"/>
    <w:rsid w:val="2B924CE2"/>
    <w:rsid w:val="2C050DBB"/>
    <w:rsid w:val="2D783A19"/>
    <w:rsid w:val="2F3E2A71"/>
    <w:rsid w:val="30222067"/>
    <w:rsid w:val="3069477A"/>
    <w:rsid w:val="30946C5D"/>
    <w:rsid w:val="31013C35"/>
    <w:rsid w:val="31267258"/>
    <w:rsid w:val="31440D43"/>
    <w:rsid w:val="31D66D73"/>
    <w:rsid w:val="324048F2"/>
    <w:rsid w:val="329D070B"/>
    <w:rsid w:val="33263E15"/>
    <w:rsid w:val="34E844B6"/>
    <w:rsid w:val="34EA47F7"/>
    <w:rsid w:val="35412F49"/>
    <w:rsid w:val="35685891"/>
    <w:rsid w:val="36E4644E"/>
    <w:rsid w:val="37262CCF"/>
    <w:rsid w:val="37870CB0"/>
    <w:rsid w:val="39034A4E"/>
    <w:rsid w:val="39F830F3"/>
    <w:rsid w:val="3B697D24"/>
    <w:rsid w:val="3C607CD7"/>
    <w:rsid w:val="3CB03019"/>
    <w:rsid w:val="3CCD0AF3"/>
    <w:rsid w:val="3DAD746C"/>
    <w:rsid w:val="3DCE20C0"/>
    <w:rsid w:val="3DE60FB3"/>
    <w:rsid w:val="3E575950"/>
    <w:rsid w:val="3F1E2BD3"/>
    <w:rsid w:val="3F4A39C9"/>
    <w:rsid w:val="3F894286"/>
    <w:rsid w:val="401F063C"/>
    <w:rsid w:val="4072249C"/>
    <w:rsid w:val="41DB1250"/>
    <w:rsid w:val="4261191F"/>
    <w:rsid w:val="426B6EBE"/>
    <w:rsid w:val="42B07FE6"/>
    <w:rsid w:val="430418D0"/>
    <w:rsid w:val="431E31A2"/>
    <w:rsid w:val="4392730D"/>
    <w:rsid w:val="43CC6CE0"/>
    <w:rsid w:val="44C957C1"/>
    <w:rsid w:val="44E61AEC"/>
    <w:rsid w:val="44EF190C"/>
    <w:rsid w:val="453824A4"/>
    <w:rsid w:val="45423E2F"/>
    <w:rsid w:val="4647529F"/>
    <w:rsid w:val="46955E71"/>
    <w:rsid w:val="47142068"/>
    <w:rsid w:val="47AB666B"/>
    <w:rsid w:val="481D2624"/>
    <w:rsid w:val="48AC2FFE"/>
    <w:rsid w:val="48D67F6C"/>
    <w:rsid w:val="49117305"/>
    <w:rsid w:val="499441BE"/>
    <w:rsid w:val="4A6E2C61"/>
    <w:rsid w:val="4C1220CF"/>
    <w:rsid w:val="4CD80BDB"/>
    <w:rsid w:val="4D595308"/>
    <w:rsid w:val="4E465964"/>
    <w:rsid w:val="4EA12ED9"/>
    <w:rsid w:val="4F023A58"/>
    <w:rsid w:val="502C45F4"/>
    <w:rsid w:val="517D49AB"/>
    <w:rsid w:val="526861E8"/>
    <w:rsid w:val="52E53CDC"/>
    <w:rsid w:val="5496302D"/>
    <w:rsid w:val="54CD06C1"/>
    <w:rsid w:val="55C537BC"/>
    <w:rsid w:val="568B3962"/>
    <w:rsid w:val="56B2222D"/>
    <w:rsid w:val="56C24202"/>
    <w:rsid w:val="57513D33"/>
    <w:rsid w:val="57545DFB"/>
    <w:rsid w:val="5860449E"/>
    <w:rsid w:val="58765D26"/>
    <w:rsid w:val="58F45AF8"/>
    <w:rsid w:val="594E53B1"/>
    <w:rsid w:val="59E22212"/>
    <w:rsid w:val="59EC371A"/>
    <w:rsid w:val="5ACE08E9"/>
    <w:rsid w:val="5B5F2D4C"/>
    <w:rsid w:val="5B97302A"/>
    <w:rsid w:val="5C35221C"/>
    <w:rsid w:val="5CBA6D69"/>
    <w:rsid w:val="5D261179"/>
    <w:rsid w:val="5D754B70"/>
    <w:rsid w:val="5FB804E7"/>
    <w:rsid w:val="60210872"/>
    <w:rsid w:val="603923CB"/>
    <w:rsid w:val="608C5797"/>
    <w:rsid w:val="60A3109B"/>
    <w:rsid w:val="616F390D"/>
    <w:rsid w:val="61A10082"/>
    <w:rsid w:val="622D6B06"/>
    <w:rsid w:val="632843A1"/>
    <w:rsid w:val="63742834"/>
    <w:rsid w:val="64EB7EA8"/>
    <w:rsid w:val="655B270F"/>
    <w:rsid w:val="65631820"/>
    <w:rsid w:val="66495BDD"/>
    <w:rsid w:val="667E2C6C"/>
    <w:rsid w:val="668760F0"/>
    <w:rsid w:val="66892FC6"/>
    <w:rsid w:val="67035D08"/>
    <w:rsid w:val="67FB50C9"/>
    <w:rsid w:val="69402934"/>
    <w:rsid w:val="6945507D"/>
    <w:rsid w:val="694E3725"/>
    <w:rsid w:val="699E6DD5"/>
    <w:rsid w:val="69EC2993"/>
    <w:rsid w:val="6A026A5C"/>
    <w:rsid w:val="6A475CBE"/>
    <w:rsid w:val="6A86594D"/>
    <w:rsid w:val="6AB2229E"/>
    <w:rsid w:val="6B0660A7"/>
    <w:rsid w:val="6B30297D"/>
    <w:rsid w:val="6BC765C2"/>
    <w:rsid w:val="6C480E92"/>
    <w:rsid w:val="70234818"/>
    <w:rsid w:val="70587137"/>
    <w:rsid w:val="70E35E7A"/>
    <w:rsid w:val="70F25962"/>
    <w:rsid w:val="71E116BB"/>
    <w:rsid w:val="732C65AC"/>
    <w:rsid w:val="7368762D"/>
    <w:rsid w:val="73B07F67"/>
    <w:rsid w:val="755C7FE5"/>
    <w:rsid w:val="766F145A"/>
    <w:rsid w:val="777E55BE"/>
    <w:rsid w:val="77EB5F15"/>
    <w:rsid w:val="79FF5367"/>
    <w:rsid w:val="7CED7166"/>
    <w:rsid w:val="7D2D58D3"/>
    <w:rsid w:val="7E6644EF"/>
    <w:rsid w:val="7EC30048"/>
    <w:rsid w:val="7EF3367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等线" w:cs="Times New Roman"/>
      <w:sz w:val="24"/>
      <w:szCs w:val="24"/>
      <w:lang w:val="en-CA" w:eastAsia="en-CA"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F5597" w:themeColor="accent1" w:themeShade="BF"/>
      <w:sz w:val="28"/>
      <w:szCs w:val="28"/>
    </w:rPr>
  </w:style>
  <w:style w:type="character" w:default="1" w:styleId="9">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footer"/>
    <w:basedOn w:val="1"/>
    <w:qFormat/>
    <w:uiPriority w:val="0"/>
    <w:pPr>
      <w:tabs>
        <w:tab w:val="center" w:pos="4320"/>
        <w:tab w:val="right" w:pos="8640"/>
      </w:tabs>
    </w:pPr>
  </w:style>
  <w:style w:type="paragraph" w:styleId="4">
    <w:name w:val="header"/>
    <w:basedOn w:val="1"/>
    <w:qFormat/>
    <w:uiPriority w:val="0"/>
    <w:pPr>
      <w:tabs>
        <w:tab w:val="center" w:pos="4320"/>
        <w:tab w:val="right" w:pos="8640"/>
      </w:tabs>
    </w:pPr>
  </w:style>
  <w:style w:type="paragraph" w:styleId="5">
    <w:name w:val="Normal (Web)"/>
    <w:basedOn w:val="1"/>
    <w:unhideWhenUsed/>
    <w:qFormat/>
    <w:uiPriority w:val="99"/>
    <w:pPr>
      <w:spacing w:before="100" w:beforeAutospacing="1" w:after="100" w:afterAutospacing="1"/>
    </w:pPr>
    <w:rPr>
      <w:rFonts w:ascii="宋体" w:hAnsi="宋体" w:eastAsia="宋体" w:cs="宋体"/>
      <w:lang w:val="en-US" w:eastAsia="zh-CN"/>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
    <w:name w:val="Light Grid"/>
    <w:basedOn w:val="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styleId="10">
    <w:name w:val="Strong"/>
    <w:basedOn w:val="9"/>
    <w:qFormat/>
    <w:uiPriority w:val="0"/>
    <w:rPr>
      <w:b/>
    </w:rPr>
  </w:style>
  <w:style w:type="character" w:styleId="11">
    <w:name w:val="Hyperlink"/>
    <w:basedOn w:val="9"/>
    <w:qFormat/>
    <w:uiPriority w:val="0"/>
    <w:rPr>
      <w:color w:val="0563C1"/>
      <w:u w:val="single"/>
    </w:rPr>
  </w:style>
  <w:style w:type="paragraph" w:customStyle="1" w:styleId="12">
    <w:name w:val="Default"/>
    <w:qForma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13">
    <w:name w:val="CM1"/>
    <w:basedOn w:val="12"/>
    <w:next w:val="12"/>
    <w:qFormat/>
    <w:uiPriority w:val="0"/>
    <w:rPr>
      <w:rFonts w:cs="Times New Roman"/>
      <w:color w:val="auto"/>
    </w:rPr>
  </w:style>
  <w:style w:type="paragraph" w:customStyle="1" w:styleId="14">
    <w:name w:val="CM2"/>
    <w:basedOn w:val="12"/>
    <w:next w:val="12"/>
    <w:qFormat/>
    <w:uiPriority w:val="0"/>
    <w:pPr>
      <w:spacing w:after="373"/>
    </w:pPr>
    <w:rPr>
      <w:rFonts w:cs="Times New Roman"/>
      <w:color w:val="auto"/>
    </w:rPr>
  </w:style>
  <w:style w:type="paragraph" w:customStyle="1" w:styleId="15">
    <w:name w:val="EndNote Bibliography Title"/>
    <w:basedOn w:val="1"/>
    <w:link w:val="16"/>
    <w:qFormat/>
    <w:uiPriority w:val="0"/>
    <w:pPr>
      <w:jc w:val="center"/>
    </w:pPr>
    <w:rPr>
      <w:rFonts w:ascii="Calibri" w:hAnsi="Calibri" w:cs="Calibri"/>
    </w:rPr>
  </w:style>
  <w:style w:type="character" w:customStyle="1" w:styleId="16">
    <w:name w:val="EndNote Bibliography Title 字符"/>
    <w:link w:val="15"/>
    <w:qFormat/>
    <w:uiPriority w:val="0"/>
    <w:rPr>
      <w:rFonts w:ascii="Calibri" w:hAnsi="Calibri" w:cs="Calibri"/>
      <w:sz w:val="24"/>
      <w:szCs w:val="24"/>
      <w:lang w:val="en-CA" w:eastAsia="en-CA"/>
    </w:rPr>
  </w:style>
  <w:style w:type="paragraph" w:customStyle="1" w:styleId="17">
    <w:name w:val="EndNote Bibliography"/>
    <w:basedOn w:val="1"/>
    <w:link w:val="18"/>
    <w:qFormat/>
    <w:uiPriority w:val="0"/>
    <w:rPr>
      <w:rFonts w:ascii="Calibri" w:hAnsi="Calibri" w:cs="Calibri"/>
    </w:rPr>
  </w:style>
  <w:style w:type="character" w:customStyle="1" w:styleId="18">
    <w:name w:val="EndNote Bibliography 字符"/>
    <w:link w:val="17"/>
    <w:qFormat/>
    <w:uiPriority w:val="0"/>
    <w:rPr>
      <w:rFonts w:ascii="Calibri" w:hAnsi="Calibri" w:cs="Calibri"/>
      <w:sz w:val="24"/>
      <w:szCs w:val="24"/>
      <w:lang w:val="en-CA" w:eastAsia="en-CA"/>
    </w:rPr>
  </w:style>
  <w:style w:type="paragraph" w:customStyle="1" w:styleId="19">
    <w:name w:val="列表段落1"/>
    <w:basedOn w:val="1"/>
    <w:qFormat/>
    <w:uiPriority w:val="0"/>
    <w:pPr>
      <w:ind w:firstLine="420" w:firstLineChars="200"/>
    </w:pPr>
    <w:rPr>
      <w:lang w:val="en-US" w:eastAsia="zh-CN"/>
    </w:rPr>
  </w:style>
  <w:style w:type="character" w:customStyle="1" w:styleId="20">
    <w:name w:val="font71"/>
    <w:basedOn w:val="9"/>
    <w:qFormat/>
    <w:uiPriority w:val="0"/>
    <w:rPr>
      <w:rFonts w:hint="eastAsia" w:ascii="宋体" w:hAnsi="宋体" w:eastAsia="宋体" w:cs="宋体"/>
      <w:color w:val="000000"/>
      <w:sz w:val="24"/>
      <w:szCs w:val="24"/>
      <w:u w:val="none"/>
    </w:rPr>
  </w:style>
  <w:style w:type="character" w:customStyle="1" w:styleId="21">
    <w:name w:val="font81"/>
    <w:basedOn w:val="9"/>
    <w:qFormat/>
    <w:uiPriority w:val="0"/>
    <w:rPr>
      <w:rFonts w:hint="default" w:ascii="Arial Narrow" w:hAnsi="Arial Narrow" w:eastAsia="Arial Narrow" w:cs="Arial Narrow"/>
      <w:color w:val="000000"/>
      <w:sz w:val="20"/>
      <w:szCs w:val="20"/>
      <w:u w:val="none"/>
      <w:vertAlign w:val="superscript"/>
    </w:rPr>
  </w:style>
  <w:style w:type="character" w:customStyle="1" w:styleId="22">
    <w:name w:val="quality-sign"/>
    <w:basedOn w:val="9"/>
    <w:qFormat/>
    <w:uiPriority w:val="0"/>
  </w:style>
  <w:style w:type="character" w:customStyle="1" w:styleId="23">
    <w:name w:val="quality-text"/>
    <w:basedOn w:val="9"/>
    <w:qFormat/>
    <w:uiPriority w:val="0"/>
  </w:style>
  <w:style w:type="character" w:customStyle="1" w:styleId="24">
    <w:name w:val="font91"/>
    <w:basedOn w:val="9"/>
    <w:qFormat/>
    <w:uiPriority w:val="0"/>
    <w:rPr>
      <w:rFonts w:hint="eastAsia" w:ascii="宋体" w:hAnsi="宋体" w:eastAsia="宋体" w:cs="宋体"/>
      <w:b/>
      <w:bCs/>
      <w:color w:val="000000"/>
      <w:sz w:val="20"/>
      <w:szCs w:val="20"/>
      <w:u w:val="none"/>
    </w:rPr>
  </w:style>
  <w:style w:type="paragraph" w:customStyle="1" w:styleId="25">
    <w:name w:val="Bibliography"/>
    <w:basedOn w:val="1"/>
    <w:qFormat/>
    <w:uiPriority w:val="0"/>
    <w:pPr>
      <w:tabs>
        <w:tab w:val="left" w:pos="504"/>
      </w:tabs>
      <w:ind w:left="504" w:hanging="504"/>
    </w:pPr>
  </w:style>
  <w:style w:type="character" w:customStyle="1" w:styleId="26">
    <w:name w:val="font01"/>
    <w:basedOn w:val="9"/>
    <w:qFormat/>
    <w:uiPriority w:val="0"/>
    <w:rPr>
      <w:rFonts w:hint="eastAsia" w:ascii="宋体" w:hAnsi="宋体" w:eastAsia="宋体" w:cs="宋体"/>
      <w:color w:val="000000"/>
      <w:sz w:val="22"/>
      <w:szCs w:val="22"/>
      <w:u w:val="none"/>
    </w:rPr>
  </w:style>
  <w:style w:type="character" w:customStyle="1" w:styleId="27">
    <w:name w:val="font11"/>
    <w:basedOn w:val="9"/>
    <w:qFormat/>
    <w:uiPriority w:val="0"/>
    <w:rPr>
      <w:rFonts w:hint="default" w:ascii="Times New Roman" w:hAnsi="Times New Roman" w:cs="Times New Roman"/>
      <w:color w:val="000000"/>
      <w:sz w:val="22"/>
      <w:szCs w:val="22"/>
      <w:u w:val="none"/>
    </w:rPr>
  </w:style>
  <w:style w:type="paragraph" w:customStyle="1" w:styleId="28">
    <w:name w:val="书目2"/>
    <w:basedOn w:val="1"/>
    <w:qFormat/>
    <w:uiPriority w:val="0"/>
    <w:pPr>
      <w:tabs>
        <w:tab w:val="left" w:pos="384"/>
      </w:tabs>
      <w:spacing w:after="240"/>
      <w:ind w:left="384" w:hanging="384"/>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3732</Words>
  <Characters>24154</Characters>
  <Lines>434</Lines>
  <Paragraphs>122</Paragraphs>
  <TotalTime>0</TotalTime>
  <ScaleCrop>false</ScaleCrop>
  <LinksUpToDate>false</LinksUpToDate>
  <CharactersWithSpaces>27571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ZURICH</cp:lastModifiedBy>
  <cp:lastPrinted>2022-04-22T06:21:00Z</cp:lastPrinted>
  <dcterms:modified xsi:type="dcterms:W3CDTF">2026-09-19T09:52:58Z</dcterms:modified>
  <dc:title>Microsoft Word - PRISMA 2009 Checklist.doc</dc:title>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D6307909A2F44ED7B684AB22C392BD71_13</vt:lpwstr>
  </property>
  <property fmtid="{D5CDD505-2E9C-101B-9397-08002B2CF9AE}" pid="4" name="KSOTemplateDocerSaveRecord">
    <vt:lpwstr>eyJoZGlkIjoiZjk3OTI3NDAwMWRkNjdkMjVlNGUzYzM4NDdjYzc0ZWQiLCJ1c2VySWQiOiIxMTA2NTU1OTMwIn0=</vt:lpwstr>
  </property>
</Properties>
</file>