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1FAD0" w14:textId="4DE348CC" w:rsidR="00D0159C" w:rsidRPr="003A4D37" w:rsidRDefault="00D0159C" w:rsidP="00D0159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A4D37">
        <w:rPr>
          <w:rFonts w:ascii="Times New Roman" w:hAnsi="Times New Roman" w:cs="Times New Roman"/>
          <w:color w:val="000000" w:themeColor="text1"/>
        </w:rPr>
        <w:t>Table S4. Comparison of Level 2 KEGG pathways</w:t>
      </w:r>
    </w:p>
    <w:tbl>
      <w:tblPr>
        <w:tblStyle w:val="TableGrid"/>
        <w:tblW w:w="9876" w:type="dxa"/>
        <w:jc w:val="center"/>
        <w:tblLook w:val="04A0" w:firstRow="1" w:lastRow="0" w:firstColumn="1" w:lastColumn="0" w:noHBand="0" w:noVBand="1"/>
      </w:tblPr>
      <w:tblGrid>
        <w:gridCol w:w="1738"/>
        <w:gridCol w:w="1185"/>
        <w:gridCol w:w="1185"/>
        <w:gridCol w:w="1185"/>
        <w:gridCol w:w="1185"/>
        <w:gridCol w:w="1185"/>
        <w:gridCol w:w="1186"/>
        <w:gridCol w:w="1027"/>
      </w:tblGrid>
      <w:tr w:rsidR="003A4D37" w:rsidRPr="003A4D37" w14:paraId="368BDAB7" w14:textId="77777777" w:rsidTr="008216CA">
        <w:trPr>
          <w:trHeight w:val="864"/>
          <w:jc w:val="center"/>
        </w:trPr>
        <w:tc>
          <w:tcPr>
            <w:tcW w:w="1738" w:type="dxa"/>
            <w:noWrap/>
            <w:hideMark/>
          </w:tcPr>
          <w:p w14:paraId="6E317CD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Level 2 KEGG pathways</w:t>
            </w:r>
            <w:bookmarkStart w:id="0" w:name="_GoBack"/>
            <w:bookmarkEnd w:id="0"/>
          </w:p>
        </w:tc>
        <w:tc>
          <w:tcPr>
            <w:tcW w:w="1185" w:type="dxa"/>
          </w:tcPr>
          <w:p w14:paraId="7B8F419B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 </w:t>
            </w: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value</w:t>
            </w:r>
          </w:p>
        </w:tc>
        <w:tc>
          <w:tcPr>
            <w:tcW w:w="1185" w:type="dxa"/>
            <w:noWrap/>
            <w:hideMark/>
          </w:tcPr>
          <w:p w14:paraId="41D4E11A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Resolved HBV vs. Healthy control </w:t>
            </w:r>
          </w:p>
        </w:tc>
        <w:tc>
          <w:tcPr>
            <w:tcW w:w="1185" w:type="dxa"/>
            <w:noWrap/>
            <w:hideMark/>
          </w:tcPr>
          <w:p w14:paraId="1ECC7DC9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Chronic hepatitis B vs. Healthy control</w:t>
            </w:r>
          </w:p>
        </w:tc>
        <w:tc>
          <w:tcPr>
            <w:tcW w:w="1185" w:type="dxa"/>
            <w:noWrap/>
            <w:hideMark/>
          </w:tcPr>
          <w:p w14:paraId="26024B9B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Advanced liver disease vs. Healthy control</w:t>
            </w:r>
          </w:p>
        </w:tc>
        <w:tc>
          <w:tcPr>
            <w:tcW w:w="1185" w:type="dxa"/>
            <w:noWrap/>
            <w:hideMark/>
          </w:tcPr>
          <w:p w14:paraId="411B4D01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Chronic hepatitis B vs. Resolved HBV</w:t>
            </w:r>
          </w:p>
        </w:tc>
        <w:tc>
          <w:tcPr>
            <w:tcW w:w="1186" w:type="dxa"/>
            <w:noWrap/>
            <w:hideMark/>
          </w:tcPr>
          <w:p w14:paraId="4F65F515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Advanced liver disease vs. Resolved HBV</w:t>
            </w:r>
          </w:p>
        </w:tc>
        <w:tc>
          <w:tcPr>
            <w:tcW w:w="1027" w:type="dxa"/>
            <w:noWrap/>
            <w:hideMark/>
          </w:tcPr>
          <w:p w14:paraId="1577F8A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Advanced liver disease vs. Chronic hepatitis B</w:t>
            </w:r>
          </w:p>
        </w:tc>
      </w:tr>
      <w:tr w:rsidR="003A4D37" w:rsidRPr="003A4D37" w14:paraId="35B13B91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E527E7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Aging</w:t>
            </w:r>
          </w:p>
        </w:tc>
        <w:tc>
          <w:tcPr>
            <w:tcW w:w="1185" w:type="dxa"/>
            <w:vAlign w:val="center"/>
          </w:tcPr>
          <w:p w14:paraId="2DCA68D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0.4545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9257A4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DD155D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2D683E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A8EFF4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AE2F4E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FDABDD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0.745</w:t>
            </w:r>
          </w:p>
        </w:tc>
      </w:tr>
      <w:tr w:rsidR="003A4D37" w:rsidRPr="003A4D37" w14:paraId="7F052AF3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6B470383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Amino acid metabolism</w:t>
            </w:r>
          </w:p>
        </w:tc>
        <w:tc>
          <w:tcPr>
            <w:tcW w:w="1185" w:type="dxa"/>
            <w:vAlign w:val="center"/>
          </w:tcPr>
          <w:p w14:paraId="1E5EB0A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0.0717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1AAC3A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F212CE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6C51D3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2FFC6B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9762EB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5EC22E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0.997</w:t>
            </w:r>
          </w:p>
        </w:tc>
      </w:tr>
      <w:tr w:rsidR="003A4D37" w:rsidRPr="003A4D37" w14:paraId="514C0281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44D9D7F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Biosynthesis of other secondary metabolites</w:t>
            </w:r>
          </w:p>
        </w:tc>
        <w:tc>
          <w:tcPr>
            <w:tcW w:w="1185" w:type="dxa"/>
            <w:vAlign w:val="center"/>
          </w:tcPr>
          <w:p w14:paraId="309FD64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ECEE2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27A735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EA7AA9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14868D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1EA5E2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72B403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0.525</w:t>
            </w:r>
          </w:p>
        </w:tc>
      </w:tr>
      <w:tr w:rsidR="003A4D37" w:rsidRPr="003A4D37" w14:paraId="2FCD4F00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6C08FE6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Cancer: overview</w:t>
            </w:r>
          </w:p>
        </w:tc>
        <w:tc>
          <w:tcPr>
            <w:tcW w:w="1185" w:type="dxa"/>
            <w:vAlign w:val="center"/>
          </w:tcPr>
          <w:p w14:paraId="3015AD8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0.0717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AB01A7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0F541E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BEEAEA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EAF5E8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8C9AE9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C3CB3D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0.548</w:t>
            </w:r>
          </w:p>
        </w:tc>
      </w:tr>
      <w:tr w:rsidR="003A4D37" w:rsidRPr="003A4D37" w14:paraId="04ACA8DB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25C766F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Cancer: specific types</w:t>
            </w:r>
          </w:p>
        </w:tc>
        <w:tc>
          <w:tcPr>
            <w:tcW w:w="1185" w:type="dxa"/>
            <w:vAlign w:val="center"/>
          </w:tcPr>
          <w:p w14:paraId="60386C7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FA52F7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F1A270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958A9F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97C26F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AEFB63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0.413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92DFF6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0.430</w:t>
            </w:r>
          </w:p>
        </w:tc>
      </w:tr>
      <w:tr w:rsidR="003A4D37" w:rsidRPr="003A4D37" w14:paraId="04B74C58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6ED68C22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Carbohydrate metabolism</w:t>
            </w:r>
          </w:p>
        </w:tc>
        <w:tc>
          <w:tcPr>
            <w:tcW w:w="1185" w:type="dxa"/>
            <w:vAlign w:val="center"/>
          </w:tcPr>
          <w:p w14:paraId="37CAE57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DD2F76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16A021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ADECD8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0805F9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7E09EF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0.852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F3E510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0.996</w:t>
            </w:r>
          </w:p>
        </w:tc>
      </w:tr>
      <w:tr w:rsidR="003A4D37" w:rsidRPr="003A4D37" w14:paraId="1B2526D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6F8746F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185" w:type="dxa"/>
            <w:vAlign w:val="center"/>
          </w:tcPr>
          <w:p w14:paraId="04977D1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0.7532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2A6F97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ABCBB0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55F8D8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DC53E4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2F3C3A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0.774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CA6840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0.903</w:t>
            </w:r>
          </w:p>
        </w:tc>
      </w:tr>
      <w:tr w:rsidR="003A4D37" w:rsidRPr="003A4D37" w14:paraId="2CB8A03C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B4FD574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Cell growth and death</w:t>
            </w:r>
          </w:p>
        </w:tc>
        <w:tc>
          <w:tcPr>
            <w:tcW w:w="1185" w:type="dxa"/>
            <w:vAlign w:val="center"/>
          </w:tcPr>
          <w:p w14:paraId="40BCAAB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0ED235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4718EA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37B8D6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5EC098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B371FF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CD32ED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0.622</w:t>
            </w:r>
          </w:p>
        </w:tc>
      </w:tr>
      <w:tr w:rsidR="003A4D37" w:rsidRPr="003A4D37" w14:paraId="6BFE217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41E7E521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Cell motility</w:t>
            </w:r>
          </w:p>
        </w:tc>
        <w:tc>
          <w:tcPr>
            <w:tcW w:w="1185" w:type="dxa"/>
            <w:vAlign w:val="center"/>
          </w:tcPr>
          <w:p w14:paraId="784DF9D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0.0085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27627D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9E407D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C0E035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0A430C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5F0E17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507817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</w:tr>
      <w:tr w:rsidR="003A4D37" w:rsidRPr="003A4D37" w14:paraId="29F003B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F55F83F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Cellular community - eukaryotes</w:t>
            </w:r>
          </w:p>
        </w:tc>
        <w:tc>
          <w:tcPr>
            <w:tcW w:w="1185" w:type="dxa"/>
            <w:vAlign w:val="center"/>
          </w:tcPr>
          <w:p w14:paraId="702136A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0.5772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53B174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6F92B5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00101C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1ACE55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0E7E69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B87205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3A4D37" w:rsidRPr="003A4D37" w14:paraId="411B5CC4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7CA7A95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Cellular community - prokaryotes</w:t>
            </w:r>
          </w:p>
        </w:tc>
        <w:tc>
          <w:tcPr>
            <w:tcW w:w="1185" w:type="dxa"/>
            <w:vAlign w:val="center"/>
          </w:tcPr>
          <w:p w14:paraId="2DCDABC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644B31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49818A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9F5C20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422B70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2D471D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B2121D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0.904</w:t>
            </w:r>
          </w:p>
        </w:tc>
      </w:tr>
      <w:tr w:rsidR="003A4D37" w:rsidRPr="003A4D37" w14:paraId="6B7C82D9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51C29F32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Circulatory system</w:t>
            </w:r>
          </w:p>
        </w:tc>
        <w:tc>
          <w:tcPr>
            <w:tcW w:w="1185" w:type="dxa"/>
            <w:vAlign w:val="center"/>
          </w:tcPr>
          <w:p w14:paraId="326232C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C41FE0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ABB9D0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A82DB0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91A313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CDF5E0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0.986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0280CB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3A4D37" w:rsidRPr="003A4D37" w14:paraId="64E428E3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2B4ABC8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Development and regeneration</w:t>
            </w:r>
          </w:p>
        </w:tc>
        <w:tc>
          <w:tcPr>
            <w:tcW w:w="1185" w:type="dxa"/>
            <w:vAlign w:val="center"/>
          </w:tcPr>
          <w:p w14:paraId="082ECF5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0.0310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6D4A1C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64F4E7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B814E9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AB1F01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7559E3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AA4873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0.742</w:t>
            </w:r>
          </w:p>
        </w:tc>
      </w:tr>
      <w:tr w:rsidR="003A4D37" w:rsidRPr="003A4D37" w14:paraId="65A7FAA1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001797D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Digestive system</w:t>
            </w:r>
          </w:p>
        </w:tc>
        <w:tc>
          <w:tcPr>
            <w:tcW w:w="1185" w:type="dxa"/>
            <w:vAlign w:val="center"/>
          </w:tcPr>
          <w:p w14:paraId="739E6EE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0.2925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0115A2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4BB5F1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33C74B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156452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5A7DD9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3ED677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0.968</w:t>
            </w:r>
          </w:p>
        </w:tc>
      </w:tr>
      <w:tr w:rsidR="003A4D37" w:rsidRPr="003A4D37" w14:paraId="6A63C6AC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846D29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Drug resistance: antimicrobial</w:t>
            </w:r>
          </w:p>
        </w:tc>
        <w:tc>
          <w:tcPr>
            <w:tcW w:w="1185" w:type="dxa"/>
            <w:vAlign w:val="center"/>
          </w:tcPr>
          <w:p w14:paraId="500AF95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00BBDC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D7CEA0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C2A6A0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233636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878D81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0.292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F07696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0.852</w:t>
            </w:r>
          </w:p>
        </w:tc>
      </w:tr>
      <w:tr w:rsidR="003A4D37" w:rsidRPr="003A4D37" w14:paraId="139ADBF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0C9930C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Drug resistance: antineoplastic</w:t>
            </w:r>
          </w:p>
        </w:tc>
        <w:tc>
          <w:tcPr>
            <w:tcW w:w="1185" w:type="dxa"/>
            <w:vAlign w:val="center"/>
          </w:tcPr>
          <w:p w14:paraId="201AEFA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0.5554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469A22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37E97F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A99E5B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D0E22F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25FA81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0.882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AC0055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0.832</w:t>
            </w:r>
          </w:p>
        </w:tc>
      </w:tr>
      <w:tr w:rsidR="003A4D37" w:rsidRPr="003A4D37" w14:paraId="6DFB535B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6F54D0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Endocrine and metabolic disease</w:t>
            </w:r>
          </w:p>
        </w:tc>
        <w:tc>
          <w:tcPr>
            <w:tcW w:w="1185" w:type="dxa"/>
            <w:vAlign w:val="center"/>
          </w:tcPr>
          <w:p w14:paraId="7B98C52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0.0180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ED0718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DA0851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21E818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75CA88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8BB417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2CBC2C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0.998</w:t>
            </w:r>
          </w:p>
        </w:tc>
      </w:tr>
      <w:tr w:rsidR="003A4D37" w:rsidRPr="003A4D37" w14:paraId="33499B4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5DB9C3D1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Endocrine system</w:t>
            </w:r>
          </w:p>
        </w:tc>
        <w:tc>
          <w:tcPr>
            <w:tcW w:w="1185" w:type="dxa"/>
            <w:vAlign w:val="center"/>
          </w:tcPr>
          <w:p w14:paraId="3A9A093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2601FC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CAEFF5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0875AD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3B5C69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F90AE2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C75EE7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0.420</w:t>
            </w:r>
          </w:p>
        </w:tc>
      </w:tr>
      <w:tr w:rsidR="003A4D37" w:rsidRPr="003A4D37" w14:paraId="6B3613F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9D6C30B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Energy metabolism</w:t>
            </w:r>
          </w:p>
        </w:tc>
        <w:tc>
          <w:tcPr>
            <w:tcW w:w="1185" w:type="dxa"/>
            <w:vAlign w:val="center"/>
          </w:tcPr>
          <w:p w14:paraId="2F05451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837E01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29BB0D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9DADDB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C78EA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5DA907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CE43E4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0.704</w:t>
            </w:r>
          </w:p>
        </w:tc>
      </w:tr>
      <w:tr w:rsidR="003A4D37" w:rsidRPr="003A4D37" w14:paraId="16486A7F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4A8D355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Environmental adaptation</w:t>
            </w:r>
          </w:p>
        </w:tc>
        <w:tc>
          <w:tcPr>
            <w:tcW w:w="1185" w:type="dxa"/>
            <w:vAlign w:val="center"/>
          </w:tcPr>
          <w:p w14:paraId="2BC02D3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69429F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D1ADA6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A39439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1E2A4B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ED6B8E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E816D3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0.788</w:t>
            </w:r>
          </w:p>
        </w:tc>
      </w:tr>
      <w:tr w:rsidR="003A4D37" w:rsidRPr="003A4D37" w14:paraId="2D4C5D96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32A397D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Excretory system</w:t>
            </w:r>
          </w:p>
        </w:tc>
        <w:tc>
          <w:tcPr>
            <w:tcW w:w="1185" w:type="dxa"/>
            <w:vAlign w:val="center"/>
          </w:tcPr>
          <w:p w14:paraId="35EC68D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0.9024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97E163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527BC6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072EB7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3C03BB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0BF2B7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0F2CA6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0.815</w:t>
            </w:r>
          </w:p>
        </w:tc>
      </w:tr>
      <w:tr w:rsidR="003A4D37" w:rsidRPr="003A4D37" w14:paraId="30E4052E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65AF20ED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Folding, sorting and degradation</w:t>
            </w:r>
          </w:p>
        </w:tc>
        <w:tc>
          <w:tcPr>
            <w:tcW w:w="1185" w:type="dxa"/>
            <w:vAlign w:val="center"/>
          </w:tcPr>
          <w:p w14:paraId="0A8F115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0.5947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D99305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8E13FF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460D5C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1F7143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ECEFC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5CB3CB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0.957</w:t>
            </w:r>
          </w:p>
        </w:tc>
      </w:tr>
      <w:tr w:rsidR="003A4D37" w:rsidRPr="003A4D37" w14:paraId="3C75A248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6A77600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Glycan biosynthesis and metabolism</w:t>
            </w:r>
          </w:p>
        </w:tc>
        <w:tc>
          <w:tcPr>
            <w:tcW w:w="1185" w:type="dxa"/>
            <w:vAlign w:val="center"/>
          </w:tcPr>
          <w:p w14:paraId="5166B1F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BC74ED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8295C3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5C35B0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289275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2B6123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DE6707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</w:t>
            </w:r>
          </w:p>
        </w:tc>
      </w:tr>
      <w:tr w:rsidR="003A4D37" w:rsidRPr="003A4D37" w14:paraId="6E50C6DA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7DF7336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Immune disease</w:t>
            </w:r>
          </w:p>
        </w:tc>
        <w:tc>
          <w:tcPr>
            <w:tcW w:w="1185" w:type="dxa"/>
            <w:vAlign w:val="center"/>
          </w:tcPr>
          <w:p w14:paraId="225383E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0.0137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8F92CD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A39CC6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6629FB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0973B8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4D46FE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0.901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4D5EF7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0.336</w:t>
            </w:r>
          </w:p>
        </w:tc>
      </w:tr>
      <w:tr w:rsidR="003A4D37" w:rsidRPr="003A4D37" w14:paraId="151DC3E5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BE9877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Immune system</w:t>
            </w:r>
          </w:p>
        </w:tc>
        <w:tc>
          <w:tcPr>
            <w:tcW w:w="1185" w:type="dxa"/>
            <w:vAlign w:val="center"/>
          </w:tcPr>
          <w:p w14:paraId="38FFAEA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0.1063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3DB701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4680A2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65983C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32169C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3E47E4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FCDCC2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0.598</w:t>
            </w:r>
          </w:p>
        </w:tc>
      </w:tr>
      <w:tr w:rsidR="003A4D37" w:rsidRPr="003A4D37" w14:paraId="078C8DC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1F0E5DC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Infectious disease: bacterial</w:t>
            </w:r>
          </w:p>
        </w:tc>
        <w:tc>
          <w:tcPr>
            <w:tcW w:w="1185" w:type="dxa"/>
            <w:vAlign w:val="center"/>
          </w:tcPr>
          <w:p w14:paraId="01AEEF3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F1B864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DFAB98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6ABF37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DA8E9E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4217D6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0.461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3D4033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0.954</w:t>
            </w:r>
          </w:p>
        </w:tc>
      </w:tr>
      <w:tr w:rsidR="003A4D37" w:rsidRPr="003A4D37" w14:paraId="78052FC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626FC1B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Infectious disease: parasitic</w:t>
            </w:r>
          </w:p>
        </w:tc>
        <w:tc>
          <w:tcPr>
            <w:tcW w:w="1185" w:type="dxa"/>
            <w:vAlign w:val="center"/>
          </w:tcPr>
          <w:p w14:paraId="10A26D3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245269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1E6EEA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35EA7E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15B3E8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47A881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BC3223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0.943</w:t>
            </w:r>
          </w:p>
        </w:tc>
      </w:tr>
      <w:tr w:rsidR="003A4D37" w:rsidRPr="003A4D37" w14:paraId="4B0ECE75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A062F1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Infectious disease: viral</w:t>
            </w:r>
          </w:p>
        </w:tc>
        <w:tc>
          <w:tcPr>
            <w:tcW w:w="1185" w:type="dxa"/>
            <w:vAlign w:val="center"/>
          </w:tcPr>
          <w:p w14:paraId="5A4A85A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7F696A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9FEAB4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9FECE5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F3EB4E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3ADC3F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C44160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0.737</w:t>
            </w:r>
          </w:p>
        </w:tc>
      </w:tr>
      <w:tr w:rsidR="003A4D37" w:rsidRPr="003A4D37" w14:paraId="15725CB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2134143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Information processing in viruses</w:t>
            </w:r>
          </w:p>
        </w:tc>
        <w:tc>
          <w:tcPr>
            <w:tcW w:w="1185" w:type="dxa"/>
            <w:vAlign w:val="center"/>
          </w:tcPr>
          <w:p w14:paraId="07BB6A4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0.3003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BE7FA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D935D7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974D37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1E0D85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9D85B3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0.996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C30567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0.983</w:t>
            </w:r>
          </w:p>
        </w:tc>
      </w:tr>
      <w:tr w:rsidR="003A4D37" w:rsidRPr="003A4D37" w14:paraId="0A066298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5F5B9C9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Lipid metabolism</w:t>
            </w:r>
          </w:p>
        </w:tc>
        <w:tc>
          <w:tcPr>
            <w:tcW w:w="1185" w:type="dxa"/>
            <w:vAlign w:val="center"/>
          </w:tcPr>
          <w:p w14:paraId="58932AF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0E424F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B6AEC6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FFBE8A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18781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BC5456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A04824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0.937</w:t>
            </w:r>
          </w:p>
        </w:tc>
      </w:tr>
      <w:tr w:rsidR="003A4D37" w:rsidRPr="003A4D37" w14:paraId="0CCAE219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201064F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Membrane transport</w:t>
            </w:r>
          </w:p>
        </w:tc>
        <w:tc>
          <w:tcPr>
            <w:tcW w:w="1185" w:type="dxa"/>
            <w:vAlign w:val="center"/>
          </w:tcPr>
          <w:p w14:paraId="6C5BDB2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AF3CBA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5D78C3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92B2B0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81F11A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AF4E02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0.725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F48F42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0.787</w:t>
            </w:r>
          </w:p>
        </w:tc>
      </w:tr>
      <w:tr w:rsidR="003A4D37" w:rsidRPr="003A4D37" w14:paraId="795EB3F8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5E50847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Metabolism of cofactors and vitamins</w:t>
            </w:r>
          </w:p>
        </w:tc>
        <w:tc>
          <w:tcPr>
            <w:tcW w:w="1185" w:type="dxa"/>
            <w:vAlign w:val="center"/>
          </w:tcPr>
          <w:p w14:paraId="51F6A99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0.0088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D4CF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53ADC7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29BC9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234DF7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16EE1A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5D4A22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0.969</w:t>
            </w:r>
          </w:p>
        </w:tc>
      </w:tr>
      <w:tr w:rsidR="003A4D37" w:rsidRPr="003A4D37" w14:paraId="205C725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412B3BA3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Metabolism of other amino acids</w:t>
            </w:r>
          </w:p>
        </w:tc>
        <w:tc>
          <w:tcPr>
            <w:tcW w:w="1185" w:type="dxa"/>
            <w:vAlign w:val="center"/>
          </w:tcPr>
          <w:p w14:paraId="329BB08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0.4786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9CF525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19637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AED8AD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5F550D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F2A70E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0.252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A39A42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0.838</w:t>
            </w:r>
          </w:p>
        </w:tc>
      </w:tr>
      <w:tr w:rsidR="003A4D37" w:rsidRPr="003A4D37" w14:paraId="7FF1EF43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59A8610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Metabolism of </w:t>
            </w:r>
            <w:proofErr w:type="spellStart"/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terpenoids</w:t>
            </w:r>
            <w:proofErr w:type="spellEnd"/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and polyketides</w:t>
            </w:r>
          </w:p>
        </w:tc>
        <w:tc>
          <w:tcPr>
            <w:tcW w:w="1185" w:type="dxa"/>
            <w:vAlign w:val="center"/>
          </w:tcPr>
          <w:p w14:paraId="6415D83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514D65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B6F234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1A8BDD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188E9A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C789D3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A32F51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0.317</w:t>
            </w:r>
          </w:p>
        </w:tc>
      </w:tr>
      <w:tr w:rsidR="003A4D37" w:rsidRPr="003A4D37" w14:paraId="05B1CB7C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F74D11A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Nervous system</w:t>
            </w:r>
          </w:p>
        </w:tc>
        <w:tc>
          <w:tcPr>
            <w:tcW w:w="1185" w:type="dxa"/>
            <w:vAlign w:val="center"/>
          </w:tcPr>
          <w:p w14:paraId="3F86C4B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035541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8E86F6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8072D0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656E7C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F071B74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EB520A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0.848</w:t>
            </w:r>
          </w:p>
        </w:tc>
      </w:tr>
      <w:tr w:rsidR="003A4D37" w:rsidRPr="003A4D37" w14:paraId="79AD6D5B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0D8056E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Neurodegenerative disease</w:t>
            </w:r>
          </w:p>
        </w:tc>
        <w:tc>
          <w:tcPr>
            <w:tcW w:w="1185" w:type="dxa"/>
            <w:vAlign w:val="center"/>
          </w:tcPr>
          <w:p w14:paraId="4A54F4F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0.9024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846CE2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F5F4B8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5E1CEC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2C602A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161A00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9443B8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0.908</w:t>
            </w:r>
          </w:p>
        </w:tc>
      </w:tr>
      <w:tr w:rsidR="003A4D37" w:rsidRPr="003A4D37" w14:paraId="7FFC0B9F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D4933CC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Nucleotide metabolism</w:t>
            </w:r>
          </w:p>
        </w:tc>
        <w:tc>
          <w:tcPr>
            <w:tcW w:w="1185" w:type="dxa"/>
            <w:vAlign w:val="center"/>
          </w:tcPr>
          <w:p w14:paraId="4C54D6C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0.4545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DC0569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6C62DC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BD7062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314F93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6A9790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E95481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0.908</w:t>
            </w:r>
          </w:p>
        </w:tc>
      </w:tr>
      <w:tr w:rsidR="003A4D37" w:rsidRPr="003A4D37" w14:paraId="266F8230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356CE79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Replication and repair</w:t>
            </w:r>
          </w:p>
        </w:tc>
        <w:tc>
          <w:tcPr>
            <w:tcW w:w="1185" w:type="dxa"/>
            <w:vAlign w:val="center"/>
          </w:tcPr>
          <w:p w14:paraId="343BA73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0.5947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F8B9A3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9A8F02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111C17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138B08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6D8F5E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C5E3DA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0.832</w:t>
            </w:r>
          </w:p>
        </w:tc>
      </w:tr>
      <w:tr w:rsidR="003A4D37" w:rsidRPr="003A4D37" w14:paraId="6A381073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1EE23B77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Signal transduction</w:t>
            </w:r>
          </w:p>
        </w:tc>
        <w:tc>
          <w:tcPr>
            <w:tcW w:w="1185" w:type="dxa"/>
            <w:vAlign w:val="center"/>
          </w:tcPr>
          <w:p w14:paraId="680FF76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7932CF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430036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100395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0A3FEF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E7A280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0.621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F5E282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0.865</w:t>
            </w:r>
          </w:p>
        </w:tc>
      </w:tr>
      <w:tr w:rsidR="003A4D37" w:rsidRPr="003A4D37" w14:paraId="2A64D047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03DBFE46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Signaling molecules and interaction</w:t>
            </w:r>
          </w:p>
        </w:tc>
        <w:tc>
          <w:tcPr>
            <w:tcW w:w="1185" w:type="dxa"/>
            <w:vAlign w:val="center"/>
          </w:tcPr>
          <w:p w14:paraId="29B6658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0.9819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56191F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B293A6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7B21F1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75F8C8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79DC77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0.981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AFB011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0.913</w:t>
            </w:r>
          </w:p>
        </w:tc>
      </w:tr>
      <w:tr w:rsidR="003A4D37" w:rsidRPr="003A4D37" w14:paraId="7E69CE15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78970B3B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Substance dependence</w:t>
            </w:r>
          </w:p>
        </w:tc>
        <w:tc>
          <w:tcPr>
            <w:tcW w:w="1185" w:type="dxa"/>
            <w:vAlign w:val="center"/>
          </w:tcPr>
          <w:p w14:paraId="5596D5A9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0.0174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68F9EB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EC8C90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17D485E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4F22CF6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57AA6DD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D6031F8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3A4D37" w:rsidRPr="003A4D37" w14:paraId="4DBBE762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C13F769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Transcription</w:t>
            </w:r>
          </w:p>
        </w:tc>
        <w:tc>
          <w:tcPr>
            <w:tcW w:w="1185" w:type="dxa"/>
            <w:vAlign w:val="center"/>
          </w:tcPr>
          <w:p w14:paraId="650753A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0.0353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522209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94812C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D05F7D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90119B7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A4466E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D2DB66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0.871</w:t>
            </w:r>
          </w:p>
        </w:tc>
      </w:tr>
      <w:tr w:rsidR="003A4D37" w:rsidRPr="003A4D37" w14:paraId="79A85650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3CA88380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Translation</w:t>
            </w:r>
          </w:p>
        </w:tc>
        <w:tc>
          <w:tcPr>
            <w:tcW w:w="1185" w:type="dxa"/>
            <w:vAlign w:val="center"/>
          </w:tcPr>
          <w:p w14:paraId="27C9AAB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0.3886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A78A9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C7DC28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F9DEF3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8EE25C2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32B602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214F930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0.655</w:t>
            </w:r>
          </w:p>
        </w:tc>
      </w:tr>
      <w:tr w:rsidR="003A4D37" w:rsidRPr="003A4D37" w14:paraId="06E8E16F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4A043DE4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Transport and catabolism</w:t>
            </w:r>
          </w:p>
        </w:tc>
        <w:tc>
          <w:tcPr>
            <w:tcW w:w="1185" w:type="dxa"/>
            <w:vAlign w:val="center"/>
          </w:tcPr>
          <w:p w14:paraId="1FC723E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5BA1B9B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FC1E15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BEEFD9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A830655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F96D67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8AED9DE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3A4D37" w:rsidRPr="003A4D37" w14:paraId="05A2F224" w14:textId="77777777" w:rsidTr="008216CA">
        <w:trPr>
          <w:trHeight w:val="324"/>
          <w:jc w:val="center"/>
        </w:trPr>
        <w:tc>
          <w:tcPr>
            <w:tcW w:w="1738" w:type="dxa"/>
            <w:noWrap/>
            <w:hideMark/>
          </w:tcPr>
          <w:p w14:paraId="2F1D1340" w14:textId="77777777" w:rsidR="00D0159C" w:rsidRPr="003A4D37" w:rsidRDefault="00D0159C" w:rsidP="008216CA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A4D37">
              <w:rPr>
                <w:rFonts w:ascii="Times New Roman" w:eastAsia="PMingLiU" w:hAnsi="Times New Roman" w:cs="Times New Roman"/>
                <w:color w:val="000000" w:themeColor="text1"/>
                <w:kern w:val="0"/>
                <w:sz w:val="20"/>
                <w:szCs w:val="20"/>
              </w:rPr>
              <w:t>Xenobiotics biodegradation and metabolism</w:t>
            </w:r>
          </w:p>
        </w:tc>
        <w:tc>
          <w:tcPr>
            <w:tcW w:w="1185" w:type="dxa"/>
            <w:vAlign w:val="center"/>
          </w:tcPr>
          <w:p w14:paraId="0978535F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823242C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272FA2D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9862F46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BD07A3A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7EDEF31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DFE08C3" w14:textId="77777777" w:rsidR="00D0159C" w:rsidRPr="003A4D37" w:rsidRDefault="00D0159C" w:rsidP="00821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4D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0.488</w:t>
            </w:r>
          </w:p>
        </w:tc>
      </w:tr>
    </w:tbl>
    <w:p w14:paraId="11CFA6E5" w14:textId="784F360C" w:rsidR="000A350D" w:rsidRPr="003A4D37" w:rsidRDefault="00E8337A">
      <w:pPr>
        <w:rPr>
          <w:color w:val="000000" w:themeColor="text1"/>
        </w:rPr>
      </w:pPr>
      <w:r w:rsidRPr="003A4D37">
        <w:rPr>
          <w:rFonts w:ascii="Times New Roman" w:hAnsi="Times New Roman" w:cs="Times New Roman"/>
          <w:color w:val="000000" w:themeColor="text1"/>
        </w:rPr>
        <w:t xml:space="preserve">All </w:t>
      </w:r>
      <w:r w:rsidRPr="003A4D37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3A4D37">
        <w:rPr>
          <w:rFonts w:ascii="Times New Roman" w:hAnsi="Times New Roman" w:cs="Times New Roman"/>
          <w:color w:val="000000" w:themeColor="text1"/>
        </w:rPr>
        <w:t xml:space="preserve">values reported were adjusted by the </w:t>
      </w:r>
      <w:proofErr w:type="spellStart"/>
      <w:r w:rsidRPr="003A4D37">
        <w:rPr>
          <w:rFonts w:ascii="Times New Roman" w:hAnsi="Times New Roman" w:cs="Times New Roman"/>
          <w:color w:val="000000" w:themeColor="text1"/>
        </w:rPr>
        <w:t>Benjamini</w:t>
      </w:r>
      <w:proofErr w:type="spellEnd"/>
      <w:r w:rsidRPr="003A4D37">
        <w:rPr>
          <w:rFonts w:ascii="Times New Roman" w:hAnsi="Times New Roman" w:cs="Times New Roman"/>
          <w:color w:val="000000" w:themeColor="text1"/>
        </w:rPr>
        <w:t>-Hochberg procedure</w:t>
      </w:r>
      <w:r w:rsidR="00F76FC4" w:rsidRPr="003A4D37">
        <w:rPr>
          <w:rFonts w:ascii="Times New Roman" w:hAnsi="Times New Roman" w:cs="Times New Roman"/>
          <w:color w:val="000000" w:themeColor="text1"/>
        </w:rPr>
        <w:t>.</w:t>
      </w:r>
    </w:p>
    <w:sectPr w:rsidR="000A350D" w:rsidRPr="003A4D37" w:rsidSect="003A4D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63"/>
    <w:rsid w:val="000A350D"/>
    <w:rsid w:val="000F3992"/>
    <w:rsid w:val="000F63D0"/>
    <w:rsid w:val="00167CFA"/>
    <w:rsid w:val="00171741"/>
    <w:rsid w:val="002A7CCF"/>
    <w:rsid w:val="00330B89"/>
    <w:rsid w:val="003A4D37"/>
    <w:rsid w:val="003E2863"/>
    <w:rsid w:val="00455851"/>
    <w:rsid w:val="00491307"/>
    <w:rsid w:val="00495B5F"/>
    <w:rsid w:val="004E05F1"/>
    <w:rsid w:val="00670A52"/>
    <w:rsid w:val="006A3FD5"/>
    <w:rsid w:val="00735783"/>
    <w:rsid w:val="00787C1B"/>
    <w:rsid w:val="0080678A"/>
    <w:rsid w:val="0086146D"/>
    <w:rsid w:val="008775E3"/>
    <w:rsid w:val="00891654"/>
    <w:rsid w:val="00896766"/>
    <w:rsid w:val="00924A01"/>
    <w:rsid w:val="0094144A"/>
    <w:rsid w:val="009A01E1"/>
    <w:rsid w:val="00A04EB9"/>
    <w:rsid w:val="00A356FF"/>
    <w:rsid w:val="00B226D1"/>
    <w:rsid w:val="00B90799"/>
    <w:rsid w:val="00C02CD4"/>
    <w:rsid w:val="00CD27FE"/>
    <w:rsid w:val="00D0159C"/>
    <w:rsid w:val="00D11F87"/>
    <w:rsid w:val="00DB46AD"/>
    <w:rsid w:val="00DD13AB"/>
    <w:rsid w:val="00E8337A"/>
    <w:rsid w:val="00E95102"/>
    <w:rsid w:val="00F01B74"/>
    <w:rsid w:val="00F7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A15B"/>
  <w15:chartTrackingRefBased/>
  <w15:docId w15:val="{425A096E-D156-F24E-BDCE-7A1C5669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863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86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MengJu Lin</dc:creator>
  <cp:keywords/>
  <dc:description/>
  <cp:lastModifiedBy>Chandravadhana Ramesh</cp:lastModifiedBy>
  <cp:revision>11</cp:revision>
  <dcterms:created xsi:type="dcterms:W3CDTF">2023-02-16T07:53:00Z</dcterms:created>
  <dcterms:modified xsi:type="dcterms:W3CDTF">2023-05-05T12:37:00Z</dcterms:modified>
</cp:coreProperties>
</file>