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3935" w14:textId="77777777" w:rsidR="00FF0C12" w:rsidRPr="009E6464" w:rsidRDefault="00FF0C12" w:rsidP="00FF0C12">
      <w:pPr>
        <w:jc w:val="center"/>
        <w:rPr>
          <w:rFonts w:ascii="Arial" w:hAnsi="Arial" w:cs="Arial"/>
          <w:b/>
          <w:bCs/>
          <w:iCs/>
          <w:color w:val="000000" w:themeColor="text1"/>
          <w:shd w:val="clear" w:color="auto" w:fill="FCFCFC"/>
          <w:lang w:val="en-GB"/>
        </w:rPr>
      </w:pPr>
      <w:r w:rsidRPr="009E6464">
        <w:rPr>
          <w:rFonts w:ascii="Arial" w:hAnsi="Arial" w:cs="Arial"/>
          <w:b/>
          <w:bCs/>
          <w:iCs/>
          <w:color w:val="000000" w:themeColor="text1"/>
          <w:shd w:val="clear" w:color="auto" w:fill="FCFCFC"/>
          <w:lang w:val="en-GB"/>
        </w:rPr>
        <w:t>Supplementary Materials</w:t>
      </w:r>
    </w:p>
    <w:p w14:paraId="4F5E6F02" w14:textId="77777777" w:rsidR="00FF0C12" w:rsidRPr="009E6464" w:rsidRDefault="00FF0C12" w:rsidP="00FF0C12">
      <w:pPr>
        <w:rPr>
          <w:rFonts w:ascii="Arial" w:hAnsi="Arial" w:cs="Arial"/>
          <w:b/>
          <w:bCs/>
          <w:color w:val="000000" w:themeColor="text1"/>
        </w:rPr>
      </w:pPr>
      <w:r w:rsidRPr="009E6464">
        <w:rPr>
          <w:rFonts w:ascii="Arial" w:hAnsi="Arial" w:cs="Arial"/>
          <w:b/>
          <w:bCs/>
          <w:color w:val="000000" w:themeColor="text1"/>
        </w:rPr>
        <w:t>Network inference of gut microbial communities in a multiple sclerosis cohort with Mycobacterium avium subspecies paratuberculosis infection</w:t>
      </w:r>
    </w:p>
    <w:p w14:paraId="74D587E0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color w:val="000000" w:themeColor="text1"/>
          <w:lang w:val="it-IT"/>
        </w:rPr>
      </w:pPr>
      <w:proofErr w:type="spellStart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Hajra</w:t>
      </w:r>
      <w:proofErr w:type="spellEnd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 Ashraf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1,4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, </w:t>
      </w:r>
      <w:proofErr w:type="spellStart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Plamena</w:t>
      </w:r>
      <w:proofErr w:type="spellEnd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 Dikarlo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2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,</w:t>
      </w:r>
      <w:r w:rsidRPr="009E6464">
        <w:rPr>
          <w:rFonts w:ascii="Arial" w:hAnsi="Arial" w:cs="Arial"/>
          <w:color w:val="000000" w:themeColor="text1"/>
          <w:lang w:val="it-IT"/>
        </w:rPr>
        <w:t xml:space="preserve"> Aurora Masia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3</w:t>
      </w:r>
      <w:r w:rsidRPr="009E6464">
        <w:rPr>
          <w:rFonts w:ascii="Arial" w:hAnsi="Arial" w:cs="Arial"/>
          <w:color w:val="000000" w:themeColor="text1"/>
          <w:lang w:val="it-IT"/>
        </w:rPr>
        <w:t xml:space="preserve">, 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Ignazio R. Zarbo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3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, Paolo Solla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3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, </w:t>
      </w:r>
      <w:proofErr w:type="spellStart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Umer</w:t>
      </w:r>
      <w:proofErr w:type="spellEnd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 </w:t>
      </w:r>
      <w:proofErr w:type="spellStart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>Zeeshan</w:t>
      </w:r>
      <w:proofErr w:type="spellEnd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 Ijaz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4,5,</w:t>
      </w:r>
      <w:proofErr w:type="gramStart"/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6,*</w:t>
      </w:r>
      <w:proofErr w:type="gramEnd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it-IT"/>
        </w:rPr>
        <w:t xml:space="preserve">, </w:t>
      </w:r>
      <w:r w:rsidRPr="009E6464">
        <w:rPr>
          <w:rFonts w:ascii="Arial" w:hAnsi="Arial" w:cs="Arial"/>
          <w:bCs/>
          <w:iCs/>
          <w:color w:val="000000" w:themeColor="text1"/>
          <w:shd w:val="clear" w:color="auto" w:fill="FFFFFF"/>
          <w:lang w:val="it-IT"/>
        </w:rPr>
        <w:t>Leonardo A. Sechi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it-IT"/>
        </w:rPr>
        <w:t>1,7,*</w:t>
      </w:r>
    </w:p>
    <w:p w14:paraId="3ECA88A6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>1</w:t>
      </w:r>
      <w:r w:rsidRPr="009E6464">
        <w:rPr>
          <w:rFonts w:ascii="Arial" w:hAnsi="Arial" w:cs="Arial"/>
          <w:iCs/>
          <w:color w:val="000000" w:themeColor="text1"/>
        </w:rPr>
        <w:t>Department of Biomedical Sciences; University of Sassari, Sassari, Italy</w:t>
      </w:r>
    </w:p>
    <w:p w14:paraId="7AE90DE9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shd w:val="clear" w:color="auto" w:fill="FCFCFC"/>
          <w:lang w:val="de-DE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  <w:lang w:val="de-DE"/>
        </w:rPr>
        <w:t>2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de-DE"/>
        </w:rPr>
        <w:t xml:space="preserve">BIOMES NGS GmbH, </w:t>
      </w:r>
      <w:proofErr w:type="spellStart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de-DE"/>
        </w:rPr>
        <w:t>Schwartzkopffstraße</w:t>
      </w:r>
      <w:proofErr w:type="spellEnd"/>
      <w:r w:rsidRPr="009E6464">
        <w:rPr>
          <w:rFonts w:ascii="Arial" w:hAnsi="Arial" w:cs="Arial"/>
          <w:iCs/>
          <w:color w:val="000000" w:themeColor="text1"/>
          <w:shd w:val="clear" w:color="auto" w:fill="FCFCFC"/>
          <w:lang w:val="de-DE"/>
        </w:rPr>
        <w:t xml:space="preserve"> 1, 15745, Halle 21, Wildau, Germany</w:t>
      </w:r>
    </w:p>
    <w:p w14:paraId="59C79A08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shd w:val="clear" w:color="auto" w:fill="FCFCFC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>3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</w:rPr>
        <w:t>Department of Medicine and Pharmacy, Neurology, University of Sassari, Italy</w:t>
      </w:r>
    </w:p>
    <w:p w14:paraId="596CFE72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 xml:space="preserve"> 4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</w:rPr>
        <w:t>Water &amp; Environment Research Group, University of Glasgow, Mazumdar-Shaw Advanced Research Centre, Glasgow, United Kingdom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 xml:space="preserve"> </w:t>
      </w:r>
    </w:p>
    <w:p w14:paraId="456A3793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>5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</w:rPr>
        <w:t>National University of Ireland, Galway, University Road, Galway, Ireland</w:t>
      </w:r>
    </w:p>
    <w:p w14:paraId="16E2EC47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shd w:val="clear" w:color="auto" w:fill="FCFCFC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>6</w:t>
      </w:r>
      <w:r w:rsidRPr="009E6464">
        <w:rPr>
          <w:rFonts w:ascii="Arial" w:hAnsi="Arial" w:cs="Arial"/>
          <w:iCs/>
          <w:color w:val="000000" w:themeColor="text1"/>
          <w:shd w:val="clear" w:color="auto" w:fill="FCFCFC"/>
        </w:rPr>
        <w:t>Department of Molecular and Clinical Cancer Medicine, University of Liverpool, Liverpool, United Kingdom</w:t>
      </w:r>
    </w:p>
    <w:p w14:paraId="1A8F2C86" w14:textId="77777777" w:rsidR="00FF0C12" w:rsidRPr="009E6464" w:rsidRDefault="00FF0C12" w:rsidP="00FF0C12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</w:pPr>
      <w:r w:rsidRPr="009E6464">
        <w:rPr>
          <w:rFonts w:ascii="Arial" w:hAnsi="Arial" w:cs="Arial"/>
          <w:iCs/>
          <w:color w:val="000000" w:themeColor="text1"/>
          <w:shd w:val="clear" w:color="auto" w:fill="FCFCFC"/>
          <w:vertAlign w:val="superscript"/>
        </w:rPr>
        <w:t xml:space="preserve">7 </w:t>
      </w:r>
      <w:r w:rsidRPr="009E6464">
        <w:rPr>
          <w:rFonts w:ascii="Arial" w:hAnsi="Arial" w:cs="Arial"/>
          <w:iCs/>
          <w:color w:val="000000" w:themeColor="text1"/>
          <w:shd w:val="clear" w:color="auto" w:fill="FFFFFF"/>
        </w:rPr>
        <w:t>Complex Structure of Microbiology and Virology; AOU Sassari, Sassari, Italy</w:t>
      </w:r>
    </w:p>
    <w:p w14:paraId="01ABC429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35910434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9E6464">
        <w:rPr>
          <w:rFonts w:ascii="Arial" w:eastAsia="Times New Roman" w:hAnsi="Arial" w:cs="Arial"/>
          <w:color w:val="000000" w:themeColor="text1"/>
        </w:rPr>
        <w:t xml:space="preserve">* </w:t>
      </w:r>
      <w:r w:rsidRPr="009E6464">
        <w:rPr>
          <w:rFonts w:ascii="Arial" w:eastAsia="Times New Roman" w:hAnsi="Arial" w:cs="Arial"/>
          <w:b/>
          <w:bCs/>
          <w:color w:val="000000" w:themeColor="text1"/>
        </w:rPr>
        <w:t>Joint corresponding authors</w:t>
      </w:r>
      <w:r w:rsidRPr="009E6464">
        <w:rPr>
          <w:rFonts w:ascii="Arial" w:eastAsia="Times New Roman" w:hAnsi="Arial" w:cs="Arial"/>
          <w:color w:val="000000" w:themeColor="text1"/>
        </w:rPr>
        <w:t xml:space="preserve"> (both authors jointly directed this work)</w:t>
      </w:r>
    </w:p>
    <w:p w14:paraId="175B1849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1CBF6763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9E6464">
        <w:rPr>
          <w:rFonts w:ascii="Arial" w:eastAsia="Times New Roman" w:hAnsi="Arial" w:cs="Arial"/>
          <w:b/>
          <w:bCs/>
          <w:color w:val="000000" w:themeColor="text1"/>
        </w:rPr>
        <w:t>Contact:</w:t>
      </w:r>
    </w:p>
    <w:p w14:paraId="75EE03A6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9E6464">
        <w:rPr>
          <w:rFonts w:ascii="Arial" w:eastAsia="Times New Roman" w:hAnsi="Arial" w:cs="Arial"/>
          <w:color w:val="000000" w:themeColor="text1"/>
        </w:rPr>
        <w:t xml:space="preserve">Hajra Ashraf, </w:t>
      </w:r>
      <w:hyperlink r:id="rId5" w:history="1">
        <w:r w:rsidRPr="009E6464">
          <w:rPr>
            <w:rStyle w:val="Hyperlink"/>
            <w:rFonts w:ascii="Arial" w:eastAsia="Times New Roman" w:hAnsi="Arial" w:cs="Arial"/>
            <w:color w:val="000000" w:themeColor="text1"/>
          </w:rPr>
          <w:t>h.ashraf@studenti.uniss.it</w:t>
        </w:r>
      </w:hyperlink>
    </w:p>
    <w:p w14:paraId="470EEA78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u w:val="single"/>
          <w:lang w:val="it-IT"/>
        </w:rPr>
      </w:pPr>
      <w:proofErr w:type="spellStart"/>
      <w:r w:rsidRPr="009E6464">
        <w:rPr>
          <w:rFonts w:ascii="Arial" w:eastAsia="Times New Roman" w:hAnsi="Arial" w:cs="Arial"/>
          <w:color w:val="000000" w:themeColor="text1"/>
          <w:lang w:val="it-IT"/>
        </w:rPr>
        <w:t>Plamena</w:t>
      </w:r>
      <w:proofErr w:type="spellEnd"/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 </w:t>
      </w:r>
      <w:proofErr w:type="spellStart"/>
      <w:r w:rsidRPr="009E6464">
        <w:rPr>
          <w:rFonts w:ascii="Arial" w:eastAsia="Times New Roman" w:hAnsi="Arial" w:cs="Arial"/>
          <w:color w:val="000000" w:themeColor="text1"/>
          <w:lang w:val="it-IT"/>
        </w:rPr>
        <w:t>Dikarlo</w:t>
      </w:r>
      <w:proofErr w:type="spellEnd"/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, </w:t>
      </w:r>
      <w:hyperlink r:id="rId6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plamena.dikarlo@biomes.world</w:t>
        </w:r>
      </w:hyperlink>
    </w:p>
    <w:p w14:paraId="2245DE7A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it-IT"/>
        </w:rPr>
      </w:pPr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Aurora Masia, </w:t>
      </w:r>
      <w:hyperlink r:id="rId7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masia.aurora@tiscali.it</w:t>
        </w:r>
      </w:hyperlink>
    </w:p>
    <w:p w14:paraId="6D74C2D6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it-IT"/>
        </w:rPr>
      </w:pPr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Ignazio R. Zarbo, </w:t>
      </w:r>
      <w:hyperlink r:id="rId8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irzarbo@uniss.it</w:t>
        </w:r>
      </w:hyperlink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 </w:t>
      </w:r>
    </w:p>
    <w:p w14:paraId="336387C0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it-IT"/>
        </w:rPr>
      </w:pPr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Paolo Solla, </w:t>
      </w:r>
      <w:hyperlink r:id="rId9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psolla@uniss.it</w:t>
        </w:r>
      </w:hyperlink>
    </w:p>
    <w:p w14:paraId="0C5B9BE8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it-IT"/>
        </w:rPr>
      </w:pPr>
      <w:proofErr w:type="spellStart"/>
      <w:r w:rsidRPr="009E6464">
        <w:rPr>
          <w:rFonts w:ascii="Arial" w:eastAsia="Times New Roman" w:hAnsi="Arial" w:cs="Arial"/>
          <w:color w:val="000000" w:themeColor="text1"/>
          <w:lang w:val="it-IT"/>
        </w:rPr>
        <w:t>Umer</w:t>
      </w:r>
      <w:proofErr w:type="spellEnd"/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 </w:t>
      </w:r>
      <w:proofErr w:type="spellStart"/>
      <w:r w:rsidRPr="009E6464">
        <w:rPr>
          <w:rFonts w:ascii="Arial" w:eastAsia="Times New Roman" w:hAnsi="Arial" w:cs="Arial"/>
          <w:color w:val="000000" w:themeColor="text1"/>
          <w:lang w:val="it-IT"/>
        </w:rPr>
        <w:t>Zeeshan</w:t>
      </w:r>
      <w:proofErr w:type="spellEnd"/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 </w:t>
      </w:r>
      <w:proofErr w:type="spellStart"/>
      <w:r w:rsidRPr="009E6464">
        <w:rPr>
          <w:rFonts w:ascii="Arial" w:eastAsia="Times New Roman" w:hAnsi="Arial" w:cs="Arial"/>
          <w:color w:val="000000" w:themeColor="text1"/>
          <w:lang w:val="it-IT"/>
        </w:rPr>
        <w:t>Ijaz</w:t>
      </w:r>
      <w:proofErr w:type="spellEnd"/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*, </w:t>
      </w:r>
      <w:hyperlink r:id="rId10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Umer.Ijaz@glasgow.ac.uk</w:t>
        </w:r>
      </w:hyperlink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 (</w:t>
      </w:r>
      <w:hyperlink r:id="rId11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http://userweb.eng.gla.ac.uk/umer.ijaz</w:t>
        </w:r>
      </w:hyperlink>
      <w:r w:rsidRPr="009E6464">
        <w:rPr>
          <w:rFonts w:ascii="Arial" w:eastAsia="Times New Roman" w:hAnsi="Arial" w:cs="Arial"/>
          <w:color w:val="000000" w:themeColor="text1"/>
          <w:lang w:val="it-IT"/>
        </w:rPr>
        <w:t>)</w:t>
      </w:r>
    </w:p>
    <w:p w14:paraId="3178CDE0" w14:textId="77777777" w:rsidR="00FF0C12" w:rsidRPr="009E6464" w:rsidRDefault="00FF0C12" w:rsidP="00FF0C1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it-IT"/>
        </w:rPr>
      </w:pPr>
      <w:r w:rsidRPr="009E6464">
        <w:rPr>
          <w:rFonts w:ascii="Arial" w:eastAsia="Times New Roman" w:hAnsi="Arial" w:cs="Arial"/>
          <w:color w:val="000000" w:themeColor="text1"/>
          <w:lang w:val="it-IT"/>
        </w:rPr>
        <w:t xml:space="preserve">Leonardo A. Sechi*, </w:t>
      </w:r>
      <w:hyperlink r:id="rId12" w:history="1">
        <w:r w:rsidRPr="009E6464">
          <w:rPr>
            <w:rStyle w:val="Hyperlink"/>
            <w:rFonts w:ascii="Arial" w:eastAsia="Times New Roman" w:hAnsi="Arial" w:cs="Arial"/>
            <w:color w:val="000000" w:themeColor="text1"/>
            <w:lang w:val="it-IT"/>
          </w:rPr>
          <w:t>sechila@uniss.it</w:t>
        </w:r>
      </w:hyperlink>
    </w:p>
    <w:p w14:paraId="027EE5DE" w14:textId="77777777" w:rsidR="00FF0C12" w:rsidRPr="009E6464" w:rsidRDefault="00FF0C12" w:rsidP="00831745">
      <w:pPr>
        <w:rPr>
          <w:rFonts w:ascii="Arial" w:hAnsi="Arial" w:cs="Arial"/>
          <w:b/>
          <w:bCs/>
          <w:color w:val="000000" w:themeColor="text1"/>
          <w:lang w:val="it-IT"/>
        </w:rPr>
      </w:pPr>
    </w:p>
    <w:p w14:paraId="594520CE" w14:textId="77777777" w:rsidR="00F6381E" w:rsidRPr="009E6464" w:rsidRDefault="00F6381E" w:rsidP="00831745">
      <w:pPr>
        <w:rPr>
          <w:rFonts w:ascii="Arial" w:hAnsi="Arial" w:cs="Arial"/>
          <w:color w:val="000000" w:themeColor="text1"/>
          <w:lang w:val="en-IE"/>
        </w:rPr>
      </w:pPr>
      <w:r w:rsidRPr="009E6464">
        <w:rPr>
          <w:rFonts w:ascii="Arial" w:hAnsi="Arial" w:cs="Arial"/>
          <w:color w:val="000000" w:themeColor="text1"/>
          <w:lang w:val="en-IE"/>
        </w:rPr>
        <w:t xml:space="preserve">Having obtained the network topologies, we have calculated several network wide statistics using numerous R packages including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igraph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 [1], influential [2], and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centiserve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 [3]. These are summarised in Supplementary Table S1. </w:t>
      </w:r>
    </w:p>
    <w:p w14:paraId="4C0870A7" w14:textId="77777777" w:rsidR="00831745" w:rsidRPr="009E6464" w:rsidRDefault="00831745" w:rsidP="00831745">
      <w:pPr>
        <w:rPr>
          <w:rFonts w:ascii="Arial" w:hAnsi="Arial" w:cs="Arial"/>
          <w:color w:val="000000" w:themeColor="text1"/>
          <w:lang w:val="en-IE"/>
        </w:rPr>
      </w:pPr>
      <w:r w:rsidRPr="009E6464">
        <w:rPr>
          <w:rFonts w:ascii="Arial" w:hAnsi="Arial" w:cs="Arial"/>
          <w:b/>
          <w:bCs/>
          <w:color w:val="000000" w:themeColor="text1"/>
          <w:lang w:val="en-IE"/>
        </w:rPr>
        <w:t xml:space="preserve">Supplementary Table </w:t>
      </w:r>
      <w:r w:rsidR="00F6381E" w:rsidRPr="009E6464">
        <w:rPr>
          <w:rFonts w:ascii="Arial" w:hAnsi="Arial" w:cs="Arial"/>
          <w:b/>
          <w:bCs/>
          <w:color w:val="000000" w:themeColor="text1"/>
          <w:lang w:val="en-IE"/>
        </w:rPr>
        <w:t>S</w:t>
      </w:r>
      <w:r w:rsidRPr="009E6464">
        <w:rPr>
          <w:rFonts w:ascii="Arial" w:hAnsi="Arial" w:cs="Arial"/>
          <w:b/>
          <w:bCs/>
          <w:color w:val="000000" w:themeColor="text1"/>
          <w:lang w:val="en-IE"/>
        </w:rPr>
        <w:t>1</w:t>
      </w:r>
      <w:r w:rsidRPr="009E6464">
        <w:rPr>
          <w:rFonts w:ascii="Arial" w:hAnsi="Arial" w:cs="Arial"/>
          <w:color w:val="000000" w:themeColor="text1"/>
          <w:lang w:val="en-IE"/>
        </w:rPr>
        <w:t>: Key centrality measures employed to ascertain influential nodes recovered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9"/>
        <w:gridCol w:w="3644"/>
        <w:gridCol w:w="1219"/>
      </w:tblGrid>
      <w:tr w:rsidR="009E6464" w:rsidRPr="009E6464" w14:paraId="7083B343" w14:textId="77777777" w:rsidTr="00F6381E">
        <w:tc>
          <w:tcPr>
            <w:tcW w:w="1395" w:type="dxa"/>
          </w:tcPr>
          <w:p w14:paraId="7AD6A42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Measure</w:t>
            </w:r>
          </w:p>
        </w:tc>
        <w:tc>
          <w:tcPr>
            <w:tcW w:w="3136" w:type="dxa"/>
          </w:tcPr>
          <w:p w14:paraId="1763BB0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Description</w:t>
            </w:r>
          </w:p>
        </w:tc>
        <w:tc>
          <w:tcPr>
            <w:tcW w:w="1070" w:type="dxa"/>
          </w:tcPr>
          <w:p w14:paraId="680A5C4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R’s Package</w:t>
            </w:r>
          </w:p>
        </w:tc>
      </w:tr>
      <w:tr w:rsidR="009E6464" w:rsidRPr="009E6464" w14:paraId="777389D0" w14:textId="77777777" w:rsidTr="00F6381E">
        <w:tc>
          <w:tcPr>
            <w:tcW w:w="1395" w:type="dxa"/>
          </w:tcPr>
          <w:p w14:paraId="0781018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Degree centrality</w:t>
            </w:r>
          </w:p>
        </w:tc>
        <w:tc>
          <w:tcPr>
            <w:tcW w:w="3136" w:type="dxa"/>
          </w:tcPr>
          <w:p w14:paraId="7B23AEEA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The degree centrality of a node is simply its degree - the number of edges it has. The higher the degree, the more central the node is.</w:t>
            </w:r>
          </w:p>
        </w:tc>
        <w:tc>
          <w:tcPr>
            <w:tcW w:w="1070" w:type="dxa"/>
          </w:tcPr>
          <w:p w14:paraId="22FA4D48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106AB56C" w14:textId="77777777" w:rsidTr="00F6381E">
        <w:tc>
          <w:tcPr>
            <w:tcW w:w="1395" w:type="dxa"/>
          </w:tcPr>
          <w:p w14:paraId="267AD56B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Closeness centrality</w:t>
            </w:r>
          </w:p>
        </w:tc>
        <w:tc>
          <w:tcPr>
            <w:tcW w:w="3136" w:type="dxa"/>
          </w:tcPr>
          <w:p w14:paraId="515A3014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How close a given node is to any other node, and defined as the inverse of the average of the shortest path between a node and all other nodes</w:t>
            </w:r>
          </w:p>
        </w:tc>
        <w:tc>
          <w:tcPr>
            <w:tcW w:w="1070" w:type="dxa"/>
          </w:tcPr>
          <w:p w14:paraId="0BF350A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32F8DC8D" w14:textId="77777777" w:rsidTr="00F6381E">
        <w:tc>
          <w:tcPr>
            <w:tcW w:w="1395" w:type="dxa"/>
          </w:tcPr>
          <w:p w14:paraId="68BEA907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Betweenness centrality</w:t>
            </w:r>
          </w:p>
        </w:tc>
        <w:tc>
          <w:tcPr>
            <w:tcW w:w="3136" w:type="dxa"/>
          </w:tcPr>
          <w:p w14:paraId="7567659B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The number of shortest paths passing through a node.</w:t>
            </w:r>
          </w:p>
        </w:tc>
        <w:tc>
          <w:tcPr>
            <w:tcW w:w="1070" w:type="dxa"/>
          </w:tcPr>
          <w:p w14:paraId="1AB1D30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1871BAE1" w14:textId="77777777" w:rsidTr="00F6381E">
        <w:tc>
          <w:tcPr>
            <w:tcW w:w="1395" w:type="dxa"/>
          </w:tcPr>
          <w:p w14:paraId="1031EB7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lastRenderedPageBreak/>
              <w:t>Eigenvector centrality</w:t>
            </w:r>
          </w:p>
        </w:tc>
        <w:tc>
          <w:tcPr>
            <w:tcW w:w="3136" w:type="dxa"/>
          </w:tcPr>
          <w:p w14:paraId="6623BADA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The importance of a node is recursively related to the importance of the nodes pointing to it. A higher value implies that a node’s neighbours are more prestigious than the neighbours of other nodes</w:t>
            </w:r>
          </w:p>
        </w:tc>
        <w:tc>
          <w:tcPr>
            <w:tcW w:w="1070" w:type="dxa"/>
          </w:tcPr>
          <w:p w14:paraId="03C42FF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78F2EC2E" w14:textId="77777777" w:rsidTr="00F6381E">
        <w:tc>
          <w:tcPr>
            <w:tcW w:w="1395" w:type="dxa"/>
          </w:tcPr>
          <w:p w14:paraId="5E1B0588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Subgraph centrality</w:t>
            </w:r>
          </w:p>
        </w:tc>
        <w:tc>
          <w:tcPr>
            <w:tcW w:w="3136" w:type="dxa"/>
          </w:tcPr>
          <w:p w14:paraId="4DB00A4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It sums up all closed walks weighting them by the inverse factorial of its length</w:t>
            </w:r>
          </w:p>
        </w:tc>
        <w:tc>
          <w:tcPr>
            <w:tcW w:w="1070" w:type="dxa"/>
          </w:tcPr>
          <w:p w14:paraId="7587E1EB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4E29A07A" w14:textId="77777777" w:rsidTr="00F6381E">
        <w:tc>
          <w:tcPr>
            <w:tcW w:w="1395" w:type="dxa"/>
          </w:tcPr>
          <w:p w14:paraId="1A5B8BA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Coreness</w:t>
            </w:r>
            <w:proofErr w:type="spellEnd"/>
          </w:p>
        </w:tc>
        <w:tc>
          <w:tcPr>
            <w:tcW w:w="3136" w:type="dxa"/>
          </w:tcPr>
          <w:p w14:paraId="4508A77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The k-core of a graph is a maximal subgraph in which each vertex has at least degree k. The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coreness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of a vertex is k if it belongs to the k-core but not to the (k+1)-core</w:t>
            </w:r>
          </w:p>
        </w:tc>
        <w:tc>
          <w:tcPr>
            <w:tcW w:w="1070" w:type="dxa"/>
          </w:tcPr>
          <w:p w14:paraId="780E0D8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7219D0CB" w14:textId="77777777" w:rsidTr="00F6381E">
        <w:tc>
          <w:tcPr>
            <w:tcW w:w="1395" w:type="dxa"/>
          </w:tcPr>
          <w:p w14:paraId="2DFE3739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Kleinberg’s authority centrality score</w:t>
            </w:r>
          </w:p>
        </w:tc>
        <w:tc>
          <w:tcPr>
            <w:tcW w:w="3136" w:type="dxa"/>
          </w:tcPr>
          <w:p w14:paraId="0C994374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The authority scores of vertices are defined as principal eigenvector of t(A)*A, where A is the adjacency matrix of the network</w:t>
            </w:r>
          </w:p>
        </w:tc>
        <w:tc>
          <w:tcPr>
            <w:tcW w:w="1070" w:type="dxa"/>
          </w:tcPr>
          <w:p w14:paraId="6EBD6007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5B0C0CE3" w14:textId="77777777" w:rsidTr="00F6381E">
        <w:tc>
          <w:tcPr>
            <w:tcW w:w="1395" w:type="dxa"/>
          </w:tcPr>
          <w:p w14:paraId="636BFD4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Eccentricity</w:t>
            </w:r>
          </w:p>
        </w:tc>
        <w:tc>
          <w:tcPr>
            <w:tcW w:w="3136" w:type="dxa"/>
          </w:tcPr>
          <w:p w14:paraId="40E128B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Shortest path distance from the farthest other node in the graph</w:t>
            </w:r>
          </w:p>
        </w:tc>
        <w:tc>
          <w:tcPr>
            <w:tcW w:w="1070" w:type="dxa"/>
          </w:tcPr>
          <w:p w14:paraId="18E3179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igraph</w:t>
            </w:r>
            <w:proofErr w:type="spellEnd"/>
          </w:p>
        </w:tc>
      </w:tr>
      <w:tr w:rsidR="009E6464" w:rsidRPr="009E6464" w14:paraId="7B3D9DFA" w14:textId="77777777" w:rsidTr="00F6381E">
        <w:tc>
          <w:tcPr>
            <w:tcW w:w="1395" w:type="dxa"/>
          </w:tcPr>
          <w:p w14:paraId="785739E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Neighborhood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Connectivity</w:t>
            </w:r>
          </w:p>
        </w:tc>
        <w:tc>
          <w:tcPr>
            <w:tcW w:w="3136" w:type="dxa"/>
          </w:tcPr>
          <w:p w14:paraId="455634A8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Average number of edges connected to immediate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neighbors</w:t>
            </w:r>
            <w:proofErr w:type="spellEnd"/>
          </w:p>
        </w:tc>
        <w:tc>
          <w:tcPr>
            <w:tcW w:w="1070" w:type="dxa"/>
          </w:tcPr>
          <w:p w14:paraId="172ED8BE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087453FD" w14:textId="77777777" w:rsidTr="00F6381E">
        <w:tc>
          <w:tcPr>
            <w:tcW w:w="1395" w:type="dxa"/>
          </w:tcPr>
          <w:p w14:paraId="05E27F6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H-index </w:t>
            </w:r>
          </w:p>
        </w:tc>
        <w:tc>
          <w:tcPr>
            <w:tcW w:w="3136" w:type="dxa"/>
          </w:tcPr>
          <w:p w14:paraId="5D3F38F6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Semi-local centrality measure inspired from its application in assessing the impact of researchers</w:t>
            </w:r>
          </w:p>
        </w:tc>
        <w:tc>
          <w:tcPr>
            <w:tcW w:w="1070" w:type="dxa"/>
          </w:tcPr>
          <w:p w14:paraId="5D791054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56A0C09D" w14:textId="77777777" w:rsidTr="00F6381E">
        <w:tc>
          <w:tcPr>
            <w:tcW w:w="1395" w:type="dxa"/>
          </w:tcPr>
          <w:p w14:paraId="71C6D2D8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Local H-index</w:t>
            </w:r>
          </w:p>
        </w:tc>
        <w:tc>
          <w:tcPr>
            <w:tcW w:w="3136" w:type="dxa"/>
          </w:tcPr>
          <w:p w14:paraId="7393A2A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An improved version of the H-index centrality that leverages the H-index to the second order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neighbors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of a node</w:t>
            </w:r>
          </w:p>
        </w:tc>
        <w:tc>
          <w:tcPr>
            <w:tcW w:w="1070" w:type="dxa"/>
          </w:tcPr>
          <w:p w14:paraId="01D4AA9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4803DC21" w14:textId="77777777" w:rsidTr="00F6381E">
        <w:tc>
          <w:tcPr>
            <w:tcW w:w="1395" w:type="dxa"/>
          </w:tcPr>
          <w:p w14:paraId="700A2080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Spreading Score</w:t>
            </w:r>
          </w:p>
          <w:p w14:paraId="4F8DBAB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</w:p>
        </w:tc>
        <w:tc>
          <w:tcPr>
            <w:tcW w:w="3136" w:type="dxa"/>
          </w:tcPr>
          <w:p w14:paraId="0B402399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Spreading score reflects the spreading potential of each node within a network, and is calculated as</w:t>
            </w:r>
          </w:p>
          <w:p w14:paraId="36A24B65" w14:textId="77777777" w:rsidR="00F6381E" w:rsidRPr="009E6464" w:rsidRDefault="00000000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Spreading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 w:themeColor="text1"/>
                          <w:lang w:val="en-IE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score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=(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NC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CR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)(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BC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CI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)</m:t>
              </m:r>
            </m:oMath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where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NC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CR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BC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CI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are range normalized </w:t>
            </w:r>
            <w:proofErr w:type="spellStart"/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>neighborhood</w:t>
            </w:r>
            <w:proofErr w:type="spellEnd"/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connectivity, cluster rank, betweenness centrality, and collective influence of node </w:t>
            </w:r>
            <w:proofErr w:type="spellStart"/>
            <w:r w:rsidR="00F6381E" w:rsidRPr="009E6464">
              <w:rPr>
                <w:rFonts w:ascii="Arial" w:hAnsi="Arial" w:cs="Arial"/>
                <w:i/>
                <w:iCs/>
                <w:color w:val="000000" w:themeColor="text1"/>
                <w:lang w:val="en-IE"/>
              </w:rPr>
              <w:t>i</w:t>
            </w:r>
            <w:proofErr w:type="spellEnd"/>
            <w:r w:rsidR="00F6381E"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. </w:t>
            </w:r>
            <w:r w:rsidR="009B7C7C" w:rsidRPr="009E6464">
              <w:rPr>
                <w:rFonts w:ascii="Arial" w:hAnsi="Arial" w:cs="Arial"/>
                <w:color w:val="000000" w:themeColor="text1"/>
                <w:lang w:val="en"/>
              </w:rPr>
              <w:t xml:space="preserve">A node with high spreading potential will disproportionally disrupt more </w:t>
            </w:r>
            <w:r w:rsidR="009B7C7C" w:rsidRPr="009E6464">
              <w:rPr>
                <w:rFonts w:ascii="Arial" w:hAnsi="Arial" w:cs="Arial"/>
                <w:color w:val="000000" w:themeColor="text1"/>
                <w:lang w:val="en"/>
              </w:rPr>
              <w:lastRenderedPageBreak/>
              <w:t>secondary nodes than those that have a low spreading potential.</w:t>
            </w:r>
          </w:p>
        </w:tc>
        <w:tc>
          <w:tcPr>
            <w:tcW w:w="1070" w:type="dxa"/>
          </w:tcPr>
          <w:p w14:paraId="0B333EFB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lastRenderedPageBreak/>
              <w:t>influential</w:t>
            </w:r>
          </w:p>
        </w:tc>
      </w:tr>
      <w:tr w:rsidR="009E6464" w:rsidRPr="009E6464" w14:paraId="5C51F79B" w14:textId="77777777" w:rsidTr="00F6381E">
        <w:tc>
          <w:tcPr>
            <w:tcW w:w="1395" w:type="dxa"/>
          </w:tcPr>
          <w:p w14:paraId="5720B9A0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Collective Influence</w:t>
            </w:r>
          </w:p>
        </w:tc>
        <w:tc>
          <w:tcPr>
            <w:tcW w:w="3136" w:type="dxa"/>
          </w:tcPr>
          <w:p w14:paraId="1D7E0E96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A global centrality measure that calculates the product of the reduced degree (degree – 1) of a node and the total reduced degree of all nodes at a distance d from the node. </w:t>
            </w:r>
          </w:p>
        </w:tc>
        <w:tc>
          <w:tcPr>
            <w:tcW w:w="1070" w:type="dxa"/>
          </w:tcPr>
          <w:p w14:paraId="080253B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7FD1E3F3" w14:textId="77777777" w:rsidTr="00F6381E">
        <w:tc>
          <w:tcPr>
            <w:tcW w:w="1395" w:type="dxa"/>
          </w:tcPr>
          <w:p w14:paraId="4F94DFA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Cluster Rank</w:t>
            </w:r>
          </w:p>
        </w:tc>
        <w:tc>
          <w:tcPr>
            <w:tcW w:w="3136" w:type="dxa"/>
          </w:tcPr>
          <w:p w14:paraId="1D541A07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ClusterRank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is a local centrality measure that makes a connection between local and semi-local characteristics of a node and at the same time removes the negative effects of local clustering.</w:t>
            </w:r>
          </w:p>
        </w:tc>
        <w:tc>
          <w:tcPr>
            <w:tcW w:w="1070" w:type="dxa"/>
          </w:tcPr>
          <w:p w14:paraId="3E773FA8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756C9A30" w14:textId="77777777" w:rsidTr="00F6381E">
        <w:tc>
          <w:tcPr>
            <w:tcW w:w="1395" w:type="dxa"/>
          </w:tcPr>
          <w:p w14:paraId="3222CBE7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Integrated View of Influence (IVI)</w:t>
            </w:r>
          </w:p>
        </w:tc>
        <w:tc>
          <w:tcPr>
            <w:tcW w:w="3136" w:type="dxa"/>
          </w:tcPr>
          <w:p w14:paraId="7BF522A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A method for the identification of network most influential nodes </w:t>
            </w:r>
          </w:p>
          <w:p w14:paraId="064024D0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in a way that captures all network topological dimensions, and is calculated as </w:t>
            </w:r>
          </w:p>
          <w:p w14:paraId="65D0EA7F" w14:textId="77777777" w:rsidR="00F6381E" w:rsidRPr="009E6464" w:rsidRDefault="00000000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lang w:val="en-IE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 w:themeColor="text1"/>
                        <w:lang w:val="en-IE"/>
                      </w:rPr>
                      <m:t>IVI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 w:themeColor="text1"/>
                        <w:lang w:val="en-IE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000000" w:themeColor="text1"/>
                    <w:lang w:val="en-IE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lang w:val="en-IE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 w:themeColor="text1"/>
                        <w:lang w:val="en-IE"/>
                      </w:rPr>
                      <m:t>Hubness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lang w:val="en-I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lang w:val="en-IE"/>
                          </w:rPr>
                          <m:t>score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 w:themeColor="text1"/>
                            <w:lang w:val="en-IE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Arial"/>
                    <w:color w:val="000000" w:themeColor="text1"/>
                    <w:lang w:val="en-IE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lang w:val="en-IE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 w:themeColor="text1"/>
                        <w:lang w:val="en-IE"/>
                      </w:rPr>
                      <m:t>Spreading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lang w:val="en-I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lang w:val="en-IE"/>
                          </w:rPr>
                          <m:t>score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000000" w:themeColor="text1"/>
                            <w:lang w:val="en-IE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Arial"/>
                    <w:color w:val="000000" w:themeColor="text1"/>
                    <w:lang w:val="en-IE"/>
                  </w:rPr>
                  <m:t>)</m:t>
                </m:r>
              </m:oMath>
            </m:oMathPara>
          </w:p>
        </w:tc>
        <w:tc>
          <w:tcPr>
            <w:tcW w:w="1070" w:type="dxa"/>
          </w:tcPr>
          <w:p w14:paraId="1AC0E70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4FA7529D" w14:textId="77777777" w:rsidTr="00F6381E">
        <w:tc>
          <w:tcPr>
            <w:tcW w:w="1395" w:type="dxa"/>
          </w:tcPr>
          <w:p w14:paraId="626413AE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Hubness Score</w:t>
            </w:r>
          </w:p>
        </w:tc>
        <w:tc>
          <w:tcPr>
            <w:tcW w:w="3136" w:type="dxa"/>
          </w:tcPr>
          <w:p w14:paraId="3453D7C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Reflects the power of each node in its surrounding environment, and is calculated as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Hubness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 w:themeColor="text1"/>
                          <w:lang w:val="en-IE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score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=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DC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  <m:r>
                <w:rPr>
                  <w:rFonts w:ascii="Cambria Math" w:hAnsi="Cambria Math" w:cs="Arial"/>
                  <w:color w:val="000000" w:themeColor="text1"/>
                  <w:lang w:val="en-IE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LH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 w:themeColor="text1"/>
                          <w:lang w:val="en-IE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i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, where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DC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and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 w:themeColor="text1"/>
                      <w:lang w:val="en-IE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LH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 w:themeColor="text1"/>
                          <w:lang w:val="en-IE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000000" w:themeColor="text1"/>
                          <w:lang w:val="en-IE"/>
                        </w:rPr>
                        <m:t>i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lang w:val="en-IE"/>
                    </w:rPr>
                    <m:t>'</m:t>
                  </m:r>
                </m:sup>
              </m:sSubSup>
            </m:oMath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are ranged normalized degree centrality and local H index of node </w:t>
            </w:r>
            <w:proofErr w:type="spellStart"/>
            <w:r w:rsidRPr="009E6464">
              <w:rPr>
                <w:rFonts w:ascii="Arial" w:hAnsi="Arial" w:cs="Arial"/>
                <w:i/>
                <w:iCs/>
                <w:color w:val="000000" w:themeColor="text1"/>
                <w:lang w:val="en-IE"/>
              </w:rPr>
              <w:t>i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, respectively.</w:t>
            </w:r>
          </w:p>
        </w:tc>
        <w:tc>
          <w:tcPr>
            <w:tcW w:w="1070" w:type="dxa"/>
          </w:tcPr>
          <w:p w14:paraId="0F8A81EE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influential</w:t>
            </w:r>
          </w:p>
        </w:tc>
      </w:tr>
      <w:tr w:rsidR="009E6464" w:rsidRPr="009E6464" w14:paraId="751BD53C" w14:textId="77777777" w:rsidTr="00F6381E">
        <w:tc>
          <w:tcPr>
            <w:tcW w:w="1395" w:type="dxa"/>
          </w:tcPr>
          <w:p w14:paraId="611931FE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Topological coefficient</w:t>
            </w:r>
          </w:p>
        </w:tc>
        <w:tc>
          <w:tcPr>
            <w:tcW w:w="3136" w:type="dxa"/>
          </w:tcPr>
          <w:p w14:paraId="1E9FB8C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The extent to which a node shares neighbours with other nodes. </w:t>
            </w:r>
          </w:p>
        </w:tc>
        <w:tc>
          <w:tcPr>
            <w:tcW w:w="1070" w:type="dxa"/>
          </w:tcPr>
          <w:p w14:paraId="707FE25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319FB792" w14:textId="77777777" w:rsidTr="00F6381E">
        <w:tc>
          <w:tcPr>
            <w:tcW w:w="1395" w:type="dxa"/>
          </w:tcPr>
          <w:p w14:paraId="47D05BB4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Diffusion degree</w:t>
            </w:r>
          </w:p>
        </w:tc>
        <w:tc>
          <w:tcPr>
            <w:tcW w:w="3136" w:type="dxa"/>
          </w:tcPr>
          <w:p w14:paraId="1F5ADA70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The cumulative contribution score of the node itself and its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neighbors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. </w:t>
            </w:r>
          </w:p>
        </w:tc>
        <w:tc>
          <w:tcPr>
            <w:tcW w:w="1070" w:type="dxa"/>
          </w:tcPr>
          <w:p w14:paraId="7B7AD08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23085026" w14:textId="77777777" w:rsidTr="00F6381E">
        <w:tc>
          <w:tcPr>
            <w:tcW w:w="1395" w:type="dxa"/>
          </w:tcPr>
          <w:p w14:paraId="575229B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Density of maximum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neighborhood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component (DMNC)</w:t>
            </w:r>
          </w:p>
        </w:tc>
        <w:tc>
          <w:tcPr>
            <w:tcW w:w="3136" w:type="dxa"/>
          </w:tcPr>
          <w:p w14:paraId="06181F5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It </w:t>
            </w:r>
            <w:r w:rsidRPr="009E6464">
              <w:rPr>
                <w:rFonts w:ascii="Arial" w:hAnsi="Arial" w:cs="Arial"/>
                <w:color w:val="000000" w:themeColor="text1"/>
              </w:rPr>
              <w:t>explores and identifies hubs/essential nodes in a network based on</w:t>
            </w:r>
            <w:r w:rsidRPr="009E6464">
              <w:rPr>
                <w:color w:val="000000" w:themeColor="text1"/>
              </w:rPr>
              <w:t xml:space="preserve"> </w:t>
            </w:r>
            <w:r w:rsidRPr="009E6464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9E6464"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&lt;EndNote&gt;&lt;Cite&gt;&lt;Author&gt;Lin&lt;/Author&gt;&lt;Year&gt;2008&lt;/Year&gt;&lt;RecNum&gt;139&lt;/RecNum&gt;&lt;DisplayText&gt;(23)&lt;/DisplayText&gt;&lt;record&gt;&lt;rec-number&gt;139&lt;/rec-number&gt;&lt;foreign-keys&gt;&lt;key app="EN" db-id="xta5tpvr392fv0eaw0exs0eot9s5efap95pt" timestamp="1701085372"&gt;139&lt;/key&gt;&lt;/foreign-keys&gt;&lt;ref-type name="Journal Article"&gt;17&lt;/ref-type&gt;&lt;contributors&gt;&lt;authors&gt;&lt;author&gt;Lin, Chung-Yen&lt;/author&gt;&lt;author&gt;Chin, Chia-Hao&lt;/author&gt;&lt;author&gt;Wu, Hsin-Hung&lt;/author&gt;&lt;author&gt;Chen, Shu-Hwa&lt;/author&gt;&lt;author&gt;Ho, Chin-Wen&lt;/author&gt;&lt;author&gt;Ko, Ming-Tat&lt;/author&gt;&lt;/authors&gt;&lt;/contributors&gt;&lt;titles&gt;&lt;title&gt;Hubba: hub objects analyzer—a framework of interactome hubs identification for network biology&lt;/title&gt;&lt;secondary-title&gt;Nucleic acids research&lt;/secondary-title&gt;&lt;/titles&gt;&lt;periodical&gt;&lt;full-title&gt;Nucleic acids research&lt;/full-title&gt;&lt;/periodical&gt;&lt;pages&gt;W438-W443&lt;/pages&gt;&lt;volume&gt;36&lt;/volume&gt;&lt;number&gt;suppl_2&lt;/number&gt;&lt;dates&gt;&lt;year&gt;2008&lt;/year&gt;&lt;/dates&gt;&lt;isbn&gt;0305-1048&lt;/isbn&gt;&lt;urls&gt;&lt;/urls&gt;&lt;/record&gt;&lt;/Cite&gt;&lt;/EndNote&gt;</w:instrText>
            </w:r>
            <w:r w:rsidRPr="009E646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E6464">
              <w:rPr>
                <w:rFonts w:ascii="Arial" w:hAnsi="Arial" w:cs="Arial"/>
                <w:noProof/>
                <w:color w:val="000000" w:themeColor="text1"/>
              </w:rPr>
              <w:t>(23)</w:t>
            </w:r>
            <w:r w:rsidRPr="009E646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070" w:type="dxa"/>
          </w:tcPr>
          <w:p w14:paraId="6677F53F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5BE39A52" w14:textId="77777777" w:rsidTr="00F6381E">
        <w:tc>
          <w:tcPr>
            <w:tcW w:w="1395" w:type="dxa"/>
          </w:tcPr>
          <w:p w14:paraId="10F7889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Geodesic K-path centrality</w:t>
            </w:r>
          </w:p>
        </w:tc>
        <w:tc>
          <w:tcPr>
            <w:tcW w:w="3136" w:type="dxa"/>
          </w:tcPr>
          <w:p w14:paraId="0340BB77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Counts neighbours as those that are on a geodesic path less than "k" away</w:t>
            </w:r>
          </w:p>
        </w:tc>
        <w:tc>
          <w:tcPr>
            <w:tcW w:w="1070" w:type="dxa"/>
          </w:tcPr>
          <w:p w14:paraId="6564823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61BE78B8" w14:textId="77777777" w:rsidTr="00F6381E">
        <w:tc>
          <w:tcPr>
            <w:tcW w:w="1395" w:type="dxa"/>
          </w:tcPr>
          <w:p w14:paraId="45A42AAF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Lin centrality</w:t>
            </w:r>
          </w:p>
        </w:tc>
        <w:tc>
          <w:tcPr>
            <w:tcW w:w="3136" w:type="dxa"/>
          </w:tcPr>
          <w:p w14:paraId="46064ED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It considers closeness not as the inverse of a sum of distances, but </w:t>
            </w: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lastRenderedPageBreak/>
              <w:t>rather than the inverse of the average distances</w:t>
            </w:r>
          </w:p>
        </w:tc>
        <w:tc>
          <w:tcPr>
            <w:tcW w:w="1070" w:type="dxa"/>
          </w:tcPr>
          <w:p w14:paraId="7B0AA08F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lastRenderedPageBreak/>
              <w:t>centiserve</w:t>
            </w:r>
            <w:proofErr w:type="spellEnd"/>
          </w:p>
        </w:tc>
      </w:tr>
      <w:tr w:rsidR="009E6464" w:rsidRPr="009E6464" w14:paraId="3413C235" w14:textId="77777777" w:rsidTr="00F6381E">
        <w:tc>
          <w:tcPr>
            <w:tcW w:w="1395" w:type="dxa"/>
          </w:tcPr>
          <w:p w14:paraId="632A24E6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Lobby Index</w:t>
            </w:r>
          </w:p>
        </w:tc>
        <w:tc>
          <w:tcPr>
            <w:tcW w:w="3136" w:type="dxa"/>
          </w:tcPr>
          <w:p w14:paraId="62D687A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The l-index or lobby index of a node x is the largest integer k such that x has at least k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neighbors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with a degree of at least k</w:t>
            </w:r>
          </w:p>
        </w:tc>
        <w:tc>
          <w:tcPr>
            <w:tcW w:w="1070" w:type="dxa"/>
          </w:tcPr>
          <w:p w14:paraId="5B1E4A4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66A905B2" w14:textId="77777777" w:rsidTr="00F6381E">
        <w:tc>
          <w:tcPr>
            <w:tcW w:w="1395" w:type="dxa"/>
          </w:tcPr>
          <w:p w14:paraId="750E4B3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Markov centrality score</w:t>
            </w:r>
          </w:p>
        </w:tc>
        <w:tc>
          <w:tcPr>
            <w:tcW w:w="3136" w:type="dxa"/>
          </w:tcPr>
          <w:p w14:paraId="406930C9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The Markov centrality score uses the concept of a random walk through the graph to calculate the centrality of each vertex</w:t>
            </w:r>
          </w:p>
        </w:tc>
        <w:tc>
          <w:tcPr>
            <w:tcW w:w="1070" w:type="dxa"/>
          </w:tcPr>
          <w:p w14:paraId="1E816FC1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516CF3CF" w14:textId="77777777" w:rsidTr="00F6381E">
        <w:tc>
          <w:tcPr>
            <w:tcW w:w="1395" w:type="dxa"/>
          </w:tcPr>
          <w:p w14:paraId="7D4C5B8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Latora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closeness centrality</w:t>
            </w:r>
          </w:p>
        </w:tc>
        <w:tc>
          <w:tcPr>
            <w:tcW w:w="3136" w:type="dxa"/>
          </w:tcPr>
          <w:p w14:paraId="7560FA8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This variant (sum of inversed distances </w:t>
            </w:r>
          </w:p>
          <w:p w14:paraId="2478D44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to all other nodes instead of the inversed of the sum of distances to all other nodes) applicable to both connected and unconnected graphs</w:t>
            </w:r>
          </w:p>
        </w:tc>
        <w:tc>
          <w:tcPr>
            <w:tcW w:w="1070" w:type="dxa"/>
          </w:tcPr>
          <w:p w14:paraId="4A73A42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1BBA608C" w14:textId="77777777" w:rsidTr="00F6381E">
        <w:tc>
          <w:tcPr>
            <w:tcW w:w="1395" w:type="dxa"/>
          </w:tcPr>
          <w:p w14:paraId="5BD23A44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Entropy centrality</w:t>
            </w:r>
          </w:p>
        </w:tc>
        <w:tc>
          <w:tcPr>
            <w:tcW w:w="3136" w:type="dxa"/>
          </w:tcPr>
          <w:p w14:paraId="2B123C63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Measures centrality of nodes depending on their contribution to the entropy of the graph</w:t>
            </w:r>
          </w:p>
        </w:tc>
        <w:tc>
          <w:tcPr>
            <w:tcW w:w="1070" w:type="dxa"/>
          </w:tcPr>
          <w:p w14:paraId="75A37B34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1EC45E13" w14:textId="77777777" w:rsidTr="00F6381E">
        <w:tc>
          <w:tcPr>
            <w:tcW w:w="1395" w:type="dxa"/>
          </w:tcPr>
          <w:p w14:paraId="5816887D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Laplacian centrality</w:t>
            </w:r>
          </w:p>
        </w:tc>
        <w:tc>
          <w:tcPr>
            <w:tcW w:w="3136" w:type="dxa"/>
          </w:tcPr>
          <w:p w14:paraId="737F1500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It is defined as the drop in the Laplacian energy (i.e. sum of squares of the eigenvalues in the Laplacian matrix) of the </w:t>
            </w:r>
          </w:p>
          <w:p w14:paraId="6D5588EC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graph when the vertex is removed.</w:t>
            </w:r>
          </w:p>
        </w:tc>
        <w:tc>
          <w:tcPr>
            <w:tcW w:w="1070" w:type="dxa"/>
          </w:tcPr>
          <w:p w14:paraId="0572C38B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24F4CE6D" w14:textId="77777777" w:rsidTr="00F6381E">
        <w:tc>
          <w:tcPr>
            <w:tcW w:w="1395" w:type="dxa"/>
          </w:tcPr>
          <w:p w14:paraId="6E59C9AE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Leverage centrality</w:t>
            </w:r>
          </w:p>
        </w:tc>
        <w:tc>
          <w:tcPr>
            <w:tcW w:w="3136" w:type="dxa"/>
          </w:tcPr>
          <w:p w14:paraId="059AFCB2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Leverage centrality considers the degree of a node relative to its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neighbors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and operates under the principle that a node in a network is central if its immediate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neighbors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rely on that node for information.</w:t>
            </w:r>
          </w:p>
        </w:tc>
        <w:tc>
          <w:tcPr>
            <w:tcW w:w="1070" w:type="dxa"/>
          </w:tcPr>
          <w:p w14:paraId="25DCDC1B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9E6464" w:rsidRPr="009E6464" w14:paraId="4749145B" w14:textId="77777777" w:rsidTr="00F6381E">
        <w:tc>
          <w:tcPr>
            <w:tcW w:w="1395" w:type="dxa"/>
          </w:tcPr>
          <w:p w14:paraId="5EA00489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Maximum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neighborhood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component (MNC)</w:t>
            </w:r>
          </w:p>
        </w:tc>
        <w:tc>
          <w:tcPr>
            <w:tcW w:w="3136" w:type="dxa"/>
          </w:tcPr>
          <w:p w14:paraId="3BDAECE9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The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neighborhood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of a node v, nodes adjacent to v, induce a subnetwork N(v).The score of node v, MNC(v), is defined to be the size of the maximum connected component of N(v). The </w:t>
            </w: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neighborhood</w:t>
            </w:r>
            <w:proofErr w:type="spellEnd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 N(v) is the set of nodes adjacent to v and does not contain node v.</w:t>
            </w:r>
          </w:p>
        </w:tc>
        <w:tc>
          <w:tcPr>
            <w:tcW w:w="1070" w:type="dxa"/>
          </w:tcPr>
          <w:p w14:paraId="58BF8B1F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  <w:tr w:rsidR="00F6381E" w:rsidRPr="009E6464" w14:paraId="22021485" w14:textId="77777777" w:rsidTr="00F6381E">
        <w:tc>
          <w:tcPr>
            <w:tcW w:w="1395" w:type="dxa"/>
          </w:tcPr>
          <w:p w14:paraId="599EB6B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Residual closeness centrality</w:t>
            </w:r>
          </w:p>
        </w:tc>
        <w:tc>
          <w:tcPr>
            <w:tcW w:w="3136" w:type="dxa"/>
          </w:tcPr>
          <w:p w14:paraId="38D41AD1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 xml:space="preserve">Calculates the closeness of a vertex using </w:t>
            </w: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fldChar w:fldCharType="begin"/>
            </w: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instrText xml:space="preserve"> ADDIN EN.CITE &lt;EndNote&gt;&lt;Cite&gt;&lt;Author&gt;Dangalchev&lt;/Author&gt;&lt;Year&gt;2006&lt;/Year&gt;&lt;RecNum&gt;140&lt;/RecNum&gt;&lt;DisplayText&gt;(24)&lt;/DisplayText&gt;&lt;record&gt;&lt;rec-number&gt;140&lt;/rec-number&gt;&lt;foreign-keys&gt;&lt;key app="EN" db-id="xta5tpvr392fv0eaw0exs0eot9s5efap95pt" timestamp="1701085414"&gt;140&lt;/key&gt;&lt;/foreign-keys&gt;&lt;ref-type name="Journal Article"&gt;17&lt;/ref-type&gt;&lt;contributors&gt;&lt;authors&gt;&lt;author&gt;Dangalchev, Chavdar&lt;/author&gt;&lt;/authors&gt;&lt;/contributors&gt;&lt;titles&gt;&lt;title&gt;Residual closeness in networks&lt;/title&gt;&lt;secondary-title&gt;Physica A: Statistical Mechanics and its Applications&lt;/secondary-title&gt;&lt;/titles&gt;&lt;periodical&gt;&lt;full-title&gt;Physica A: Statistical Mechanics and its Applications&lt;/full-title&gt;&lt;/periodical&gt;&lt;pages&gt;556-564&lt;/pages&gt;&lt;volume&gt;365&lt;/volume&gt;&lt;number&gt;2&lt;/number&gt;&lt;dates&gt;&lt;year&gt;2006&lt;/year&gt;&lt;/dates&gt;&lt;isbn&gt;0378-4371&lt;/isbn&gt;&lt;urls&gt;&lt;/urls&gt;&lt;/record&gt;&lt;/Cite&gt;&lt;/EndNote&gt;</w:instrText>
            </w: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fldChar w:fldCharType="separate"/>
            </w:r>
            <w:r w:rsidRPr="009E6464">
              <w:rPr>
                <w:rFonts w:ascii="Arial" w:hAnsi="Arial" w:cs="Arial"/>
                <w:noProof/>
                <w:color w:val="000000" w:themeColor="text1"/>
                <w:lang w:val="en-IE"/>
              </w:rPr>
              <w:t>(24)</w:t>
            </w:r>
            <w:r w:rsidRPr="009E6464">
              <w:rPr>
                <w:rFonts w:ascii="Arial" w:hAnsi="Arial" w:cs="Arial"/>
                <w:color w:val="000000" w:themeColor="text1"/>
                <w:lang w:val="en-IE"/>
              </w:rPr>
              <w:fldChar w:fldCharType="end"/>
            </w:r>
          </w:p>
        </w:tc>
        <w:tc>
          <w:tcPr>
            <w:tcW w:w="1070" w:type="dxa"/>
          </w:tcPr>
          <w:p w14:paraId="3C158E55" w14:textId="77777777" w:rsidR="00F6381E" w:rsidRPr="009E6464" w:rsidRDefault="00F6381E" w:rsidP="00375AC8">
            <w:pPr>
              <w:rPr>
                <w:rFonts w:ascii="Arial" w:hAnsi="Arial" w:cs="Arial"/>
                <w:color w:val="000000" w:themeColor="text1"/>
                <w:lang w:val="en-IE"/>
              </w:rPr>
            </w:pPr>
            <w:proofErr w:type="spellStart"/>
            <w:r w:rsidRPr="009E6464">
              <w:rPr>
                <w:rFonts w:ascii="Arial" w:hAnsi="Arial" w:cs="Arial"/>
                <w:color w:val="000000" w:themeColor="text1"/>
                <w:lang w:val="en-IE"/>
              </w:rPr>
              <w:t>centiserve</w:t>
            </w:r>
            <w:proofErr w:type="spellEnd"/>
          </w:p>
        </w:tc>
      </w:tr>
    </w:tbl>
    <w:p w14:paraId="44D9EA4A" w14:textId="77777777" w:rsidR="00831745" w:rsidRPr="009E6464" w:rsidRDefault="00831745" w:rsidP="00831745">
      <w:pPr>
        <w:rPr>
          <w:rFonts w:ascii="Arial" w:hAnsi="Arial" w:cs="Arial"/>
          <w:color w:val="000000" w:themeColor="text1"/>
          <w:lang w:val="en-IE"/>
        </w:rPr>
      </w:pPr>
    </w:p>
    <w:p w14:paraId="76FDE6A8" w14:textId="77777777" w:rsidR="00831745" w:rsidRPr="009E6464" w:rsidRDefault="00831745" w:rsidP="00831745">
      <w:pPr>
        <w:rPr>
          <w:rFonts w:ascii="Arial" w:hAnsi="Arial" w:cs="Arial"/>
          <w:color w:val="000000" w:themeColor="text1"/>
          <w:lang w:val="en-IE"/>
        </w:rPr>
        <w:sectPr w:rsidR="00831745" w:rsidRPr="009E64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86A9B4" w14:textId="77777777" w:rsidR="00831745" w:rsidRPr="009E6464" w:rsidRDefault="00831745" w:rsidP="00831745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E6464">
        <w:rPr>
          <w:rFonts w:ascii="Arial" w:hAnsi="Arial" w:cs="Arial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7A889D58" wp14:editId="66092F47">
            <wp:extent cx="5729813" cy="7865110"/>
            <wp:effectExtent l="0" t="0" r="0" b="0"/>
            <wp:docPr id="6826630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63002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813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91CCF" w14:textId="77777777" w:rsidR="00831745" w:rsidRPr="009E6464" w:rsidRDefault="00831745" w:rsidP="00831745">
      <w:pPr>
        <w:jc w:val="both"/>
        <w:rPr>
          <w:rFonts w:ascii="Arial" w:hAnsi="Arial" w:cs="Arial"/>
          <w:color w:val="000000" w:themeColor="text1"/>
        </w:rPr>
      </w:pPr>
      <w:r w:rsidRPr="009E6464">
        <w:rPr>
          <w:rFonts w:ascii="Arial" w:hAnsi="Arial" w:cs="Arial"/>
          <w:b/>
          <w:bCs/>
          <w:color w:val="000000" w:themeColor="text1"/>
          <w:shd w:val="clear" w:color="auto" w:fill="FFFFFF"/>
        </w:rPr>
        <w:t>Supplementary Figure S1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9E6464">
        <w:rPr>
          <w:rFonts w:ascii="Arial" w:hAnsi="Arial" w:cs="Arial"/>
          <w:color w:val="000000" w:themeColor="text1"/>
        </w:rPr>
        <w:t>Comparison of network-wide statistics for the networks obtained for HC, MAP+, and MAP- varieties. Lines for panels A and B connect two sample groups at statistically significant levels</w:t>
      </w:r>
      <w:r w:rsidR="00A46DB2" w:rsidRPr="009E6464">
        <w:rPr>
          <w:rFonts w:ascii="Arial" w:hAnsi="Arial" w:cs="Arial"/>
          <w:color w:val="000000" w:themeColor="text1"/>
        </w:rPr>
        <w:t xml:space="preserve"> (ANOVA)</w:t>
      </w:r>
      <w:r w:rsidRPr="009E6464">
        <w:rPr>
          <w:rFonts w:ascii="Arial" w:hAnsi="Arial" w:cs="Arial"/>
          <w:color w:val="000000" w:themeColor="text1"/>
        </w:rPr>
        <w:t xml:space="preserve"> indicated by asterisks as * (p &lt; 0.05), **(p &lt; 0.01) or ***(p &lt; 0.001).</w:t>
      </w:r>
    </w:p>
    <w:p w14:paraId="3804B9C0" w14:textId="77777777" w:rsidR="00EC2BE6" w:rsidRPr="009E6464" w:rsidRDefault="00EC2BE6" w:rsidP="00831745">
      <w:pPr>
        <w:jc w:val="both"/>
        <w:rPr>
          <w:rFonts w:ascii="Arial" w:hAnsi="Arial" w:cs="Arial"/>
          <w:color w:val="000000" w:themeColor="text1"/>
        </w:rPr>
      </w:pPr>
    </w:p>
    <w:p w14:paraId="6D0EBD4C" w14:textId="328DEEFD" w:rsidR="00EC2BE6" w:rsidRPr="009E6464" w:rsidRDefault="00EC2BE6" w:rsidP="00831745">
      <w:pPr>
        <w:jc w:val="both"/>
        <w:rPr>
          <w:rFonts w:ascii="Arial" w:hAnsi="Arial" w:cs="Arial"/>
          <w:color w:val="000000" w:themeColor="text1"/>
        </w:rPr>
        <w:sectPr w:rsidR="00EC2BE6" w:rsidRPr="009E64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A163170" w14:textId="77777777" w:rsidR="00EC2BE6" w:rsidRPr="009E6464" w:rsidRDefault="00EC2BE6" w:rsidP="00EC2BE6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E6464">
        <w:rPr>
          <w:rFonts w:ascii="Arial" w:hAnsi="Arial" w:cs="Arial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2FA2BAC3" wp14:editId="10E395D9">
            <wp:extent cx="8263135" cy="2912710"/>
            <wp:effectExtent l="0" t="0" r="5080" b="0"/>
            <wp:docPr id="5589515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51507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3135" cy="29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3AC8" w14:textId="7EE46FB5" w:rsidR="00EC2BE6" w:rsidRPr="009E6464" w:rsidRDefault="00EC2BE6" w:rsidP="00EC2BE6">
      <w:pPr>
        <w:jc w:val="both"/>
        <w:rPr>
          <w:rFonts w:ascii="Arial" w:hAnsi="Arial" w:cs="Arial"/>
          <w:color w:val="000000" w:themeColor="text1"/>
          <w:shd w:val="clear" w:color="auto" w:fill="FFFFFF"/>
        </w:rPr>
        <w:sectPr w:rsidR="00EC2BE6" w:rsidRPr="009E6464" w:rsidSect="00EC2BE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E6464">
        <w:rPr>
          <w:rFonts w:ascii="Arial" w:hAnsi="Arial" w:cs="Arial"/>
          <w:b/>
          <w:bCs/>
          <w:color w:val="000000" w:themeColor="text1"/>
          <w:shd w:val="clear" w:color="auto" w:fill="FFFFFF"/>
        </w:rPr>
        <w:t>Supplementary Figure S2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9E6464">
        <w:rPr>
          <w:rFonts w:ascii="Cambria Math" w:hAnsi="Cambria Math" w:cs="Cambria Math"/>
          <w:color w:val="000000" w:themeColor="text1"/>
          <w:shd w:val="clear" w:color="auto" w:fill="FFFFFF"/>
        </w:rPr>
        <w:t>𝜷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− coefficients returned from GLLVM procedure for covariates considered in this study, and the top 20 influential nodes returned for HC samples in Figure 1 using IVI metric. Those coefficients which are positively associated with the microbial abundance of a particular genera are represented in red color whilst those that are negatively associated are represented with blue color, respectively. Non-significant associations, if any, are represented with the black color. For categorical variables, one level acts as a reference and is annotated with REF. Genera also found influential for MAP+ and MAP- cohort are represented with red color, whilst those found in either of MAP- and MAP+ cohort are represented with green and blue colors, respectively. </w:t>
      </w:r>
    </w:p>
    <w:p w14:paraId="06AD3F98" w14:textId="77777777" w:rsidR="00EC2BE6" w:rsidRPr="009E6464" w:rsidRDefault="00EC2BE6" w:rsidP="00EC2BE6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E6464">
        <w:rPr>
          <w:rFonts w:ascii="Arial" w:hAnsi="Arial" w:cs="Arial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6487869D" wp14:editId="3E442DF8">
            <wp:extent cx="8222787" cy="2958507"/>
            <wp:effectExtent l="0" t="0" r="0" b="635"/>
            <wp:docPr id="3486361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36175" name="Picture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2787" cy="295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D70A7" w14:textId="04CA96D3" w:rsidR="00EC2BE6" w:rsidRPr="009E6464" w:rsidRDefault="00EC2BE6" w:rsidP="00EC2BE6">
      <w:pPr>
        <w:jc w:val="both"/>
        <w:rPr>
          <w:rFonts w:ascii="Arial" w:hAnsi="Arial" w:cs="Arial"/>
          <w:color w:val="000000" w:themeColor="text1"/>
          <w:shd w:val="clear" w:color="auto" w:fill="FFFFFF"/>
        </w:rPr>
        <w:sectPr w:rsidR="00EC2BE6" w:rsidRPr="009E6464" w:rsidSect="00EC2BE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E6464">
        <w:rPr>
          <w:rFonts w:ascii="Arial" w:hAnsi="Arial" w:cs="Arial"/>
          <w:b/>
          <w:bCs/>
          <w:color w:val="000000" w:themeColor="text1"/>
          <w:shd w:val="clear" w:color="auto" w:fill="FFFFFF"/>
        </w:rPr>
        <w:t>Supplementary Figure S3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:  </w:t>
      </w:r>
      <w:r w:rsidRPr="009E6464">
        <w:rPr>
          <w:rFonts w:ascii="Cambria Math" w:hAnsi="Cambria Math" w:cs="Cambria Math"/>
          <w:color w:val="000000" w:themeColor="text1"/>
          <w:shd w:val="clear" w:color="auto" w:fill="FFFFFF"/>
        </w:rPr>
        <w:t>𝜷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>− coefficients returned from GLLVM procedure for covariates considered in this study, and for the top 20 most influential nodes returned for MAP+ samples in Figure 2 using IVI metric. Those coefficients which are positively associated with the microbial abundance of a particular genera are represented in red color whilst those that are negatively associated are represented with blue color, respectively. Non-significant associations, if any, are represented with the black color. For categorical variables, one level acts as a reference and is annotated with REF. Genera also found influential for HC and MAP- cohort are represented with red color, whilst those found in either of MAP- and HC cohort are represented with green and blue colors, respectively.</w:t>
      </w:r>
    </w:p>
    <w:p w14:paraId="6E6C2C64" w14:textId="77777777" w:rsidR="00EC2BE6" w:rsidRPr="009E6464" w:rsidRDefault="00EC2BE6" w:rsidP="00EC2BE6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E6464">
        <w:rPr>
          <w:rFonts w:ascii="Arial" w:hAnsi="Arial" w:cs="Arial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7B782C09" wp14:editId="4C3E419E">
            <wp:extent cx="8548181" cy="3238517"/>
            <wp:effectExtent l="0" t="0" r="0" b="0"/>
            <wp:docPr id="14265560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56091" name="Picture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8181" cy="323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FE02E" w14:textId="6A9BB803" w:rsidR="00EC2BE6" w:rsidRPr="009E6464" w:rsidRDefault="00EC2BE6" w:rsidP="00EC2BE6">
      <w:pPr>
        <w:jc w:val="both"/>
        <w:rPr>
          <w:rFonts w:ascii="Arial" w:hAnsi="Arial" w:cs="Arial"/>
          <w:color w:val="000000" w:themeColor="text1"/>
          <w:shd w:val="clear" w:color="auto" w:fill="FFFFFF"/>
        </w:rPr>
        <w:sectPr w:rsidR="00EC2BE6" w:rsidRPr="009E6464" w:rsidSect="00EC2BE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E6464">
        <w:rPr>
          <w:rFonts w:ascii="Arial" w:hAnsi="Arial" w:cs="Arial"/>
          <w:b/>
          <w:bCs/>
          <w:color w:val="000000" w:themeColor="text1"/>
          <w:shd w:val="clear" w:color="auto" w:fill="FFFFFF"/>
        </w:rPr>
        <w:t>Supplementary Figure S4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9E6464">
        <w:rPr>
          <w:rFonts w:ascii="Cambria Math" w:hAnsi="Cambria Math" w:cs="Cambria Math"/>
          <w:color w:val="000000" w:themeColor="text1"/>
          <w:shd w:val="clear" w:color="auto" w:fill="FFFFFF"/>
        </w:rPr>
        <w:t>𝜷</w:t>
      </w:r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− coefficients returned from GLLVM procedure for covariates considered in this study, and for the top 20 most influential nodes returned for MAP- samples in Figure 3 using IVI metric. Those coefficients which are positively associated with the microbial abundance of a particular genera are represented in red color whilst those that are negatively associated are represented with blue color, respectively. Non-significant associations, if any, are represented with the black color. For categorical variables, one level acts as a reference and is </w:t>
      </w:r>
      <w:proofErr w:type="spellStart"/>
      <w:r w:rsidRPr="009E6464">
        <w:rPr>
          <w:rFonts w:ascii="Arial" w:hAnsi="Arial" w:cs="Arial"/>
          <w:color w:val="000000" w:themeColor="text1"/>
          <w:shd w:val="clear" w:color="auto" w:fill="FFFFFF"/>
        </w:rPr>
        <w:t>is</w:t>
      </w:r>
      <w:proofErr w:type="spellEnd"/>
      <w:r w:rsidRPr="009E6464">
        <w:rPr>
          <w:rFonts w:ascii="Arial" w:hAnsi="Arial" w:cs="Arial"/>
          <w:color w:val="000000" w:themeColor="text1"/>
          <w:shd w:val="clear" w:color="auto" w:fill="FFFFFF"/>
        </w:rPr>
        <w:t xml:space="preserve"> annotated with REF. Genera also found influential for HC and MAP+ cohort are represented with red color, whilst those found in either of HC and MAP+ cohort are represented with blue color.   </w:t>
      </w:r>
    </w:p>
    <w:p w14:paraId="66F1D4DD" w14:textId="77777777" w:rsidR="00EC2BE6" w:rsidRPr="009E6464" w:rsidRDefault="00EC2BE6" w:rsidP="00EC2BE6">
      <w:pPr>
        <w:rPr>
          <w:rFonts w:ascii="Arial" w:hAnsi="Arial" w:cs="Arial"/>
          <w:b/>
          <w:bCs/>
          <w:color w:val="000000" w:themeColor="text1"/>
          <w:lang w:val="en-IE"/>
        </w:rPr>
      </w:pPr>
      <w:r w:rsidRPr="009E6464">
        <w:rPr>
          <w:rFonts w:ascii="Arial" w:hAnsi="Arial" w:cs="Arial"/>
          <w:b/>
          <w:bCs/>
          <w:color w:val="000000" w:themeColor="text1"/>
          <w:lang w:val="en-IE"/>
        </w:rPr>
        <w:lastRenderedPageBreak/>
        <w:t>References:</w:t>
      </w:r>
    </w:p>
    <w:p w14:paraId="66801453" w14:textId="77777777" w:rsidR="00EC2BE6" w:rsidRPr="009E6464" w:rsidRDefault="00EC2BE6" w:rsidP="00EC2BE6">
      <w:pPr>
        <w:numPr>
          <w:ilvl w:val="0"/>
          <w:numId w:val="1"/>
        </w:numPr>
        <w:rPr>
          <w:rFonts w:ascii="Arial" w:hAnsi="Arial" w:cs="Arial"/>
          <w:color w:val="000000" w:themeColor="text1"/>
          <w:lang w:val="en-IE"/>
        </w:rPr>
      </w:pP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Csardi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G., &amp;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Nepusz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T. (2006). The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igraph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 software package for complex network research.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InterJournal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>, complex systems, 1695(5), 1-9.</w:t>
      </w:r>
    </w:p>
    <w:p w14:paraId="5A989F86" w14:textId="77777777" w:rsidR="00EC2BE6" w:rsidRPr="009E6464" w:rsidRDefault="00EC2BE6" w:rsidP="00EC2BE6">
      <w:pPr>
        <w:numPr>
          <w:ilvl w:val="0"/>
          <w:numId w:val="1"/>
        </w:numPr>
        <w:rPr>
          <w:rFonts w:ascii="Arial" w:hAnsi="Arial" w:cs="Arial"/>
          <w:color w:val="000000" w:themeColor="text1"/>
          <w:lang w:val="en-IE"/>
        </w:rPr>
      </w:pP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Salavaty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A.,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Ramialison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>, M., &amp; Currie, P. D. (2020). Integrated value of influence: an integrative method for the identification of the most influential nodes within networks. Patterns, 1(5).</w:t>
      </w:r>
    </w:p>
    <w:p w14:paraId="6980F9ED" w14:textId="5A83CAD6" w:rsidR="00EC2BE6" w:rsidRPr="009E6464" w:rsidRDefault="00EC2BE6" w:rsidP="00EC2BE6">
      <w:pPr>
        <w:numPr>
          <w:ilvl w:val="0"/>
          <w:numId w:val="1"/>
        </w:numPr>
        <w:rPr>
          <w:rFonts w:ascii="Arial" w:hAnsi="Arial" w:cs="Arial"/>
          <w:color w:val="000000" w:themeColor="text1"/>
          <w:lang w:val="en-IE"/>
        </w:rPr>
        <w:sectPr w:rsidR="00EC2BE6" w:rsidRPr="009E6464" w:rsidSect="00EC2B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E6464">
        <w:rPr>
          <w:rFonts w:ascii="Arial" w:hAnsi="Arial" w:cs="Arial"/>
          <w:color w:val="000000" w:themeColor="text1"/>
          <w:lang w:val="en-IE"/>
        </w:rPr>
        <w:t xml:space="preserve">Jalili, M.,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Salehzadeh-Yazdi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A., Asgari, Y., Arab, S. S.,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Yaghmaie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M.,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Ghavamzadeh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A., &amp;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Alimoghaddam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, K. (2015).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CentiServer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: a comprehensive resource, web-based application and R package for centrality analysis. </w:t>
      </w:r>
      <w:proofErr w:type="spellStart"/>
      <w:r w:rsidRPr="009E6464">
        <w:rPr>
          <w:rFonts w:ascii="Arial" w:hAnsi="Arial" w:cs="Arial"/>
          <w:color w:val="000000" w:themeColor="text1"/>
          <w:lang w:val="en-IE"/>
        </w:rPr>
        <w:t>PloS</w:t>
      </w:r>
      <w:proofErr w:type="spellEnd"/>
      <w:r w:rsidRPr="009E6464">
        <w:rPr>
          <w:rFonts w:ascii="Arial" w:hAnsi="Arial" w:cs="Arial"/>
          <w:color w:val="000000" w:themeColor="text1"/>
          <w:lang w:val="en-IE"/>
        </w:rPr>
        <w:t xml:space="preserve"> one, 10(11), e0143111.</w:t>
      </w:r>
    </w:p>
    <w:p w14:paraId="0BB6AFF2" w14:textId="77777777" w:rsidR="006324CE" w:rsidRPr="009E6464" w:rsidRDefault="006324CE">
      <w:pPr>
        <w:rPr>
          <w:color w:val="000000" w:themeColor="text1"/>
        </w:rPr>
      </w:pPr>
    </w:p>
    <w:sectPr w:rsidR="006324CE" w:rsidRPr="009E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223F6"/>
    <w:multiLevelType w:val="hybridMultilevel"/>
    <w:tmpl w:val="6DFA8110"/>
    <w:lvl w:ilvl="0" w:tplc="F4DC61F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14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45"/>
    <w:rsid w:val="003A7219"/>
    <w:rsid w:val="004F04A8"/>
    <w:rsid w:val="006324CE"/>
    <w:rsid w:val="00831745"/>
    <w:rsid w:val="00844168"/>
    <w:rsid w:val="00981685"/>
    <w:rsid w:val="009B7C7C"/>
    <w:rsid w:val="009E6464"/>
    <w:rsid w:val="00A46DB2"/>
    <w:rsid w:val="00EC2BE6"/>
    <w:rsid w:val="00F6381E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36C895"/>
  <w15:chartTrackingRefBased/>
  <w15:docId w15:val="{5496E7D8-0ADD-FD47-8C4C-6DA538E8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745"/>
    <w:pPr>
      <w:spacing w:after="160" w:line="259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1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0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zarbo@uniss.it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sia.aurora@tiscali.it" TargetMode="External"/><Relationship Id="rId12" Type="http://schemas.openxmlformats.org/officeDocument/2006/relationships/hyperlink" Target="mailto:sechila@uniss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hyperlink" Target="mailto:plamena.dikarlo@biomes.world" TargetMode="External"/><Relationship Id="rId11" Type="http://schemas.openxmlformats.org/officeDocument/2006/relationships/hyperlink" Target="http://userweb.eng.gla.ac.uk/umer.ijaz" TargetMode="External"/><Relationship Id="rId5" Type="http://schemas.openxmlformats.org/officeDocument/2006/relationships/hyperlink" Target="mailto:h.ashraf@studenti.uniss.it" TargetMode="External"/><Relationship Id="rId15" Type="http://schemas.openxmlformats.org/officeDocument/2006/relationships/image" Target="media/image3.emf"/><Relationship Id="rId10" Type="http://schemas.openxmlformats.org/officeDocument/2006/relationships/hyperlink" Target="mailto:Umer.Ijaz@glasgow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olla@uniss.it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 Ijaz</dc:creator>
  <cp:keywords/>
  <dc:description/>
  <cp:lastModifiedBy>Umer Ijaz</cp:lastModifiedBy>
  <cp:revision>8</cp:revision>
  <dcterms:created xsi:type="dcterms:W3CDTF">2023-11-28T12:15:00Z</dcterms:created>
  <dcterms:modified xsi:type="dcterms:W3CDTF">2024-05-29T08:59:00Z</dcterms:modified>
</cp:coreProperties>
</file>