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8404C">
      <w:pPr>
        <w:snapToGrid w:val="0"/>
        <w:ind w:left="0" w:leftChars="0" w:right="0" w:rightChars="0" w:firstLine="0" w:firstLineChars="0"/>
        <w:jc w:val="center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Supplementary Table S1. Results of the Per-Protocol (PP) Analysis</w:t>
      </w:r>
    </w:p>
    <w:p w14:paraId="6C5128EF">
      <w:pPr>
        <w:snapToGrid w:val="0"/>
        <w:ind w:left="0" w:leftChars="0" w:right="0" w:rightChars="0" w:firstLine="0" w:firstLineChars="0"/>
        <w:jc w:val="center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</w:p>
    <w:tbl>
      <w:tblPr>
        <w:tblStyle w:val="4"/>
        <w:tblW w:w="14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708"/>
        <w:gridCol w:w="3167"/>
        <w:gridCol w:w="2623"/>
        <w:gridCol w:w="2555"/>
        <w:gridCol w:w="1123"/>
      </w:tblGrid>
      <w:tr w14:paraId="4633D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70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4516E8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Outcome / Analysis</w:t>
            </w:r>
          </w:p>
        </w:tc>
        <w:tc>
          <w:tcPr>
            <w:tcW w:w="316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C793D0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Intervention Group (n=53)</w:t>
            </w:r>
          </w:p>
        </w:tc>
        <w:tc>
          <w:tcPr>
            <w:tcW w:w="262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0D3C73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Control Group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(n=76)</w:t>
            </w:r>
          </w:p>
        </w:tc>
        <w:tc>
          <w:tcPr>
            <w:tcW w:w="255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810893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Effect Size (95% CI)</w:t>
            </w:r>
          </w:p>
        </w:tc>
        <w:tc>
          <w:tcPr>
            <w:tcW w:w="112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3DAEDF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14:paraId="2E1CC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70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071722E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Primary Outcome: 1-week Cure Rate</w:t>
            </w: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91237A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A3C7A2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FBD4A5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6AFB47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</w:tr>
      <w:tr w14:paraId="2482A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50E8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 Adjusted Analysis (Logistic Regression)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CD42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20 (37.7%)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4B25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15 (19.7%)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4EC7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RR = 1.91(1.08–3.38)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23F4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0.013</w:t>
            </w:r>
          </w:p>
        </w:tc>
      </w:tr>
      <w:tr w14:paraId="3B3F2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85AD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Multivariable Logistic Regression 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D2E1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20 (37.7%)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481E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15 (19.7%)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E066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OR = 3.40 (1.41–8.22)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5040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0.006</w:t>
            </w:r>
          </w:p>
        </w:tc>
      </w:tr>
      <w:tr w14:paraId="3ED28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2EE7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Secondary Outcome: Time to Diarrhea Cessation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BDA2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25E9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E7C0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91BD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284D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D729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Median Time to Resolution (days)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6F82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14.0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57E9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21.0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0D03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--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4244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--</w:t>
            </w:r>
          </w:p>
        </w:tc>
      </w:tr>
      <w:tr w14:paraId="697C9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70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546F92A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  Adjusted Analysis (Cox Proportional Hazards)</w:t>
            </w:r>
          </w:p>
        </w:tc>
        <w:tc>
          <w:tcPr>
            <w:tcW w:w="316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3FD2DF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--</w:t>
            </w:r>
          </w:p>
        </w:tc>
        <w:tc>
          <w:tcPr>
            <w:tcW w:w="262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DFAE72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--</w:t>
            </w:r>
          </w:p>
        </w:tc>
        <w:tc>
          <w:tcPr>
            <w:tcW w:w="255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CA6D8B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HR = 0.34 (0.21–0.53)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550C3D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&lt;0.001</w:t>
            </w:r>
          </w:p>
        </w:tc>
      </w:tr>
    </w:tbl>
    <w:p w14:paraId="55EA8ADE"/>
    <w:p w14:paraId="1447D2C2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Abbreviations:</w:t>
      </w:r>
      <w:r>
        <w:rPr>
          <w:rFonts w:hint="default" w:ascii="Times New Roman" w:hAnsi="Times New Roman" w:cs="Times New Roman"/>
        </w:rPr>
        <w:t xml:space="preserve"> CI, confidence interval; HR, hazard ratio; OR, odds ratio; RR, relative risk; PP, per-protocol.</w:t>
      </w:r>
    </w:p>
    <w:p w14:paraId="444A741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Notes: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The Per-Protocol (PP) population included all randomized participants who completed the full 1-month intervention with ≥80% compliance. In this trial, the PP population (n=129) was identical to the final analysis set presented in the main text, as all excluded participants (n=27 in the interve</w:t>
      </w:r>
      <w:bookmarkStart w:id="0" w:name="_GoBack"/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>ntion group and n=4 in the control group) were excluded due to poor compliance, withdrawal of consent, or loss to follow-up.</w:t>
      </w: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C3DA7"/>
    <w:rsid w:val="004672B9"/>
    <w:rsid w:val="00F52A8D"/>
    <w:rsid w:val="05502988"/>
    <w:rsid w:val="056326BB"/>
    <w:rsid w:val="057C552B"/>
    <w:rsid w:val="073360BD"/>
    <w:rsid w:val="082A3964"/>
    <w:rsid w:val="0C360B29"/>
    <w:rsid w:val="0EC51CF1"/>
    <w:rsid w:val="0F0425D0"/>
    <w:rsid w:val="10BB33AB"/>
    <w:rsid w:val="10D97CD5"/>
    <w:rsid w:val="13217712"/>
    <w:rsid w:val="13DA623E"/>
    <w:rsid w:val="14BF5434"/>
    <w:rsid w:val="15115C90"/>
    <w:rsid w:val="17A34B99"/>
    <w:rsid w:val="1B7E1BA5"/>
    <w:rsid w:val="1FC57DA2"/>
    <w:rsid w:val="21894E00"/>
    <w:rsid w:val="26BB5A5B"/>
    <w:rsid w:val="2B593A95"/>
    <w:rsid w:val="2D1F486A"/>
    <w:rsid w:val="2FEC3129"/>
    <w:rsid w:val="305B3E0B"/>
    <w:rsid w:val="31CD0D39"/>
    <w:rsid w:val="32F02F31"/>
    <w:rsid w:val="354E3F3E"/>
    <w:rsid w:val="37A442EA"/>
    <w:rsid w:val="3CF90C34"/>
    <w:rsid w:val="3D5210F2"/>
    <w:rsid w:val="3DAC3EF8"/>
    <w:rsid w:val="3F1C50AD"/>
    <w:rsid w:val="42381CC5"/>
    <w:rsid w:val="46317690"/>
    <w:rsid w:val="49523BA5"/>
    <w:rsid w:val="49AF43A5"/>
    <w:rsid w:val="4A233794"/>
    <w:rsid w:val="4BA32DDE"/>
    <w:rsid w:val="4C7354D5"/>
    <w:rsid w:val="4E4D7031"/>
    <w:rsid w:val="4F0771E0"/>
    <w:rsid w:val="50722D7F"/>
    <w:rsid w:val="525C5A95"/>
    <w:rsid w:val="55807CEC"/>
    <w:rsid w:val="57D32355"/>
    <w:rsid w:val="57D4431F"/>
    <w:rsid w:val="58847AF3"/>
    <w:rsid w:val="5A2D7B6F"/>
    <w:rsid w:val="5AF56A87"/>
    <w:rsid w:val="5C0056E3"/>
    <w:rsid w:val="5C2C64D8"/>
    <w:rsid w:val="5F93686E"/>
    <w:rsid w:val="5FB54A36"/>
    <w:rsid w:val="67002A3B"/>
    <w:rsid w:val="679B09B6"/>
    <w:rsid w:val="68295FC1"/>
    <w:rsid w:val="689E250C"/>
    <w:rsid w:val="6A3273AF"/>
    <w:rsid w:val="6A7E25F5"/>
    <w:rsid w:val="6CAB3449"/>
    <w:rsid w:val="6F4656AB"/>
    <w:rsid w:val="73C05A2C"/>
    <w:rsid w:val="746F1200"/>
    <w:rsid w:val="75625A1D"/>
    <w:rsid w:val="76870A83"/>
    <w:rsid w:val="76A50F09"/>
    <w:rsid w:val="79E65AC0"/>
    <w:rsid w:val="7D40198C"/>
    <w:rsid w:val="7DA5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2026-02-18T20:57:12Z</dcterms:created>
  <dc:creator>wyf</dc:creator>
  <cp:lastModifiedBy>汪逸凡</cp:lastModifiedBy>
  <dcterms:modified xsi:type="dcterms:W3CDTF">2026-02-18T21:36:23Z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eyJoZGlkIjoiM2E4MjA2MzFhM2FlZjg0MWZhM2FkYWU3NjBlNGU0ZjEiLCJ1c2VySWQiOiIxNjM1NDk1NTQxIn0=</vt:lpwstr>
  </property>
  <property fmtid="{D5CDD505-2E9C-101B-9397-08002B2CF9AE}" pid="4" name="ICV">
    <vt:lpwstr>545DD2DB1B904EBF86EAA1D08F0FE08A_12</vt:lpwstr>
  </property>
</Properties>
</file>