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D6AFB" w14:textId="1DE9A0D5" w:rsidR="00FC0438" w:rsidRPr="003E7A08" w:rsidRDefault="00FC0438" w:rsidP="00FC0438">
      <w:pPr>
        <w:jc w:val="both"/>
        <w:rPr>
          <w:rFonts w:ascii="Calibri" w:hAnsi="Calibri" w:cs="Calibri"/>
          <w:sz w:val="20"/>
          <w:szCs w:val="20"/>
        </w:rPr>
      </w:pPr>
      <w:r w:rsidRPr="003E7A08">
        <w:rPr>
          <w:rFonts w:ascii="Calibri" w:hAnsi="Calibri" w:cs="Calibri"/>
          <w:b/>
          <w:bCs/>
          <w:sz w:val="20"/>
          <w:szCs w:val="20"/>
        </w:rPr>
        <w:t>Supplementary Figure 1</w:t>
      </w:r>
      <w:r w:rsidRPr="003E7A08">
        <w:rPr>
          <w:rFonts w:ascii="Calibri" w:hAnsi="Calibri" w:cs="Calibri"/>
          <w:sz w:val="20"/>
          <w:szCs w:val="20"/>
        </w:rPr>
        <w:t>.</w:t>
      </w:r>
      <w:r w:rsidR="00FE23C1" w:rsidRPr="003E7A08">
        <w:rPr>
          <w:rFonts w:ascii="Calibri" w:hAnsi="Calibri" w:cs="Calibri"/>
          <w:sz w:val="20"/>
          <w:szCs w:val="20"/>
        </w:rPr>
        <w:t xml:space="preserve"> (PCoA) based on Bray-Curtis distances calculated using RPKM-based ARG abundance values showing the distribution of ARG profiles across China, Colombia, Japan, Korea, non-Western (NW), Russia, Slum, and Western (W) groups. Statistical significance was assessed using </w:t>
      </w:r>
      <w:r w:rsidR="003E7A08" w:rsidRPr="003E7A08">
        <w:rPr>
          <w:rFonts w:ascii="Calibri" w:hAnsi="Calibri" w:cs="Calibri"/>
          <w:sz w:val="20"/>
          <w:szCs w:val="20"/>
        </w:rPr>
        <w:t>PERMANOVA (</w:t>
      </w:r>
      <w:r w:rsidR="00FE23C1" w:rsidRPr="003E7A08">
        <w:rPr>
          <w:rFonts w:ascii="Calibri" w:hAnsi="Calibri" w:cs="Calibri"/>
          <w:sz w:val="20"/>
          <w:szCs w:val="20"/>
        </w:rPr>
        <w:t xml:space="preserve">R² = 0.16, </w:t>
      </w:r>
      <w:r w:rsidR="00FE23C1" w:rsidRPr="00E13A60">
        <w:rPr>
          <w:rFonts w:ascii="Calibri" w:hAnsi="Calibri" w:cs="Calibri"/>
          <w:i/>
          <w:iCs/>
          <w:sz w:val="20"/>
          <w:szCs w:val="20"/>
        </w:rPr>
        <w:t>p</w:t>
      </w:r>
      <w:r w:rsidR="00FE23C1" w:rsidRPr="003E7A08">
        <w:rPr>
          <w:rFonts w:ascii="Calibri" w:hAnsi="Calibri" w:cs="Calibri"/>
          <w:sz w:val="20"/>
          <w:szCs w:val="20"/>
        </w:rPr>
        <w:t xml:space="preserve"> = 0.001). A Mantel test using Spearman correlation (999 permutations) was performed to compare Bray-</w:t>
      </w:r>
      <w:proofErr w:type="gramStart"/>
      <w:r w:rsidR="00FE23C1" w:rsidRPr="003E7A08">
        <w:rPr>
          <w:rFonts w:ascii="Calibri" w:hAnsi="Calibri" w:cs="Calibri"/>
          <w:sz w:val="20"/>
          <w:szCs w:val="20"/>
        </w:rPr>
        <w:t>Curtis</w:t>
      </w:r>
      <w:proofErr w:type="gramEnd"/>
      <w:r w:rsidR="00FE23C1" w:rsidRPr="003E7A08">
        <w:rPr>
          <w:rFonts w:ascii="Calibri" w:hAnsi="Calibri" w:cs="Calibri"/>
          <w:sz w:val="20"/>
          <w:szCs w:val="20"/>
        </w:rPr>
        <w:t xml:space="preserve"> distance matrices generated from RPKM-based abundance and log₂-transformed relative abundance data, showing strong concordance between the two normalization approaches (Spearman ρ = 0.919, </w:t>
      </w:r>
      <w:r w:rsidR="00FE23C1" w:rsidRPr="00E13A60">
        <w:rPr>
          <w:rFonts w:ascii="Calibri" w:hAnsi="Calibri" w:cs="Calibri"/>
          <w:i/>
          <w:iCs/>
          <w:sz w:val="20"/>
          <w:szCs w:val="20"/>
        </w:rPr>
        <w:t>p</w:t>
      </w:r>
      <w:r w:rsidR="00FE23C1" w:rsidRPr="003E7A08">
        <w:rPr>
          <w:rFonts w:ascii="Calibri" w:hAnsi="Calibri" w:cs="Calibri"/>
          <w:sz w:val="20"/>
          <w:szCs w:val="20"/>
        </w:rPr>
        <w:t xml:space="preserve"> = 0.001).</w:t>
      </w:r>
    </w:p>
    <w:p w14:paraId="61AB0FE1" w14:textId="1B9FB497" w:rsidR="00FC0438" w:rsidRPr="003E7A08" w:rsidRDefault="00FC0438" w:rsidP="00FC0438">
      <w:pPr>
        <w:jc w:val="both"/>
        <w:rPr>
          <w:rFonts w:ascii="Calibri" w:hAnsi="Calibri" w:cs="Calibri"/>
          <w:sz w:val="20"/>
          <w:szCs w:val="20"/>
        </w:rPr>
      </w:pPr>
      <w:r w:rsidRPr="003E7A08">
        <w:rPr>
          <w:rFonts w:ascii="Calibri" w:hAnsi="Calibri" w:cs="Calibri"/>
          <w:b/>
          <w:bCs/>
          <w:sz w:val="20"/>
          <w:szCs w:val="20"/>
        </w:rPr>
        <w:t>Supplementary Figure 2</w:t>
      </w:r>
      <w:r w:rsidRPr="003E7A08">
        <w:rPr>
          <w:rFonts w:ascii="Calibri" w:hAnsi="Calibri" w:cs="Calibri"/>
          <w:sz w:val="20"/>
          <w:szCs w:val="20"/>
        </w:rPr>
        <w:t xml:space="preserve">. </w:t>
      </w:r>
      <w:r w:rsidRPr="003E7A08">
        <w:rPr>
          <w:rFonts w:ascii="Calibri" w:hAnsi="Calibri" w:cs="Calibri"/>
          <w:b/>
          <w:bCs/>
          <w:sz w:val="20"/>
          <w:szCs w:val="20"/>
        </w:rPr>
        <w:t>(A</w:t>
      </w:r>
      <w:r w:rsidR="00DD3AFE">
        <w:rPr>
          <w:rFonts w:ascii="Calibri" w:hAnsi="Calibri" w:cs="Calibri"/>
          <w:b/>
          <w:bCs/>
          <w:sz w:val="20"/>
          <w:szCs w:val="20"/>
        </w:rPr>
        <w:t>-</w:t>
      </w:r>
      <w:r w:rsidR="005E2F18" w:rsidRPr="003E7A08">
        <w:rPr>
          <w:rFonts w:ascii="Calibri" w:hAnsi="Calibri" w:cs="Calibri"/>
          <w:b/>
          <w:bCs/>
          <w:sz w:val="20"/>
          <w:szCs w:val="20"/>
        </w:rPr>
        <w:t>F</w:t>
      </w:r>
      <w:r w:rsidRPr="003E7A08">
        <w:rPr>
          <w:rFonts w:ascii="Calibri" w:hAnsi="Calibri" w:cs="Calibri"/>
          <w:b/>
          <w:bCs/>
          <w:sz w:val="20"/>
          <w:szCs w:val="20"/>
        </w:rPr>
        <w:t>)</w:t>
      </w:r>
      <w:r w:rsidRPr="003E7A08">
        <w:rPr>
          <w:rFonts w:ascii="Calibri" w:hAnsi="Calibri" w:cs="Calibri"/>
          <w:sz w:val="20"/>
          <w:szCs w:val="20"/>
        </w:rPr>
        <w:t xml:space="preserve"> Boxplots showing </w:t>
      </w:r>
      <w:r w:rsidR="003E7A08" w:rsidRPr="003E7A08">
        <w:rPr>
          <w:rFonts w:ascii="Calibri" w:hAnsi="Calibri" w:cs="Calibri"/>
          <w:sz w:val="20"/>
          <w:szCs w:val="20"/>
        </w:rPr>
        <w:t>a higher</w:t>
      </w:r>
      <w:r w:rsidRPr="003E7A08">
        <w:rPr>
          <w:rFonts w:ascii="Calibri" w:hAnsi="Calibri" w:cs="Calibri"/>
          <w:sz w:val="20"/>
          <w:szCs w:val="20"/>
        </w:rPr>
        <w:t xml:space="preserve"> </w:t>
      </w:r>
      <w:r w:rsidR="003E7A08" w:rsidRPr="003E7A08">
        <w:rPr>
          <w:rFonts w:ascii="Calibri" w:hAnsi="Calibri" w:cs="Calibri"/>
          <w:sz w:val="20"/>
          <w:szCs w:val="20"/>
        </w:rPr>
        <w:t xml:space="preserve">relative </w:t>
      </w:r>
      <w:r w:rsidRPr="003E7A08">
        <w:rPr>
          <w:rFonts w:ascii="Calibri" w:hAnsi="Calibri" w:cs="Calibri"/>
          <w:sz w:val="20"/>
          <w:szCs w:val="20"/>
        </w:rPr>
        <w:t xml:space="preserve">abundance of </w:t>
      </w:r>
      <w:r w:rsidR="003E7A08" w:rsidRPr="003E7A08">
        <w:rPr>
          <w:rFonts w:ascii="Calibri" w:hAnsi="Calibri" w:cs="Calibri"/>
          <w:sz w:val="20"/>
          <w:szCs w:val="20"/>
        </w:rPr>
        <w:t xml:space="preserve">selected genes in studies from </w:t>
      </w:r>
      <w:r w:rsidR="00E13A60">
        <w:rPr>
          <w:rFonts w:ascii="Calibri" w:hAnsi="Calibri" w:cs="Calibri"/>
          <w:sz w:val="20"/>
          <w:szCs w:val="20"/>
        </w:rPr>
        <w:t>W</w:t>
      </w:r>
      <w:r w:rsidR="003E7A08" w:rsidRPr="003E7A08">
        <w:rPr>
          <w:rFonts w:ascii="Calibri" w:hAnsi="Calibri" w:cs="Calibri"/>
          <w:sz w:val="20"/>
          <w:szCs w:val="20"/>
        </w:rPr>
        <w:t>estern and Chinese populations compared to non-Western populations.</w:t>
      </w:r>
    </w:p>
    <w:p w14:paraId="144DB5E2" w14:textId="1CFC8088" w:rsidR="00FC0438" w:rsidRPr="003E7A08" w:rsidRDefault="00FC0438" w:rsidP="00FC0438">
      <w:pPr>
        <w:jc w:val="both"/>
        <w:rPr>
          <w:rFonts w:ascii="Calibri" w:hAnsi="Calibri" w:cs="Calibri"/>
          <w:sz w:val="20"/>
          <w:szCs w:val="20"/>
        </w:rPr>
      </w:pPr>
      <w:r w:rsidRPr="003E7A08">
        <w:rPr>
          <w:rFonts w:ascii="Calibri" w:hAnsi="Calibri" w:cs="Calibri"/>
          <w:b/>
          <w:bCs/>
          <w:sz w:val="20"/>
          <w:szCs w:val="20"/>
        </w:rPr>
        <w:t>Supplementary Figure 3</w:t>
      </w:r>
      <w:r w:rsidRPr="003E7A08">
        <w:rPr>
          <w:rFonts w:ascii="Calibri" w:hAnsi="Calibri" w:cs="Calibri"/>
          <w:sz w:val="20"/>
          <w:szCs w:val="20"/>
        </w:rPr>
        <w:t xml:space="preserve">. </w:t>
      </w:r>
      <w:r w:rsidRPr="003E7A08">
        <w:rPr>
          <w:rFonts w:ascii="Calibri" w:hAnsi="Calibri" w:cs="Calibri"/>
          <w:b/>
          <w:bCs/>
          <w:sz w:val="20"/>
          <w:szCs w:val="20"/>
        </w:rPr>
        <w:t>(A</w:t>
      </w:r>
      <w:r w:rsidR="00DD3AFE">
        <w:rPr>
          <w:rFonts w:ascii="Calibri" w:hAnsi="Calibri" w:cs="Calibri"/>
          <w:b/>
          <w:bCs/>
          <w:sz w:val="20"/>
          <w:szCs w:val="20"/>
        </w:rPr>
        <w:t>-</w:t>
      </w:r>
      <w:r w:rsidR="00D34615" w:rsidRPr="003E7A08">
        <w:rPr>
          <w:rFonts w:ascii="Calibri" w:hAnsi="Calibri" w:cs="Calibri"/>
          <w:b/>
          <w:bCs/>
          <w:sz w:val="20"/>
          <w:szCs w:val="20"/>
        </w:rPr>
        <w:t>D</w:t>
      </w:r>
      <w:r w:rsidRPr="003E7A08">
        <w:rPr>
          <w:rFonts w:ascii="Calibri" w:hAnsi="Calibri" w:cs="Calibri"/>
          <w:b/>
          <w:bCs/>
          <w:sz w:val="20"/>
          <w:szCs w:val="20"/>
        </w:rPr>
        <w:t>)</w:t>
      </w:r>
      <w:r w:rsidRPr="003E7A08">
        <w:rPr>
          <w:rFonts w:ascii="Calibri" w:hAnsi="Calibri" w:cs="Calibri"/>
          <w:sz w:val="20"/>
          <w:szCs w:val="20"/>
        </w:rPr>
        <w:t xml:space="preserve"> Boxplots showing the higher abundance of </w:t>
      </w:r>
      <w:r w:rsidRPr="00DD3AFE">
        <w:rPr>
          <w:rFonts w:ascii="Calibri" w:hAnsi="Calibri" w:cs="Calibri"/>
          <w:i/>
          <w:iCs/>
          <w:sz w:val="20"/>
          <w:szCs w:val="20"/>
        </w:rPr>
        <w:t>AAC(6')-Ie-</w:t>
      </w:r>
      <w:proofErr w:type="gramStart"/>
      <w:r w:rsidRPr="00DD3AFE">
        <w:rPr>
          <w:rFonts w:ascii="Calibri" w:hAnsi="Calibri" w:cs="Calibri"/>
          <w:i/>
          <w:iCs/>
          <w:sz w:val="20"/>
          <w:szCs w:val="20"/>
        </w:rPr>
        <w:t>APH(</w:t>
      </w:r>
      <w:proofErr w:type="gramEnd"/>
      <w:r w:rsidRPr="00DD3AFE">
        <w:rPr>
          <w:rFonts w:ascii="Calibri" w:hAnsi="Calibri" w:cs="Calibri"/>
          <w:i/>
          <w:iCs/>
          <w:sz w:val="20"/>
          <w:szCs w:val="20"/>
        </w:rPr>
        <w:t>2'')-Ia</w:t>
      </w:r>
      <w:r w:rsidRPr="003E7A08">
        <w:rPr>
          <w:rFonts w:ascii="Calibri" w:hAnsi="Calibri" w:cs="Calibri"/>
          <w:sz w:val="20"/>
          <w:szCs w:val="20"/>
        </w:rPr>
        <w:t xml:space="preserve"> bifunctional protein, </w:t>
      </w:r>
      <w:proofErr w:type="gramStart"/>
      <w:r w:rsidRPr="00DD3AFE">
        <w:rPr>
          <w:rFonts w:ascii="Calibri" w:hAnsi="Calibri" w:cs="Calibri"/>
          <w:i/>
          <w:iCs/>
          <w:sz w:val="20"/>
          <w:szCs w:val="20"/>
        </w:rPr>
        <w:t>APH(</w:t>
      </w:r>
      <w:proofErr w:type="gramEnd"/>
      <w:r w:rsidRPr="00DD3AFE">
        <w:rPr>
          <w:rFonts w:ascii="Calibri" w:hAnsi="Calibri" w:cs="Calibri"/>
          <w:i/>
          <w:iCs/>
          <w:sz w:val="20"/>
          <w:szCs w:val="20"/>
        </w:rPr>
        <w:t>2'')-If</w:t>
      </w:r>
      <w:r w:rsidRPr="003E7A08">
        <w:rPr>
          <w:rFonts w:ascii="Calibri" w:hAnsi="Calibri" w:cs="Calibri"/>
          <w:sz w:val="20"/>
          <w:szCs w:val="20"/>
        </w:rPr>
        <w:t xml:space="preserve">, </w:t>
      </w:r>
      <w:r w:rsidRPr="00DD3AFE">
        <w:rPr>
          <w:rFonts w:ascii="Calibri" w:hAnsi="Calibri" w:cs="Calibri"/>
          <w:i/>
          <w:iCs/>
          <w:sz w:val="20"/>
          <w:szCs w:val="20"/>
        </w:rPr>
        <w:t>OXA-347</w:t>
      </w:r>
      <w:r w:rsidR="00D34615" w:rsidRPr="003E7A08">
        <w:rPr>
          <w:rFonts w:ascii="Calibri" w:hAnsi="Calibri" w:cs="Calibri"/>
          <w:sz w:val="20"/>
          <w:szCs w:val="20"/>
        </w:rPr>
        <w:t xml:space="preserve">, and </w:t>
      </w:r>
      <w:proofErr w:type="gramStart"/>
      <w:r w:rsidRPr="00DD3AFE">
        <w:rPr>
          <w:rFonts w:ascii="Calibri" w:hAnsi="Calibri" w:cs="Calibri"/>
          <w:i/>
          <w:iCs/>
          <w:sz w:val="20"/>
          <w:szCs w:val="20"/>
        </w:rPr>
        <w:t>Erm(</w:t>
      </w:r>
      <w:proofErr w:type="gramEnd"/>
      <w:r w:rsidRPr="00DD3AFE">
        <w:rPr>
          <w:rFonts w:ascii="Calibri" w:hAnsi="Calibri" w:cs="Calibri"/>
          <w:i/>
          <w:iCs/>
          <w:sz w:val="20"/>
          <w:szCs w:val="20"/>
        </w:rPr>
        <w:t>52)</w:t>
      </w:r>
      <w:r w:rsidR="00D34615" w:rsidRPr="003E7A08">
        <w:rPr>
          <w:rFonts w:ascii="Calibri" w:hAnsi="Calibri" w:cs="Calibri"/>
          <w:sz w:val="20"/>
          <w:szCs w:val="20"/>
        </w:rPr>
        <w:t xml:space="preserve"> </w:t>
      </w:r>
      <w:r w:rsidRPr="003E7A08">
        <w:rPr>
          <w:rFonts w:ascii="Calibri" w:hAnsi="Calibri" w:cs="Calibri"/>
          <w:sz w:val="20"/>
          <w:szCs w:val="20"/>
        </w:rPr>
        <w:t>in Chinese studies compared to other populations.</w:t>
      </w:r>
    </w:p>
    <w:p w14:paraId="0BDD46C3" w14:textId="0E4158E1" w:rsidR="00FC0438" w:rsidRPr="003E7A08" w:rsidRDefault="00FC0438" w:rsidP="00FC0438">
      <w:pPr>
        <w:jc w:val="both"/>
        <w:rPr>
          <w:rFonts w:ascii="Calibri" w:hAnsi="Calibri" w:cs="Calibri"/>
          <w:sz w:val="20"/>
          <w:szCs w:val="20"/>
        </w:rPr>
      </w:pPr>
      <w:r w:rsidRPr="003E7A08">
        <w:rPr>
          <w:rFonts w:ascii="Calibri" w:hAnsi="Calibri" w:cs="Calibri"/>
          <w:b/>
          <w:bCs/>
          <w:sz w:val="20"/>
          <w:szCs w:val="20"/>
        </w:rPr>
        <w:t xml:space="preserve">Supplementary Figure </w:t>
      </w:r>
      <w:r w:rsidR="005E2F18" w:rsidRPr="003E7A08">
        <w:rPr>
          <w:rFonts w:ascii="Calibri" w:hAnsi="Calibri" w:cs="Calibri"/>
          <w:b/>
          <w:bCs/>
          <w:sz w:val="20"/>
          <w:szCs w:val="20"/>
        </w:rPr>
        <w:t>4</w:t>
      </w:r>
      <w:r w:rsidRPr="003E7A08">
        <w:rPr>
          <w:rFonts w:ascii="Calibri" w:hAnsi="Calibri" w:cs="Calibri"/>
          <w:sz w:val="20"/>
          <w:szCs w:val="20"/>
        </w:rPr>
        <w:t xml:space="preserve">. </w:t>
      </w:r>
      <w:r w:rsidRPr="003E7A08">
        <w:rPr>
          <w:rFonts w:ascii="Calibri" w:hAnsi="Calibri" w:cs="Calibri"/>
          <w:b/>
          <w:bCs/>
          <w:sz w:val="20"/>
          <w:szCs w:val="20"/>
        </w:rPr>
        <w:t>(A</w:t>
      </w:r>
      <w:r w:rsidR="00DD3AFE">
        <w:rPr>
          <w:rFonts w:ascii="Calibri" w:hAnsi="Calibri" w:cs="Calibri"/>
          <w:b/>
          <w:bCs/>
          <w:sz w:val="20"/>
          <w:szCs w:val="20"/>
        </w:rPr>
        <w:t>-</w:t>
      </w:r>
      <w:r w:rsidR="005E2F18" w:rsidRPr="003E7A08">
        <w:rPr>
          <w:rFonts w:ascii="Calibri" w:hAnsi="Calibri" w:cs="Calibri"/>
          <w:b/>
          <w:bCs/>
          <w:sz w:val="20"/>
          <w:szCs w:val="20"/>
        </w:rPr>
        <w:t>M</w:t>
      </w:r>
      <w:r w:rsidRPr="003E7A08">
        <w:rPr>
          <w:rFonts w:ascii="Calibri" w:hAnsi="Calibri" w:cs="Calibri"/>
          <w:b/>
          <w:bCs/>
          <w:sz w:val="20"/>
          <w:szCs w:val="20"/>
        </w:rPr>
        <w:t>)</w:t>
      </w:r>
      <w:r w:rsidRPr="003E7A08">
        <w:rPr>
          <w:rFonts w:ascii="Calibri" w:hAnsi="Calibri" w:cs="Calibri"/>
          <w:sz w:val="20"/>
          <w:szCs w:val="20"/>
        </w:rPr>
        <w:t xml:space="preserve"> Boxplots showing the </w:t>
      </w:r>
      <w:r w:rsidR="003E7A08">
        <w:rPr>
          <w:rFonts w:ascii="Calibri" w:hAnsi="Calibri" w:cs="Calibri"/>
          <w:sz w:val="20"/>
          <w:szCs w:val="20"/>
        </w:rPr>
        <w:t xml:space="preserve">relative </w:t>
      </w:r>
      <w:r w:rsidRPr="003E7A08">
        <w:rPr>
          <w:rFonts w:ascii="Calibri" w:hAnsi="Calibri" w:cs="Calibri"/>
          <w:sz w:val="20"/>
          <w:szCs w:val="20"/>
        </w:rPr>
        <w:t>abundance of gut bacterial genomes across populations.</w:t>
      </w:r>
    </w:p>
    <w:p w14:paraId="3A310A8E" w14:textId="29AD1ED9" w:rsidR="00FC0438" w:rsidRPr="003E7A08" w:rsidRDefault="00FC0438" w:rsidP="00FC0438">
      <w:pPr>
        <w:jc w:val="both"/>
        <w:rPr>
          <w:rFonts w:ascii="Calibri" w:hAnsi="Calibri" w:cs="Calibri"/>
          <w:sz w:val="20"/>
          <w:szCs w:val="20"/>
        </w:rPr>
      </w:pPr>
      <w:r w:rsidRPr="003E7A08">
        <w:rPr>
          <w:rFonts w:ascii="Calibri" w:hAnsi="Calibri" w:cs="Calibri"/>
          <w:b/>
          <w:bCs/>
          <w:sz w:val="20"/>
          <w:szCs w:val="20"/>
        </w:rPr>
        <w:t xml:space="preserve">Supplementary Figure </w:t>
      </w:r>
      <w:r w:rsidR="005E2F18" w:rsidRPr="003E7A08">
        <w:rPr>
          <w:rFonts w:ascii="Calibri" w:hAnsi="Calibri" w:cs="Calibri"/>
          <w:b/>
          <w:bCs/>
          <w:sz w:val="20"/>
          <w:szCs w:val="20"/>
        </w:rPr>
        <w:t>5</w:t>
      </w:r>
      <w:r w:rsidRPr="003E7A08">
        <w:rPr>
          <w:rFonts w:ascii="Calibri" w:hAnsi="Calibri" w:cs="Calibri"/>
          <w:sz w:val="20"/>
          <w:szCs w:val="20"/>
        </w:rPr>
        <w:t xml:space="preserve">. Boxplots showing the higher </w:t>
      </w:r>
      <w:r w:rsidR="001C1523">
        <w:rPr>
          <w:rFonts w:ascii="Calibri" w:hAnsi="Calibri" w:cs="Calibri"/>
          <w:sz w:val="20"/>
          <w:szCs w:val="20"/>
        </w:rPr>
        <w:t xml:space="preserve">relative </w:t>
      </w:r>
      <w:r w:rsidRPr="003E7A08">
        <w:rPr>
          <w:rFonts w:ascii="Calibri" w:hAnsi="Calibri" w:cs="Calibri"/>
          <w:sz w:val="20"/>
          <w:szCs w:val="20"/>
        </w:rPr>
        <w:t xml:space="preserve">abundance of various </w:t>
      </w:r>
      <w:r w:rsidRPr="003E7A08">
        <w:rPr>
          <w:rFonts w:ascii="Calibri" w:hAnsi="Calibri" w:cs="Calibri"/>
          <w:i/>
          <w:iCs/>
          <w:sz w:val="20"/>
          <w:szCs w:val="20"/>
        </w:rPr>
        <w:t>Klebsiella</w:t>
      </w:r>
      <w:r w:rsidR="00773FC3" w:rsidRPr="003E7A08">
        <w:rPr>
          <w:rFonts w:ascii="Calibri" w:hAnsi="Calibri" w:cs="Calibri"/>
          <w:i/>
          <w:iCs/>
          <w:sz w:val="20"/>
          <w:szCs w:val="20"/>
        </w:rPr>
        <w:t xml:space="preserve"> </w:t>
      </w:r>
      <w:r w:rsidR="00773FC3" w:rsidRPr="003E7A08">
        <w:rPr>
          <w:rFonts w:ascii="Calibri" w:hAnsi="Calibri" w:cs="Calibri"/>
          <w:b/>
          <w:bCs/>
          <w:sz w:val="20"/>
          <w:szCs w:val="20"/>
        </w:rPr>
        <w:t>(A</w:t>
      </w:r>
      <w:r w:rsidR="00DD3AFE">
        <w:rPr>
          <w:rFonts w:ascii="Calibri" w:hAnsi="Calibri" w:cs="Calibri"/>
          <w:b/>
          <w:bCs/>
          <w:sz w:val="20"/>
          <w:szCs w:val="20"/>
        </w:rPr>
        <w:t>-</w:t>
      </w:r>
      <w:r w:rsidR="00773FC3" w:rsidRPr="003E7A08">
        <w:rPr>
          <w:rFonts w:ascii="Calibri" w:hAnsi="Calibri" w:cs="Calibri"/>
          <w:b/>
          <w:bCs/>
          <w:sz w:val="20"/>
          <w:szCs w:val="20"/>
        </w:rPr>
        <w:t>D)</w:t>
      </w:r>
      <w:r w:rsidRPr="003E7A08">
        <w:rPr>
          <w:rFonts w:ascii="Calibri" w:hAnsi="Calibri" w:cs="Calibri"/>
          <w:sz w:val="20"/>
          <w:szCs w:val="20"/>
        </w:rPr>
        <w:t xml:space="preserve">, </w:t>
      </w:r>
      <w:r w:rsidRPr="003E7A08">
        <w:rPr>
          <w:rFonts w:ascii="Calibri" w:hAnsi="Calibri" w:cs="Calibri"/>
          <w:i/>
          <w:iCs/>
          <w:sz w:val="20"/>
          <w:szCs w:val="20"/>
        </w:rPr>
        <w:t>Escherichia</w:t>
      </w:r>
      <w:r w:rsidR="00773FC3" w:rsidRPr="003E7A08">
        <w:rPr>
          <w:rFonts w:ascii="Calibri" w:hAnsi="Calibri" w:cs="Calibri"/>
          <w:i/>
          <w:iCs/>
          <w:sz w:val="20"/>
          <w:szCs w:val="20"/>
        </w:rPr>
        <w:t xml:space="preserve"> </w:t>
      </w:r>
      <w:r w:rsidR="00773FC3" w:rsidRPr="003E7A08">
        <w:rPr>
          <w:rFonts w:ascii="Calibri" w:hAnsi="Calibri" w:cs="Calibri"/>
          <w:b/>
          <w:bCs/>
          <w:sz w:val="20"/>
          <w:szCs w:val="20"/>
        </w:rPr>
        <w:t>(E-H)</w:t>
      </w:r>
      <w:r w:rsidRPr="003E7A08">
        <w:rPr>
          <w:rFonts w:ascii="Calibri" w:hAnsi="Calibri" w:cs="Calibri"/>
          <w:sz w:val="20"/>
          <w:szCs w:val="20"/>
        </w:rPr>
        <w:t xml:space="preserve">, </w:t>
      </w:r>
      <w:r w:rsidRPr="003E7A08">
        <w:rPr>
          <w:rFonts w:ascii="Calibri" w:hAnsi="Calibri" w:cs="Calibri"/>
          <w:i/>
          <w:iCs/>
          <w:sz w:val="20"/>
          <w:szCs w:val="20"/>
        </w:rPr>
        <w:t>Salmonella</w:t>
      </w:r>
      <w:r w:rsidR="00773FC3" w:rsidRPr="003E7A08">
        <w:rPr>
          <w:rFonts w:ascii="Calibri" w:hAnsi="Calibri" w:cs="Calibri"/>
          <w:i/>
          <w:iCs/>
          <w:sz w:val="20"/>
          <w:szCs w:val="20"/>
        </w:rPr>
        <w:t xml:space="preserve"> </w:t>
      </w:r>
      <w:r w:rsidR="00773FC3" w:rsidRPr="003E7A08">
        <w:rPr>
          <w:rFonts w:ascii="Calibri" w:hAnsi="Calibri" w:cs="Calibri"/>
          <w:b/>
          <w:bCs/>
          <w:sz w:val="20"/>
          <w:szCs w:val="20"/>
        </w:rPr>
        <w:t>(</w:t>
      </w:r>
      <w:proofErr w:type="gramStart"/>
      <w:r w:rsidR="00773FC3" w:rsidRPr="003E7A08">
        <w:rPr>
          <w:rFonts w:ascii="Calibri" w:hAnsi="Calibri" w:cs="Calibri"/>
          <w:b/>
          <w:bCs/>
          <w:sz w:val="20"/>
          <w:szCs w:val="20"/>
        </w:rPr>
        <w:t>I,J</w:t>
      </w:r>
      <w:proofErr w:type="gramEnd"/>
      <w:r w:rsidR="00773FC3" w:rsidRPr="003E7A08">
        <w:rPr>
          <w:rFonts w:ascii="Calibri" w:hAnsi="Calibri" w:cs="Calibri"/>
          <w:b/>
          <w:bCs/>
          <w:sz w:val="20"/>
          <w:szCs w:val="20"/>
        </w:rPr>
        <w:t>)</w:t>
      </w:r>
      <w:r w:rsidRPr="003E7A08">
        <w:rPr>
          <w:rFonts w:ascii="Calibri" w:hAnsi="Calibri" w:cs="Calibri"/>
          <w:sz w:val="20"/>
          <w:szCs w:val="20"/>
        </w:rPr>
        <w:t xml:space="preserve">, </w:t>
      </w:r>
      <w:r w:rsidRPr="003E7A08">
        <w:rPr>
          <w:rFonts w:ascii="Calibri" w:hAnsi="Calibri" w:cs="Calibri"/>
          <w:i/>
          <w:iCs/>
          <w:sz w:val="20"/>
          <w:szCs w:val="20"/>
        </w:rPr>
        <w:t>Enterobacter</w:t>
      </w:r>
      <w:r w:rsidR="00773FC3" w:rsidRPr="003E7A08">
        <w:rPr>
          <w:rFonts w:ascii="Calibri" w:hAnsi="Calibri" w:cs="Calibri"/>
          <w:i/>
          <w:iCs/>
          <w:sz w:val="20"/>
          <w:szCs w:val="20"/>
        </w:rPr>
        <w:t xml:space="preserve"> </w:t>
      </w:r>
      <w:r w:rsidR="00773FC3" w:rsidRPr="003E7A08">
        <w:rPr>
          <w:rFonts w:ascii="Calibri" w:hAnsi="Calibri" w:cs="Calibri"/>
          <w:b/>
          <w:bCs/>
          <w:sz w:val="20"/>
          <w:szCs w:val="20"/>
        </w:rPr>
        <w:t>(</w:t>
      </w:r>
      <w:proofErr w:type="gramStart"/>
      <w:r w:rsidR="00773FC3" w:rsidRPr="003E7A08">
        <w:rPr>
          <w:rFonts w:ascii="Calibri" w:hAnsi="Calibri" w:cs="Calibri"/>
          <w:b/>
          <w:bCs/>
          <w:sz w:val="20"/>
          <w:szCs w:val="20"/>
        </w:rPr>
        <w:t>K,L</w:t>
      </w:r>
      <w:proofErr w:type="gramEnd"/>
      <w:r w:rsidR="00773FC3" w:rsidRPr="003E7A08">
        <w:rPr>
          <w:rFonts w:ascii="Calibri" w:hAnsi="Calibri" w:cs="Calibri"/>
          <w:b/>
          <w:bCs/>
          <w:sz w:val="20"/>
          <w:szCs w:val="20"/>
        </w:rPr>
        <w:t>)</w:t>
      </w:r>
      <w:r w:rsidRPr="003E7A08">
        <w:rPr>
          <w:rFonts w:ascii="Calibri" w:hAnsi="Calibri" w:cs="Calibri"/>
          <w:sz w:val="20"/>
          <w:szCs w:val="20"/>
        </w:rPr>
        <w:t xml:space="preserve">, and </w:t>
      </w:r>
      <w:r w:rsidRPr="003E7A08">
        <w:rPr>
          <w:rFonts w:ascii="Calibri" w:hAnsi="Calibri" w:cs="Calibri"/>
          <w:i/>
          <w:iCs/>
          <w:sz w:val="20"/>
          <w:szCs w:val="20"/>
        </w:rPr>
        <w:t>Citrobacter</w:t>
      </w:r>
      <w:r w:rsidR="00695ADB" w:rsidRPr="003E7A08">
        <w:rPr>
          <w:rFonts w:ascii="Calibri" w:hAnsi="Calibri" w:cs="Calibri"/>
          <w:sz w:val="20"/>
          <w:szCs w:val="20"/>
        </w:rPr>
        <w:t xml:space="preserve"> </w:t>
      </w:r>
      <w:r w:rsidR="00695ADB" w:rsidRPr="003E7A08">
        <w:rPr>
          <w:rFonts w:ascii="Calibri" w:hAnsi="Calibri" w:cs="Calibri"/>
          <w:b/>
          <w:bCs/>
          <w:sz w:val="20"/>
          <w:szCs w:val="20"/>
        </w:rPr>
        <w:t>(M</w:t>
      </w:r>
      <w:r w:rsidR="00DD3AFE">
        <w:rPr>
          <w:rFonts w:ascii="Calibri" w:hAnsi="Calibri" w:cs="Calibri"/>
          <w:b/>
          <w:bCs/>
          <w:sz w:val="20"/>
          <w:szCs w:val="20"/>
        </w:rPr>
        <w:t>-</w:t>
      </w:r>
      <w:r w:rsidR="00695ADB" w:rsidRPr="003E7A08">
        <w:rPr>
          <w:rFonts w:ascii="Calibri" w:hAnsi="Calibri" w:cs="Calibri"/>
          <w:b/>
          <w:bCs/>
          <w:sz w:val="20"/>
          <w:szCs w:val="20"/>
        </w:rPr>
        <w:t xml:space="preserve">O) </w:t>
      </w:r>
      <w:r w:rsidRPr="003E7A08">
        <w:rPr>
          <w:rFonts w:ascii="Calibri" w:hAnsi="Calibri" w:cs="Calibri"/>
          <w:sz w:val="20"/>
          <w:szCs w:val="20"/>
        </w:rPr>
        <w:t>members in Colombia and Guinea-Bissau compared to other populations.</w:t>
      </w:r>
    </w:p>
    <w:p w14:paraId="48EECF62" w14:textId="2A14DD0A" w:rsidR="003D0348" w:rsidRPr="003E7A08" w:rsidRDefault="007F147E" w:rsidP="00FC0438">
      <w:pPr>
        <w:jc w:val="both"/>
        <w:rPr>
          <w:rFonts w:ascii="Calibri" w:hAnsi="Calibri" w:cs="Calibri"/>
          <w:b/>
          <w:bCs/>
          <w:sz w:val="20"/>
          <w:szCs w:val="20"/>
        </w:rPr>
      </w:pPr>
      <w:r w:rsidRPr="003E7A08">
        <w:rPr>
          <w:rFonts w:ascii="Calibri" w:hAnsi="Calibri" w:cs="Calibri"/>
          <w:b/>
          <w:bCs/>
          <w:sz w:val="20"/>
          <w:szCs w:val="20"/>
        </w:rPr>
        <w:t>Supplementary Table 1</w:t>
      </w:r>
      <w:r w:rsidR="00235F47" w:rsidRPr="003E7A08">
        <w:rPr>
          <w:rFonts w:ascii="Calibri" w:hAnsi="Calibri" w:cs="Calibri"/>
          <w:b/>
          <w:bCs/>
          <w:sz w:val="20"/>
          <w:szCs w:val="20"/>
        </w:rPr>
        <w:t xml:space="preserve">. </w:t>
      </w:r>
      <w:r w:rsidR="00235F47" w:rsidRPr="003E7A08">
        <w:rPr>
          <w:rFonts w:ascii="Calibri" w:hAnsi="Calibri" w:cs="Calibri"/>
          <w:sz w:val="20"/>
          <w:szCs w:val="20"/>
        </w:rPr>
        <w:t>Summary of gut metagenomic datasets included in this study. The table provides the Project ID, disease category, disease abbreviation, number of healthy samples, number of disease samples, total samples, study ID, country of origin, and corresponding references for all 10,2</w:t>
      </w:r>
      <w:r w:rsidR="00865CC6">
        <w:rPr>
          <w:rFonts w:ascii="Calibri" w:hAnsi="Calibri" w:cs="Calibri"/>
          <w:sz w:val="20"/>
          <w:szCs w:val="20"/>
        </w:rPr>
        <w:t>3</w:t>
      </w:r>
      <w:r w:rsidR="00235F47" w:rsidRPr="003E7A08">
        <w:rPr>
          <w:rFonts w:ascii="Calibri" w:hAnsi="Calibri" w:cs="Calibri"/>
          <w:sz w:val="20"/>
          <w:szCs w:val="20"/>
        </w:rPr>
        <w:t>0 metagenomic samples analyzed.</w:t>
      </w:r>
    </w:p>
    <w:p w14:paraId="21C72933" w14:textId="130B143D" w:rsidR="007F147E" w:rsidRPr="003E7A08" w:rsidRDefault="007F147E" w:rsidP="00FC0438">
      <w:pPr>
        <w:jc w:val="both"/>
        <w:rPr>
          <w:rFonts w:ascii="Calibri" w:hAnsi="Calibri" w:cs="Calibri"/>
          <w:b/>
          <w:bCs/>
          <w:sz w:val="20"/>
          <w:szCs w:val="20"/>
        </w:rPr>
      </w:pPr>
      <w:r w:rsidRPr="003E7A08">
        <w:rPr>
          <w:rFonts w:ascii="Calibri" w:hAnsi="Calibri" w:cs="Calibri"/>
          <w:b/>
          <w:bCs/>
          <w:sz w:val="20"/>
          <w:szCs w:val="20"/>
        </w:rPr>
        <w:t>Supplementary Table 2</w:t>
      </w:r>
      <w:r w:rsidR="00235F47" w:rsidRPr="003E7A08">
        <w:rPr>
          <w:rFonts w:ascii="Calibri" w:hAnsi="Calibri" w:cs="Calibri"/>
          <w:b/>
          <w:bCs/>
          <w:sz w:val="20"/>
          <w:szCs w:val="20"/>
        </w:rPr>
        <w:t xml:space="preserve">. </w:t>
      </w:r>
      <w:r w:rsidR="00C41575" w:rsidRPr="003E7A08">
        <w:rPr>
          <w:rFonts w:ascii="Calibri" w:hAnsi="Calibri" w:cs="Calibri"/>
          <w:sz w:val="20"/>
          <w:szCs w:val="20"/>
        </w:rPr>
        <w:t xml:space="preserve">Summary of </w:t>
      </w:r>
      <w:r w:rsidR="00486561" w:rsidRPr="003E7A08">
        <w:rPr>
          <w:rFonts w:ascii="Calibri" w:hAnsi="Calibri" w:cs="Calibri"/>
          <w:sz w:val="20"/>
          <w:szCs w:val="20"/>
        </w:rPr>
        <w:t xml:space="preserve">gut bacterial </w:t>
      </w:r>
      <w:r w:rsidR="00C41575" w:rsidRPr="003E7A08">
        <w:rPr>
          <w:rFonts w:ascii="Calibri" w:hAnsi="Calibri" w:cs="Calibri"/>
          <w:sz w:val="20"/>
          <w:szCs w:val="20"/>
        </w:rPr>
        <w:t xml:space="preserve">species-representative genomes </w:t>
      </w:r>
      <w:r w:rsidR="005802C9" w:rsidRPr="003E7A08">
        <w:rPr>
          <w:rFonts w:ascii="Calibri" w:hAnsi="Calibri" w:cs="Calibri"/>
          <w:sz w:val="20"/>
          <w:szCs w:val="20"/>
        </w:rPr>
        <w:t xml:space="preserve">harbouring ARG homologs </w:t>
      </w:r>
      <w:r w:rsidR="00C41575" w:rsidRPr="003E7A08">
        <w:rPr>
          <w:rFonts w:ascii="Calibri" w:hAnsi="Calibri" w:cs="Calibri"/>
          <w:sz w:val="20"/>
          <w:szCs w:val="20"/>
        </w:rPr>
        <w:t xml:space="preserve">and their taxonomic distribution. </w:t>
      </w:r>
      <w:r w:rsidR="00E32486" w:rsidRPr="003E7A08">
        <w:rPr>
          <w:rFonts w:ascii="Calibri" w:hAnsi="Calibri" w:cs="Calibri"/>
          <w:sz w:val="20"/>
          <w:szCs w:val="20"/>
        </w:rPr>
        <w:t>The table includes</w:t>
      </w:r>
      <w:r w:rsidR="00C41575" w:rsidRPr="003E7A08">
        <w:rPr>
          <w:rFonts w:ascii="Calibri" w:hAnsi="Calibri" w:cs="Calibri"/>
          <w:sz w:val="20"/>
          <w:szCs w:val="20"/>
        </w:rPr>
        <w:t xml:space="preserve"> information on species representatives harbouring ARGs along with their associated drug classes, resistance mechanisms, AMR gene families, and antibiotics</w:t>
      </w:r>
      <w:r w:rsidR="003A3DAF" w:rsidRPr="003E7A08">
        <w:rPr>
          <w:rFonts w:ascii="Calibri" w:hAnsi="Calibri" w:cs="Calibri"/>
          <w:sz w:val="20"/>
          <w:szCs w:val="20"/>
        </w:rPr>
        <w:t>.</w:t>
      </w:r>
    </w:p>
    <w:p w14:paraId="3E013AB9" w14:textId="32F7475C" w:rsidR="007F147E" w:rsidRPr="003E7A08" w:rsidRDefault="007F147E" w:rsidP="00FC0438">
      <w:pPr>
        <w:jc w:val="both"/>
        <w:rPr>
          <w:rFonts w:ascii="Calibri" w:hAnsi="Calibri" w:cs="Calibri"/>
          <w:b/>
          <w:bCs/>
          <w:sz w:val="20"/>
          <w:szCs w:val="20"/>
        </w:rPr>
      </w:pPr>
      <w:r w:rsidRPr="003E7A08">
        <w:rPr>
          <w:rFonts w:ascii="Calibri" w:hAnsi="Calibri" w:cs="Calibri"/>
          <w:b/>
          <w:bCs/>
          <w:sz w:val="20"/>
          <w:szCs w:val="20"/>
        </w:rPr>
        <w:t>Supplementary Table 3</w:t>
      </w:r>
      <w:r w:rsidR="003A3DAF" w:rsidRPr="003E7A08">
        <w:rPr>
          <w:rFonts w:ascii="Calibri" w:hAnsi="Calibri" w:cs="Calibri"/>
          <w:b/>
          <w:bCs/>
          <w:sz w:val="20"/>
          <w:szCs w:val="20"/>
        </w:rPr>
        <w:t xml:space="preserve">. </w:t>
      </w:r>
      <w:r w:rsidR="00305752" w:rsidRPr="003E7A08">
        <w:rPr>
          <w:rFonts w:ascii="Calibri" w:hAnsi="Calibri" w:cs="Calibri"/>
          <w:sz w:val="20"/>
          <w:szCs w:val="20"/>
        </w:rPr>
        <w:t>Summary of ARG-containing UHGG genomes. The table provides a comprehensive overview of ARG distribution across UHGG gut genomes. It includes overall genome statistics; ARGs and the corresponding number of UHGG species representatives carrying each gene; ARG counts, drug class counts, and AMR family counts.</w:t>
      </w:r>
    </w:p>
    <w:p w14:paraId="56F99906" w14:textId="1879040A" w:rsidR="007F147E" w:rsidRPr="003E7A08" w:rsidRDefault="007F147E" w:rsidP="00FC0438">
      <w:pPr>
        <w:jc w:val="both"/>
        <w:rPr>
          <w:rFonts w:ascii="Calibri" w:hAnsi="Calibri" w:cs="Calibri"/>
          <w:sz w:val="20"/>
          <w:szCs w:val="20"/>
        </w:rPr>
      </w:pPr>
      <w:r w:rsidRPr="003E7A08">
        <w:rPr>
          <w:rFonts w:ascii="Calibri" w:hAnsi="Calibri" w:cs="Calibri"/>
          <w:b/>
          <w:bCs/>
          <w:sz w:val="20"/>
          <w:szCs w:val="20"/>
        </w:rPr>
        <w:t>Supplementary Table 4</w:t>
      </w:r>
      <w:r w:rsidR="000666F9" w:rsidRPr="003E7A08">
        <w:rPr>
          <w:rFonts w:ascii="Calibri" w:hAnsi="Calibri" w:cs="Calibri"/>
          <w:b/>
          <w:bCs/>
          <w:sz w:val="20"/>
          <w:szCs w:val="20"/>
        </w:rPr>
        <w:t xml:space="preserve">. </w:t>
      </w:r>
      <w:r w:rsidR="000666F9" w:rsidRPr="003E7A08">
        <w:rPr>
          <w:rFonts w:ascii="Calibri" w:hAnsi="Calibri" w:cs="Calibri"/>
          <w:sz w:val="20"/>
          <w:szCs w:val="20"/>
        </w:rPr>
        <w:t xml:space="preserve">Summary of ARG-containing oral species-representative genomes. </w:t>
      </w:r>
      <w:r w:rsidR="00D4779A" w:rsidRPr="003E7A08">
        <w:rPr>
          <w:rFonts w:ascii="Calibri" w:hAnsi="Calibri" w:cs="Calibri"/>
          <w:sz w:val="20"/>
          <w:szCs w:val="20"/>
        </w:rPr>
        <w:t>The table summarizes 64 human oral genomes (out of 452 species representatives) that possess ARGs, including associated drug classes, resistance mechanisms, AMR gene families, and antibiotics.</w:t>
      </w:r>
    </w:p>
    <w:p w14:paraId="0E13832F" w14:textId="3E9D76AD" w:rsidR="007F147E" w:rsidRPr="003E7A08" w:rsidRDefault="007F147E" w:rsidP="00FC0438">
      <w:pPr>
        <w:jc w:val="both"/>
        <w:rPr>
          <w:rFonts w:ascii="Calibri" w:hAnsi="Calibri" w:cs="Calibri"/>
          <w:sz w:val="20"/>
          <w:szCs w:val="20"/>
        </w:rPr>
      </w:pPr>
      <w:r w:rsidRPr="003E7A08">
        <w:rPr>
          <w:rFonts w:ascii="Calibri" w:hAnsi="Calibri" w:cs="Calibri"/>
          <w:b/>
          <w:bCs/>
          <w:sz w:val="20"/>
          <w:szCs w:val="20"/>
        </w:rPr>
        <w:t>Supplementary Table 5</w:t>
      </w:r>
      <w:r w:rsidR="0037628B" w:rsidRPr="003E7A08">
        <w:rPr>
          <w:rFonts w:ascii="Calibri" w:hAnsi="Calibri" w:cs="Calibri"/>
          <w:b/>
          <w:bCs/>
          <w:sz w:val="20"/>
          <w:szCs w:val="20"/>
        </w:rPr>
        <w:t xml:space="preserve">. </w:t>
      </w:r>
      <w:r w:rsidR="008F5887" w:rsidRPr="003E7A08">
        <w:rPr>
          <w:rFonts w:ascii="Calibri" w:hAnsi="Calibri" w:cs="Calibri"/>
          <w:sz w:val="20"/>
          <w:szCs w:val="20"/>
        </w:rPr>
        <w:t>Summary of the top prevalent ARGs, PERMANOVA results, LEfSe outputs, and mean ARG abundances across studies. The file includes sheets listing the top 100 prevalent ARGs and their occurrence across samples</w:t>
      </w:r>
      <w:r w:rsidR="005E2F18" w:rsidRPr="003E7A08">
        <w:rPr>
          <w:rFonts w:ascii="Calibri" w:hAnsi="Calibri" w:cs="Calibri"/>
          <w:sz w:val="20"/>
          <w:szCs w:val="20"/>
        </w:rPr>
        <w:t>,</w:t>
      </w:r>
      <w:r w:rsidR="008F5887" w:rsidRPr="003E7A08">
        <w:rPr>
          <w:rFonts w:ascii="Calibri" w:hAnsi="Calibri" w:cs="Calibri"/>
          <w:sz w:val="20"/>
          <w:szCs w:val="20"/>
        </w:rPr>
        <w:t xml:space="preserve"> PERMANOVA results comparing population groups</w:t>
      </w:r>
      <w:r w:rsidR="005E2F18" w:rsidRPr="003E7A08">
        <w:rPr>
          <w:rFonts w:ascii="Calibri" w:hAnsi="Calibri" w:cs="Calibri"/>
          <w:sz w:val="20"/>
          <w:szCs w:val="20"/>
        </w:rPr>
        <w:t xml:space="preserve">, </w:t>
      </w:r>
      <w:r w:rsidR="008F5887" w:rsidRPr="003E7A08">
        <w:rPr>
          <w:rFonts w:ascii="Calibri" w:hAnsi="Calibri" w:cs="Calibri"/>
          <w:sz w:val="20"/>
          <w:szCs w:val="20"/>
        </w:rPr>
        <w:t>mean ARG abundance across healthy and disease samples</w:t>
      </w:r>
      <w:r w:rsidR="005E2F18" w:rsidRPr="003E7A08">
        <w:rPr>
          <w:rFonts w:ascii="Calibri" w:hAnsi="Calibri" w:cs="Calibri"/>
          <w:sz w:val="20"/>
          <w:szCs w:val="20"/>
        </w:rPr>
        <w:t>,</w:t>
      </w:r>
      <w:r w:rsidR="008F5887" w:rsidRPr="003E7A08">
        <w:rPr>
          <w:rFonts w:ascii="Calibri" w:hAnsi="Calibri" w:cs="Calibri"/>
          <w:sz w:val="20"/>
          <w:szCs w:val="20"/>
        </w:rPr>
        <w:t xml:space="preserve"> and LEfSe results identifying differentially abundant ARGs among IBD, UC, CD, and healthy controls.</w:t>
      </w:r>
    </w:p>
    <w:p w14:paraId="58AE302B" w14:textId="37442B08" w:rsidR="003E7A08" w:rsidRPr="003E7A08" w:rsidRDefault="003E7A08" w:rsidP="00FC0438">
      <w:pPr>
        <w:jc w:val="both"/>
        <w:rPr>
          <w:rFonts w:ascii="Calibri" w:hAnsi="Calibri" w:cs="Calibri"/>
          <w:b/>
          <w:bCs/>
          <w:sz w:val="20"/>
          <w:szCs w:val="20"/>
        </w:rPr>
      </w:pPr>
      <w:r w:rsidRPr="003E7A08">
        <w:rPr>
          <w:rFonts w:ascii="Calibri" w:hAnsi="Calibri" w:cs="Calibri"/>
          <w:b/>
          <w:bCs/>
          <w:sz w:val="20"/>
          <w:szCs w:val="20"/>
        </w:rPr>
        <w:t xml:space="preserve">Supplementary Table 6. </w:t>
      </w:r>
      <w:r w:rsidRPr="003E7A08">
        <w:rPr>
          <w:rFonts w:ascii="Calibri" w:hAnsi="Calibri" w:cs="Calibri"/>
          <w:sz w:val="20"/>
          <w:szCs w:val="20"/>
        </w:rPr>
        <w:t>Differential abundance analysis and pairwise statistical comparisons of ARGs across populations. MaAsLin2 results identifying differentially abundant ARGs between population groups and pairwise Wilcoxon rank-sum test results with Benjamini-Hochberg adjusted p-values are provided.</w:t>
      </w:r>
    </w:p>
    <w:p w14:paraId="02806246" w14:textId="14DE1C02" w:rsidR="00A93DBF" w:rsidRPr="003E7A08" w:rsidRDefault="007F147E" w:rsidP="00FC0438">
      <w:pPr>
        <w:jc w:val="both"/>
        <w:rPr>
          <w:rFonts w:ascii="Calibri" w:hAnsi="Calibri" w:cs="Calibri"/>
          <w:sz w:val="20"/>
          <w:szCs w:val="20"/>
        </w:rPr>
      </w:pPr>
      <w:r w:rsidRPr="003E7A08">
        <w:rPr>
          <w:rFonts w:ascii="Calibri" w:hAnsi="Calibri" w:cs="Calibri"/>
          <w:b/>
          <w:bCs/>
          <w:sz w:val="20"/>
          <w:szCs w:val="20"/>
        </w:rPr>
        <w:t>Supplementary Table</w:t>
      </w:r>
      <w:r w:rsidR="003E7A08" w:rsidRPr="003E7A08">
        <w:rPr>
          <w:rFonts w:ascii="Calibri" w:hAnsi="Calibri" w:cs="Calibri"/>
          <w:b/>
          <w:bCs/>
          <w:sz w:val="20"/>
          <w:szCs w:val="20"/>
        </w:rPr>
        <w:t>7</w:t>
      </w:r>
      <w:r w:rsidR="00395A32" w:rsidRPr="003E7A08">
        <w:rPr>
          <w:rFonts w:ascii="Calibri" w:hAnsi="Calibri" w:cs="Calibri"/>
          <w:b/>
          <w:bCs/>
          <w:sz w:val="20"/>
          <w:szCs w:val="20"/>
        </w:rPr>
        <w:t xml:space="preserve">. </w:t>
      </w:r>
      <w:r w:rsidR="00395A32" w:rsidRPr="003E7A08">
        <w:rPr>
          <w:rFonts w:ascii="Calibri" w:hAnsi="Calibri" w:cs="Calibri"/>
          <w:sz w:val="20"/>
          <w:szCs w:val="20"/>
        </w:rPr>
        <w:t xml:space="preserve">UHGG species-representative genomes with ARG and mobile genetic elements (MGEs). </w:t>
      </w:r>
      <w:r w:rsidR="00FD1EA5" w:rsidRPr="003E7A08">
        <w:rPr>
          <w:rFonts w:ascii="Calibri" w:hAnsi="Calibri" w:cs="Calibri"/>
          <w:sz w:val="20"/>
          <w:szCs w:val="20"/>
        </w:rPr>
        <w:t>This table reports ARG homologs detected in each genome along with their corresponding drug classes, resistance mechanisms, genomic coordinates, alignment statistics, and annotations of nearby MGEs</w:t>
      </w:r>
      <w:r w:rsidR="00395A32" w:rsidRPr="003E7A08">
        <w:rPr>
          <w:rFonts w:ascii="Calibri" w:hAnsi="Calibri" w:cs="Calibri"/>
          <w:sz w:val="20"/>
          <w:szCs w:val="20"/>
        </w:rPr>
        <w:t>.</w:t>
      </w:r>
    </w:p>
    <w:sectPr w:rsidR="00A93DBF" w:rsidRPr="003E7A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4B"/>
    <w:rsid w:val="000325DE"/>
    <w:rsid w:val="0004562A"/>
    <w:rsid w:val="000666F9"/>
    <w:rsid w:val="00073415"/>
    <w:rsid w:val="00100EFA"/>
    <w:rsid w:val="00127B22"/>
    <w:rsid w:val="00164988"/>
    <w:rsid w:val="001751EA"/>
    <w:rsid w:val="001B5B2D"/>
    <w:rsid w:val="001C1523"/>
    <w:rsid w:val="00235420"/>
    <w:rsid w:val="00235498"/>
    <w:rsid w:val="00235F47"/>
    <w:rsid w:val="00277A1C"/>
    <w:rsid w:val="0029570C"/>
    <w:rsid w:val="002F1CAD"/>
    <w:rsid w:val="00305752"/>
    <w:rsid w:val="0037628B"/>
    <w:rsid w:val="00395A32"/>
    <w:rsid w:val="003A3DAF"/>
    <w:rsid w:val="003D0348"/>
    <w:rsid w:val="003E7A08"/>
    <w:rsid w:val="00410428"/>
    <w:rsid w:val="00415365"/>
    <w:rsid w:val="00432951"/>
    <w:rsid w:val="00486561"/>
    <w:rsid w:val="004B48D9"/>
    <w:rsid w:val="00511C8F"/>
    <w:rsid w:val="005802C9"/>
    <w:rsid w:val="005970F7"/>
    <w:rsid w:val="005E2F18"/>
    <w:rsid w:val="005E500F"/>
    <w:rsid w:val="005F411B"/>
    <w:rsid w:val="005F4FF5"/>
    <w:rsid w:val="005F7B4C"/>
    <w:rsid w:val="00695ADB"/>
    <w:rsid w:val="00773FC3"/>
    <w:rsid w:val="007E3808"/>
    <w:rsid w:val="007F147E"/>
    <w:rsid w:val="00865CC6"/>
    <w:rsid w:val="008F013D"/>
    <w:rsid w:val="008F5887"/>
    <w:rsid w:val="00925F81"/>
    <w:rsid w:val="00A93DBF"/>
    <w:rsid w:val="00AB5A2D"/>
    <w:rsid w:val="00B32D80"/>
    <w:rsid w:val="00C17D3C"/>
    <w:rsid w:val="00C41575"/>
    <w:rsid w:val="00C7432B"/>
    <w:rsid w:val="00D166DA"/>
    <w:rsid w:val="00D22484"/>
    <w:rsid w:val="00D3003D"/>
    <w:rsid w:val="00D34615"/>
    <w:rsid w:val="00D4779A"/>
    <w:rsid w:val="00D5695B"/>
    <w:rsid w:val="00D64B70"/>
    <w:rsid w:val="00DD0DE9"/>
    <w:rsid w:val="00DD3AFE"/>
    <w:rsid w:val="00DD6E7A"/>
    <w:rsid w:val="00E1244B"/>
    <w:rsid w:val="00E13A60"/>
    <w:rsid w:val="00E24920"/>
    <w:rsid w:val="00E32486"/>
    <w:rsid w:val="00E7353E"/>
    <w:rsid w:val="00ED6F4E"/>
    <w:rsid w:val="00F62A8C"/>
    <w:rsid w:val="00F7523D"/>
    <w:rsid w:val="00F93729"/>
    <w:rsid w:val="00FC0438"/>
    <w:rsid w:val="00FC4794"/>
    <w:rsid w:val="00FD1EA5"/>
    <w:rsid w:val="00FE23C1"/>
    <w:rsid w:val="00FF15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5F9AD"/>
  <w15:chartTrackingRefBased/>
  <w15:docId w15:val="{EEF7B285-C7CF-404C-8E3F-F360EBD5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D22484"/>
    <w:pPr>
      <w:spacing w:after="200" w:line="240" w:lineRule="auto"/>
      <w:jc w:val="both"/>
    </w:pPr>
    <w:rPr>
      <w:rFonts w:ascii="Calibri" w:hAnsi="Calibri"/>
      <w:iCs/>
      <w:color w:val="000000" w:themeColor="text1"/>
      <w:sz w:val="20"/>
      <w:szCs w:val="18"/>
    </w:rPr>
  </w:style>
  <w:style w:type="character" w:customStyle="1" w:styleId="Heading1Char">
    <w:name w:val="Heading 1 Char"/>
    <w:basedOn w:val="DefaultParagraphFont"/>
    <w:link w:val="Heading1"/>
    <w:uiPriority w:val="9"/>
    <w:rsid w:val="00E12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44B"/>
    <w:rPr>
      <w:rFonts w:eastAsiaTheme="majorEastAsia" w:cstheme="majorBidi"/>
      <w:color w:val="272727" w:themeColor="text1" w:themeTint="D8"/>
    </w:rPr>
  </w:style>
  <w:style w:type="paragraph" w:styleId="Title">
    <w:name w:val="Title"/>
    <w:basedOn w:val="Normal"/>
    <w:next w:val="Normal"/>
    <w:link w:val="TitleChar"/>
    <w:uiPriority w:val="10"/>
    <w:qFormat/>
    <w:rsid w:val="00E12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44B"/>
    <w:pPr>
      <w:spacing w:before="160"/>
      <w:jc w:val="center"/>
    </w:pPr>
    <w:rPr>
      <w:i/>
      <w:iCs/>
      <w:color w:val="404040" w:themeColor="text1" w:themeTint="BF"/>
    </w:rPr>
  </w:style>
  <w:style w:type="character" w:customStyle="1" w:styleId="QuoteChar">
    <w:name w:val="Quote Char"/>
    <w:basedOn w:val="DefaultParagraphFont"/>
    <w:link w:val="Quote"/>
    <w:uiPriority w:val="29"/>
    <w:rsid w:val="00E1244B"/>
    <w:rPr>
      <w:i/>
      <w:iCs/>
      <w:color w:val="404040" w:themeColor="text1" w:themeTint="BF"/>
    </w:rPr>
  </w:style>
  <w:style w:type="paragraph" w:styleId="ListParagraph">
    <w:name w:val="List Paragraph"/>
    <w:basedOn w:val="Normal"/>
    <w:uiPriority w:val="34"/>
    <w:qFormat/>
    <w:rsid w:val="00E1244B"/>
    <w:pPr>
      <w:ind w:left="720"/>
      <w:contextualSpacing/>
    </w:pPr>
  </w:style>
  <w:style w:type="character" w:styleId="IntenseEmphasis">
    <w:name w:val="Intense Emphasis"/>
    <w:basedOn w:val="DefaultParagraphFont"/>
    <w:uiPriority w:val="21"/>
    <w:qFormat/>
    <w:rsid w:val="00E1244B"/>
    <w:rPr>
      <w:i/>
      <w:iCs/>
      <w:color w:val="0F4761" w:themeColor="accent1" w:themeShade="BF"/>
    </w:rPr>
  </w:style>
  <w:style w:type="paragraph" w:styleId="IntenseQuote">
    <w:name w:val="Intense Quote"/>
    <w:basedOn w:val="Normal"/>
    <w:next w:val="Normal"/>
    <w:link w:val="IntenseQuoteChar"/>
    <w:uiPriority w:val="30"/>
    <w:qFormat/>
    <w:rsid w:val="00E12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44B"/>
    <w:rPr>
      <w:i/>
      <w:iCs/>
      <w:color w:val="0F4761" w:themeColor="accent1" w:themeShade="BF"/>
    </w:rPr>
  </w:style>
  <w:style w:type="character" w:styleId="IntenseReference">
    <w:name w:val="Intense Reference"/>
    <w:basedOn w:val="DefaultParagraphFont"/>
    <w:uiPriority w:val="32"/>
    <w:qFormat/>
    <w:rsid w:val="00E124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Deepika</dc:creator>
  <cp:keywords/>
  <dc:description/>
  <cp:lastModifiedBy>Deepika</cp:lastModifiedBy>
  <cp:revision>12</cp:revision>
  <dcterms:created xsi:type="dcterms:W3CDTF">2025-11-15T07:43:00Z</dcterms:created>
  <dcterms:modified xsi:type="dcterms:W3CDTF">2026-07-18T17:08:00Z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ddb46648-a705-4e58-967e-1cd249972e0e</vt:lpwstr>
  </property>
</Properties>
</file>