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480FA" w14:textId="4754F7A4" w:rsidR="00B8312D" w:rsidRDefault="00B8312D" w:rsidP="00B8312D">
      <w:pPr>
        <w:spacing w:line="480" w:lineRule="auto"/>
        <w:rPr>
          <w:rFonts w:ascii="Times" w:hAnsi="Times"/>
          <w:b/>
        </w:rPr>
      </w:pPr>
      <w:proofErr w:type="gramStart"/>
      <w:r>
        <w:rPr>
          <w:rFonts w:ascii="Times" w:hAnsi="Times"/>
          <w:b/>
        </w:rPr>
        <w:t>Additional File 1.</w:t>
      </w:r>
      <w:proofErr w:type="gramEnd"/>
      <w:r>
        <w:rPr>
          <w:rFonts w:ascii="Times" w:hAnsi="Times"/>
          <w:b/>
        </w:rPr>
        <w:t xml:space="preserve"> Mapping </w:t>
      </w:r>
      <w:bookmarkStart w:id="0" w:name="_GoBack"/>
      <w:bookmarkEnd w:id="0"/>
      <w:r>
        <w:rPr>
          <w:rFonts w:ascii="Times" w:hAnsi="Times"/>
          <w:b/>
        </w:rPr>
        <w:t>Tn5 transposition events</w:t>
      </w:r>
    </w:p>
    <w:p w14:paraId="3216A18F" w14:textId="77777777" w:rsidR="00573F7B" w:rsidRDefault="00573F7B" w:rsidP="00B8312D">
      <w:pPr>
        <w:spacing w:line="480" w:lineRule="auto"/>
        <w:rPr>
          <w:rFonts w:ascii="Times" w:hAnsi="Times"/>
          <w:b/>
        </w:rPr>
      </w:pPr>
    </w:p>
    <w:p w14:paraId="2940C431" w14:textId="169B82AA" w:rsidR="00573F7B" w:rsidRDefault="00573F7B" w:rsidP="00B8312D">
      <w:pPr>
        <w:spacing w:line="480" w:lineRule="auto"/>
        <w:rPr>
          <w:rFonts w:ascii="Times" w:hAnsi="Times"/>
          <w:b/>
        </w:rPr>
      </w:pPr>
      <w:r>
        <w:rPr>
          <w:rFonts w:ascii="Times" w:hAnsi="Times"/>
          <w:b/>
          <w:noProof/>
        </w:rPr>
        <w:drawing>
          <wp:inline distT="0" distB="0" distL="0" distR="0" wp14:anchorId="66F064C2" wp14:editId="1F7D4098">
            <wp:extent cx="5486400" cy="70999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1.ai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5F782" w14:textId="77777777" w:rsidR="00573F7B" w:rsidRDefault="00573F7B">
      <w:pPr>
        <w:rPr>
          <w:rFonts w:ascii="Times" w:hAnsi="Times"/>
          <w:b/>
        </w:rPr>
      </w:pPr>
      <w:r>
        <w:rPr>
          <w:rFonts w:ascii="Times" w:hAnsi="Times"/>
          <w:b/>
        </w:rPr>
        <w:br w:type="page"/>
      </w:r>
    </w:p>
    <w:p w14:paraId="28A4C679" w14:textId="2323C915" w:rsidR="00B8312D" w:rsidRDefault="00B8312D" w:rsidP="00B8312D">
      <w:pPr>
        <w:spacing w:line="480" w:lineRule="auto"/>
        <w:rPr>
          <w:rFonts w:ascii="Times" w:hAnsi="Times"/>
          <w:b/>
        </w:rPr>
      </w:pPr>
      <w:r>
        <w:rPr>
          <w:rFonts w:ascii="Times" w:hAnsi="Times"/>
          <w:b/>
        </w:rPr>
        <w:lastRenderedPageBreak/>
        <w:t>A. Southern blot analysis of colonies selected on ‘hop plates’</w:t>
      </w:r>
    </w:p>
    <w:p w14:paraId="545EC6A7" w14:textId="6AE01871" w:rsidR="00B8312D" w:rsidRDefault="00B8312D" w:rsidP="00B8312D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 xml:space="preserve">Genomic DNA was isolated from </w:t>
      </w:r>
      <w:proofErr w:type="spellStart"/>
      <w:r>
        <w:rPr>
          <w:rFonts w:ascii="Times" w:hAnsi="Times"/>
        </w:rPr>
        <w:t>Kan</w:t>
      </w:r>
      <w:r>
        <w:rPr>
          <w:rFonts w:ascii="Times" w:hAnsi="Times"/>
          <w:vertAlign w:val="superscript"/>
        </w:rPr>
        <w:t>R</w:t>
      </w:r>
      <w:proofErr w:type="spellEnd"/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Sm</w:t>
      </w:r>
      <w:r>
        <w:rPr>
          <w:rFonts w:ascii="Times" w:hAnsi="Times"/>
          <w:vertAlign w:val="superscript"/>
        </w:rPr>
        <w:t>R</w:t>
      </w:r>
      <w:proofErr w:type="spellEnd"/>
      <w:r>
        <w:rPr>
          <w:rFonts w:ascii="Times" w:hAnsi="Times"/>
        </w:rPr>
        <w:t xml:space="preserve"> colonies selected on ‘hop plates’ using Sigma Genomic DNA kit; 1.5 </w:t>
      </w:r>
      <w:r>
        <w:rPr>
          <w:rFonts w:ascii="Times" w:hAnsi="Times"/>
        </w:rPr>
        <w:sym w:font="Symbol" w:char="006D"/>
      </w:r>
      <w:r>
        <w:rPr>
          <w:rFonts w:ascii="Times" w:hAnsi="Times"/>
        </w:rPr>
        <w:t xml:space="preserve">g of genomic DNA was digested with </w:t>
      </w:r>
      <w:proofErr w:type="spellStart"/>
      <w:r>
        <w:rPr>
          <w:rFonts w:ascii="Times" w:hAnsi="Times"/>
        </w:rPr>
        <w:t>AccI</w:t>
      </w:r>
      <w:proofErr w:type="spellEnd"/>
      <w:r>
        <w:rPr>
          <w:rFonts w:ascii="Times" w:hAnsi="Times"/>
        </w:rPr>
        <w:t xml:space="preserve"> (cuts once in Tn</w:t>
      </w:r>
      <w:r>
        <w:rPr>
          <w:rFonts w:ascii="Times" w:hAnsi="Times"/>
          <w:i/>
        </w:rPr>
        <w:t>5</w:t>
      </w:r>
      <w:r>
        <w:rPr>
          <w:rFonts w:ascii="Times" w:hAnsi="Times"/>
        </w:rPr>
        <w:t xml:space="preserve"> in the </w:t>
      </w:r>
      <w:proofErr w:type="spellStart"/>
      <w:r>
        <w:rPr>
          <w:rFonts w:ascii="Times" w:hAnsi="Times"/>
          <w:i/>
        </w:rPr>
        <w:t>kan</w:t>
      </w:r>
      <w:r>
        <w:rPr>
          <w:rFonts w:ascii="Times" w:hAnsi="Times"/>
          <w:vertAlign w:val="superscript"/>
        </w:rPr>
        <w:t>R</w:t>
      </w:r>
      <w:proofErr w:type="spellEnd"/>
      <w:r>
        <w:rPr>
          <w:rFonts w:ascii="Times" w:hAnsi="Times"/>
        </w:rPr>
        <w:t xml:space="preserve"> gene) and resolved on a 1% </w:t>
      </w:r>
      <w:proofErr w:type="spellStart"/>
      <w:r>
        <w:rPr>
          <w:rFonts w:ascii="Times" w:hAnsi="Times"/>
        </w:rPr>
        <w:t>agarose</w:t>
      </w:r>
      <w:proofErr w:type="spellEnd"/>
      <w:r>
        <w:rPr>
          <w:rFonts w:ascii="Times" w:hAnsi="Times"/>
        </w:rPr>
        <w:t xml:space="preserve"> gel, before capillary transfer to </w:t>
      </w:r>
      <w:proofErr w:type="spellStart"/>
      <w:r>
        <w:rPr>
          <w:rFonts w:ascii="Times" w:hAnsi="Times"/>
        </w:rPr>
        <w:t>Hybond</w:t>
      </w:r>
      <w:proofErr w:type="spellEnd"/>
      <w:r>
        <w:rPr>
          <w:rFonts w:ascii="Times" w:hAnsi="Times"/>
        </w:rPr>
        <w:t xml:space="preserve"> N membrane (GE Healthcare) as follows: the gel was soaked in alkaline denaturing buffer (1.5 M </w:t>
      </w:r>
      <w:proofErr w:type="spellStart"/>
      <w:r>
        <w:rPr>
          <w:rFonts w:ascii="Times" w:hAnsi="Times"/>
        </w:rPr>
        <w:t>NaCl</w:t>
      </w:r>
      <w:proofErr w:type="spellEnd"/>
      <w:r>
        <w:rPr>
          <w:rFonts w:ascii="Times" w:hAnsi="Times"/>
        </w:rPr>
        <w:t xml:space="preserve">, 0.5 M </w:t>
      </w:r>
      <w:proofErr w:type="spellStart"/>
      <w:r>
        <w:rPr>
          <w:rFonts w:ascii="Times" w:hAnsi="Times"/>
        </w:rPr>
        <w:t>NaOH</w:t>
      </w:r>
      <w:proofErr w:type="spellEnd"/>
      <w:r>
        <w:rPr>
          <w:rFonts w:ascii="Times" w:hAnsi="Times"/>
        </w:rPr>
        <w:t xml:space="preserve">) for 40 minutes, neutralized (30 minutes and then 15 minutes) in neutralizing buffer (250 </w:t>
      </w:r>
      <w:proofErr w:type="spellStart"/>
      <w:r>
        <w:rPr>
          <w:rFonts w:ascii="Times" w:hAnsi="Times"/>
        </w:rPr>
        <w:t>mM</w:t>
      </w:r>
      <w:proofErr w:type="spellEnd"/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Tris-HCl</w:t>
      </w:r>
      <w:proofErr w:type="spellEnd"/>
      <w:r>
        <w:rPr>
          <w:rFonts w:ascii="Times" w:hAnsi="Times"/>
        </w:rPr>
        <w:t xml:space="preserve">, pH 7.5, 750 </w:t>
      </w:r>
      <w:proofErr w:type="spellStart"/>
      <w:r>
        <w:rPr>
          <w:rFonts w:ascii="Times" w:hAnsi="Times"/>
        </w:rPr>
        <w:t>mM</w:t>
      </w:r>
      <w:proofErr w:type="spellEnd"/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NaCl</w:t>
      </w:r>
      <w:proofErr w:type="spellEnd"/>
      <w:r>
        <w:rPr>
          <w:rFonts w:ascii="Times" w:hAnsi="Times"/>
        </w:rPr>
        <w:t xml:space="preserve">), and transferred overnight in 10x SSC. The membrane was UV cross-linked and then incubated with a </w:t>
      </w:r>
      <w:r>
        <w:rPr>
          <w:rFonts w:ascii="Times" w:hAnsi="Times"/>
          <w:vertAlign w:val="superscript"/>
        </w:rPr>
        <w:t>32</w:t>
      </w:r>
      <w:r>
        <w:rPr>
          <w:rFonts w:ascii="Times" w:hAnsi="Times"/>
        </w:rPr>
        <w:t>P-labeled RNA probe (complementary to the 5’ portion of the Tn</w:t>
      </w:r>
      <w:r>
        <w:rPr>
          <w:rFonts w:ascii="Times" w:hAnsi="Times"/>
          <w:i/>
        </w:rPr>
        <w:t>5</w:t>
      </w:r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  <w:i/>
        </w:rPr>
        <w:t>kan</w:t>
      </w:r>
      <w:r>
        <w:rPr>
          <w:rFonts w:ascii="Times" w:hAnsi="Times"/>
          <w:vertAlign w:val="superscript"/>
        </w:rPr>
        <w:t>R</w:t>
      </w:r>
      <w:proofErr w:type="spellEnd"/>
      <w:r>
        <w:rPr>
          <w:rFonts w:ascii="Times" w:hAnsi="Times"/>
        </w:rPr>
        <w:t xml:space="preserve"> gene) in </w:t>
      </w:r>
      <w:proofErr w:type="spellStart"/>
      <w:r>
        <w:rPr>
          <w:rFonts w:ascii="Times" w:hAnsi="Times"/>
        </w:rPr>
        <w:t>UltraHyb</w:t>
      </w:r>
      <w:proofErr w:type="spellEnd"/>
      <w:r>
        <w:rPr>
          <w:rFonts w:ascii="Times" w:hAnsi="Times"/>
        </w:rPr>
        <w:t xml:space="preserve"> buffer (</w:t>
      </w:r>
      <w:proofErr w:type="spellStart"/>
      <w:r>
        <w:rPr>
          <w:rFonts w:ascii="Times" w:hAnsi="Times"/>
        </w:rPr>
        <w:t>Ambion</w:t>
      </w:r>
      <w:proofErr w:type="spellEnd"/>
      <w:r>
        <w:rPr>
          <w:rFonts w:ascii="Times" w:hAnsi="Times"/>
        </w:rPr>
        <w:t>) according to the manufacturer’s protocol for RNA</w:t>
      </w:r>
      <w:proofErr w:type="gramStart"/>
      <w:r>
        <w:rPr>
          <w:rFonts w:ascii="Times" w:hAnsi="Times"/>
        </w:rPr>
        <w:t>:DNA</w:t>
      </w:r>
      <w:proofErr w:type="gramEnd"/>
      <w:r>
        <w:rPr>
          <w:rFonts w:ascii="Times" w:hAnsi="Times"/>
        </w:rPr>
        <w:t xml:space="preserve"> hybridization. The probe was generated by </w:t>
      </w:r>
      <w:r>
        <w:rPr>
          <w:rFonts w:ascii="Times" w:hAnsi="Times"/>
          <w:i/>
        </w:rPr>
        <w:t>in vitro</w:t>
      </w:r>
      <w:r>
        <w:rPr>
          <w:rFonts w:ascii="Times" w:hAnsi="Times"/>
        </w:rPr>
        <w:t xml:space="preserve"> transcription, as described for Northern blot analysis, from a DNA template made by PCR with primers oDH236 and oDH237. In the experiment shown 5 ‘hop’ colonies from each of </w:t>
      </w:r>
      <w:proofErr w:type="spellStart"/>
      <w:r w:rsidRPr="00B8312D">
        <w:rPr>
          <w:rFonts w:ascii="Times" w:hAnsi="Times"/>
          <w:i/>
        </w:rPr>
        <w:t>hfq</w:t>
      </w:r>
      <w:proofErr w:type="spellEnd"/>
      <w:r w:rsidRPr="00B8312D">
        <w:rPr>
          <w:rFonts w:ascii="Times" w:hAnsi="Times"/>
          <w:i/>
          <w:vertAlign w:val="superscript"/>
        </w:rPr>
        <w:t>+</w:t>
      </w:r>
      <w:r w:rsidR="00573F7B">
        <w:rPr>
          <w:rFonts w:ascii="Times" w:hAnsi="Times"/>
        </w:rPr>
        <w:t xml:space="preserve"> (DBH179</w:t>
      </w:r>
      <w:r>
        <w:rPr>
          <w:rFonts w:ascii="Times" w:hAnsi="Times"/>
        </w:rPr>
        <w:t xml:space="preserve">) and </w:t>
      </w:r>
      <w:proofErr w:type="spellStart"/>
      <w:r w:rsidRPr="00B8312D">
        <w:rPr>
          <w:rFonts w:ascii="Times" w:hAnsi="Times"/>
          <w:i/>
        </w:rPr>
        <w:t>hfq</w:t>
      </w:r>
      <w:proofErr w:type="spellEnd"/>
      <w:r w:rsidRPr="00B8312D">
        <w:rPr>
          <w:rFonts w:ascii="Times" w:hAnsi="Times"/>
          <w:i/>
          <w:vertAlign w:val="superscript"/>
        </w:rPr>
        <w:t>-</w:t>
      </w:r>
      <w:r w:rsidR="00573F7B">
        <w:rPr>
          <w:rFonts w:ascii="Times" w:hAnsi="Times"/>
        </w:rPr>
        <w:t xml:space="preserve"> (DBH184</w:t>
      </w:r>
      <w:r>
        <w:rPr>
          <w:rFonts w:ascii="Times" w:hAnsi="Times"/>
        </w:rPr>
        <w:t xml:space="preserve">) were analyzed. ‘+’ </w:t>
      </w:r>
      <w:proofErr w:type="gramStart"/>
      <w:r>
        <w:rPr>
          <w:rFonts w:ascii="Times" w:hAnsi="Times"/>
        </w:rPr>
        <w:t>indicates</w:t>
      </w:r>
      <w:proofErr w:type="gramEnd"/>
      <w:r>
        <w:rPr>
          <w:rFonts w:ascii="Times" w:hAnsi="Times"/>
        </w:rPr>
        <w:t xml:space="preserve"> DNA derived from a donor colony before mating and ‘-</w:t>
      </w:r>
      <w:r w:rsidR="00573F7B">
        <w:rPr>
          <w:rFonts w:ascii="Times" w:hAnsi="Times"/>
        </w:rPr>
        <w:t>’ indicates DNA derived from a</w:t>
      </w:r>
      <w:r>
        <w:rPr>
          <w:rFonts w:ascii="Times" w:hAnsi="Times"/>
        </w:rPr>
        <w:t xml:space="preserve"> recipient colony before mating. </w:t>
      </w:r>
    </w:p>
    <w:p w14:paraId="52F7E56F" w14:textId="77777777" w:rsidR="00B8312D" w:rsidRDefault="00B8312D" w:rsidP="00B8312D">
      <w:pPr>
        <w:spacing w:line="480" w:lineRule="auto"/>
        <w:rPr>
          <w:rFonts w:ascii="Times" w:hAnsi="Times"/>
        </w:rPr>
      </w:pPr>
    </w:p>
    <w:p w14:paraId="0B29BB54" w14:textId="77777777" w:rsidR="00B8312D" w:rsidRDefault="00B8312D" w:rsidP="00B8312D">
      <w:pPr>
        <w:spacing w:line="480" w:lineRule="auto"/>
        <w:rPr>
          <w:rFonts w:ascii="Times" w:hAnsi="Times"/>
          <w:b/>
        </w:rPr>
      </w:pPr>
      <w:r>
        <w:rPr>
          <w:rFonts w:ascii="Times" w:hAnsi="Times"/>
          <w:b/>
        </w:rPr>
        <w:t>B. Mapping Tn</w:t>
      </w:r>
      <w:r>
        <w:rPr>
          <w:rFonts w:ascii="Times" w:hAnsi="Times"/>
          <w:b/>
          <w:i/>
        </w:rPr>
        <w:t>5</w:t>
      </w:r>
      <w:r>
        <w:rPr>
          <w:rFonts w:ascii="Times" w:hAnsi="Times"/>
          <w:b/>
        </w:rPr>
        <w:t xml:space="preserve"> </w:t>
      </w:r>
      <w:proofErr w:type="spellStart"/>
      <w:r>
        <w:rPr>
          <w:rFonts w:ascii="Times" w:hAnsi="Times"/>
          <w:b/>
        </w:rPr>
        <w:t>tranposition</w:t>
      </w:r>
      <w:proofErr w:type="spellEnd"/>
      <w:r>
        <w:rPr>
          <w:rFonts w:ascii="Times" w:hAnsi="Times"/>
          <w:b/>
        </w:rPr>
        <w:t xml:space="preserve"> events via ST-PCR</w:t>
      </w:r>
    </w:p>
    <w:p w14:paraId="5B043D7C" w14:textId="77777777" w:rsidR="00B8312D" w:rsidRDefault="00B8312D" w:rsidP="00B8312D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Putative transposition events from mating out assays were characterized using a semi-</w:t>
      </w:r>
      <w:proofErr w:type="gramStart"/>
      <w:r>
        <w:rPr>
          <w:rFonts w:ascii="Times" w:hAnsi="Times"/>
        </w:rPr>
        <w:t>random</w:t>
      </w:r>
      <w:proofErr w:type="gramEnd"/>
      <w:r>
        <w:rPr>
          <w:rFonts w:ascii="Times" w:hAnsi="Times"/>
        </w:rPr>
        <w:t xml:space="preserve">, two-step PCR protocol (ST-PCR) for uncharacterized transposon-linked sequences </w:t>
      </w:r>
      <w:r>
        <w:rPr>
          <w:rFonts w:ascii="Times" w:hAnsi="Times"/>
        </w:rPr>
        <w:fldChar w:fldCharType="begin"/>
      </w:r>
      <w:r>
        <w:rPr>
          <w:rFonts w:ascii="Times" w:hAnsi="Times"/>
        </w:rPr>
        <w:instrText xml:space="preserve"> ADDIN EN.CITE &lt;EndNote&gt;&lt;Cite&gt;&lt;Author&gt;Chun&lt;/Author&gt;&lt;Year&gt;1997&lt;/Year&gt;&lt;RecNum&gt;284&lt;/RecNum&gt;&lt;DisplayText&gt;(Chun et al, 1997)&lt;/DisplayText&gt;&lt;record&gt;&lt;rec-number&gt;284&lt;/rec-number&gt;&lt;foreign-keys&gt;&lt;key app="EN" db-id="tp0p5w22vzxf2yes92r5vdxn0t0swdzesafr" timestamp="1395766946"&gt;284&lt;/key&gt;&lt;/foreign-keys&gt;&lt;ref-type name="Journal Article"&gt;17&lt;/ref-type&gt;&lt;contributors&gt;&lt;authors&gt;&lt;author&gt;Chun, K. T.&lt;/author&gt;&lt;author&gt;Edenberg, H. J.&lt;/author&gt;&lt;author&gt;Kelley, M. R.&lt;/author&gt;&lt;author&gt;Goebl, M. G.&lt;/author&gt;&lt;/authors&gt;&lt;/contributors&gt;&lt;auth-address&gt;Department of Biochemistry and Molecular Biology, Indiana University School of Medicine, Indianapolis 46202, USA.&lt;/auth-address&gt;&lt;titles&gt;&lt;title&gt;Rapid amplification of uncharacterized transposon-tagged DNA sequences from genomic DNA&lt;/title&gt;&lt;secondary-title&gt;Yeast&lt;/secondary-title&gt;&lt;alt-title&gt;Yeast&lt;/alt-title&gt;&lt;/titles&gt;&lt;periodical&gt;&lt;full-title&gt;Yeast&lt;/full-title&gt;&lt;abbr-1&gt;Yeast&lt;/abbr-1&gt;&lt;/periodical&gt;&lt;alt-periodical&gt;&lt;full-title&gt;Yeast&lt;/full-title&gt;&lt;abbr-1&gt;Yeast&lt;/abbr-1&gt;&lt;/alt-periodical&gt;&lt;pages&gt;233-40&lt;/pages&gt;&lt;volume&gt;13&lt;/volume&gt;&lt;number&gt;3&lt;/number&gt;&lt;edition&gt;1997/03/15&lt;/edition&gt;&lt;keywords&gt;&lt;keyword&gt;Cloning, Molecular&lt;/keyword&gt;&lt;keyword&gt;DNA Transposable Elements/*genetics&lt;/keyword&gt;&lt;keyword&gt;DNA, Fungal/*genetics&lt;/keyword&gt;&lt;keyword&gt;Genes, Fungal/*physiology&lt;/keyword&gt;&lt;keyword&gt;Genome, Fungal&lt;/keyword&gt;&lt;keyword&gt;Polymerase Chain Reaction/*methods&lt;/keyword&gt;&lt;keyword&gt;Saccharomyces cerevisiae/*genetics&lt;/keyword&gt;&lt;keyword&gt;Sequence Analysis, DNA&lt;/keyword&gt;&lt;/keywords&gt;&lt;dates&gt;&lt;year&gt;1997&lt;/year&gt;&lt;pub-dates&gt;&lt;date&gt;Mar 15&lt;/date&gt;&lt;/pub-dates&gt;&lt;/dates&gt;&lt;isbn&gt;0749-503X (Print)&amp;#xD;0749-503X (Linking)&lt;/isbn&gt;&lt;accession-num&gt;9090052&lt;/accession-num&gt;&lt;work-type&gt;Research Support, Non-U.S. Gov&amp;apos;t&amp;#xD;Research Support, U.S. Gov&amp;apos;t, P.H.S.&lt;/work-type&gt;&lt;urls&gt;&lt;related-urls&gt;&lt;url&gt;http://www.ncbi.nlm.nih.gov/pubmed/9090052&lt;/url&gt;&lt;/related-urls&gt;&lt;/urls&gt;&lt;electronic-resource-num&gt;10.1002/(SICI)1097-0061(19970315)13:3&amp;lt;233::AID-YEA88&amp;gt;3.0.CO;2-E&lt;/electronic-resource-num&gt;&lt;/record&gt;&lt;/Cite&gt;&lt;/EndNote&gt;</w:instrText>
      </w:r>
      <w:r>
        <w:rPr>
          <w:rFonts w:ascii="Times" w:hAnsi="Times"/>
        </w:rPr>
        <w:fldChar w:fldCharType="separate"/>
      </w:r>
      <w:r>
        <w:rPr>
          <w:rFonts w:ascii="Times" w:hAnsi="Times"/>
          <w:noProof/>
        </w:rPr>
        <w:t>(Chun et al, 1997)</w:t>
      </w:r>
      <w:r>
        <w:rPr>
          <w:rFonts w:ascii="Times" w:hAnsi="Times"/>
        </w:rPr>
        <w:fldChar w:fldCharType="end"/>
      </w:r>
      <w:r>
        <w:rPr>
          <w:rFonts w:ascii="Times" w:hAnsi="Times"/>
        </w:rPr>
        <w:t xml:space="preserve">. Briefly, genomic DNA from </w:t>
      </w:r>
      <w:proofErr w:type="spellStart"/>
      <w:r>
        <w:rPr>
          <w:rFonts w:ascii="Times" w:hAnsi="Times"/>
        </w:rPr>
        <w:t>Kan</w:t>
      </w:r>
      <w:r>
        <w:rPr>
          <w:rFonts w:ascii="Times" w:hAnsi="Times"/>
          <w:vertAlign w:val="superscript"/>
        </w:rPr>
        <w:t>R</w:t>
      </w:r>
      <w:proofErr w:type="spellEnd"/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Sm</w:t>
      </w:r>
      <w:r>
        <w:rPr>
          <w:rFonts w:ascii="Times" w:hAnsi="Times"/>
          <w:vertAlign w:val="superscript"/>
        </w:rPr>
        <w:t>R</w:t>
      </w:r>
      <w:proofErr w:type="spellEnd"/>
      <w:r>
        <w:rPr>
          <w:rFonts w:ascii="Times" w:hAnsi="Times"/>
        </w:rPr>
        <w:t xml:space="preserve"> colonies selected on ‘hop plates’ was PCR-amplified with a Tn</w:t>
      </w:r>
      <w:r>
        <w:rPr>
          <w:rFonts w:ascii="Times" w:hAnsi="Times"/>
          <w:i/>
        </w:rPr>
        <w:t>5</w:t>
      </w:r>
      <w:r>
        <w:rPr>
          <w:rFonts w:ascii="Times" w:hAnsi="Times"/>
        </w:rPr>
        <w:t xml:space="preserve">-specific primer (oDH225) and a partially randomized primer (oDH167). The resulting </w:t>
      </w:r>
      <w:proofErr w:type="spellStart"/>
      <w:r>
        <w:rPr>
          <w:rFonts w:ascii="Times" w:hAnsi="Times"/>
        </w:rPr>
        <w:t>amplicons</w:t>
      </w:r>
      <w:proofErr w:type="spellEnd"/>
      <w:r>
        <w:rPr>
          <w:rFonts w:ascii="Times" w:hAnsi="Times"/>
        </w:rPr>
        <w:t xml:space="preserve"> were ligated into the </w:t>
      </w:r>
      <w:proofErr w:type="spellStart"/>
      <w:r>
        <w:rPr>
          <w:rFonts w:ascii="Times" w:hAnsi="Times"/>
        </w:rPr>
        <w:t>pGEM</w:t>
      </w:r>
      <w:proofErr w:type="spellEnd"/>
      <w:r>
        <w:rPr>
          <w:rFonts w:ascii="Times" w:hAnsi="Times"/>
        </w:rPr>
        <w:t xml:space="preserve"> T-easy vector (</w:t>
      </w:r>
      <w:proofErr w:type="spellStart"/>
      <w:r>
        <w:rPr>
          <w:rFonts w:ascii="Times" w:hAnsi="Times"/>
        </w:rPr>
        <w:t>Promega</w:t>
      </w:r>
      <w:proofErr w:type="spellEnd"/>
      <w:r>
        <w:rPr>
          <w:rFonts w:ascii="Times" w:hAnsi="Times"/>
        </w:rPr>
        <w:t>), transformed into DH5</w:t>
      </w:r>
      <w:r>
        <w:rPr>
          <w:rFonts w:ascii="Times" w:hAnsi="Times"/>
        </w:rPr>
        <w:sym w:font="Symbol" w:char="0061"/>
      </w:r>
      <w:r>
        <w:rPr>
          <w:rFonts w:ascii="Times" w:hAnsi="Times"/>
        </w:rPr>
        <w:t xml:space="preserve"> by electroporation and </w:t>
      </w:r>
      <w:proofErr w:type="spellStart"/>
      <w:r>
        <w:rPr>
          <w:rFonts w:ascii="Times" w:hAnsi="Times"/>
        </w:rPr>
        <w:t>transformants</w:t>
      </w:r>
      <w:proofErr w:type="spellEnd"/>
      <w:r>
        <w:rPr>
          <w:rFonts w:ascii="Times" w:hAnsi="Times"/>
        </w:rPr>
        <w:t xml:space="preserve"> were selected on LB plates containing kanamycin (50 </w:t>
      </w:r>
      <w:r>
        <w:rPr>
          <w:rFonts w:ascii="Times" w:hAnsi="Times"/>
        </w:rPr>
        <w:sym w:font="Symbol" w:char="006D"/>
      </w:r>
      <w:r>
        <w:rPr>
          <w:rFonts w:ascii="Times" w:hAnsi="Times"/>
        </w:rPr>
        <w:t xml:space="preserve">g/mL). Plasmid DNA was isolated (Sigma </w:t>
      </w:r>
      <w:proofErr w:type="spellStart"/>
      <w:r>
        <w:rPr>
          <w:rFonts w:ascii="Times" w:hAnsi="Times"/>
        </w:rPr>
        <w:t>miniprep</w:t>
      </w:r>
      <w:proofErr w:type="spellEnd"/>
      <w:r>
        <w:rPr>
          <w:rFonts w:ascii="Times" w:hAnsi="Times"/>
        </w:rPr>
        <w:t xml:space="preserve"> kit) and the inserts were sequenced using M13 primers. Sequences thusly obtained were aligned to the </w:t>
      </w:r>
      <w:r>
        <w:rPr>
          <w:rFonts w:ascii="Times" w:hAnsi="Times"/>
          <w:i/>
        </w:rPr>
        <w:t>E. coli</w:t>
      </w:r>
      <w:r>
        <w:rPr>
          <w:rFonts w:ascii="Times" w:hAnsi="Times"/>
        </w:rPr>
        <w:t xml:space="preserve"> MG1655 reference genome (BLAST) to identify the ‘target’ sequence immediately flanking one host-OE junction. This information was used to design ‘insert-specific’ primers (different for each insertion event), complementary to DNA flanking the Tn</w:t>
      </w:r>
      <w:r>
        <w:rPr>
          <w:rFonts w:ascii="Times" w:hAnsi="Times"/>
          <w:i/>
        </w:rPr>
        <w:t>5</w:t>
      </w:r>
      <w:r>
        <w:rPr>
          <w:rFonts w:ascii="Times" w:hAnsi="Times"/>
        </w:rPr>
        <w:t xml:space="preserve"> insertion site. These primers were used to amplify and sequence DNA flanking Tn</w:t>
      </w:r>
      <w:r>
        <w:rPr>
          <w:rFonts w:ascii="Times" w:hAnsi="Times"/>
          <w:i/>
        </w:rPr>
        <w:t>5</w:t>
      </w:r>
      <w:r>
        <w:rPr>
          <w:rFonts w:ascii="Times" w:hAnsi="Times"/>
        </w:rPr>
        <w:t>.</w:t>
      </w:r>
    </w:p>
    <w:p w14:paraId="4CB7B22F" w14:textId="77777777" w:rsidR="00B8312D" w:rsidRDefault="00B8312D" w:rsidP="00B8312D">
      <w:pPr>
        <w:spacing w:line="480" w:lineRule="auto"/>
        <w:rPr>
          <w:rFonts w:ascii="Times" w:hAnsi="Times"/>
        </w:rPr>
      </w:pPr>
    </w:p>
    <w:p w14:paraId="3E3BA3BE" w14:textId="77777777" w:rsidR="00B8312D" w:rsidRPr="00B8312D" w:rsidRDefault="00B8312D" w:rsidP="00B8312D">
      <w:pPr>
        <w:spacing w:line="480" w:lineRule="auto"/>
        <w:rPr>
          <w:rFonts w:ascii="Times" w:hAnsi="Times"/>
          <w:b/>
        </w:rPr>
      </w:pPr>
      <w:r w:rsidRPr="00B8312D">
        <w:rPr>
          <w:rFonts w:ascii="Times" w:hAnsi="Times"/>
          <w:b/>
        </w:rPr>
        <w:t>C. DNA sequence for two independent Tn5 transposition events</w:t>
      </w:r>
    </w:p>
    <w:p w14:paraId="110594BB" w14:textId="77777777" w:rsidR="00B8312D" w:rsidRPr="00B8312D" w:rsidRDefault="00B8312D" w:rsidP="00B8312D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 xml:space="preserve"> </w:t>
      </w:r>
      <w:r w:rsidR="005D7184">
        <w:rPr>
          <w:rFonts w:ascii="Times" w:hAnsi="Times"/>
        </w:rPr>
        <w:t xml:space="preserve">Tn5 insertion sites for two clones are shown. Tn5 sequence is in red and flanking donor sequence is in black. Target site duplications are underlined. </w:t>
      </w:r>
    </w:p>
    <w:sectPr w:rsidR="00B8312D" w:rsidRPr="00B8312D" w:rsidSect="00F71EF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12D"/>
    <w:rsid w:val="00573F7B"/>
    <w:rsid w:val="005D7184"/>
    <w:rsid w:val="0063689C"/>
    <w:rsid w:val="00B8312D"/>
    <w:rsid w:val="00F7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BAEE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1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F7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F7B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1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F7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F7B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7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676</Words>
  <Characters>3858</Characters>
  <Application>Microsoft Macintosh Word</Application>
  <DocSecurity>0</DocSecurity>
  <Lines>32</Lines>
  <Paragraphs>9</Paragraphs>
  <ScaleCrop>false</ScaleCrop>
  <Company>University of Western Ontario</Company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Haniford</dc:creator>
  <cp:keywords/>
  <dc:description/>
  <cp:lastModifiedBy>David Haniford</cp:lastModifiedBy>
  <cp:revision>3</cp:revision>
  <dcterms:created xsi:type="dcterms:W3CDTF">2014-08-13T14:36:00Z</dcterms:created>
  <dcterms:modified xsi:type="dcterms:W3CDTF">2014-08-13T15:54:00Z</dcterms:modified>
</cp:coreProperties>
</file>