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09DC79" w14:textId="0C449AC6" w:rsidR="00F40933" w:rsidRDefault="001F69D9" w:rsidP="00F40933">
      <w:pPr>
        <w:spacing w:line="480" w:lineRule="auto"/>
        <w:rPr>
          <w:rFonts w:ascii="Times" w:hAnsi="Times"/>
          <w:b/>
        </w:rPr>
      </w:pPr>
      <w:proofErr w:type="gramStart"/>
      <w:r>
        <w:rPr>
          <w:rFonts w:ascii="Times" w:hAnsi="Times"/>
          <w:b/>
        </w:rPr>
        <w:t>Additional File 3.</w:t>
      </w:r>
      <w:proofErr w:type="gramEnd"/>
      <w:r w:rsidR="00AB6A69">
        <w:rPr>
          <w:rFonts w:ascii="Times" w:hAnsi="Times"/>
          <w:b/>
        </w:rPr>
        <w:t xml:space="preserve"> Details of plasmids constructed for this work</w:t>
      </w:r>
    </w:p>
    <w:p w14:paraId="3EF26184" w14:textId="77777777" w:rsidR="00AB6A69" w:rsidRDefault="00AB6A69" w:rsidP="00F40933">
      <w:pPr>
        <w:spacing w:line="480" w:lineRule="auto"/>
        <w:rPr>
          <w:rFonts w:ascii="Times" w:hAnsi="Times"/>
          <w:b/>
        </w:rPr>
      </w:pPr>
    </w:p>
    <w:p w14:paraId="4D5BBD03" w14:textId="031A2F74" w:rsidR="00F40933" w:rsidRDefault="00F40933" w:rsidP="00F40933">
      <w:pPr>
        <w:spacing w:line="480" w:lineRule="auto"/>
        <w:rPr>
          <w:rFonts w:ascii="Times" w:hAnsi="Times"/>
        </w:rPr>
      </w:pPr>
      <w:r>
        <w:rPr>
          <w:rFonts w:ascii="Times" w:hAnsi="Times"/>
          <w:i/>
        </w:rPr>
        <w:t xml:space="preserve">IS50 </w:t>
      </w:r>
      <w:proofErr w:type="spellStart"/>
      <w:r>
        <w:rPr>
          <w:rFonts w:ascii="Times" w:hAnsi="Times"/>
          <w:i/>
        </w:rPr>
        <w:t>transposase</w:t>
      </w:r>
      <w:proofErr w:type="spellEnd"/>
      <w:r>
        <w:rPr>
          <w:rFonts w:ascii="Times" w:hAnsi="Times"/>
          <w:i/>
        </w:rPr>
        <w:t xml:space="preserve"> expression plasmids:</w:t>
      </w:r>
      <w:r>
        <w:rPr>
          <w:rFonts w:ascii="Times" w:hAnsi="Times"/>
        </w:rPr>
        <w:t xml:space="preserve"> Plasmids for </w:t>
      </w:r>
      <w:r>
        <w:rPr>
          <w:rFonts w:ascii="Times" w:hAnsi="Times"/>
          <w:i/>
        </w:rPr>
        <w:t>in vivo</w:t>
      </w:r>
      <w:r>
        <w:rPr>
          <w:rFonts w:ascii="Times" w:hAnsi="Times"/>
        </w:rPr>
        <w:t xml:space="preserve"> expression of </w:t>
      </w:r>
      <w:proofErr w:type="spellStart"/>
      <w:r>
        <w:rPr>
          <w:rFonts w:ascii="Times" w:hAnsi="Times"/>
        </w:rPr>
        <w:t>transposase</w:t>
      </w:r>
      <w:proofErr w:type="spellEnd"/>
      <w:r>
        <w:rPr>
          <w:rFonts w:ascii="Times" w:hAnsi="Times"/>
        </w:rPr>
        <w:t xml:space="preserve"> from its native promoter are derivatives of pRZ9905 </w:t>
      </w:r>
      <w:r>
        <w:rPr>
          <w:rFonts w:ascii="Times" w:hAnsi="Times"/>
        </w:rPr>
        <w:fldChar w:fldCharType="begin"/>
      </w:r>
      <w:r w:rsidR="00027AFD">
        <w:rPr>
          <w:rFonts w:ascii="Times" w:hAnsi="Times"/>
        </w:rPr>
        <w:instrText xml:space="preserve"> ADDIN EN.CITE &lt;EndNote&gt;&lt;Cite&gt;&lt;Author&gt;Naumann&lt;/Author&gt;&lt;Year&gt;2000&lt;/Year&gt;&lt;RecNum&gt;216&lt;/RecNum&gt;&lt;DisplayText&gt;[1]&lt;/DisplayText&gt;&lt;record&gt;&lt;rec-number&gt;216&lt;/rec-number&gt;&lt;foreign-keys&gt;&lt;key app="EN" db-id="tp0p5w22vzxf2yes92r5vdxn0t0swdzesafr" timestamp="0"&gt;216&lt;/key&gt;&lt;/foreign-keys&gt;&lt;ref-type name="Journal Article"&gt;17&lt;/ref-type&gt;&lt;contributors&gt;&lt;authors&gt;&lt;author&gt;Naumann, T. A.&lt;/author&gt;&lt;author&gt;Reznikoff, W. S.&lt;/author&gt;&lt;/authors&gt;&lt;/contributors&gt;&lt;auth-address&gt;Department of Biochemistry, University of Wisconsin, Madison, WI 53706, USA.&lt;/auth-address&gt;&lt;titles&gt;&lt;title&gt;Trans catalysis in Tn5 transposition&lt;/title&gt;&lt;secondary-title&gt;Proc Natl Acad Sci U S A&lt;/secondary-title&gt;&lt;alt-title&gt;Proceedings of the National Academy of Sciences of the United States of America&lt;/alt-title&gt;&lt;/titles&gt;&lt;periodical&gt;&lt;full-title&gt;Proc Natl Acad Sci U S A&lt;/full-title&gt;&lt;abbr-1&gt;Proceedings of the National Academy of Sciences of the United States of America&lt;/abbr-1&gt;&lt;/periodical&gt;&lt;alt-periodical&gt;&lt;full-title&gt;Proc Natl Acad Sci U S A&lt;/full-title&gt;&lt;abbr-1&gt;Proceedings of the National Academy of Sciences of the United States of America&lt;/abbr-1&gt;&lt;/alt-periodical&gt;&lt;pages&gt;8944-9&lt;/pages&gt;&lt;volume&gt;97&lt;/volume&gt;&lt;number&gt;16&lt;/number&gt;&lt;keywords&gt;&lt;keyword&gt;Binding Sites&lt;/keyword&gt;&lt;keyword&gt;Catalysis&lt;/keyword&gt;&lt;keyword&gt;Mutagenesis, Site-Directed&lt;/keyword&gt;&lt;keyword&gt;Plasmids&lt;/keyword&gt;&lt;keyword&gt;Transposases/genetics/*metabolism&lt;/keyword&gt;&lt;/keywords&gt;&lt;dates&gt;&lt;year&gt;2000&lt;/year&gt;&lt;pub-dates&gt;&lt;date&gt;Aug 1&lt;/date&gt;&lt;/pub-dates&gt;&lt;/dates&gt;&lt;isbn&gt;0027-8424 (Print)&amp;#xD;0027-8424 (Linking)&lt;/isbn&gt;&lt;accession-num&gt;10908658&lt;/accession-num&gt;&lt;urls&gt;&lt;related-urls&gt;&lt;url&gt;http://www.ncbi.nlm.nih.gov/entrez/query.fcgi?cmd=Retrieve&amp;amp;db=PubMed&amp;amp;dopt=Citation&amp;amp;list_uids=10908658 &lt;/url&gt;&lt;/related-urls&gt;&lt;/urls&gt;&lt;language&gt;eng&lt;/language&gt;&lt;/record&gt;&lt;/Cite&gt;&lt;/EndNote&gt;</w:instrText>
      </w:r>
      <w:r>
        <w:rPr>
          <w:rFonts w:ascii="Times" w:hAnsi="Times"/>
        </w:rPr>
        <w:fldChar w:fldCharType="separate"/>
      </w:r>
      <w:r w:rsidR="00027AFD">
        <w:rPr>
          <w:rFonts w:ascii="Times" w:hAnsi="Times"/>
          <w:noProof/>
        </w:rPr>
        <w:t>[1]</w:t>
      </w:r>
      <w:r>
        <w:rPr>
          <w:rFonts w:ascii="Times" w:hAnsi="Times"/>
        </w:rPr>
        <w:fldChar w:fldCharType="end"/>
      </w:r>
      <w:r>
        <w:rPr>
          <w:rFonts w:ascii="Times" w:hAnsi="Times"/>
        </w:rPr>
        <w:t xml:space="preserve">, obtained from W.S. </w:t>
      </w:r>
      <w:proofErr w:type="spellStart"/>
      <w:r>
        <w:rPr>
          <w:rFonts w:ascii="Times" w:hAnsi="Times"/>
        </w:rPr>
        <w:t>Reznikoff</w:t>
      </w:r>
      <w:proofErr w:type="spellEnd"/>
      <w:r>
        <w:rPr>
          <w:rFonts w:ascii="Times" w:hAnsi="Times"/>
        </w:rPr>
        <w:t xml:space="preserve">. The </w:t>
      </w:r>
      <w:proofErr w:type="spellStart"/>
      <w:r>
        <w:rPr>
          <w:rFonts w:ascii="Times" w:hAnsi="Times"/>
        </w:rPr>
        <w:t>transposase</w:t>
      </w:r>
      <w:proofErr w:type="spellEnd"/>
      <w:r>
        <w:rPr>
          <w:rFonts w:ascii="Times" w:hAnsi="Times"/>
        </w:rPr>
        <w:t xml:space="preserve"> gene has the M56A mutation, which blocks translation of the inhibitor protein. In addition, a mini-Tn</w:t>
      </w:r>
      <w:r>
        <w:rPr>
          <w:rFonts w:ascii="Times" w:hAnsi="Times"/>
          <w:i/>
        </w:rPr>
        <w:t>5</w:t>
      </w:r>
      <w:r>
        <w:rPr>
          <w:rFonts w:ascii="Times" w:hAnsi="Times"/>
        </w:rPr>
        <w:t xml:space="preserve"> encoding the chloramphenicol resistance gene from IS</w:t>
      </w:r>
      <w:r>
        <w:rPr>
          <w:rFonts w:ascii="Times" w:hAnsi="Times"/>
          <w:i/>
        </w:rPr>
        <w:t>1</w:t>
      </w:r>
      <w:r>
        <w:rPr>
          <w:rFonts w:ascii="Times" w:hAnsi="Times"/>
        </w:rPr>
        <w:t xml:space="preserve"> was cloned into the </w:t>
      </w:r>
      <w:proofErr w:type="spellStart"/>
      <w:r>
        <w:rPr>
          <w:rFonts w:ascii="Times" w:hAnsi="Times"/>
        </w:rPr>
        <w:t>BglII</w:t>
      </w:r>
      <w:proofErr w:type="spellEnd"/>
      <w:r>
        <w:rPr>
          <w:rFonts w:ascii="Times" w:hAnsi="Times"/>
        </w:rPr>
        <w:t xml:space="preserve"> site just downstream from the </w:t>
      </w:r>
      <w:proofErr w:type="spellStart"/>
      <w:r>
        <w:rPr>
          <w:rFonts w:ascii="Times" w:hAnsi="Times"/>
        </w:rPr>
        <w:t>transposase</w:t>
      </w:r>
      <w:proofErr w:type="spellEnd"/>
      <w:r>
        <w:rPr>
          <w:rFonts w:ascii="Times" w:hAnsi="Times"/>
        </w:rPr>
        <w:t xml:space="preserve"> stop codon to create pDH533. Mutant forms of this plasmid including cat</w:t>
      </w:r>
      <w:r>
        <w:rPr>
          <w:rFonts w:ascii="Times" w:hAnsi="Times"/>
          <w:vertAlign w:val="superscript"/>
        </w:rPr>
        <w:t>-</w:t>
      </w:r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transposase</w:t>
      </w:r>
      <w:proofErr w:type="spellEnd"/>
      <w:r>
        <w:rPr>
          <w:rFonts w:ascii="Times" w:hAnsi="Times"/>
        </w:rPr>
        <w:t xml:space="preserve"> (D97A — pDH828) and Dam-</w:t>
      </w:r>
      <w:proofErr w:type="spellStart"/>
      <w:r>
        <w:rPr>
          <w:rFonts w:ascii="Times" w:hAnsi="Times"/>
        </w:rPr>
        <w:t>Insen</w:t>
      </w:r>
      <w:proofErr w:type="spellEnd"/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transposase</w:t>
      </w:r>
      <w:proofErr w:type="spellEnd"/>
      <w:r>
        <w:rPr>
          <w:rFonts w:ascii="Times" w:hAnsi="Times"/>
        </w:rPr>
        <w:t xml:space="preserve"> (G53A; C61A — pDH752) were generated by site-directed mutagenesis. We used the mini-Tn</w:t>
      </w:r>
      <w:r>
        <w:rPr>
          <w:rFonts w:ascii="Times" w:hAnsi="Times"/>
          <w:i/>
        </w:rPr>
        <w:t>5</w:t>
      </w:r>
      <w:r>
        <w:rPr>
          <w:rFonts w:ascii="Times" w:hAnsi="Times"/>
        </w:rPr>
        <w:t xml:space="preserve"> element to test the functionality of various </w:t>
      </w:r>
      <w:proofErr w:type="spellStart"/>
      <w:r>
        <w:rPr>
          <w:rFonts w:ascii="Times" w:hAnsi="Times"/>
        </w:rPr>
        <w:t>transposase</w:t>
      </w:r>
      <w:proofErr w:type="spellEnd"/>
      <w:r>
        <w:rPr>
          <w:rFonts w:ascii="Times" w:hAnsi="Times"/>
        </w:rPr>
        <w:t>-producing genes.</w:t>
      </w:r>
    </w:p>
    <w:p w14:paraId="536EF8A0" w14:textId="77777777" w:rsidR="00F40933" w:rsidRDefault="00F40933" w:rsidP="00F40933">
      <w:pPr>
        <w:spacing w:line="480" w:lineRule="auto"/>
        <w:rPr>
          <w:rFonts w:ascii="Times" w:hAnsi="Times"/>
        </w:rPr>
      </w:pPr>
    </w:p>
    <w:p w14:paraId="6344F87A" w14:textId="1BD3836A" w:rsidR="00F40933" w:rsidRDefault="00F40933" w:rsidP="00F40933">
      <w:pPr>
        <w:spacing w:line="480" w:lineRule="auto"/>
        <w:rPr>
          <w:rFonts w:ascii="Times" w:hAnsi="Times"/>
        </w:rPr>
      </w:pPr>
      <w:r>
        <w:rPr>
          <w:rFonts w:ascii="Times" w:hAnsi="Times"/>
          <w:i/>
        </w:rPr>
        <w:t>IS50-lacZ translational fusion plasmids:</w:t>
      </w:r>
      <w:r>
        <w:rPr>
          <w:rFonts w:ascii="Times" w:hAnsi="Times"/>
        </w:rPr>
        <w:t xml:space="preserve"> A PCR fragment containing a portion of the </w:t>
      </w:r>
      <w:proofErr w:type="spellStart"/>
      <w:r>
        <w:rPr>
          <w:rFonts w:ascii="Times" w:hAnsi="Times"/>
          <w:i/>
        </w:rPr>
        <w:t>lacZ</w:t>
      </w:r>
      <w:proofErr w:type="spellEnd"/>
      <w:r>
        <w:rPr>
          <w:rFonts w:ascii="Times" w:hAnsi="Times"/>
        </w:rPr>
        <w:t xml:space="preserve"> gene (starting at codon 10 and terminating at the stop codon) was generated with primers oDH185 and oDH186 and </w:t>
      </w:r>
      <w:r>
        <w:rPr>
          <w:rFonts w:ascii="Times" w:hAnsi="Times"/>
          <w:i/>
        </w:rPr>
        <w:t>E. coli</w:t>
      </w:r>
      <w:r>
        <w:rPr>
          <w:rFonts w:ascii="Times" w:hAnsi="Times"/>
        </w:rPr>
        <w:t xml:space="preserve"> genomic DNA. Primer oDH185 includes a </w:t>
      </w:r>
      <w:proofErr w:type="spellStart"/>
      <w:r>
        <w:rPr>
          <w:rFonts w:ascii="Times" w:hAnsi="Times"/>
        </w:rPr>
        <w:t>SacII</w:t>
      </w:r>
      <w:proofErr w:type="spellEnd"/>
      <w:r>
        <w:rPr>
          <w:rFonts w:ascii="Times" w:hAnsi="Times"/>
        </w:rPr>
        <w:t xml:space="preserve"> site and oDH186 includes a </w:t>
      </w:r>
      <w:proofErr w:type="spellStart"/>
      <w:r>
        <w:rPr>
          <w:rFonts w:ascii="Times" w:hAnsi="Times"/>
        </w:rPr>
        <w:t>BglII</w:t>
      </w:r>
      <w:proofErr w:type="spellEnd"/>
      <w:r>
        <w:rPr>
          <w:rFonts w:ascii="Times" w:hAnsi="Times"/>
        </w:rPr>
        <w:t xml:space="preserve"> site. After digestion with </w:t>
      </w:r>
      <w:proofErr w:type="spellStart"/>
      <w:r>
        <w:rPr>
          <w:rFonts w:ascii="Times" w:hAnsi="Times"/>
        </w:rPr>
        <w:t>SacII</w:t>
      </w:r>
      <w:proofErr w:type="spellEnd"/>
      <w:r>
        <w:rPr>
          <w:rFonts w:ascii="Times" w:hAnsi="Times"/>
        </w:rPr>
        <w:t xml:space="preserve"> and </w:t>
      </w:r>
      <w:proofErr w:type="spellStart"/>
      <w:r>
        <w:rPr>
          <w:rFonts w:ascii="Times" w:hAnsi="Times"/>
        </w:rPr>
        <w:t>BglII</w:t>
      </w:r>
      <w:proofErr w:type="spellEnd"/>
      <w:r>
        <w:rPr>
          <w:rFonts w:ascii="Times" w:hAnsi="Times"/>
        </w:rPr>
        <w:t xml:space="preserve">, the </w:t>
      </w:r>
      <w:proofErr w:type="spellStart"/>
      <w:r>
        <w:rPr>
          <w:rFonts w:ascii="Times" w:hAnsi="Times"/>
          <w:i/>
        </w:rPr>
        <w:t>lacZ</w:t>
      </w:r>
      <w:proofErr w:type="spellEnd"/>
      <w:r>
        <w:rPr>
          <w:rFonts w:ascii="Times" w:hAnsi="Times"/>
        </w:rPr>
        <w:t xml:space="preserve"> PCR fragment was cloned into pRZ9905, which had also been digested with </w:t>
      </w:r>
      <w:proofErr w:type="spellStart"/>
      <w:r>
        <w:rPr>
          <w:rFonts w:ascii="Times" w:hAnsi="Times"/>
        </w:rPr>
        <w:t>SacII</w:t>
      </w:r>
      <w:proofErr w:type="spellEnd"/>
      <w:r>
        <w:rPr>
          <w:rFonts w:ascii="Times" w:hAnsi="Times"/>
        </w:rPr>
        <w:t xml:space="preserve"> and </w:t>
      </w:r>
      <w:proofErr w:type="spellStart"/>
      <w:r>
        <w:rPr>
          <w:rFonts w:ascii="Times" w:hAnsi="Times"/>
        </w:rPr>
        <w:t>BglII</w:t>
      </w:r>
      <w:proofErr w:type="spellEnd"/>
      <w:r>
        <w:rPr>
          <w:rFonts w:ascii="Times" w:hAnsi="Times"/>
        </w:rPr>
        <w:t>, generating pDH658. The IS</w:t>
      </w:r>
      <w:r>
        <w:rPr>
          <w:rFonts w:ascii="Times" w:hAnsi="Times"/>
          <w:i/>
        </w:rPr>
        <w:t>50</w:t>
      </w:r>
      <w:r>
        <w:rPr>
          <w:rFonts w:ascii="Times" w:hAnsi="Times"/>
        </w:rPr>
        <w:t xml:space="preserve"> translational fusion from pDH658 was also cloned on an </w:t>
      </w:r>
      <w:proofErr w:type="spellStart"/>
      <w:r>
        <w:rPr>
          <w:rFonts w:ascii="Times" w:hAnsi="Times"/>
        </w:rPr>
        <w:t>XmnI-SalI</w:t>
      </w:r>
      <w:proofErr w:type="spellEnd"/>
      <w:r>
        <w:rPr>
          <w:rFonts w:ascii="Times" w:hAnsi="Times"/>
        </w:rPr>
        <w:t xml:space="preserve"> fragment into </w:t>
      </w:r>
      <w:proofErr w:type="spellStart"/>
      <w:r>
        <w:rPr>
          <w:rFonts w:ascii="Times" w:hAnsi="Times"/>
        </w:rPr>
        <w:t>XmnI-SalI</w:t>
      </w:r>
      <w:proofErr w:type="spellEnd"/>
      <w:r>
        <w:rPr>
          <w:rFonts w:ascii="Times" w:hAnsi="Times"/>
        </w:rPr>
        <w:t xml:space="preserve"> digested pWKS30 </w:t>
      </w:r>
      <w:r w:rsidR="00027AFD">
        <w:rPr>
          <w:rFonts w:ascii="Times" w:hAnsi="Times"/>
        </w:rPr>
        <w:fldChar w:fldCharType="begin"/>
      </w:r>
      <w:r w:rsidR="00027AFD">
        <w:rPr>
          <w:rFonts w:ascii="Times" w:hAnsi="Times"/>
        </w:rPr>
        <w:instrText xml:space="preserve"> ADDIN EN.CITE &lt;EndNote&gt;&lt;Cite&gt;&lt;Author&gt;Wang&lt;/Author&gt;&lt;Year&gt;1991&lt;/Year&gt;&lt;RecNum&gt;177&lt;/RecNum&gt;&lt;DisplayText&gt;[2]&lt;/DisplayText&gt;&lt;record&gt;&lt;rec-number&gt;177&lt;/rec-number&gt;&lt;foreign-keys&gt;&lt;key app="EN" db-id="tp0p5w22vzxf2yes92r5vdxn0t0swdzesafr" timestamp="0"&gt;177&lt;/key&gt;&lt;/foreign-keys&gt;&lt;ref-type name="Journal Article"&gt;17&lt;/ref-type&gt;&lt;contributors&gt;&lt;authors&gt;&lt;author&gt;Wang, R. F.&lt;/author&gt;&lt;author&gt;Kushner, S. R.&lt;/author&gt;&lt;/authors&gt;&lt;/contributors&gt;&lt;auth-address&gt;Department of Genetics, University of Georgia, Athens 30602.&lt;/auth-address&gt;&lt;titles&gt;&lt;title&gt;Construction of versatile low-copy-number vectors for cloning, sequencing and gene expression in Escherichia coli&lt;/title&gt;&lt;secondary-title&gt;Gene&lt;/secondary-title&gt;&lt;alt-title&gt;Gene&lt;/alt-title&gt;&lt;/titles&gt;&lt;periodical&gt;&lt;full-title&gt;Gene&lt;/full-title&gt;&lt;abbr-1&gt;Gene&lt;/abbr-1&gt;&lt;/periodical&gt;&lt;alt-periodical&gt;&lt;full-title&gt;Gene&lt;/full-title&gt;&lt;abbr-1&gt;Gene&lt;/abbr-1&gt;&lt;/alt-periodical&gt;&lt;pages&gt;195-9&lt;/pages&gt;&lt;volume&gt;100&lt;/volume&gt;&lt;keywords&gt;&lt;keyword&gt;Ampicillin Resistance/genetics&lt;/keyword&gt;&lt;keyword&gt;Base Sequence&lt;/keyword&gt;&lt;keyword&gt;Cloning, Molecular/*methods&lt;/keyword&gt;&lt;keyword&gt;Coliphages/genetics&lt;/keyword&gt;&lt;keyword&gt;Escherichia coli/*genetics&lt;/keyword&gt;&lt;keyword&gt;Gene Expression&lt;/keyword&gt;&lt;keyword&gt;Genetic Markers&lt;/keyword&gt;&lt;keyword&gt;*Genetic Vectors&lt;/keyword&gt;&lt;keyword&gt;Molecular Sequence Data&lt;/keyword&gt;&lt;keyword&gt;Oligonucleotide Probes&lt;/keyword&gt;&lt;keyword&gt;*Plasmids&lt;/keyword&gt;&lt;keyword&gt;Polymerase Chain Reaction/methods&lt;/keyword&gt;&lt;keyword&gt;Restriction Mapping&lt;/keyword&gt;&lt;/keywords&gt;&lt;dates&gt;&lt;year&gt;1991&lt;/year&gt;&lt;pub-dates&gt;&lt;date&gt;Apr&lt;/date&gt;&lt;/pub-dates&gt;&lt;/dates&gt;&lt;isbn&gt;0378-1119 (Print)&amp;#xD;0378-1119 (Linking)&lt;/isbn&gt;&lt;accession-num&gt;2055470&lt;/accession-num&gt;&lt;urls&gt;&lt;related-urls&gt;&lt;url&gt;http://www.ncbi.nlm.nih.gov/entrez/query.fcgi?cmd=Retrieve&amp;amp;db=PubMed&amp;amp;dopt=Citation&amp;amp;list_uids=2055470 &lt;/url&gt;&lt;/related-urls&gt;&lt;/urls&gt;&lt;language&gt;eng&lt;/language&gt;&lt;/record&gt;&lt;/Cite&gt;&lt;/EndNote&gt;</w:instrText>
      </w:r>
      <w:r w:rsidR="00027AFD">
        <w:rPr>
          <w:rFonts w:ascii="Times" w:hAnsi="Times"/>
        </w:rPr>
        <w:fldChar w:fldCharType="separate"/>
      </w:r>
      <w:r w:rsidR="00027AFD">
        <w:rPr>
          <w:rFonts w:ascii="Times" w:hAnsi="Times"/>
          <w:noProof/>
        </w:rPr>
        <w:t>[2]</w:t>
      </w:r>
      <w:r w:rsidR="00027AFD">
        <w:rPr>
          <w:rFonts w:ascii="Times" w:hAnsi="Times"/>
        </w:rPr>
        <w:fldChar w:fldCharType="end"/>
      </w:r>
      <w:r>
        <w:rPr>
          <w:rFonts w:ascii="Times" w:hAnsi="Times"/>
        </w:rPr>
        <w:t xml:space="preserve"> to create pDH753. The IS</w:t>
      </w:r>
      <w:r>
        <w:rPr>
          <w:rFonts w:ascii="Times" w:hAnsi="Times"/>
          <w:i/>
        </w:rPr>
        <w:t>50</w:t>
      </w:r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transposase</w:t>
      </w:r>
      <w:proofErr w:type="spellEnd"/>
      <w:r>
        <w:rPr>
          <w:rFonts w:ascii="Times" w:hAnsi="Times"/>
        </w:rPr>
        <w:t xml:space="preserve"> coding sequence in pDH658 (includes up to codon 122 of </w:t>
      </w:r>
      <w:proofErr w:type="spellStart"/>
      <w:r>
        <w:rPr>
          <w:rFonts w:ascii="Times" w:hAnsi="Times"/>
        </w:rPr>
        <w:t>transposase</w:t>
      </w:r>
      <w:proofErr w:type="spellEnd"/>
      <w:r>
        <w:rPr>
          <w:rFonts w:ascii="Times" w:hAnsi="Times"/>
        </w:rPr>
        <w:t xml:space="preserve">) was further truncated to include only the first 12 codons of </w:t>
      </w:r>
      <w:proofErr w:type="spellStart"/>
      <w:r>
        <w:rPr>
          <w:rFonts w:ascii="Times" w:hAnsi="Times"/>
        </w:rPr>
        <w:t>transposase</w:t>
      </w:r>
      <w:proofErr w:type="spellEnd"/>
      <w:r>
        <w:rPr>
          <w:rFonts w:ascii="Times" w:hAnsi="Times"/>
        </w:rPr>
        <w:t xml:space="preserve"> by digesting pDH658 with </w:t>
      </w:r>
      <w:proofErr w:type="spellStart"/>
      <w:r>
        <w:rPr>
          <w:rFonts w:ascii="Times" w:hAnsi="Times"/>
        </w:rPr>
        <w:t>XmnI</w:t>
      </w:r>
      <w:proofErr w:type="spellEnd"/>
      <w:r>
        <w:rPr>
          <w:rFonts w:ascii="Times" w:hAnsi="Times"/>
        </w:rPr>
        <w:t xml:space="preserve"> and </w:t>
      </w:r>
      <w:proofErr w:type="spellStart"/>
      <w:r>
        <w:rPr>
          <w:rFonts w:ascii="Times" w:hAnsi="Times"/>
        </w:rPr>
        <w:t>SacII</w:t>
      </w:r>
      <w:proofErr w:type="spellEnd"/>
      <w:r>
        <w:rPr>
          <w:rFonts w:ascii="Times" w:hAnsi="Times"/>
        </w:rPr>
        <w:t xml:space="preserve"> and cloning a PCR fragment generated with primers oDH187 and oDH188 (and cut with </w:t>
      </w:r>
      <w:proofErr w:type="spellStart"/>
      <w:r>
        <w:rPr>
          <w:rFonts w:ascii="Times" w:hAnsi="Times"/>
        </w:rPr>
        <w:t>XmnI</w:t>
      </w:r>
      <w:proofErr w:type="spellEnd"/>
      <w:r>
        <w:rPr>
          <w:rFonts w:ascii="Times" w:hAnsi="Times"/>
        </w:rPr>
        <w:t xml:space="preserve"> and </w:t>
      </w:r>
      <w:proofErr w:type="spellStart"/>
      <w:r>
        <w:rPr>
          <w:rFonts w:ascii="Times" w:hAnsi="Times"/>
        </w:rPr>
        <w:t>SacII</w:t>
      </w:r>
      <w:proofErr w:type="spellEnd"/>
      <w:r>
        <w:rPr>
          <w:rFonts w:ascii="Times" w:hAnsi="Times"/>
        </w:rPr>
        <w:t xml:space="preserve">) into the aforementioned </w:t>
      </w:r>
      <w:r>
        <w:rPr>
          <w:rFonts w:ascii="Times" w:hAnsi="Times"/>
        </w:rPr>
        <w:lastRenderedPageBreak/>
        <w:t>backbone to generate pDH795. The IS</w:t>
      </w:r>
      <w:r>
        <w:rPr>
          <w:rFonts w:ascii="Times" w:hAnsi="Times"/>
          <w:i/>
        </w:rPr>
        <w:t>50</w:t>
      </w:r>
      <w:r>
        <w:rPr>
          <w:rFonts w:ascii="Times" w:hAnsi="Times"/>
        </w:rPr>
        <w:t>-</w:t>
      </w:r>
      <w:r>
        <w:rPr>
          <w:rFonts w:ascii="Times" w:hAnsi="Times"/>
          <w:i/>
        </w:rPr>
        <w:t>lacZ</w:t>
      </w:r>
      <w:r>
        <w:rPr>
          <w:rFonts w:ascii="Times" w:hAnsi="Times"/>
        </w:rPr>
        <w:t xml:space="preserve"> translational fusions pDH753 and pDH795 were linked to a kanamycin resistance gene from IS</w:t>
      </w:r>
      <w:r>
        <w:rPr>
          <w:rFonts w:ascii="Times" w:hAnsi="Times"/>
          <w:i/>
        </w:rPr>
        <w:t>903</w:t>
      </w:r>
      <w:r>
        <w:rPr>
          <w:rFonts w:ascii="Times" w:hAnsi="Times"/>
        </w:rPr>
        <w:t xml:space="preserve"> (generated by PCR using primers oDH189 and oDH190) by cloning the </w:t>
      </w:r>
      <w:proofErr w:type="spellStart"/>
      <w:r>
        <w:rPr>
          <w:rFonts w:ascii="Times" w:hAnsi="Times"/>
          <w:i/>
        </w:rPr>
        <w:t>kan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gene present on a </w:t>
      </w:r>
      <w:proofErr w:type="spellStart"/>
      <w:r>
        <w:rPr>
          <w:rFonts w:ascii="Times" w:hAnsi="Times"/>
        </w:rPr>
        <w:t>SpeI-XbaI</w:t>
      </w:r>
      <w:proofErr w:type="spellEnd"/>
      <w:r>
        <w:rPr>
          <w:rFonts w:ascii="Times" w:hAnsi="Times"/>
        </w:rPr>
        <w:t xml:space="preserve"> cut PCR fragment into the </w:t>
      </w:r>
      <w:proofErr w:type="spellStart"/>
      <w:r>
        <w:rPr>
          <w:rFonts w:ascii="Times" w:hAnsi="Times"/>
        </w:rPr>
        <w:t>XbaI</w:t>
      </w:r>
      <w:proofErr w:type="spellEnd"/>
      <w:r>
        <w:rPr>
          <w:rFonts w:ascii="Times" w:hAnsi="Times"/>
        </w:rPr>
        <w:t xml:space="preserve"> site just downstream of the </w:t>
      </w:r>
      <w:proofErr w:type="spellStart"/>
      <w:r>
        <w:rPr>
          <w:rFonts w:ascii="Times" w:hAnsi="Times"/>
          <w:i/>
        </w:rPr>
        <w:t>lacZ</w:t>
      </w:r>
      <w:proofErr w:type="spellEnd"/>
      <w:r>
        <w:rPr>
          <w:rFonts w:ascii="Times" w:hAnsi="Times"/>
        </w:rPr>
        <w:t xml:space="preserve"> gene to create pDH798 and pDH804, respectively. The IS</w:t>
      </w:r>
      <w:r>
        <w:rPr>
          <w:rFonts w:ascii="Times" w:hAnsi="Times"/>
          <w:i/>
        </w:rPr>
        <w:t>50-lacZ-kan</w:t>
      </w:r>
      <w:r>
        <w:rPr>
          <w:rFonts w:ascii="Times" w:hAnsi="Times"/>
          <w:vertAlign w:val="superscript"/>
        </w:rPr>
        <w:t>R</w:t>
      </w:r>
      <w:r>
        <w:rPr>
          <w:rFonts w:ascii="Times" w:hAnsi="Times"/>
        </w:rPr>
        <w:t xml:space="preserve"> fragment in pDH804 was PCR amplified with primers oDH191 and oDH192, each of which includes a </w:t>
      </w:r>
      <w:proofErr w:type="spellStart"/>
      <w:r>
        <w:rPr>
          <w:rFonts w:ascii="Times" w:hAnsi="Times"/>
        </w:rPr>
        <w:t>BamHI</w:t>
      </w:r>
      <w:proofErr w:type="spellEnd"/>
      <w:r>
        <w:rPr>
          <w:rFonts w:ascii="Times" w:hAnsi="Times"/>
        </w:rPr>
        <w:t xml:space="preserve"> site, and cloned into the large fragment (~ 6 kb) of pNK81 </w:t>
      </w:r>
      <w:r>
        <w:rPr>
          <w:rFonts w:ascii="Times" w:hAnsi="Times"/>
        </w:rPr>
        <w:fldChar w:fldCharType="begin"/>
      </w:r>
      <w:r w:rsidR="00027AFD">
        <w:rPr>
          <w:rFonts w:ascii="Times" w:hAnsi="Times"/>
        </w:rPr>
        <w:instrText xml:space="preserve"> ADDIN EN.CITE &lt;EndNote&gt;&lt;Cite&gt;&lt;Author&gt;Foster&lt;/Author&gt;&lt;Year&gt;1981&lt;/Year&gt;&lt;RecNum&gt;276&lt;/RecNum&gt;&lt;DisplayText&gt;[3]&lt;/DisplayText&gt;&lt;record&gt;&lt;rec-number&gt;276&lt;/rec-number&gt;&lt;foreign-keys&gt;&lt;key app="EN" db-id="tp0p5w22vzxf2yes92r5vdxn0t0swdzesafr" timestamp="1395253394"&gt;276&lt;/key&gt;&lt;/foreign-keys&gt;&lt;ref-type name="Journal Article"&gt;17&lt;/ref-type&gt;&lt;contributors&gt;&lt;authors&gt;&lt;author&gt;Foster, T. J.&lt;/author&gt;&lt;author&gt;Davis, M. A.&lt;/author&gt;&lt;author&gt;Roberts, D. E.&lt;/author&gt;&lt;author&gt;Takeshita, K.&lt;/author&gt;&lt;author&gt;Kleckner, N.&lt;/author&gt;&lt;/authors&gt;&lt;/contributors&gt;&lt;titles&gt;&lt;title&gt;Genetic organization of transposon Tn10&lt;/title&gt;&lt;secondary-title&gt;Cell&lt;/secondary-title&gt;&lt;alt-title&gt;Cell&lt;/alt-title&gt;&lt;/titles&gt;&lt;periodical&gt;&lt;full-title&gt;Cell&lt;/full-title&gt;&lt;abbr-1&gt;Cell&lt;/abbr-1&gt;&lt;/periodical&gt;&lt;alt-periodical&gt;&lt;full-title&gt;Cell&lt;/full-title&gt;&lt;abbr-1&gt;Cell&lt;/abbr-1&gt;&lt;/alt-periodical&gt;&lt;pages&gt;201-13&lt;/pages&gt;&lt;volume&gt;23&lt;/volume&gt;&lt;number&gt;1&lt;/number&gt;&lt;edition&gt;1981/01/01&lt;/edition&gt;&lt;keywords&gt;&lt;keyword&gt;Base Sequence&lt;/keyword&gt;&lt;keyword&gt;Chromosome Deletion&lt;/keyword&gt;&lt;keyword&gt;*DNA Transposable Elements&lt;/keyword&gt;&lt;keyword&gt;Drug Resistance, Microbial&lt;/keyword&gt;&lt;keyword&gt;Genetic Complementation Test&lt;/keyword&gt;&lt;keyword&gt;Mutation&lt;/keyword&gt;&lt;keyword&gt;*Tetracycline&lt;/keyword&gt;&lt;/keywords&gt;&lt;dates&gt;&lt;year&gt;1981&lt;/year&gt;&lt;pub-dates&gt;&lt;date&gt;Jan&lt;/date&gt;&lt;/pub-dates&gt;&lt;/dates&gt;&lt;isbn&gt;0092-8674 (Print)&amp;#xD;0092-8674 (Linking)&lt;/isbn&gt;&lt;accession-num&gt;6260375&lt;/accession-num&gt;&lt;work-type&gt;Research Support, U.S. Gov&amp;apos;t, Non-P.H.S.&amp;#xD;Research Support, U.S. Gov&amp;apos;t, P.H.S.&lt;/work-type&gt;&lt;urls&gt;&lt;related-urls&gt;&lt;url&gt;http://www.ncbi.nlm.nih.gov/pubmed/6260375&lt;/url&gt;&lt;/related-urls&gt;&lt;/urls&gt;&lt;/record&gt;&lt;/Cite&gt;&lt;/EndNote&gt;</w:instrText>
      </w:r>
      <w:r>
        <w:rPr>
          <w:rFonts w:ascii="Times" w:hAnsi="Times"/>
        </w:rPr>
        <w:fldChar w:fldCharType="separate"/>
      </w:r>
      <w:r w:rsidR="00027AFD">
        <w:rPr>
          <w:rFonts w:ascii="Times" w:hAnsi="Times"/>
          <w:noProof/>
        </w:rPr>
        <w:t>[3]</w:t>
      </w:r>
      <w:r>
        <w:rPr>
          <w:rFonts w:ascii="Times" w:hAnsi="Times"/>
        </w:rPr>
        <w:fldChar w:fldCharType="end"/>
      </w:r>
      <w:r>
        <w:rPr>
          <w:rFonts w:ascii="Times" w:hAnsi="Times"/>
        </w:rPr>
        <w:t xml:space="preserve"> generated by </w:t>
      </w:r>
      <w:proofErr w:type="spellStart"/>
      <w:r>
        <w:rPr>
          <w:rFonts w:ascii="Times" w:hAnsi="Times"/>
        </w:rPr>
        <w:t>BclI</w:t>
      </w:r>
      <w:proofErr w:type="spellEnd"/>
      <w:r>
        <w:rPr>
          <w:rFonts w:ascii="Times" w:hAnsi="Times"/>
        </w:rPr>
        <w:t xml:space="preserve"> digestion, creating pDH812. In this context, the IS</w:t>
      </w:r>
      <w:r>
        <w:rPr>
          <w:rFonts w:ascii="Times" w:hAnsi="Times"/>
          <w:i/>
        </w:rPr>
        <w:t>50</w:t>
      </w:r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transposase-</w:t>
      </w:r>
      <w:r>
        <w:rPr>
          <w:rFonts w:ascii="Times" w:hAnsi="Times"/>
          <w:i/>
        </w:rPr>
        <w:t>lacZ-kan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fragment is flanked by </w:t>
      </w:r>
      <w:r>
        <w:rPr>
          <w:rFonts w:ascii="Times" w:hAnsi="Times"/>
          <w:i/>
        </w:rPr>
        <w:t>his</w:t>
      </w:r>
      <w:r>
        <w:rPr>
          <w:rFonts w:ascii="Times" w:hAnsi="Times"/>
        </w:rPr>
        <w:t xml:space="preserve"> operon sequences and can be crossed onto </w:t>
      </w:r>
      <w:r>
        <w:rPr>
          <w:rFonts w:ascii="Symbol" w:hAnsi="Symbol"/>
        </w:rPr>
        <w:t></w:t>
      </w:r>
      <w:r>
        <w:rPr>
          <w:rFonts w:ascii="Times" w:hAnsi="Times"/>
        </w:rPr>
        <w:t xml:space="preserve">NK1039 </w:t>
      </w:r>
      <w:r>
        <w:rPr>
          <w:rFonts w:ascii="Times" w:hAnsi="Times"/>
        </w:rPr>
        <w:fldChar w:fldCharType="begin"/>
      </w:r>
      <w:r w:rsidR="00027AFD">
        <w:rPr>
          <w:rFonts w:ascii="Times" w:hAnsi="Times"/>
        </w:rPr>
        <w:instrText xml:space="preserve"> ADDIN EN.CITE &lt;EndNote&gt;&lt;Cite&gt;&lt;Author&gt;Bender&lt;/Author&gt;&lt;Year&gt;1991&lt;/Year&gt;&lt;RecNum&gt;171&lt;/RecNum&gt;&lt;DisplayText&gt;[4]&lt;/DisplayText&gt;&lt;record&gt;&lt;rec-number&gt;171&lt;/rec-number&gt;&lt;foreign-keys&gt;&lt;key app="EN" db-id="tp0p5w22vzxf2yes92r5vdxn0t0swdzesafr" timestamp="0"&gt;171&lt;/key&gt;&lt;/foreign-keys&gt;&lt;ref-type name="Journal Article"&gt;17&lt;/ref-type&gt;&lt;contributors&gt;&lt;authors&gt;&lt;author&gt;Bender, J.&lt;/author&gt;&lt;author&gt;Kuo, J.&lt;/author&gt;&lt;author&gt;Kleckner, N.&lt;/author&gt;&lt;/authors&gt;&lt;/contributors&gt;&lt;auth-address&gt;Department of Biochemistry and Molecular Biology, Harvard University, Cambridge, Massachusetts 02138.&lt;/auth-address&gt;&lt;titles&gt;&lt;title&gt;Genetic evidence against intramolecular rejoining of the donor DNA molecule following IS10 transposition&lt;/title&gt;&lt;secondary-title&gt;Genetics&lt;/secondary-title&gt;&lt;alt-title&gt;Genetics&lt;/alt-title&gt;&lt;/titles&gt;&lt;periodical&gt;&lt;full-title&gt;Genetics&lt;/full-title&gt;&lt;abbr-1&gt;Genetics&lt;/abbr-1&gt;&lt;/periodical&gt;&lt;alt-periodical&gt;&lt;full-title&gt;Genetics&lt;/full-title&gt;&lt;abbr-1&gt;Genetics&lt;/abbr-1&gt;&lt;/alt-periodical&gt;&lt;pages&gt;687-94&lt;/pages&gt;&lt;volume&gt;128&lt;/volume&gt;&lt;number&gt;4&lt;/number&gt;&lt;keywords&gt;&lt;keyword&gt;Bacteriophage lambda/genetics&lt;/keyword&gt;&lt;keyword&gt;Chromosomes, Bacterial/physiology&lt;/keyword&gt;&lt;keyword&gt;Crosses, Genetic&lt;/keyword&gt;&lt;keyword&gt;DNA Repair&lt;/keyword&gt;&lt;keyword&gt;DNA Transposable Elements/*genetics&lt;/keyword&gt;&lt;keyword&gt;Drug Resistance, Microbial&lt;/keyword&gt;&lt;keyword&gt;Escherichia coli/genetics&lt;/keyword&gt;&lt;keyword&gt;*Gene Conversion&lt;/keyword&gt;&lt;keyword&gt;Genes, Viral&lt;/keyword&gt;&lt;keyword&gt;Models, Genetic&lt;/keyword&gt;&lt;keyword&gt;Operon/genetics&lt;/keyword&gt;&lt;keyword&gt;*Recombination, Genetic&lt;/keyword&gt;&lt;keyword&gt;Salmonella/genetics&lt;/keyword&gt;&lt;keyword&gt;Salmonella Phages/genetics&lt;/keyword&gt;&lt;/keywords&gt;&lt;dates&gt;&lt;year&gt;1991&lt;/year&gt;&lt;pub-dates&gt;&lt;date&gt;Aug&lt;/date&gt;&lt;/pub-dates&gt;&lt;/dates&gt;&lt;isbn&gt;0016-6731 (Print)&amp;#xD;0016-6731 (Linking)&lt;/isbn&gt;&lt;accession-num&gt;1655563&lt;/accession-num&gt;&lt;urls&gt;&lt;related-urls&gt;&lt;url&gt;http://www.ncbi.nlm.nih.gov/entrez/query.fcgi?cmd=Retrieve&amp;amp;db=PubMed&amp;amp;dopt=Citation&amp;amp;list_uids=1655563 &lt;/url&gt;&lt;/related-urls&gt;&lt;/urls&gt;&lt;language&gt;eng&lt;/language&gt;&lt;/record&gt;&lt;/Cite&gt;&lt;/EndNote&gt;</w:instrText>
      </w:r>
      <w:r>
        <w:rPr>
          <w:rFonts w:ascii="Times" w:hAnsi="Times"/>
        </w:rPr>
        <w:fldChar w:fldCharType="separate"/>
      </w:r>
      <w:r w:rsidR="00027AFD">
        <w:rPr>
          <w:rFonts w:ascii="Times" w:hAnsi="Times"/>
          <w:noProof/>
        </w:rPr>
        <w:t>[4]</w:t>
      </w:r>
      <w:r>
        <w:rPr>
          <w:rFonts w:ascii="Times" w:hAnsi="Times"/>
        </w:rPr>
        <w:fldChar w:fldCharType="end"/>
      </w:r>
      <w:r>
        <w:rPr>
          <w:rFonts w:ascii="Times" w:hAnsi="Times"/>
        </w:rPr>
        <w:t xml:space="preserve">, which also contains </w:t>
      </w:r>
      <w:r>
        <w:rPr>
          <w:rFonts w:ascii="Times" w:hAnsi="Times"/>
          <w:i/>
        </w:rPr>
        <w:t>his</w:t>
      </w:r>
      <w:r>
        <w:rPr>
          <w:rFonts w:ascii="Times" w:hAnsi="Times"/>
        </w:rPr>
        <w:t xml:space="preserve"> operon sequences.</w:t>
      </w:r>
      <w:r w:rsidR="00A10C33">
        <w:rPr>
          <w:rFonts w:ascii="Times" w:hAnsi="Times"/>
        </w:rPr>
        <w:t xml:space="preserve"> A derivative of pDH795 in which the </w:t>
      </w:r>
      <w:r w:rsidR="00A10C33" w:rsidRPr="00A10C33">
        <w:rPr>
          <w:rFonts w:ascii="Times" w:hAnsi="Times"/>
          <w:i/>
        </w:rPr>
        <w:t>IS50</w:t>
      </w:r>
      <w:r w:rsidR="00A10C33">
        <w:rPr>
          <w:rFonts w:ascii="Times" w:hAnsi="Times"/>
        </w:rPr>
        <w:t xml:space="preserve"> </w:t>
      </w:r>
      <w:proofErr w:type="spellStart"/>
      <w:r w:rsidR="00A10C33">
        <w:rPr>
          <w:rFonts w:ascii="Times" w:hAnsi="Times"/>
        </w:rPr>
        <w:t>transposase</w:t>
      </w:r>
      <w:proofErr w:type="spellEnd"/>
      <w:r w:rsidR="00A10C33">
        <w:rPr>
          <w:rFonts w:ascii="Times" w:hAnsi="Times"/>
        </w:rPr>
        <w:t xml:space="preserve"> promoter was replaced with the promoter of the </w:t>
      </w:r>
      <w:proofErr w:type="spellStart"/>
      <w:r w:rsidR="00A10C33" w:rsidRPr="00A10C33">
        <w:rPr>
          <w:rFonts w:ascii="Times" w:hAnsi="Times"/>
          <w:i/>
        </w:rPr>
        <w:t>lpp</w:t>
      </w:r>
      <w:proofErr w:type="spellEnd"/>
      <w:r w:rsidR="00A10C33">
        <w:rPr>
          <w:rFonts w:ascii="Times" w:hAnsi="Times"/>
        </w:rPr>
        <w:t xml:space="preserve"> gene (pDH908) was constructed by cloning a PCR fragment </w:t>
      </w:r>
      <w:r w:rsidR="0025188E">
        <w:rPr>
          <w:rFonts w:ascii="Times" w:hAnsi="Times"/>
        </w:rPr>
        <w:t xml:space="preserve">amplified with a forward primer (oDH331) </w:t>
      </w:r>
      <w:r w:rsidR="00A10C33">
        <w:rPr>
          <w:rFonts w:ascii="Times" w:hAnsi="Times"/>
        </w:rPr>
        <w:t xml:space="preserve">containing the </w:t>
      </w:r>
      <w:proofErr w:type="spellStart"/>
      <w:r w:rsidR="00A10C33" w:rsidRPr="00A10C33">
        <w:rPr>
          <w:rFonts w:ascii="Times" w:hAnsi="Times"/>
          <w:i/>
        </w:rPr>
        <w:t>lpp</w:t>
      </w:r>
      <w:proofErr w:type="spellEnd"/>
      <w:r w:rsidR="00A10C33">
        <w:rPr>
          <w:rFonts w:ascii="Times" w:hAnsi="Times"/>
        </w:rPr>
        <w:t xml:space="preserve"> promoter linked to </w:t>
      </w:r>
      <w:r w:rsidR="00A10C33" w:rsidRPr="00A10C33">
        <w:rPr>
          <w:rFonts w:ascii="Times" w:hAnsi="Times"/>
          <w:i/>
        </w:rPr>
        <w:t>IS50</w:t>
      </w:r>
      <w:r w:rsidR="00A10C33">
        <w:rPr>
          <w:rFonts w:ascii="Times" w:hAnsi="Times"/>
        </w:rPr>
        <w:t xml:space="preserve"> sequence (corresponding to the +1 position of the </w:t>
      </w:r>
      <w:proofErr w:type="spellStart"/>
      <w:r w:rsidR="00A10C33">
        <w:rPr>
          <w:rFonts w:ascii="Times" w:hAnsi="Times"/>
        </w:rPr>
        <w:t>transposase</w:t>
      </w:r>
      <w:proofErr w:type="spellEnd"/>
      <w:r w:rsidR="00A10C33">
        <w:rPr>
          <w:rFonts w:ascii="Times" w:hAnsi="Times"/>
        </w:rPr>
        <w:t xml:space="preserve"> transcript) </w:t>
      </w:r>
      <w:r w:rsidR="0025188E">
        <w:rPr>
          <w:rFonts w:ascii="Times" w:hAnsi="Times"/>
        </w:rPr>
        <w:t xml:space="preserve">and a reverse primer (oDH332) overlapping the </w:t>
      </w:r>
      <w:r w:rsidR="0025188E" w:rsidRPr="0025188E">
        <w:rPr>
          <w:rFonts w:ascii="Times" w:hAnsi="Times"/>
          <w:i/>
        </w:rPr>
        <w:t>IS50</w:t>
      </w:r>
      <w:r w:rsidR="0025188E">
        <w:rPr>
          <w:rFonts w:ascii="Times" w:hAnsi="Times"/>
        </w:rPr>
        <w:t>-</w:t>
      </w:r>
      <w:r w:rsidR="00A10C33" w:rsidRPr="0025188E">
        <w:rPr>
          <w:rFonts w:ascii="Times" w:hAnsi="Times"/>
          <w:i/>
        </w:rPr>
        <w:t>lacZ</w:t>
      </w:r>
      <w:r w:rsidR="00A10C33">
        <w:rPr>
          <w:rFonts w:ascii="Times" w:hAnsi="Times"/>
        </w:rPr>
        <w:t xml:space="preserve"> </w:t>
      </w:r>
      <w:r w:rsidR="0025188E">
        <w:rPr>
          <w:rFonts w:ascii="Times" w:hAnsi="Times"/>
        </w:rPr>
        <w:t xml:space="preserve">junction </w:t>
      </w:r>
      <w:r w:rsidR="00A10C33">
        <w:rPr>
          <w:rFonts w:ascii="Times" w:hAnsi="Times"/>
        </w:rPr>
        <w:t xml:space="preserve">sequence into </w:t>
      </w:r>
      <w:proofErr w:type="spellStart"/>
      <w:r w:rsidR="0025188E">
        <w:rPr>
          <w:rFonts w:ascii="Times" w:hAnsi="Times"/>
        </w:rPr>
        <w:t>EcoRI-SacII</w:t>
      </w:r>
      <w:proofErr w:type="spellEnd"/>
      <w:r w:rsidR="0025188E">
        <w:rPr>
          <w:rFonts w:ascii="Times" w:hAnsi="Times"/>
        </w:rPr>
        <w:t xml:space="preserve"> cut </w:t>
      </w:r>
      <w:r w:rsidR="00A10C33">
        <w:rPr>
          <w:rFonts w:ascii="Times" w:hAnsi="Times"/>
        </w:rPr>
        <w:t>pDH795</w:t>
      </w:r>
      <w:r w:rsidR="0025188E">
        <w:rPr>
          <w:rFonts w:ascii="Times" w:hAnsi="Times"/>
        </w:rPr>
        <w:t xml:space="preserve">. </w:t>
      </w:r>
      <w:bookmarkStart w:id="0" w:name="_GoBack"/>
      <w:bookmarkEnd w:id="0"/>
    </w:p>
    <w:p w14:paraId="67FD3ECE" w14:textId="77777777" w:rsidR="00F40933" w:rsidRDefault="00F40933" w:rsidP="00F40933">
      <w:pPr>
        <w:spacing w:line="480" w:lineRule="auto"/>
        <w:rPr>
          <w:rFonts w:ascii="Times" w:hAnsi="Times"/>
        </w:rPr>
      </w:pPr>
    </w:p>
    <w:p w14:paraId="0AC711C0" w14:textId="77777777" w:rsidR="00027AFD" w:rsidRDefault="00F40933" w:rsidP="00F40933">
      <w:pPr>
        <w:spacing w:line="480" w:lineRule="auto"/>
        <w:rPr>
          <w:rFonts w:ascii="Times" w:hAnsi="Times"/>
        </w:rPr>
      </w:pPr>
      <w:r>
        <w:rPr>
          <w:rFonts w:ascii="Times" w:hAnsi="Times"/>
          <w:i/>
        </w:rPr>
        <w:t>IS50-lacZ transcriptional fusion plasmids:</w:t>
      </w:r>
      <w:r>
        <w:rPr>
          <w:rFonts w:ascii="Times" w:hAnsi="Times"/>
        </w:rPr>
        <w:t xml:space="preserve"> A PCR fragment including the 5’UTR to the stop codon of the </w:t>
      </w:r>
      <w:proofErr w:type="spellStart"/>
      <w:r>
        <w:rPr>
          <w:rFonts w:ascii="Times" w:hAnsi="Times"/>
          <w:i/>
        </w:rPr>
        <w:t>lacZ</w:t>
      </w:r>
      <w:proofErr w:type="spellEnd"/>
      <w:r>
        <w:rPr>
          <w:rFonts w:ascii="Times" w:hAnsi="Times"/>
        </w:rPr>
        <w:t xml:space="preserve"> gene, generated with primers oDH193 (includes an </w:t>
      </w:r>
      <w:proofErr w:type="spellStart"/>
      <w:r>
        <w:rPr>
          <w:rFonts w:ascii="Times" w:hAnsi="Times"/>
        </w:rPr>
        <w:t>AflII</w:t>
      </w:r>
      <w:proofErr w:type="spellEnd"/>
      <w:r>
        <w:rPr>
          <w:rFonts w:ascii="Times" w:hAnsi="Times"/>
        </w:rPr>
        <w:t xml:space="preserve"> site) and oDH194 (includes a </w:t>
      </w:r>
      <w:proofErr w:type="spellStart"/>
      <w:r>
        <w:rPr>
          <w:rFonts w:ascii="Times" w:hAnsi="Times"/>
        </w:rPr>
        <w:t>BamHI</w:t>
      </w:r>
      <w:proofErr w:type="spellEnd"/>
      <w:r>
        <w:rPr>
          <w:rFonts w:ascii="Times" w:hAnsi="Times"/>
        </w:rPr>
        <w:t xml:space="preserve"> site) was cloned into pRZ9905, which had also been cut with </w:t>
      </w:r>
      <w:proofErr w:type="spellStart"/>
      <w:r>
        <w:rPr>
          <w:rFonts w:ascii="Times" w:hAnsi="Times"/>
        </w:rPr>
        <w:t>AflII</w:t>
      </w:r>
      <w:proofErr w:type="spellEnd"/>
      <w:r>
        <w:rPr>
          <w:rFonts w:ascii="Times" w:hAnsi="Times"/>
        </w:rPr>
        <w:t xml:space="preserve"> and </w:t>
      </w:r>
      <w:proofErr w:type="spellStart"/>
      <w:r>
        <w:rPr>
          <w:rFonts w:ascii="Times" w:hAnsi="Times"/>
        </w:rPr>
        <w:t>BamHI</w:t>
      </w:r>
      <w:proofErr w:type="spellEnd"/>
      <w:r>
        <w:rPr>
          <w:rFonts w:ascii="Times" w:hAnsi="Times"/>
        </w:rPr>
        <w:t>, to create pDH682. The IS</w:t>
      </w:r>
      <w:r>
        <w:rPr>
          <w:rFonts w:ascii="Times" w:hAnsi="Times"/>
          <w:i/>
        </w:rPr>
        <w:t>50-lacZ</w:t>
      </w:r>
      <w:r>
        <w:rPr>
          <w:rFonts w:ascii="Times" w:hAnsi="Times"/>
        </w:rPr>
        <w:t xml:space="preserve"> transcriptional fusion in pDH682 was then linked to either the </w:t>
      </w:r>
      <w:proofErr w:type="spellStart"/>
      <w:r>
        <w:rPr>
          <w:rFonts w:ascii="Times" w:hAnsi="Times"/>
          <w:i/>
        </w:rPr>
        <w:t>kan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gene of IS</w:t>
      </w:r>
      <w:r>
        <w:rPr>
          <w:rFonts w:ascii="Times" w:hAnsi="Times"/>
          <w:i/>
        </w:rPr>
        <w:t>903</w:t>
      </w:r>
      <w:r>
        <w:rPr>
          <w:rFonts w:ascii="Times" w:hAnsi="Times"/>
        </w:rPr>
        <w:t xml:space="preserve"> (pDH838) or the </w:t>
      </w:r>
      <w:proofErr w:type="spellStart"/>
      <w:r>
        <w:rPr>
          <w:rFonts w:ascii="Times" w:hAnsi="Times"/>
          <w:i/>
        </w:rPr>
        <w:t>cm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gene of pACYC184 (pDH883); the latter was generated with primers oDH195 and oDH196, each of which contains an </w:t>
      </w:r>
      <w:proofErr w:type="spellStart"/>
      <w:r>
        <w:rPr>
          <w:rFonts w:ascii="Times" w:hAnsi="Times"/>
        </w:rPr>
        <w:t>XbaI</w:t>
      </w:r>
      <w:proofErr w:type="spellEnd"/>
      <w:r>
        <w:rPr>
          <w:rFonts w:ascii="Times" w:hAnsi="Times"/>
        </w:rPr>
        <w:t xml:space="preserve"> site. The IS</w:t>
      </w:r>
      <w:r>
        <w:rPr>
          <w:rFonts w:ascii="Times" w:hAnsi="Times"/>
          <w:i/>
        </w:rPr>
        <w:t>50</w:t>
      </w:r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transposase-</w:t>
      </w:r>
      <w:r>
        <w:rPr>
          <w:rFonts w:ascii="Times" w:hAnsi="Times"/>
          <w:i/>
        </w:rPr>
        <w:t>lacZ-kan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and the IS</w:t>
      </w:r>
      <w:r>
        <w:rPr>
          <w:rFonts w:ascii="Times" w:hAnsi="Times"/>
          <w:i/>
        </w:rPr>
        <w:t>50</w:t>
      </w:r>
      <w:r>
        <w:rPr>
          <w:rFonts w:ascii="Times" w:hAnsi="Times"/>
        </w:rPr>
        <w:t xml:space="preserve"> </w:t>
      </w:r>
      <w:proofErr w:type="spellStart"/>
      <w:r>
        <w:rPr>
          <w:rFonts w:ascii="Times" w:hAnsi="Times"/>
        </w:rPr>
        <w:t>transposase-</w:t>
      </w:r>
      <w:r>
        <w:rPr>
          <w:rFonts w:ascii="Times" w:hAnsi="Times"/>
          <w:i/>
        </w:rPr>
        <w:t>lacZ-cm</w:t>
      </w:r>
      <w:r>
        <w:rPr>
          <w:rFonts w:ascii="Times" w:hAnsi="Times"/>
          <w:vertAlign w:val="superscript"/>
        </w:rPr>
        <w:t>R</w:t>
      </w:r>
      <w:proofErr w:type="spellEnd"/>
      <w:r>
        <w:rPr>
          <w:rFonts w:ascii="Times" w:hAnsi="Times"/>
        </w:rPr>
        <w:t xml:space="preserve"> segments of pDH838 and pDH883 were then PCR amplified using primers oDH191 and oDH192 and, each of which contains a </w:t>
      </w:r>
      <w:proofErr w:type="spellStart"/>
      <w:r>
        <w:rPr>
          <w:rFonts w:ascii="Times" w:hAnsi="Times"/>
        </w:rPr>
        <w:t>BamHI</w:t>
      </w:r>
      <w:proofErr w:type="spellEnd"/>
      <w:r>
        <w:rPr>
          <w:rFonts w:ascii="Times" w:hAnsi="Times"/>
        </w:rPr>
        <w:t xml:space="preserve"> site, and cloned into </w:t>
      </w:r>
      <w:proofErr w:type="spellStart"/>
      <w:r>
        <w:rPr>
          <w:rFonts w:ascii="Times" w:hAnsi="Times"/>
        </w:rPr>
        <w:t>BclI</w:t>
      </w:r>
      <w:proofErr w:type="spellEnd"/>
      <w:r>
        <w:rPr>
          <w:rFonts w:ascii="Times" w:hAnsi="Times"/>
        </w:rPr>
        <w:t xml:space="preserve">-digested pNK81 as previously described, generating pDH849 and pDH888. The latter plasmids were used to cross the transcriptional fusions onto </w:t>
      </w:r>
      <w:r>
        <w:rPr>
          <w:rFonts w:ascii="Symbol" w:hAnsi="Symbol"/>
        </w:rPr>
        <w:t></w:t>
      </w:r>
      <w:r>
        <w:rPr>
          <w:rFonts w:ascii="Times" w:hAnsi="Times"/>
        </w:rPr>
        <w:t>NK1039.</w:t>
      </w:r>
    </w:p>
    <w:p w14:paraId="09EB2E07" w14:textId="77777777" w:rsidR="00AB6A69" w:rsidRDefault="00AB6A69">
      <w:pPr>
        <w:rPr>
          <w:rFonts w:ascii="Times" w:hAnsi="Times"/>
          <w:b/>
        </w:rPr>
      </w:pPr>
      <w:r>
        <w:rPr>
          <w:rFonts w:ascii="Times" w:hAnsi="Times"/>
          <w:b/>
        </w:rPr>
        <w:br w:type="page"/>
      </w:r>
    </w:p>
    <w:p w14:paraId="6AACB00C" w14:textId="7393D8A5" w:rsidR="00027AFD" w:rsidRPr="00027AFD" w:rsidRDefault="00027AFD" w:rsidP="00F40933">
      <w:pPr>
        <w:spacing w:line="480" w:lineRule="auto"/>
        <w:rPr>
          <w:rFonts w:ascii="Times" w:hAnsi="Times"/>
          <w:b/>
        </w:rPr>
      </w:pPr>
      <w:r w:rsidRPr="00027AFD">
        <w:rPr>
          <w:rFonts w:ascii="Times" w:hAnsi="Times"/>
          <w:b/>
        </w:rPr>
        <w:t>References</w:t>
      </w:r>
    </w:p>
    <w:p w14:paraId="3FDB9AE3" w14:textId="77777777" w:rsidR="00027AFD" w:rsidRDefault="00027AFD" w:rsidP="00F40933">
      <w:pPr>
        <w:spacing w:line="480" w:lineRule="auto"/>
        <w:rPr>
          <w:rFonts w:ascii="Times" w:hAnsi="Times"/>
        </w:rPr>
      </w:pPr>
    </w:p>
    <w:p w14:paraId="7CE90E7D" w14:textId="77777777" w:rsidR="00027AFD" w:rsidRPr="00027AFD" w:rsidRDefault="00027AFD" w:rsidP="00027AFD">
      <w:pPr>
        <w:pStyle w:val="EndNoteBibliography"/>
        <w:ind w:left="720" w:hanging="720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027AFD">
        <w:rPr>
          <w:noProof/>
        </w:rPr>
        <w:t>1.</w:t>
      </w:r>
      <w:r w:rsidRPr="00027AFD">
        <w:rPr>
          <w:noProof/>
        </w:rPr>
        <w:tab/>
        <w:t xml:space="preserve">Naumann TA, Reznikoff WS: </w:t>
      </w:r>
      <w:r w:rsidRPr="00027AFD">
        <w:rPr>
          <w:b/>
          <w:noProof/>
        </w:rPr>
        <w:t>Trans catalysis in Tn5 transposition</w:t>
      </w:r>
      <w:r w:rsidRPr="00027AFD">
        <w:rPr>
          <w:noProof/>
        </w:rPr>
        <w:t xml:space="preserve">. </w:t>
      </w:r>
      <w:r w:rsidRPr="00027AFD">
        <w:rPr>
          <w:i/>
          <w:noProof/>
        </w:rPr>
        <w:t xml:space="preserve">Proceedings of the National Academy of Sciences of the United States of America </w:t>
      </w:r>
      <w:r w:rsidRPr="00027AFD">
        <w:rPr>
          <w:noProof/>
        </w:rPr>
        <w:t xml:space="preserve">2000, </w:t>
      </w:r>
      <w:r w:rsidRPr="00027AFD">
        <w:rPr>
          <w:b/>
          <w:noProof/>
        </w:rPr>
        <w:t>97</w:t>
      </w:r>
      <w:r w:rsidRPr="00027AFD">
        <w:rPr>
          <w:noProof/>
        </w:rPr>
        <w:t>(16):8944-8949.</w:t>
      </w:r>
    </w:p>
    <w:p w14:paraId="2FDAF1B9" w14:textId="77777777" w:rsidR="00027AFD" w:rsidRPr="00027AFD" w:rsidRDefault="00027AFD" w:rsidP="00027AFD">
      <w:pPr>
        <w:pStyle w:val="EndNoteBibliography"/>
        <w:ind w:left="720" w:hanging="720"/>
        <w:rPr>
          <w:noProof/>
        </w:rPr>
      </w:pPr>
      <w:r w:rsidRPr="00027AFD">
        <w:rPr>
          <w:noProof/>
        </w:rPr>
        <w:t>2.</w:t>
      </w:r>
      <w:r w:rsidRPr="00027AFD">
        <w:rPr>
          <w:noProof/>
        </w:rPr>
        <w:tab/>
        <w:t xml:space="preserve">Wang RF, Kushner SR: </w:t>
      </w:r>
      <w:r w:rsidRPr="00027AFD">
        <w:rPr>
          <w:b/>
          <w:noProof/>
        </w:rPr>
        <w:t>Construction of versatile low-copy-number vectors for cloning, sequencing and gene expression in Escherichia coli</w:t>
      </w:r>
      <w:r w:rsidRPr="00027AFD">
        <w:rPr>
          <w:noProof/>
        </w:rPr>
        <w:t xml:space="preserve">. </w:t>
      </w:r>
      <w:r w:rsidRPr="00027AFD">
        <w:rPr>
          <w:i/>
          <w:noProof/>
        </w:rPr>
        <w:t xml:space="preserve">Gene </w:t>
      </w:r>
      <w:r w:rsidRPr="00027AFD">
        <w:rPr>
          <w:noProof/>
        </w:rPr>
        <w:t xml:space="preserve">1991, </w:t>
      </w:r>
      <w:r w:rsidRPr="00027AFD">
        <w:rPr>
          <w:b/>
          <w:noProof/>
        </w:rPr>
        <w:t>100</w:t>
      </w:r>
      <w:r w:rsidRPr="00027AFD">
        <w:rPr>
          <w:noProof/>
        </w:rPr>
        <w:t>:195-199.</w:t>
      </w:r>
    </w:p>
    <w:p w14:paraId="7FD7B30D" w14:textId="77777777" w:rsidR="00027AFD" w:rsidRPr="00027AFD" w:rsidRDefault="00027AFD" w:rsidP="00027AFD">
      <w:pPr>
        <w:pStyle w:val="EndNoteBibliography"/>
        <w:ind w:left="720" w:hanging="720"/>
        <w:rPr>
          <w:noProof/>
        </w:rPr>
      </w:pPr>
      <w:r w:rsidRPr="00027AFD">
        <w:rPr>
          <w:noProof/>
        </w:rPr>
        <w:t>3.</w:t>
      </w:r>
      <w:r w:rsidRPr="00027AFD">
        <w:rPr>
          <w:noProof/>
        </w:rPr>
        <w:tab/>
        <w:t xml:space="preserve">Foster TJ, Davis MA, Roberts DE, Takeshita K, Kleckner N: </w:t>
      </w:r>
      <w:r w:rsidRPr="00027AFD">
        <w:rPr>
          <w:b/>
          <w:noProof/>
        </w:rPr>
        <w:t>Genetic organization of transposon Tn10</w:t>
      </w:r>
      <w:r w:rsidRPr="00027AFD">
        <w:rPr>
          <w:noProof/>
        </w:rPr>
        <w:t xml:space="preserve">. </w:t>
      </w:r>
      <w:r w:rsidRPr="00027AFD">
        <w:rPr>
          <w:i/>
          <w:noProof/>
        </w:rPr>
        <w:t xml:space="preserve">Cell </w:t>
      </w:r>
      <w:r w:rsidRPr="00027AFD">
        <w:rPr>
          <w:noProof/>
        </w:rPr>
        <w:t xml:space="preserve">1981, </w:t>
      </w:r>
      <w:r w:rsidRPr="00027AFD">
        <w:rPr>
          <w:b/>
          <w:noProof/>
        </w:rPr>
        <w:t>23</w:t>
      </w:r>
      <w:r w:rsidRPr="00027AFD">
        <w:rPr>
          <w:noProof/>
        </w:rPr>
        <w:t>(1):201-213.</w:t>
      </w:r>
    </w:p>
    <w:p w14:paraId="6E353F13" w14:textId="77777777" w:rsidR="00027AFD" w:rsidRPr="00027AFD" w:rsidRDefault="00027AFD" w:rsidP="00027AFD">
      <w:pPr>
        <w:pStyle w:val="EndNoteBibliography"/>
        <w:ind w:left="720" w:hanging="720"/>
        <w:rPr>
          <w:noProof/>
        </w:rPr>
      </w:pPr>
      <w:r w:rsidRPr="00027AFD">
        <w:rPr>
          <w:noProof/>
        </w:rPr>
        <w:t>4.</w:t>
      </w:r>
      <w:r w:rsidRPr="00027AFD">
        <w:rPr>
          <w:noProof/>
        </w:rPr>
        <w:tab/>
        <w:t xml:space="preserve">Bender J, Kuo J, Kleckner N: </w:t>
      </w:r>
      <w:r w:rsidRPr="00027AFD">
        <w:rPr>
          <w:b/>
          <w:noProof/>
        </w:rPr>
        <w:t>Genetic evidence against intramolecular rejoining of the donor DNA molecule following IS10 transposition</w:t>
      </w:r>
      <w:r w:rsidRPr="00027AFD">
        <w:rPr>
          <w:noProof/>
        </w:rPr>
        <w:t xml:space="preserve">. </w:t>
      </w:r>
      <w:r w:rsidRPr="00027AFD">
        <w:rPr>
          <w:i/>
          <w:noProof/>
        </w:rPr>
        <w:t xml:space="preserve">Genetics </w:t>
      </w:r>
      <w:r w:rsidRPr="00027AFD">
        <w:rPr>
          <w:noProof/>
        </w:rPr>
        <w:t xml:space="preserve">1991, </w:t>
      </w:r>
      <w:r w:rsidRPr="00027AFD">
        <w:rPr>
          <w:b/>
          <w:noProof/>
        </w:rPr>
        <w:t>128</w:t>
      </w:r>
      <w:r w:rsidRPr="00027AFD">
        <w:rPr>
          <w:noProof/>
        </w:rPr>
        <w:t>(4):687-694.</w:t>
      </w:r>
    </w:p>
    <w:p w14:paraId="795F408C" w14:textId="0A44B3EA" w:rsidR="009A5418" w:rsidRDefault="00027AFD" w:rsidP="00F40933">
      <w:pPr>
        <w:spacing w:line="480" w:lineRule="auto"/>
      </w:pPr>
      <w:r>
        <w:fldChar w:fldCharType="end"/>
      </w:r>
    </w:p>
    <w:sectPr w:rsidR="009A5418" w:rsidSect="00F71EF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icrobiology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p0p5w22vzxf2yes92r5vdxn0t0swdzesafr&quot;&gt;Mobile DNA&lt;record-ids&gt;&lt;item&gt;171&lt;/item&gt;&lt;item&gt;177&lt;/item&gt;&lt;item&gt;216&lt;/item&gt;&lt;item&gt;276&lt;/item&gt;&lt;/record-ids&gt;&lt;/item&gt;&lt;/Libraries&gt;"/>
  </w:docVars>
  <w:rsids>
    <w:rsidRoot w:val="00F40933"/>
    <w:rsid w:val="00027AFD"/>
    <w:rsid w:val="001F69D9"/>
    <w:rsid w:val="0025188E"/>
    <w:rsid w:val="009A5418"/>
    <w:rsid w:val="00A10C33"/>
    <w:rsid w:val="00AB6A69"/>
    <w:rsid w:val="00F40933"/>
    <w:rsid w:val="00F7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BD5D30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027AFD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027AFD"/>
    <w:rPr>
      <w:rFonts w:ascii="Cambria" w:hAnsi="Cambri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9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rsid w:val="00027AFD"/>
    <w:pPr>
      <w:jc w:val="center"/>
    </w:pPr>
    <w:rPr>
      <w:rFonts w:ascii="Cambria" w:hAnsi="Cambria"/>
    </w:rPr>
  </w:style>
  <w:style w:type="paragraph" w:customStyle="1" w:styleId="EndNoteBibliography">
    <w:name w:val="EndNote Bibliography"/>
    <w:basedOn w:val="Normal"/>
    <w:rsid w:val="00027AF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9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1726</Words>
  <Characters>9844</Characters>
  <Application>Microsoft Macintosh Word</Application>
  <DocSecurity>0</DocSecurity>
  <Lines>82</Lines>
  <Paragraphs>23</Paragraphs>
  <ScaleCrop>false</ScaleCrop>
  <Company>University of Western Ontario</Company>
  <LinksUpToDate>false</LinksUpToDate>
  <CharactersWithSpaces>11547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Haniford</dc:creator>
  <cp:keywords/>
  <dc:description/>
  <cp:lastModifiedBy>David Haniford</cp:lastModifiedBy>
  <cp:revision>5</cp:revision>
  <dcterms:created xsi:type="dcterms:W3CDTF">2014-08-12T17:05:00Z</dcterms:created>
  <dcterms:modified xsi:type="dcterms:W3CDTF">2014-08-13T18:56:00Z</dcterms:modified>
</cp:coreProperties>
</file>