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40" w:rsidRDefault="00086840" w:rsidP="00086840">
      <w:pPr>
        <w:rPr>
          <w:rFonts w:ascii="Arial" w:hAnsi="Arial"/>
          <w:b/>
          <w:sz w:val="22"/>
        </w:rPr>
      </w:pPr>
    </w:p>
    <w:p w:rsidR="00086840" w:rsidRDefault="00086840" w:rsidP="00086840">
      <w:pPr>
        <w:rPr>
          <w:rFonts w:ascii="Arial" w:hAnsi="Arial"/>
          <w:sz w:val="22"/>
        </w:rPr>
      </w:pPr>
    </w:p>
    <w:p w:rsidR="00086840" w:rsidRDefault="00086840" w:rsidP="00086840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drawing>
          <wp:inline distT="0" distB="0" distL="0" distR="0">
            <wp:extent cx="5270500" cy="2635250"/>
            <wp:effectExtent l="25400" t="0" r="0" b="0"/>
            <wp:docPr id="7" name="Picture 6" descr="plotS3-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S3-new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86A" w:rsidRDefault="0087286A" w:rsidP="00C943F7">
      <w:pPr>
        <w:rPr>
          <w:rFonts w:ascii="Arial" w:hAnsi="Arial"/>
          <w:b/>
          <w:sz w:val="22"/>
        </w:rPr>
      </w:pPr>
    </w:p>
    <w:p w:rsidR="00F575A0" w:rsidRDefault="00F575A0" w:rsidP="00C943F7">
      <w:pPr>
        <w:rPr>
          <w:rFonts w:ascii="Arial" w:hAnsi="Arial"/>
          <w:b/>
          <w:sz w:val="22"/>
        </w:rPr>
      </w:pPr>
    </w:p>
    <w:p w:rsidR="00C943F7" w:rsidRPr="00C943F7" w:rsidRDefault="00A421AC" w:rsidP="00C943F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Figure c</w:t>
      </w:r>
      <w:r w:rsidR="00C943F7" w:rsidRPr="00C943F7">
        <w:rPr>
          <w:rFonts w:ascii="Arial" w:hAnsi="Arial"/>
          <w:b/>
          <w:sz w:val="22"/>
        </w:rPr>
        <w:t>ompari</w:t>
      </w:r>
      <w:r w:rsidR="009D52EB">
        <w:rPr>
          <w:rFonts w:ascii="Arial" w:hAnsi="Arial"/>
          <w:b/>
          <w:sz w:val="22"/>
        </w:rPr>
        <w:t>ng</w:t>
      </w:r>
      <w:r w:rsidR="00C943F7" w:rsidRPr="00C943F7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results </w:t>
      </w:r>
      <w:r w:rsidR="00C943F7" w:rsidRPr="00C943F7">
        <w:rPr>
          <w:rFonts w:ascii="Arial" w:hAnsi="Arial"/>
          <w:b/>
          <w:sz w:val="22"/>
        </w:rPr>
        <w:t xml:space="preserve">to </w:t>
      </w:r>
      <w:r>
        <w:rPr>
          <w:rFonts w:ascii="Arial" w:hAnsi="Arial"/>
          <w:b/>
          <w:sz w:val="22"/>
        </w:rPr>
        <w:t xml:space="preserve">those from </w:t>
      </w:r>
      <w:r w:rsidR="00C943F7" w:rsidRPr="00C943F7">
        <w:rPr>
          <w:rFonts w:ascii="Arial" w:hAnsi="Arial"/>
          <w:b/>
          <w:sz w:val="22"/>
        </w:rPr>
        <w:t xml:space="preserve">whole transcriptome datasets </w:t>
      </w:r>
      <w:r>
        <w:rPr>
          <w:rFonts w:ascii="Arial" w:hAnsi="Arial"/>
          <w:b/>
          <w:sz w:val="22"/>
        </w:rPr>
        <w:t>in</w:t>
      </w:r>
      <w:r w:rsidR="00A165E0">
        <w:rPr>
          <w:rFonts w:ascii="Arial" w:hAnsi="Arial"/>
          <w:b/>
          <w:sz w:val="22"/>
        </w:rPr>
        <w:t xml:space="preserve"> </w:t>
      </w:r>
      <w:r w:rsidR="00C943F7" w:rsidRPr="00C943F7">
        <w:rPr>
          <w:rFonts w:ascii="Arial" w:hAnsi="Arial"/>
          <w:b/>
          <w:sz w:val="22"/>
        </w:rPr>
        <w:t xml:space="preserve">the </w:t>
      </w:r>
      <w:r>
        <w:rPr>
          <w:rFonts w:ascii="Arial" w:hAnsi="Arial"/>
          <w:b/>
          <w:sz w:val="22"/>
        </w:rPr>
        <w:t>Short Read Archive (</w:t>
      </w:r>
      <w:r w:rsidR="00C943F7" w:rsidRPr="00C943F7">
        <w:rPr>
          <w:rFonts w:ascii="Arial" w:hAnsi="Arial"/>
          <w:b/>
          <w:sz w:val="22"/>
        </w:rPr>
        <w:t>SRA</w:t>
      </w:r>
      <w:r>
        <w:rPr>
          <w:rFonts w:ascii="Arial" w:hAnsi="Arial"/>
          <w:b/>
          <w:sz w:val="22"/>
        </w:rPr>
        <w:t xml:space="preserve">). </w:t>
      </w:r>
      <w:r w:rsidR="00C943F7" w:rsidRPr="00C943F7">
        <w:rPr>
          <w:rFonts w:ascii="Arial" w:hAnsi="Arial"/>
          <w:sz w:val="22"/>
        </w:rPr>
        <w:t>As shown above (top line</w:t>
      </w:r>
      <w:r w:rsidR="003E7252">
        <w:rPr>
          <w:rFonts w:ascii="Arial" w:hAnsi="Arial"/>
          <w:sz w:val="22"/>
        </w:rPr>
        <w:t>; same as in</w:t>
      </w:r>
      <w:r w:rsidR="00C943F7" w:rsidRPr="00C943F7">
        <w:rPr>
          <w:rFonts w:ascii="Arial" w:hAnsi="Arial"/>
          <w:sz w:val="22"/>
        </w:rPr>
        <w:t xml:space="preserve"> figure </w:t>
      </w:r>
      <w:r w:rsidR="002638FD">
        <w:rPr>
          <w:rFonts w:ascii="Arial" w:hAnsi="Arial"/>
          <w:sz w:val="22"/>
        </w:rPr>
        <w:t>4</w:t>
      </w:r>
      <w:r w:rsidR="003E7252">
        <w:rPr>
          <w:rFonts w:ascii="Arial" w:hAnsi="Arial"/>
          <w:sz w:val="22"/>
        </w:rPr>
        <w:t>)</w:t>
      </w:r>
      <w:r w:rsidR="00C943F7" w:rsidRPr="00C943F7">
        <w:rPr>
          <w:rFonts w:ascii="Arial" w:hAnsi="Arial"/>
          <w:sz w:val="22"/>
        </w:rPr>
        <w:t xml:space="preserve">, </w:t>
      </w:r>
      <w:r w:rsidR="004F557D">
        <w:rPr>
          <w:rFonts w:ascii="Arial" w:hAnsi="Arial"/>
          <w:sz w:val="22"/>
        </w:rPr>
        <w:t xml:space="preserve">there is a strong effect of </w:t>
      </w:r>
      <w:r w:rsidR="004F557D" w:rsidRPr="00C943F7">
        <w:rPr>
          <w:rFonts w:ascii="Arial" w:hAnsi="Arial"/>
          <w:sz w:val="22"/>
        </w:rPr>
        <w:t xml:space="preserve">experiment on </w:t>
      </w:r>
      <w:r w:rsidR="00F575A0">
        <w:rPr>
          <w:rFonts w:ascii="Arial" w:hAnsi="Arial"/>
          <w:sz w:val="22"/>
        </w:rPr>
        <w:t xml:space="preserve">the pattern of our </w:t>
      </w:r>
      <w:r w:rsidR="004F557D" w:rsidRPr="00C943F7">
        <w:rPr>
          <w:rFonts w:ascii="Arial" w:hAnsi="Arial"/>
          <w:sz w:val="22"/>
        </w:rPr>
        <w:t xml:space="preserve">estimated </w:t>
      </w:r>
      <w:r w:rsidR="002D364C">
        <w:rPr>
          <w:rFonts w:ascii="Arial" w:hAnsi="Arial"/>
          <w:sz w:val="22"/>
        </w:rPr>
        <w:t>provirus</w:t>
      </w:r>
      <w:r w:rsidR="004F557D" w:rsidRPr="00C943F7">
        <w:rPr>
          <w:rFonts w:ascii="Arial" w:hAnsi="Arial"/>
          <w:sz w:val="22"/>
        </w:rPr>
        <w:t xml:space="preserve"> expression. </w:t>
      </w:r>
      <w:r w:rsidR="004F557D">
        <w:rPr>
          <w:rFonts w:ascii="Arial" w:hAnsi="Arial"/>
          <w:sz w:val="22"/>
        </w:rPr>
        <w:t>R</w:t>
      </w:r>
      <w:r w:rsidR="00C943F7" w:rsidRPr="00C943F7">
        <w:rPr>
          <w:rFonts w:ascii="Arial" w:hAnsi="Arial"/>
          <w:sz w:val="22"/>
        </w:rPr>
        <w:t xml:space="preserve">esults from </w:t>
      </w:r>
      <w:r w:rsidR="00A310DC">
        <w:rPr>
          <w:rFonts w:ascii="Arial" w:hAnsi="Arial"/>
          <w:sz w:val="22"/>
        </w:rPr>
        <w:t xml:space="preserve">one analysis of </w:t>
      </w:r>
      <w:r w:rsidR="00C943F7" w:rsidRPr="00C943F7">
        <w:rPr>
          <w:rFonts w:ascii="Arial" w:hAnsi="Arial"/>
          <w:sz w:val="22"/>
        </w:rPr>
        <w:t xml:space="preserve">JVM2 </w:t>
      </w:r>
      <w:r w:rsidR="00A310DC">
        <w:rPr>
          <w:rFonts w:ascii="Arial" w:hAnsi="Arial"/>
          <w:sz w:val="22"/>
        </w:rPr>
        <w:t xml:space="preserve">(labeled b) are more similar to the </w:t>
      </w:r>
      <w:r w:rsidR="00C943F7" w:rsidRPr="00C943F7">
        <w:rPr>
          <w:rFonts w:ascii="Arial" w:hAnsi="Arial"/>
          <w:sz w:val="22"/>
        </w:rPr>
        <w:t>G519</w:t>
      </w:r>
      <w:r w:rsidR="00A310DC">
        <w:rPr>
          <w:rFonts w:ascii="Arial" w:hAnsi="Arial"/>
          <w:sz w:val="22"/>
        </w:rPr>
        <w:t xml:space="preserve"> sequenced at the same time and run on the same chip than to the results of the same line (labeled </w:t>
      </w:r>
      <w:r w:rsidR="006D12BD">
        <w:rPr>
          <w:rFonts w:ascii="Arial" w:hAnsi="Arial"/>
          <w:sz w:val="22"/>
        </w:rPr>
        <w:t>a</w:t>
      </w:r>
      <w:r w:rsidR="00A310DC">
        <w:rPr>
          <w:rFonts w:ascii="Arial" w:hAnsi="Arial"/>
          <w:sz w:val="22"/>
        </w:rPr>
        <w:t>)</w:t>
      </w:r>
      <w:r w:rsidR="00C943F7" w:rsidRPr="00C943F7">
        <w:rPr>
          <w:rFonts w:ascii="Arial" w:hAnsi="Arial"/>
          <w:sz w:val="22"/>
        </w:rPr>
        <w:t xml:space="preserve"> </w:t>
      </w:r>
      <w:r w:rsidR="00A310DC">
        <w:rPr>
          <w:rFonts w:ascii="Arial" w:hAnsi="Arial"/>
          <w:sz w:val="22"/>
        </w:rPr>
        <w:t>grown and analysed at a different time</w:t>
      </w:r>
      <w:r w:rsidR="00F575A0">
        <w:rPr>
          <w:rFonts w:ascii="Arial" w:hAnsi="Arial"/>
          <w:sz w:val="22"/>
        </w:rPr>
        <w:t xml:space="preserve">, although </w:t>
      </w:r>
      <w:r w:rsidR="00A310DC">
        <w:rPr>
          <w:rFonts w:ascii="Arial" w:hAnsi="Arial"/>
          <w:sz w:val="22"/>
        </w:rPr>
        <w:t>under an almost identical protocol (see Methods).</w:t>
      </w:r>
    </w:p>
    <w:p w:rsidR="00C943F7" w:rsidRPr="005E1401" w:rsidRDefault="005074F6" w:rsidP="00C943F7">
      <w:pPr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ab/>
      </w:r>
      <w:r w:rsidR="00F575A0">
        <w:rPr>
          <w:rFonts w:ascii="Arial" w:hAnsi="Arial"/>
          <w:sz w:val="22"/>
        </w:rPr>
        <w:t xml:space="preserve">The similarity between one JVM2 run and </w:t>
      </w:r>
      <w:r w:rsidR="003E7252">
        <w:rPr>
          <w:rFonts w:ascii="Arial" w:hAnsi="Arial"/>
          <w:sz w:val="22"/>
        </w:rPr>
        <w:t xml:space="preserve">the </w:t>
      </w:r>
      <w:r w:rsidR="00F575A0">
        <w:rPr>
          <w:rFonts w:ascii="Arial" w:hAnsi="Arial"/>
          <w:sz w:val="22"/>
        </w:rPr>
        <w:t xml:space="preserve">G519 </w:t>
      </w:r>
      <w:r w:rsidR="00A165E0">
        <w:rPr>
          <w:rFonts w:ascii="Arial" w:hAnsi="Arial"/>
          <w:sz w:val="22"/>
        </w:rPr>
        <w:t xml:space="preserve">are not </w:t>
      </w:r>
      <w:r w:rsidR="003E7252">
        <w:rPr>
          <w:rFonts w:ascii="Arial" w:hAnsi="Arial"/>
          <w:sz w:val="22"/>
        </w:rPr>
        <w:t xml:space="preserve">unique. </w:t>
      </w:r>
      <w:r w:rsidRPr="00C943F7">
        <w:rPr>
          <w:rFonts w:ascii="Arial" w:hAnsi="Arial"/>
          <w:sz w:val="22"/>
        </w:rPr>
        <w:t xml:space="preserve">We found two publicly available whole transcriptome RNA-Seq studies of our cell lines at the NCBI's SRA (Short Read Archive; https://www.ncbi.nlm.nih.gov/sra): GEO BioProjects PRJNA181354 (Novartis Institutes for BioMedical Research; no publication) and PRJNA227025 (= Series GSE52148) </w:t>
      </w:r>
      <w:r w:rsidR="00194B01" w:rsidRPr="00C943F7">
        <w:rPr>
          <w:rFonts w:ascii="Arial" w:hAnsi="Arial"/>
          <w:sz w:val="22"/>
        </w:rPr>
        <w:fldChar w:fldCharType="begin"/>
      </w:r>
      <w:r w:rsidR="0087286A">
        <w:rPr>
          <w:rFonts w:ascii="Arial" w:hAnsi="Arial"/>
          <w:sz w:val="22"/>
        </w:rPr>
        <w:instrText xml:space="preserve"> ADDIN EN.CITE &lt;EndNote&gt;&lt;Cite&gt;&lt;Author&gt;Kuo&lt;/Author&gt;&lt;Year&gt;2015&lt;/Year&gt;&lt;RecNum&gt;1283&lt;/RecNum&gt;&lt;record&gt;&lt;rec-number&gt;1283&lt;/rec-number&gt;&lt;foreign-keys&gt;&lt;key app="EN" db-id="v2ppr00arp0z9aete0552tvm0a0d55r09dft"&gt;1283&lt;/key&gt;&lt;/foreign-keys&gt;&lt;ref-type name="Journal Article"&gt;17&lt;/ref-type&gt;&lt;contributors&gt;&lt;authors&gt;&lt;author&gt;Kuo, P. Y.&lt;/author&gt;&lt;author&gt;Leshchenko, V. V.&lt;/author&gt;&lt;author&gt;Fazzari, M. J.&lt;/author&gt;&lt;author&gt;Perumal, D.&lt;/author&gt;&lt;author&gt;Gellen, T.&lt;/author&gt;&lt;author&gt;He, T.&lt;/author&gt;&lt;author&gt;Iqbal, J.&lt;/author&gt;&lt;author&gt;Baumgartner-Wennerholm, S.&lt;/author&gt;&lt;author&gt;Nygren, L.&lt;/author&gt;&lt;author&gt;Zhang, F.&lt;/author&gt;&lt;author&gt;Zhang, W.&lt;/author&gt;&lt;author&gt;Suh, K. S.&lt;/author&gt;&lt;author&gt;Goy, A.&lt;/author&gt;&lt;author&gt;Yang, D. T.&lt;/author&gt;&lt;author&gt;Chan, W. C.&lt;/author&gt;&lt;author&gt;Kahl, B. S.&lt;/author&gt;&lt;author&gt;Verma, A. K.&lt;/author&gt;&lt;author&gt;Gascoyne, R. D.&lt;/author&gt;&lt;author&gt;Kimby, E.&lt;/author&gt;&lt;author&gt;Sander, B.&lt;/author&gt;&lt;author&gt;Ye, B. H.&lt;/author&gt;&lt;author&gt;Melnick, A. M.&lt;/author&gt;&lt;author&gt;Parekh, S.&lt;/author&gt;&lt;/authors&gt;&lt;/contributors&gt;&lt;titles&gt;&lt;title&gt;High-resolution chromatin immunoprecipitation (ChIP) sequencing reveals novel binding targets and prognostic role for SOX11 in mantle cell lymphoma&lt;/title&gt;&lt;secondary-title&gt;Oncogene&lt;/secondary-title&gt;&lt;alt-title&gt;Oncogene&lt;/alt-title&gt;&lt;/titles&gt;&lt;periodical&gt;&lt;full-title&gt;Oncogene&lt;/full-title&gt;&lt;/periodical&gt;&lt;alt-periodical&gt;&lt;full-title&gt;Oncogene&lt;/full-title&gt;&lt;/alt-periodical&gt;&lt;pages&gt;1231-1240&lt;/pages&gt;&lt;volume&gt;34&lt;/volume&gt;&lt;number&gt;10&lt;/number&gt;&lt;dates&gt;&lt;year&gt;2015&lt;/year&gt;&lt;pub-dates&gt;&lt;date&gt;Mar&lt;/date&gt;&lt;/pub-dates&gt;&lt;/dates&gt;&lt;isbn&gt;0950-9232&lt;/isbn&gt;&lt;accession-num&gt;WOS:000350687100003&lt;/accession-num&gt;&lt;urls&gt;&lt;related-urls&gt;&lt;url&gt;&amp;lt;Go to ISI&amp;gt;://WOS:000350687100003&lt;/url&gt;&lt;/related-urls&gt;&lt;/urls&gt;&lt;electronic-resource-num&gt;10.1038/onc.2014.44&lt;/electronic-resource-num&gt;&lt;/record&gt;&lt;/Cite&gt;&lt;/EndNote&gt;</w:instrText>
      </w:r>
      <w:r w:rsidR="00194B01" w:rsidRPr="00C943F7">
        <w:rPr>
          <w:rFonts w:ascii="Arial" w:hAnsi="Arial"/>
          <w:sz w:val="22"/>
        </w:rPr>
        <w:fldChar w:fldCharType="separate"/>
      </w:r>
      <w:r w:rsidR="0087286A">
        <w:rPr>
          <w:rFonts w:ascii="Arial" w:hAnsi="Arial"/>
          <w:noProof/>
          <w:sz w:val="22"/>
        </w:rPr>
        <w:t>[1]</w:t>
      </w:r>
      <w:r w:rsidR="00194B01" w:rsidRPr="00C943F7">
        <w:rPr>
          <w:rFonts w:ascii="Arial" w:hAnsi="Arial"/>
          <w:sz w:val="22"/>
        </w:rPr>
        <w:fldChar w:fldCharType="end"/>
      </w:r>
      <w:r w:rsidRPr="00C943F7">
        <w:rPr>
          <w:rFonts w:ascii="Arial" w:hAnsi="Arial"/>
          <w:sz w:val="22"/>
        </w:rPr>
        <w:t>. We carried out our normal QC and Bowtie2 mapping on these Illumina HiSeq FASTQ datasets</w:t>
      </w:r>
      <w:r w:rsidR="004F557D">
        <w:rPr>
          <w:rFonts w:ascii="Arial" w:hAnsi="Arial"/>
          <w:sz w:val="22"/>
        </w:rPr>
        <w:t xml:space="preserve"> and </w:t>
      </w:r>
      <w:r w:rsidRPr="00C943F7">
        <w:rPr>
          <w:rFonts w:ascii="Arial" w:hAnsi="Arial"/>
          <w:sz w:val="22"/>
        </w:rPr>
        <w:t xml:space="preserve">find that the </w:t>
      </w:r>
      <w:r w:rsidR="004F557D">
        <w:rPr>
          <w:rFonts w:ascii="Arial" w:hAnsi="Arial"/>
          <w:sz w:val="22"/>
        </w:rPr>
        <w:t>overall</w:t>
      </w:r>
      <w:r w:rsidRPr="00C943F7">
        <w:rPr>
          <w:rFonts w:ascii="Arial" w:hAnsi="Arial"/>
          <w:sz w:val="22"/>
        </w:rPr>
        <w:t xml:space="preserve"> expression patterns from G519 and JVM2 in the same experiment (SRX378552 and SRX378555 from PRJNA181354) are </w:t>
      </w:r>
      <w:r w:rsidR="003E7252">
        <w:rPr>
          <w:rFonts w:ascii="Arial" w:hAnsi="Arial"/>
          <w:sz w:val="22"/>
        </w:rPr>
        <w:t xml:space="preserve">broadly as </w:t>
      </w:r>
      <w:r w:rsidRPr="00C943F7">
        <w:rPr>
          <w:rFonts w:ascii="Arial" w:hAnsi="Arial"/>
          <w:sz w:val="22"/>
        </w:rPr>
        <w:t xml:space="preserve">similar to each </w:t>
      </w:r>
      <w:r w:rsidR="00310645" w:rsidRPr="00C943F7">
        <w:rPr>
          <w:rFonts w:ascii="Arial" w:hAnsi="Arial"/>
          <w:sz w:val="22"/>
        </w:rPr>
        <w:t xml:space="preserve">other as the G519 is to the same cell line analysed </w:t>
      </w:r>
      <w:r w:rsidR="00310645">
        <w:rPr>
          <w:rFonts w:ascii="Arial" w:hAnsi="Arial"/>
          <w:sz w:val="22"/>
        </w:rPr>
        <w:t>by a different group</w:t>
      </w:r>
      <w:r w:rsidR="00310645" w:rsidRPr="00C943F7">
        <w:rPr>
          <w:rFonts w:ascii="Arial" w:hAnsi="Arial"/>
          <w:sz w:val="22"/>
        </w:rPr>
        <w:t xml:space="preserve"> (SRX373878 from </w:t>
      </w:r>
      <w:r w:rsidR="00310645" w:rsidRPr="005E1401">
        <w:rPr>
          <w:rFonts w:ascii="Arial" w:hAnsi="Arial"/>
          <w:sz w:val="22"/>
        </w:rPr>
        <w:t xml:space="preserve">PRJNA227025). </w:t>
      </w:r>
    </w:p>
    <w:p w:rsidR="00481A13" w:rsidRPr="005E1401" w:rsidRDefault="005074F6" w:rsidP="005074F6">
      <w:pPr>
        <w:rPr>
          <w:rFonts w:ascii="Arial" w:hAnsi="Arial"/>
          <w:sz w:val="22"/>
        </w:rPr>
      </w:pPr>
      <w:r w:rsidRPr="005E1401">
        <w:rPr>
          <w:rFonts w:ascii="Arial" w:hAnsi="Arial"/>
          <w:sz w:val="22"/>
        </w:rPr>
        <w:tab/>
      </w:r>
      <w:r w:rsidR="003E7252" w:rsidRPr="005E1401">
        <w:rPr>
          <w:rFonts w:ascii="Arial" w:hAnsi="Arial"/>
          <w:sz w:val="22"/>
        </w:rPr>
        <w:t>We consider the</w:t>
      </w:r>
      <w:r w:rsidR="00A045B8" w:rsidRPr="005E1401">
        <w:rPr>
          <w:rFonts w:ascii="Arial" w:hAnsi="Arial"/>
          <w:sz w:val="22"/>
        </w:rPr>
        <w:t xml:space="preserve">se whole </w:t>
      </w:r>
      <w:r w:rsidR="00172B3E" w:rsidRPr="005E1401">
        <w:rPr>
          <w:rFonts w:ascii="Arial" w:hAnsi="Arial"/>
          <w:sz w:val="22"/>
        </w:rPr>
        <w:t>transcriptome</w:t>
      </w:r>
      <w:r w:rsidR="003E7252" w:rsidRPr="005E1401">
        <w:rPr>
          <w:rFonts w:ascii="Arial" w:hAnsi="Arial"/>
          <w:sz w:val="22"/>
        </w:rPr>
        <w:t xml:space="preserve"> SRA datasets to be less reliable than ours. </w:t>
      </w:r>
      <w:r w:rsidR="00481A13" w:rsidRPr="005E1401">
        <w:rPr>
          <w:rFonts w:ascii="Arial" w:hAnsi="Arial"/>
          <w:sz w:val="22"/>
        </w:rPr>
        <w:t>Firstly, there appears to be a major art</w:t>
      </w:r>
      <w:r w:rsidR="00172B3E" w:rsidRPr="005E1401">
        <w:rPr>
          <w:rFonts w:ascii="Arial" w:hAnsi="Arial"/>
          <w:sz w:val="22"/>
        </w:rPr>
        <w:t>i</w:t>
      </w:r>
      <w:r w:rsidR="00481A13" w:rsidRPr="005E1401">
        <w:rPr>
          <w:rFonts w:ascii="Arial" w:hAnsi="Arial"/>
          <w:sz w:val="22"/>
        </w:rPr>
        <w:t>fact: the old</w:t>
      </w:r>
      <w:r w:rsidR="002D364C">
        <w:rPr>
          <w:rFonts w:ascii="Arial" w:hAnsi="Arial"/>
          <w:sz w:val="22"/>
        </w:rPr>
        <w:t xml:space="preserve"> provirus</w:t>
      </w:r>
      <w:r w:rsidR="00481A13" w:rsidRPr="005E1401">
        <w:rPr>
          <w:rFonts w:ascii="Arial" w:hAnsi="Arial"/>
          <w:sz w:val="22"/>
        </w:rPr>
        <w:t xml:space="preserve"> 9q34.3 (also found in the Orangutan) accounted for 76-80% of </w:t>
      </w:r>
      <w:r w:rsidR="00172B3E" w:rsidRPr="005E1401">
        <w:rPr>
          <w:rFonts w:ascii="Arial" w:hAnsi="Arial"/>
          <w:sz w:val="22"/>
        </w:rPr>
        <w:t>the reads assigned to HERV</w:t>
      </w:r>
      <w:r w:rsidR="00A8401A">
        <w:rPr>
          <w:rFonts w:ascii="Arial" w:hAnsi="Arial"/>
          <w:sz w:val="22"/>
        </w:rPr>
        <w:t>-</w:t>
      </w:r>
      <w:r w:rsidR="00172B3E" w:rsidRPr="005E1401">
        <w:rPr>
          <w:rFonts w:ascii="Arial" w:hAnsi="Arial"/>
          <w:sz w:val="22"/>
        </w:rPr>
        <w:t>K</w:t>
      </w:r>
      <w:r w:rsidR="002D364C">
        <w:rPr>
          <w:rFonts w:ascii="Arial" w:hAnsi="Arial"/>
          <w:sz w:val="22"/>
        </w:rPr>
        <w:t>(HML-2)</w:t>
      </w:r>
      <w:r w:rsidR="00481A13" w:rsidRPr="005E1401">
        <w:rPr>
          <w:rFonts w:ascii="Arial" w:hAnsi="Arial"/>
          <w:sz w:val="22"/>
        </w:rPr>
        <w:t xml:space="preserve"> in these three </w:t>
      </w:r>
      <w:r w:rsidR="00350277" w:rsidRPr="005E1401">
        <w:rPr>
          <w:rFonts w:ascii="Arial" w:hAnsi="Arial"/>
          <w:sz w:val="22"/>
        </w:rPr>
        <w:t xml:space="preserve">datasets, </w:t>
      </w:r>
      <w:r w:rsidR="00481A13" w:rsidRPr="005E1401">
        <w:rPr>
          <w:rFonts w:ascii="Arial" w:hAnsi="Arial"/>
          <w:sz w:val="22"/>
        </w:rPr>
        <w:t>and 67% in our unenriched JVM2</w:t>
      </w:r>
      <w:r w:rsidR="00350277" w:rsidRPr="005E1401">
        <w:rPr>
          <w:rFonts w:ascii="Arial" w:hAnsi="Arial"/>
          <w:sz w:val="22"/>
        </w:rPr>
        <w:t xml:space="preserve"> one</w:t>
      </w:r>
      <w:r w:rsidR="00172B3E" w:rsidRPr="005E1401">
        <w:rPr>
          <w:rFonts w:ascii="Arial" w:hAnsi="Arial"/>
          <w:sz w:val="22"/>
        </w:rPr>
        <w:t xml:space="preserve">. In contrast, this </w:t>
      </w:r>
      <w:r w:rsidR="002D364C">
        <w:rPr>
          <w:rFonts w:ascii="Arial" w:hAnsi="Arial"/>
          <w:sz w:val="22"/>
        </w:rPr>
        <w:t>provirus</w:t>
      </w:r>
      <w:r w:rsidR="00172B3E" w:rsidRPr="005E1401">
        <w:rPr>
          <w:rFonts w:ascii="Arial" w:hAnsi="Arial"/>
          <w:sz w:val="22"/>
        </w:rPr>
        <w:t xml:space="preserve"> has less than</w:t>
      </w:r>
      <w:r w:rsidR="00481A13" w:rsidRPr="005E1401">
        <w:rPr>
          <w:rFonts w:ascii="Arial" w:hAnsi="Arial"/>
          <w:sz w:val="22"/>
        </w:rPr>
        <w:t xml:space="preserve"> 0.1% of </w:t>
      </w:r>
      <w:r w:rsidR="00172B3E" w:rsidRPr="005E1401">
        <w:rPr>
          <w:rFonts w:ascii="Arial" w:hAnsi="Arial"/>
          <w:sz w:val="22"/>
        </w:rPr>
        <w:t xml:space="preserve">the reads assigned to it in </w:t>
      </w:r>
      <w:r w:rsidR="00481A13" w:rsidRPr="005E1401">
        <w:rPr>
          <w:rFonts w:ascii="Arial" w:hAnsi="Arial"/>
          <w:sz w:val="22"/>
        </w:rPr>
        <w:t xml:space="preserve">our enriched </w:t>
      </w:r>
      <w:r w:rsidR="00172B3E" w:rsidRPr="005E1401">
        <w:rPr>
          <w:rFonts w:ascii="Arial" w:hAnsi="Arial"/>
          <w:sz w:val="22"/>
        </w:rPr>
        <w:t>analyses</w:t>
      </w:r>
      <w:r w:rsidR="00481A13" w:rsidRPr="005E1401">
        <w:rPr>
          <w:rFonts w:ascii="Arial" w:hAnsi="Arial"/>
          <w:sz w:val="22"/>
        </w:rPr>
        <w:t xml:space="preserve">. We suspect that this </w:t>
      </w:r>
      <w:r w:rsidR="00350277" w:rsidRPr="005E1401">
        <w:rPr>
          <w:rFonts w:ascii="Arial" w:hAnsi="Arial"/>
          <w:sz w:val="22"/>
        </w:rPr>
        <w:t>is an artifact</w:t>
      </w:r>
      <w:r w:rsidR="00172B3E" w:rsidRPr="005E1401">
        <w:rPr>
          <w:rFonts w:ascii="Arial" w:hAnsi="Arial"/>
          <w:sz w:val="22"/>
        </w:rPr>
        <w:t xml:space="preserve"> caused by the </w:t>
      </w:r>
      <w:r w:rsidR="002D364C">
        <w:rPr>
          <w:rFonts w:ascii="Arial" w:hAnsi="Arial"/>
          <w:sz w:val="22"/>
        </w:rPr>
        <w:t>provirus</w:t>
      </w:r>
      <w:r w:rsidR="00481A13" w:rsidRPr="005E1401">
        <w:rPr>
          <w:rFonts w:ascii="Arial" w:hAnsi="Arial"/>
          <w:sz w:val="22"/>
        </w:rPr>
        <w:t xml:space="preserve"> contain</w:t>
      </w:r>
      <w:r w:rsidR="00172B3E" w:rsidRPr="005E1401">
        <w:rPr>
          <w:rFonts w:ascii="Arial" w:hAnsi="Arial"/>
          <w:sz w:val="22"/>
        </w:rPr>
        <w:t>ing</w:t>
      </w:r>
      <w:r w:rsidR="00481A13" w:rsidRPr="005E1401">
        <w:rPr>
          <w:rFonts w:ascii="Arial" w:hAnsi="Arial"/>
          <w:sz w:val="22"/>
        </w:rPr>
        <w:t xml:space="preserve"> an Alu integration </w:t>
      </w:r>
      <w:r w:rsidR="00194B01" w:rsidRPr="005E1401">
        <w:rPr>
          <w:rFonts w:ascii="Arial" w:hAnsi="Arial"/>
          <w:sz w:val="22"/>
        </w:rPr>
        <w:fldChar w:fldCharType="begin"/>
      </w:r>
      <w:r w:rsidR="00481A13" w:rsidRPr="005E1401">
        <w:rPr>
          <w:rFonts w:ascii="Arial" w:hAnsi="Arial"/>
          <w:sz w:val="22"/>
        </w:rPr>
        <w:instrText xml:space="preserve"> ADDIN EN.CITE &lt;EndNote&gt;&lt;Cite&gt;&lt;Author&gt;Subramanian&lt;/Author&gt;&lt;Year&gt;2011&lt;/Year&gt;&lt;RecNum&gt;803&lt;/RecNum&gt;&lt;record&gt;&lt;rec-number&gt;803&lt;/rec-number&gt;&lt;foreign-keys&gt;&lt;key app="EN" db-id="v2ppr00arp0z9aete0552tvm0a0d55r09dft"&gt;803&lt;/key&gt;&lt;/foreign-keys&gt;&lt;ref-type name="Journal Article"&gt;17&lt;/ref-type&gt;&lt;contributors&gt;&lt;authors&gt;&lt;author&gt;Subramanian, R. P.&lt;/author&gt;&lt;author&gt;Wildschutte, J. H.&lt;/author&gt;&lt;author&gt;Russo, C.&lt;/author&gt;&lt;author&gt;Coffin, J. M.&lt;/author&gt;&lt;/authors&gt;&lt;/contributors&gt;&lt;auth-address&gt;Department of Molecular Biology and Microbiology, Tufts University School of Medicine, Boston, MA 02111, USA. john.coffin@tufts.edu.&lt;/auth-address&gt;&lt;titles&gt;&lt;title&gt;Identification, characterization, and comparative genomic distribution of the HERV-K (HML-2) group of human endogenous retroviruses&lt;/title&gt;&lt;secondary-title&gt;Retrovirology&lt;/secondary-title&gt;&lt;alt-title&gt;Retrovirology&lt;/alt-title&gt;&lt;/titles&gt;&lt;periodical&gt;&lt;full-title&gt;Retrovirology&lt;/full-title&gt;&lt;abbr-1&gt;Retrovirology&lt;/abbr-1&gt;&lt;/periodical&gt;&lt;alt-periodical&gt;&lt;full-title&gt;Retrovirology&lt;/full-title&gt;&lt;abbr-1&gt;Retrovirology&lt;/abbr-1&gt;&lt;/alt-periodical&gt;&lt;pages&gt;90&lt;/pages&gt;&lt;volume&gt;8&lt;/volume&gt;&lt;edition&gt;2011/11/10&lt;/edition&gt;&lt;dates&gt;&lt;year&gt;2011&lt;/year&gt;&lt;/dates&gt;&lt;isbn&gt;1742-4690 (Electronic)&amp;#xD;1742-4690 (Linking)&lt;/isbn&gt;&lt;accession-num&gt;22067224&lt;/accession-num&gt;&lt;urls&gt;&lt;related-urls&gt;&lt;url&gt;http://www.ncbi.nlm.nih.gov/pubmed/22067224&lt;/url&gt;&lt;/related-urls&gt;&lt;/urls&gt;&lt;custom2&gt;3228705&lt;/custom2&gt;&lt;electronic-resource-num&gt;10.1186/1742-4690-8-90&lt;/electronic-resource-num&gt;&lt;language&gt;eng&lt;/language&gt;&lt;/record&gt;&lt;/Cite&gt;&lt;/EndNote&gt;</w:instrText>
      </w:r>
      <w:r w:rsidR="00194B01" w:rsidRPr="005E1401">
        <w:rPr>
          <w:rFonts w:ascii="Arial" w:hAnsi="Arial"/>
          <w:sz w:val="22"/>
        </w:rPr>
        <w:fldChar w:fldCharType="separate"/>
      </w:r>
      <w:r w:rsidR="00481A13" w:rsidRPr="005E1401">
        <w:rPr>
          <w:rFonts w:ascii="Arial" w:hAnsi="Arial"/>
          <w:noProof/>
          <w:sz w:val="22"/>
        </w:rPr>
        <w:t>[2]</w:t>
      </w:r>
      <w:r w:rsidR="00194B01" w:rsidRPr="005E1401">
        <w:rPr>
          <w:rFonts w:ascii="Arial" w:hAnsi="Arial"/>
          <w:sz w:val="22"/>
        </w:rPr>
        <w:fldChar w:fldCharType="end"/>
      </w:r>
      <w:r w:rsidR="00350277" w:rsidRPr="005E1401">
        <w:rPr>
          <w:rFonts w:ascii="Arial" w:hAnsi="Arial"/>
          <w:sz w:val="22"/>
        </w:rPr>
        <w:t xml:space="preserve">, with many </w:t>
      </w:r>
      <w:r w:rsidR="00481A13" w:rsidRPr="005E1401">
        <w:rPr>
          <w:rFonts w:ascii="Arial" w:hAnsi="Arial"/>
          <w:sz w:val="22"/>
        </w:rPr>
        <w:t xml:space="preserve">reads from Alu transcripts </w:t>
      </w:r>
      <w:r w:rsidR="00350277" w:rsidRPr="005E1401">
        <w:rPr>
          <w:rFonts w:ascii="Arial" w:hAnsi="Arial"/>
          <w:sz w:val="22"/>
        </w:rPr>
        <w:t>being</w:t>
      </w:r>
      <w:r w:rsidR="00481A13" w:rsidRPr="005E1401">
        <w:rPr>
          <w:rFonts w:ascii="Arial" w:hAnsi="Arial"/>
          <w:sz w:val="22"/>
        </w:rPr>
        <w:t xml:space="preserve"> erroneously mapped to it. </w:t>
      </w:r>
      <w:r w:rsidR="005F26D8" w:rsidRPr="005E1401">
        <w:rPr>
          <w:rFonts w:ascii="Arial" w:hAnsi="Arial"/>
          <w:sz w:val="22"/>
        </w:rPr>
        <w:t xml:space="preserve">Our use of a probe designed from the canonical </w:t>
      </w:r>
      <w:r w:rsidR="00350277" w:rsidRPr="005E1401">
        <w:rPr>
          <w:rFonts w:ascii="Arial" w:hAnsi="Arial"/>
          <w:sz w:val="22"/>
        </w:rPr>
        <w:t>HERV</w:t>
      </w:r>
      <w:r w:rsidR="00A8401A">
        <w:rPr>
          <w:rFonts w:ascii="Arial" w:hAnsi="Arial"/>
          <w:sz w:val="22"/>
        </w:rPr>
        <w:t>-</w:t>
      </w:r>
      <w:r w:rsidR="00350277" w:rsidRPr="005E1401">
        <w:rPr>
          <w:rFonts w:ascii="Arial" w:hAnsi="Arial"/>
          <w:sz w:val="22"/>
        </w:rPr>
        <w:t>K</w:t>
      </w:r>
      <w:r w:rsidR="002D364C">
        <w:rPr>
          <w:rFonts w:ascii="Arial" w:hAnsi="Arial"/>
          <w:sz w:val="22"/>
        </w:rPr>
        <w:t>(HML-2)</w:t>
      </w:r>
      <w:r w:rsidR="00350277" w:rsidRPr="005E1401">
        <w:rPr>
          <w:rFonts w:ascii="Arial" w:hAnsi="Arial"/>
          <w:sz w:val="22"/>
        </w:rPr>
        <w:t xml:space="preserve"> </w:t>
      </w:r>
      <w:r w:rsidR="005F26D8" w:rsidRPr="005E1401">
        <w:rPr>
          <w:rFonts w:ascii="Arial" w:hAnsi="Arial"/>
          <w:sz w:val="22"/>
        </w:rPr>
        <w:t xml:space="preserve">proviral sequence appears to avoid this. </w:t>
      </w:r>
      <w:r w:rsidR="00172B3E" w:rsidRPr="005E1401">
        <w:rPr>
          <w:rFonts w:ascii="Arial" w:hAnsi="Arial"/>
          <w:sz w:val="22"/>
        </w:rPr>
        <w:t xml:space="preserve">Secondly, after </w:t>
      </w:r>
      <w:r w:rsidR="00481A13" w:rsidRPr="005E1401">
        <w:rPr>
          <w:rFonts w:ascii="Arial" w:hAnsi="Arial"/>
          <w:sz w:val="22"/>
        </w:rPr>
        <w:t>delet</w:t>
      </w:r>
      <w:r w:rsidR="00172B3E" w:rsidRPr="005E1401">
        <w:rPr>
          <w:rFonts w:ascii="Arial" w:hAnsi="Arial"/>
          <w:sz w:val="22"/>
        </w:rPr>
        <w:t>ing</w:t>
      </w:r>
      <w:r w:rsidR="00481A13" w:rsidRPr="005E1401">
        <w:rPr>
          <w:rFonts w:ascii="Arial" w:hAnsi="Arial"/>
          <w:sz w:val="22"/>
        </w:rPr>
        <w:t xml:space="preserve"> the hits to this </w:t>
      </w:r>
      <w:r w:rsidR="00350277" w:rsidRPr="005E1401">
        <w:rPr>
          <w:rFonts w:ascii="Arial" w:hAnsi="Arial"/>
          <w:sz w:val="22"/>
        </w:rPr>
        <w:t>single</w:t>
      </w:r>
      <w:r w:rsidR="005F26D8" w:rsidRPr="005E1401">
        <w:rPr>
          <w:rFonts w:ascii="Arial" w:hAnsi="Arial"/>
          <w:sz w:val="22"/>
        </w:rPr>
        <w:t xml:space="preserve"> </w:t>
      </w:r>
      <w:r w:rsidR="002D364C">
        <w:rPr>
          <w:rFonts w:ascii="Arial" w:hAnsi="Arial"/>
          <w:sz w:val="22"/>
        </w:rPr>
        <w:t>provirus</w:t>
      </w:r>
      <w:r w:rsidR="00481A13" w:rsidRPr="005E1401">
        <w:rPr>
          <w:rFonts w:ascii="Arial" w:hAnsi="Arial"/>
          <w:sz w:val="22"/>
        </w:rPr>
        <w:t xml:space="preserve"> </w:t>
      </w:r>
      <w:r w:rsidR="00350277" w:rsidRPr="005E1401">
        <w:rPr>
          <w:rFonts w:ascii="Arial" w:hAnsi="Arial"/>
          <w:sz w:val="22"/>
        </w:rPr>
        <w:t>for</w:t>
      </w:r>
      <w:r w:rsidR="00172B3E" w:rsidRPr="005E1401">
        <w:rPr>
          <w:rFonts w:ascii="Arial" w:hAnsi="Arial"/>
          <w:sz w:val="22"/>
        </w:rPr>
        <w:t xml:space="preserve"> our </w:t>
      </w:r>
      <w:r w:rsidR="00481A13" w:rsidRPr="005E1401">
        <w:rPr>
          <w:rFonts w:ascii="Arial" w:hAnsi="Arial"/>
          <w:sz w:val="22"/>
        </w:rPr>
        <w:t>analysis</w:t>
      </w:r>
      <w:r w:rsidR="00350277" w:rsidRPr="005E1401">
        <w:rPr>
          <w:rFonts w:ascii="Arial" w:hAnsi="Arial"/>
          <w:sz w:val="22"/>
        </w:rPr>
        <w:t xml:space="preserve"> shown in the above figure</w:t>
      </w:r>
      <w:r w:rsidR="00481A13" w:rsidRPr="005E1401">
        <w:rPr>
          <w:rFonts w:ascii="Arial" w:hAnsi="Arial"/>
          <w:sz w:val="22"/>
        </w:rPr>
        <w:t xml:space="preserve">, </w:t>
      </w:r>
      <w:r w:rsidR="00172B3E" w:rsidRPr="005E1401">
        <w:rPr>
          <w:rFonts w:ascii="Arial" w:hAnsi="Arial"/>
          <w:sz w:val="22"/>
        </w:rPr>
        <w:t>we were</w:t>
      </w:r>
      <w:r w:rsidR="00856F0E">
        <w:rPr>
          <w:rFonts w:ascii="Arial" w:hAnsi="Arial"/>
          <w:sz w:val="22"/>
        </w:rPr>
        <w:t xml:space="preserve"> left </w:t>
      </w:r>
      <w:r w:rsidR="00481A13" w:rsidRPr="005E1401">
        <w:rPr>
          <w:rFonts w:ascii="Arial" w:hAnsi="Arial"/>
          <w:sz w:val="22"/>
        </w:rPr>
        <w:t xml:space="preserve">with </w:t>
      </w:r>
      <w:r w:rsidR="00172B3E" w:rsidRPr="005E1401">
        <w:rPr>
          <w:rFonts w:ascii="Arial" w:hAnsi="Arial"/>
          <w:sz w:val="22"/>
        </w:rPr>
        <w:t xml:space="preserve">a total of </w:t>
      </w:r>
      <w:r w:rsidR="005F26D8" w:rsidRPr="005E1401">
        <w:rPr>
          <w:rFonts w:ascii="Arial" w:hAnsi="Arial"/>
          <w:sz w:val="22"/>
        </w:rPr>
        <w:t>only</w:t>
      </w:r>
      <w:r w:rsidR="00350277" w:rsidRPr="005E1401">
        <w:rPr>
          <w:rFonts w:ascii="Arial" w:hAnsi="Arial"/>
          <w:sz w:val="22"/>
        </w:rPr>
        <w:t xml:space="preserve"> 1</w:t>
      </w:r>
      <w:r w:rsidR="005F26D8" w:rsidRPr="005E1401">
        <w:rPr>
          <w:rFonts w:ascii="Arial" w:hAnsi="Arial"/>
          <w:sz w:val="22"/>
        </w:rPr>
        <w:t>,500-</w:t>
      </w:r>
      <w:r w:rsidR="00481A13" w:rsidRPr="005E1401">
        <w:rPr>
          <w:rFonts w:ascii="Arial" w:hAnsi="Arial"/>
          <w:sz w:val="22"/>
        </w:rPr>
        <w:t>8</w:t>
      </w:r>
      <w:r w:rsidR="005F26D8" w:rsidRPr="005E1401">
        <w:rPr>
          <w:rFonts w:ascii="Arial" w:hAnsi="Arial"/>
          <w:sz w:val="22"/>
        </w:rPr>
        <w:t>,</w:t>
      </w:r>
      <w:r w:rsidR="00481A13" w:rsidRPr="005E1401">
        <w:rPr>
          <w:rFonts w:ascii="Arial" w:hAnsi="Arial"/>
          <w:sz w:val="22"/>
        </w:rPr>
        <w:t xml:space="preserve">000 </w:t>
      </w:r>
      <w:r w:rsidR="00350277" w:rsidRPr="005E1401">
        <w:rPr>
          <w:rFonts w:ascii="Arial" w:hAnsi="Arial"/>
          <w:sz w:val="22"/>
        </w:rPr>
        <w:t>read</w:t>
      </w:r>
      <w:r w:rsidR="003A50EF">
        <w:rPr>
          <w:rFonts w:ascii="Arial" w:hAnsi="Arial"/>
          <w:sz w:val="22"/>
        </w:rPr>
        <w:t>s</w:t>
      </w:r>
      <w:r w:rsidR="00350277" w:rsidRPr="005E1401">
        <w:rPr>
          <w:rFonts w:ascii="Arial" w:hAnsi="Arial"/>
          <w:sz w:val="22"/>
        </w:rPr>
        <w:t xml:space="preserve"> assigned to HERV</w:t>
      </w:r>
      <w:r w:rsidR="00A8401A">
        <w:rPr>
          <w:rFonts w:ascii="Arial" w:hAnsi="Arial"/>
          <w:sz w:val="22"/>
        </w:rPr>
        <w:t>-</w:t>
      </w:r>
      <w:r w:rsidR="00350277" w:rsidRPr="005E1401">
        <w:rPr>
          <w:rFonts w:ascii="Arial" w:hAnsi="Arial"/>
          <w:sz w:val="22"/>
        </w:rPr>
        <w:t>K</w:t>
      </w:r>
      <w:r w:rsidR="002D364C">
        <w:rPr>
          <w:rFonts w:ascii="Arial" w:hAnsi="Arial"/>
          <w:sz w:val="22"/>
        </w:rPr>
        <w:t>(HML-2)</w:t>
      </w:r>
      <w:r w:rsidR="00350277" w:rsidRPr="005E1401">
        <w:rPr>
          <w:rFonts w:ascii="Arial" w:hAnsi="Arial"/>
          <w:sz w:val="22"/>
        </w:rPr>
        <w:t xml:space="preserve"> in</w:t>
      </w:r>
      <w:r w:rsidR="00481A13" w:rsidRPr="005E1401">
        <w:rPr>
          <w:rFonts w:ascii="Arial" w:hAnsi="Arial"/>
          <w:sz w:val="22"/>
        </w:rPr>
        <w:t xml:space="preserve"> each </w:t>
      </w:r>
      <w:r w:rsidR="00350277" w:rsidRPr="005E1401">
        <w:rPr>
          <w:rFonts w:ascii="Arial" w:hAnsi="Arial"/>
          <w:sz w:val="22"/>
        </w:rPr>
        <w:t>SRA dataset</w:t>
      </w:r>
      <w:r w:rsidR="00481A13" w:rsidRPr="005E1401">
        <w:rPr>
          <w:rFonts w:ascii="Arial" w:hAnsi="Arial"/>
          <w:sz w:val="22"/>
        </w:rPr>
        <w:t xml:space="preserve">. </w:t>
      </w:r>
    </w:p>
    <w:p w:rsidR="00C943F7" w:rsidRPr="005E1401" w:rsidRDefault="00172B3E" w:rsidP="005074F6">
      <w:pPr>
        <w:rPr>
          <w:rFonts w:ascii="Arial" w:hAnsi="Arial"/>
          <w:sz w:val="22"/>
        </w:rPr>
      </w:pPr>
      <w:r w:rsidRPr="005E1401">
        <w:rPr>
          <w:rFonts w:ascii="Arial" w:hAnsi="Arial"/>
          <w:sz w:val="22"/>
        </w:rPr>
        <w:tab/>
        <w:t xml:space="preserve">To </w:t>
      </w:r>
      <w:r w:rsidR="00350277" w:rsidRPr="005E1401">
        <w:rPr>
          <w:rFonts w:ascii="Arial" w:hAnsi="Arial"/>
          <w:sz w:val="22"/>
        </w:rPr>
        <w:t>confirm</w:t>
      </w:r>
      <w:r w:rsidR="00C943F7" w:rsidRPr="005E1401">
        <w:rPr>
          <w:rFonts w:ascii="Arial" w:hAnsi="Arial"/>
          <w:sz w:val="22"/>
        </w:rPr>
        <w:t xml:space="preserve"> that similar artefacts were not affecting our enriched data, we compared the sequences of our highly expressed </w:t>
      </w:r>
      <w:r w:rsidR="002D364C">
        <w:rPr>
          <w:rFonts w:ascii="Arial" w:hAnsi="Arial"/>
          <w:sz w:val="22"/>
        </w:rPr>
        <w:t>proviruses</w:t>
      </w:r>
      <w:r w:rsidR="00C943F7" w:rsidRPr="005E1401">
        <w:rPr>
          <w:rFonts w:ascii="Arial" w:hAnsi="Arial"/>
          <w:sz w:val="22"/>
        </w:rPr>
        <w:t xml:space="preserve"> (1q21.3, 1q23.3 and 3q12.3) to a well-studied reference, 19p12b (K113), using BLAST and found </w:t>
      </w:r>
      <w:r w:rsidR="00350277" w:rsidRPr="005E1401">
        <w:rPr>
          <w:rFonts w:ascii="Arial" w:hAnsi="Arial"/>
          <w:sz w:val="22"/>
        </w:rPr>
        <w:t xml:space="preserve">that they contained </w:t>
      </w:r>
      <w:r w:rsidR="00C943F7" w:rsidRPr="005E1401">
        <w:rPr>
          <w:rFonts w:ascii="Arial" w:hAnsi="Arial"/>
          <w:sz w:val="22"/>
        </w:rPr>
        <w:t xml:space="preserve">no insertions longer than a </w:t>
      </w:r>
      <w:r w:rsidR="00A045B8" w:rsidRPr="005E1401">
        <w:rPr>
          <w:rFonts w:ascii="Arial" w:hAnsi="Arial"/>
          <w:sz w:val="22"/>
        </w:rPr>
        <w:t xml:space="preserve">few </w:t>
      </w:r>
      <w:r w:rsidR="00C943F7" w:rsidRPr="005E1401">
        <w:rPr>
          <w:rFonts w:ascii="Arial" w:hAnsi="Arial"/>
          <w:sz w:val="22"/>
        </w:rPr>
        <w:t>nucleotides.</w:t>
      </w:r>
    </w:p>
    <w:p w:rsidR="0087286A" w:rsidRDefault="00C943F7">
      <w:r w:rsidRPr="00C943F7">
        <w:rPr>
          <w:rFonts w:ascii="Arial" w:hAnsi="Arial"/>
          <w:sz w:val="22"/>
        </w:rPr>
        <w:tab/>
      </w:r>
    </w:p>
    <w:p w:rsidR="0087286A" w:rsidRPr="0087286A" w:rsidRDefault="00194B01" w:rsidP="0087286A">
      <w:pPr>
        <w:ind w:left="284" w:hanging="284"/>
        <w:rPr>
          <w:rFonts w:ascii="Arial" w:hAnsi="Arial"/>
          <w:noProof/>
          <w:sz w:val="20"/>
        </w:rPr>
      </w:pPr>
      <w:r>
        <w:fldChar w:fldCharType="begin"/>
      </w:r>
      <w:r w:rsidR="0087286A">
        <w:instrText xml:space="preserve"> ADDIN EN.REFLIST </w:instrText>
      </w:r>
      <w:r>
        <w:fldChar w:fldCharType="separate"/>
      </w:r>
      <w:r w:rsidR="0087286A" w:rsidRPr="0087286A">
        <w:rPr>
          <w:rFonts w:ascii="Arial" w:hAnsi="Arial"/>
          <w:noProof/>
          <w:sz w:val="20"/>
        </w:rPr>
        <w:t>1.</w:t>
      </w:r>
      <w:r w:rsidR="0087286A" w:rsidRPr="0087286A">
        <w:rPr>
          <w:rFonts w:ascii="Arial" w:hAnsi="Arial"/>
          <w:noProof/>
          <w:sz w:val="20"/>
        </w:rPr>
        <w:tab/>
        <w:t>Kuo PY, Leshchenko VV, Fazzari MJ, Perumal D, Gellen T, He T, Iqbal J, Baumgartner-Wennerholm S, Nygren L, Zhang F</w:t>
      </w:r>
      <w:r w:rsidR="0087286A" w:rsidRPr="0087286A">
        <w:rPr>
          <w:rFonts w:ascii="Arial" w:hAnsi="Arial"/>
          <w:i/>
          <w:noProof/>
          <w:sz w:val="20"/>
        </w:rPr>
        <w:t xml:space="preserve"> et al</w:t>
      </w:r>
      <w:r w:rsidR="0087286A" w:rsidRPr="0087286A">
        <w:rPr>
          <w:rFonts w:ascii="Arial" w:hAnsi="Arial"/>
          <w:noProof/>
          <w:sz w:val="20"/>
        </w:rPr>
        <w:t xml:space="preserve">: </w:t>
      </w:r>
      <w:r w:rsidR="0087286A" w:rsidRPr="00172B3E">
        <w:rPr>
          <w:rFonts w:ascii="Arial" w:hAnsi="Arial"/>
          <w:noProof/>
          <w:sz w:val="20"/>
        </w:rPr>
        <w:t>High-resolution chromatin immunoprecipitation (ChIP) sequencing reveals novel binding targets and prognostic role for SOX11 in mantle cell lymphoma</w:t>
      </w:r>
      <w:r w:rsidR="0087286A" w:rsidRPr="0087286A">
        <w:rPr>
          <w:rFonts w:ascii="Arial" w:hAnsi="Arial"/>
          <w:noProof/>
          <w:sz w:val="20"/>
        </w:rPr>
        <w:t xml:space="preserve">. </w:t>
      </w:r>
      <w:r w:rsidR="0087286A" w:rsidRPr="0087286A">
        <w:rPr>
          <w:rFonts w:ascii="Arial" w:hAnsi="Arial"/>
          <w:i/>
          <w:noProof/>
          <w:sz w:val="20"/>
        </w:rPr>
        <w:t xml:space="preserve">Oncogene </w:t>
      </w:r>
      <w:r w:rsidR="0087286A" w:rsidRPr="0087286A">
        <w:rPr>
          <w:rFonts w:ascii="Arial" w:hAnsi="Arial"/>
          <w:noProof/>
          <w:sz w:val="20"/>
        </w:rPr>
        <w:t xml:space="preserve">2015, </w:t>
      </w:r>
      <w:r w:rsidR="0087286A" w:rsidRPr="0087286A">
        <w:rPr>
          <w:rFonts w:ascii="Arial" w:hAnsi="Arial"/>
          <w:b/>
          <w:noProof/>
          <w:sz w:val="20"/>
        </w:rPr>
        <w:t>34</w:t>
      </w:r>
      <w:r w:rsidR="0087286A" w:rsidRPr="0087286A">
        <w:rPr>
          <w:rFonts w:ascii="Arial" w:hAnsi="Arial"/>
          <w:noProof/>
          <w:sz w:val="20"/>
        </w:rPr>
        <w:t>(10):1231-1240.</w:t>
      </w:r>
    </w:p>
    <w:p w:rsidR="0087286A" w:rsidRPr="0087286A" w:rsidRDefault="0087286A" w:rsidP="0087286A">
      <w:pPr>
        <w:ind w:left="284" w:hanging="284"/>
        <w:rPr>
          <w:rFonts w:ascii="Arial" w:hAnsi="Arial"/>
          <w:noProof/>
          <w:sz w:val="20"/>
        </w:rPr>
      </w:pPr>
      <w:r w:rsidRPr="0087286A">
        <w:rPr>
          <w:rFonts w:ascii="Arial" w:hAnsi="Arial"/>
          <w:noProof/>
          <w:sz w:val="20"/>
        </w:rPr>
        <w:t>2.</w:t>
      </w:r>
      <w:r w:rsidRPr="0087286A">
        <w:rPr>
          <w:rFonts w:ascii="Arial" w:hAnsi="Arial"/>
          <w:noProof/>
          <w:sz w:val="20"/>
        </w:rPr>
        <w:tab/>
        <w:t xml:space="preserve">Subramanian RP, Wildschutte JH, Russo C, Coffin JM: </w:t>
      </w:r>
      <w:r w:rsidRPr="00172B3E">
        <w:rPr>
          <w:rFonts w:ascii="Arial" w:hAnsi="Arial"/>
          <w:noProof/>
          <w:sz w:val="20"/>
        </w:rPr>
        <w:t>Identification, characterization, and comparative genomic distribution of the HERV-K (HML-2) group of human endogenous retroviruse</w:t>
      </w:r>
      <w:r w:rsidRPr="0087286A">
        <w:rPr>
          <w:rFonts w:ascii="Arial" w:hAnsi="Arial"/>
          <w:b/>
          <w:noProof/>
          <w:sz w:val="20"/>
        </w:rPr>
        <w:t>s</w:t>
      </w:r>
      <w:r w:rsidRPr="0087286A">
        <w:rPr>
          <w:rFonts w:ascii="Arial" w:hAnsi="Arial"/>
          <w:noProof/>
          <w:sz w:val="20"/>
        </w:rPr>
        <w:t xml:space="preserve">. </w:t>
      </w:r>
      <w:r w:rsidRPr="0087286A">
        <w:rPr>
          <w:rFonts w:ascii="Arial" w:hAnsi="Arial"/>
          <w:i/>
          <w:noProof/>
          <w:sz w:val="20"/>
        </w:rPr>
        <w:t xml:space="preserve">Retrovirology </w:t>
      </w:r>
      <w:r w:rsidRPr="0087286A">
        <w:rPr>
          <w:rFonts w:ascii="Arial" w:hAnsi="Arial"/>
          <w:noProof/>
          <w:sz w:val="20"/>
        </w:rPr>
        <w:t xml:space="preserve">2011, </w:t>
      </w:r>
      <w:r w:rsidRPr="0087286A">
        <w:rPr>
          <w:rFonts w:ascii="Arial" w:hAnsi="Arial"/>
          <w:b/>
          <w:noProof/>
          <w:sz w:val="20"/>
        </w:rPr>
        <w:t>8</w:t>
      </w:r>
      <w:r w:rsidRPr="0087286A">
        <w:rPr>
          <w:rFonts w:ascii="Arial" w:hAnsi="Arial"/>
          <w:noProof/>
          <w:sz w:val="20"/>
        </w:rPr>
        <w:t>:90.</w:t>
      </w:r>
    </w:p>
    <w:p w:rsidR="00B22C82" w:rsidRDefault="00194B01">
      <w:r>
        <w:fldChar w:fldCharType="end"/>
      </w:r>
    </w:p>
    <w:sectPr w:rsidR="00B22C82" w:rsidSect="00B22C8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MC Genomics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EndNote_Library.enl&lt;/item&gt;&lt;/Libraries&gt;&lt;/ENLibraries&gt;"/>
  </w:docVars>
  <w:rsids>
    <w:rsidRoot w:val="00086840"/>
    <w:rsid w:val="00086840"/>
    <w:rsid w:val="00172B3E"/>
    <w:rsid w:val="00194B01"/>
    <w:rsid w:val="002638FD"/>
    <w:rsid w:val="002D364C"/>
    <w:rsid w:val="00310645"/>
    <w:rsid w:val="00350277"/>
    <w:rsid w:val="003A50EF"/>
    <w:rsid w:val="003E7252"/>
    <w:rsid w:val="00481A13"/>
    <w:rsid w:val="004F557D"/>
    <w:rsid w:val="005074F6"/>
    <w:rsid w:val="005E1401"/>
    <w:rsid w:val="005F26D8"/>
    <w:rsid w:val="006D12BD"/>
    <w:rsid w:val="00713641"/>
    <w:rsid w:val="007D1A50"/>
    <w:rsid w:val="00856F0E"/>
    <w:rsid w:val="0087286A"/>
    <w:rsid w:val="008B7B38"/>
    <w:rsid w:val="00962713"/>
    <w:rsid w:val="009A670A"/>
    <w:rsid w:val="009D52EB"/>
    <w:rsid w:val="00A045B8"/>
    <w:rsid w:val="00A165E0"/>
    <w:rsid w:val="00A310DC"/>
    <w:rsid w:val="00A421AC"/>
    <w:rsid w:val="00A5128A"/>
    <w:rsid w:val="00A8401A"/>
    <w:rsid w:val="00AD5D75"/>
    <w:rsid w:val="00B22C82"/>
    <w:rsid w:val="00C905F1"/>
    <w:rsid w:val="00C943F7"/>
    <w:rsid w:val="00D03002"/>
    <w:rsid w:val="00D967CD"/>
    <w:rsid w:val="00DE41E1"/>
    <w:rsid w:val="00EC3DBF"/>
    <w:rsid w:val="00EF65D8"/>
    <w:rsid w:val="00F52682"/>
    <w:rsid w:val="00F575A0"/>
  </w:rsids>
  <m:mathPr>
    <m:mathFont m:val="Lucida Sans Unico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684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893</Words>
  <Characters>5092</Characters>
  <Application>Microsoft Macintosh Word</Application>
  <DocSecurity>0</DocSecurity>
  <Lines>42</Lines>
  <Paragraphs>10</Paragraphs>
  <ScaleCrop>false</ScaleCrop>
  <Company>University of Oxford</Company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Belshaw</dc:creator>
  <cp:keywords/>
  <cp:lastModifiedBy>Robert Belshaw</cp:lastModifiedBy>
  <cp:revision>5</cp:revision>
  <dcterms:created xsi:type="dcterms:W3CDTF">2019-12-11T13:36:00Z</dcterms:created>
  <dcterms:modified xsi:type="dcterms:W3CDTF">2019-12-30T19:38:00Z</dcterms:modified>
</cp:coreProperties>
</file>