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F35" w:rsidRDefault="00EA5F35" w:rsidP="00BD1D14">
      <w:pPr>
        <w:rPr>
          <w:rFonts w:ascii="Arial" w:hAnsi="Arial"/>
          <w:b/>
          <w:sz w:val="22"/>
        </w:rPr>
      </w:pPr>
      <w:r>
        <w:rPr>
          <w:rFonts w:ascii="Arial" w:hAnsi="Arial"/>
          <w:b/>
          <w:sz w:val="22"/>
        </w:rPr>
        <w:t>Further details of other RNA expression studies</w:t>
      </w:r>
    </w:p>
    <w:p w:rsidR="00EA5F35" w:rsidRDefault="00EA5F35" w:rsidP="00BD1D14">
      <w:pPr>
        <w:rPr>
          <w:rFonts w:ascii="Arial" w:hAnsi="Arial"/>
          <w:sz w:val="22"/>
        </w:rPr>
      </w:pPr>
      <w:r>
        <w:rPr>
          <w:rFonts w:ascii="Arial" w:hAnsi="Arial"/>
          <w:sz w:val="22"/>
        </w:rPr>
        <w:t xml:space="preserve">Figure </w:t>
      </w:r>
      <w:r w:rsidR="009F29C0">
        <w:rPr>
          <w:rFonts w:ascii="Arial" w:hAnsi="Arial"/>
          <w:sz w:val="22"/>
        </w:rPr>
        <w:t>4</w:t>
      </w:r>
      <w:r>
        <w:rPr>
          <w:rFonts w:ascii="Arial" w:hAnsi="Arial"/>
          <w:sz w:val="22"/>
        </w:rPr>
        <w:t xml:space="preserve"> in the main text compares the relative</w:t>
      </w:r>
      <w:r w:rsidR="00183F75">
        <w:rPr>
          <w:rFonts w:ascii="Arial" w:hAnsi="Arial"/>
          <w:sz w:val="22"/>
        </w:rPr>
        <w:t xml:space="preserve"> expression of individual HERV-</w:t>
      </w:r>
      <w:proofErr w:type="gramStart"/>
      <w:r w:rsidR="00183F75">
        <w:rPr>
          <w:rFonts w:ascii="Arial" w:hAnsi="Arial"/>
          <w:sz w:val="22"/>
        </w:rPr>
        <w:t>K(</w:t>
      </w:r>
      <w:proofErr w:type="gramEnd"/>
      <w:r w:rsidR="00183F75">
        <w:rPr>
          <w:rFonts w:ascii="Arial" w:hAnsi="Arial"/>
          <w:sz w:val="22"/>
        </w:rPr>
        <w:t>HML-2) proviruses</w:t>
      </w:r>
      <w:r>
        <w:rPr>
          <w:rFonts w:ascii="Arial" w:hAnsi="Arial"/>
          <w:sz w:val="22"/>
        </w:rPr>
        <w:t xml:space="preserve"> with values taken from a range of other studies (cited in the main text). With one exception, t</w:t>
      </w:r>
      <w:r w:rsidRPr="00AA6392">
        <w:rPr>
          <w:rFonts w:ascii="Arial" w:hAnsi="Arial"/>
          <w:sz w:val="22"/>
        </w:rPr>
        <w:t xml:space="preserve">hese </w:t>
      </w:r>
      <w:r>
        <w:rPr>
          <w:rFonts w:ascii="Arial" w:hAnsi="Arial"/>
          <w:sz w:val="22"/>
        </w:rPr>
        <w:t xml:space="preserve">studies used </w:t>
      </w:r>
      <w:r w:rsidRPr="00AA6392">
        <w:rPr>
          <w:rFonts w:ascii="Arial" w:hAnsi="Arial"/>
          <w:sz w:val="22"/>
        </w:rPr>
        <w:t xml:space="preserve">methods that all involve an initial RT-PCR of a </w:t>
      </w:r>
      <w:r>
        <w:rPr>
          <w:rFonts w:ascii="Arial" w:hAnsi="Arial"/>
          <w:sz w:val="22"/>
        </w:rPr>
        <w:t xml:space="preserve">particular </w:t>
      </w:r>
      <w:r w:rsidRPr="00AA6392">
        <w:rPr>
          <w:rFonts w:ascii="Arial" w:hAnsi="Arial"/>
          <w:sz w:val="22"/>
        </w:rPr>
        <w:t>HERV</w:t>
      </w:r>
      <w:r w:rsidR="000E56A4">
        <w:rPr>
          <w:rFonts w:ascii="Arial" w:hAnsi="Arial"/>
          <w:sz w:val="22"/>
        </w:rPr>
        <w:t>-</w:t>
      </w:r>
      <w:proofErr w:type="gramStart"/>
      <w:r w:rsidRPr="00AA6392">
        <w:rPr>
          <w:rFonts w:ascii="Arial" w:hAnsi="Arial"/>
          <w:sz w:val="22"/>
        </w:rPr>
        <w:t>K</w:t>
      </w:r>
      <w:r w:rsidR="00183F75">
        <w:rPr>
          <w:rFonts w:ascii="Arial" w:hAnsi="Arial"/>
          <w:sz w:val="22"/>
        </w:rPr>
        <w:t>(</w:t>
      </w:r>
      <w:proofErr w:type="gramEnd"/>
      <w:r w:rsidR="00183F75">
        <w:rPr>
          <w:rFonts w:ascii="Arial" w:hAnsi="Arial"/>
          <w:sz w:val="22"/>
        </w:rPr>
        <w:t>HML-2)</w:t>
      </w:r>
      <w:r w:rsidRPr="00AA6392">
        <w:rPr>
          <w:rFonts w:ascii="Arial" w:hAnsi="Arial"/>
          <w:sz w:val="22"/>
        </w:rPr>
        <w:t xml:space="preserve"> region: (a) Sanger Sequencing following cloning plus direct NGS of HERV</w:t>
      </w:r>
      <w:r w:rsidR="000E56A4">
        <w:rPr>
          <w:rFonts w:ascii="Arial" w:hAnsi="Arial"/>
          <w:sz w:val="22"/>
        </w:rPr>
        <w:t>-</w:t>
      </w:r>
      <w:r w:rsidRPr="00AA6392">
        <w:rPr>
          <w:rFonts w:ascii="Arial" w:hAnsi="Arial"/>
          <w:sz w:val="22"/>
        </w:rPr>
        <w:t>K</w:t>
      </w:r>
      <w:r w:rsidR="00183F75">
        <w:rPr>
          <w:rFonts w:ascii="Arial" w:hAnsi="Arial"/>
          <w:sz w:val="22"/>
        </w:rPr>
        <w:t>(HML-2)</w:t>
      </w:r>
      <w:r w:rsidRPr="00AA6392">
        <w:rPr>
          <w:rFonts w:ascii="Arial" w:hAnsi="Arial"/>
          <w:sz w:val="22"/>
        </w:rPr>
        <w:t xml:space="preserve">-specific amplified cDNA from prostate tumours </w:t>
      </w:r>
      <w:r w:rsidRPr="00AA6392">
        <w:rPr>
          <w:rFonts w:ascii="Arial" w:hAnsi="Arial"/>
          <w:noProof/>
          <w:sz w:val="22"/>
        </w:rPr>
        <w:t>[1]</w:t>
      </w:r>
      <w:r w:rsidRPr="00AA6392">
        <w:rPr>
          <w:rFonts w:ascii="Arial" w:hAnsi="Arial"/>
          <w:sz w:val="22"/>
        </w:rPr>
        <w:t>, (b) SMRT (Single Molecule Real-Time) sequencing of HERV</w:t>
      </w:r>
      <w:r w:rsidR="000E56A4">
        <w:rPr>
          <w:rFonts w:ascii="Arial" w:hAnsi="Arial"/>
          <w:sz w:val="22"/>
        </w:rPr>
        <w:t>-</w:t>
      </w:r>
      <w:r w:rsidRPr="00AA6392">
        <w:rPr>
          <w:rFonts w:ascii="Arial" w:hAnsi="Arial"/>
          <w:sz w:val="22"/>
        </w:rPr>
        <w:t>K</w:t>
      </w:r>
      <w:r w:rsidR="00183F75">
        <w:rPr>
          <w:rFonts w:ascii="Arial" w:hAnsi="Arial"/>
          <w:sz w:val="22"/>
        </w:rPr>
        <w:t>(HML-2)</w:t>
      </w:r>
      <w:r w:rsidRPr="00AA6392">
        <w:rPr>
          <w:rFonts w:ascii="Arial" w:hAnsi="Arial"/>
          <w:sz w:val="22"/>
        </w:rPr>
        <w:t xml:space="preserve">-specific amplified cDNA from </w:t>
      </w:r>
      <w:r w:rsidRPr="00EA53DE">
        <w:rPr>
          <w:rFonts w:ascii="Arial" w:hAnsi="Arial"/>
          <w:sz w:val="22"/>
        </w:rPr>
        <w:t>pe</w:t>
      </w:r>
      <w:r>
        <w:rPr>
          <w:rFonts w:ascii="Arial" w:hAnsi="Arial"/>
          <w:sz w:val="22"/>
        </w:rPr>
        <w:t>ripheral blood mononuclear cells (</w:t>
      </w:r>
      <w:r w:rsidRPr="00AA6392">
        <w:rPr>
          <w:rFonts w:ascii="Arial" w:hAnsi="Arial"/>
          <w:sz w:val="22"/>
        </w:rPr>
        <w:t>PBMCs</w:t>
      </w:r>
      <w:r>
        <w:rPr>
          <w:rFonts w:ascii="Arial" w:hAnsi="Arial"/>
          <w:sz w:val="22"/>
        </w:rPr>
        <w:t>)</w:t>
      </w:r>
      <w:r w:rsidRPr="00AA6392">
        <w:rPr>
          <w:rFonts w:ascii="Arial" w:hAnsi="Arial"/>
          <w:sz w:val="22"/>
        </w:rPr>
        <w:t xml:space="preserve"> of healthy donors </w:t>
      </w:r>
      <w:r w:rsidRPr="00AA6392">
        <w:rPr>
          <w:rFonts w:ascii="Arial" w:hAnsi="Arial"/>
          <w:noProof/>
          <w:sz w:val="22"/>
        </w:rPr>
        <w:t>[2]</w:t>
      </w:r>
      <w:r w:rsidRPr="00AA6392">
        <w:rPr>
          <w:rFonts w:ascii="Arial" w:hAnsi="Arial"/>
          <w:sz w:val="22"/>
        </w:rPr>
        <w:t>, (c) Sanger Sequencing following cloning of HERV</w:t>
      </w:r>
      <w:r w:rsidR="000E56A4">
        <w:rPr>
          <w:rFonts w:ascii="Arial" w:hAnsi="Arial"/>
          <w:sz w:val="22"/>
        </w:rPr>
        <w:t>-</w:t>
      </w:r>
      <w:r w:rsidRPr="00AA6392">
        <w:rPr>
          <w:rFonts w:ascii="Arial" w:hAnsi="Arial"/>
          <w:sz w:val="22"/>
        </w:rPr>
        <w:t>K</w:t>
      </w:r>
      <w:r w:rsidR="00183F75">
        <w:rPr>
          <w:rFonts w:ascii="Arial" w:hAnsi="Arial"/>
          <w:sz w:val="22"/>
        </w:rPr>
        <w:t>(HML-2)</w:t>
      </w:r>
      <w:r w:rsidRPr="00AA6392">
        <w:rPr>
          <w:rFonts w:ascii="Arial" w:hAnsi="Arial"/>
          <w:sz w:val="22"/>
        </w:rPr>
        <w:t xml:space="preserve">-specific amplified cDNA from melanoma and associated lymph node metastases </w:t>
      </w:r>
      <w:r w:rsidRPr="00AA6392">
        <w:rPr>
          <w:rFonts w:ascii="Arial" w:hAnsi="Arial"/>
          <w:noProof/>
          <w:sz w:val="22"/>
        </w:rPr>
        <w:t>[3]</w:t>
      </w:r>
      <w:r w:rsidRPr="00AA6392">
        <w:rPr>
          <w:rFonts w:ascii="Arial" w:hAnsi="Arial"/>
          <w:sz w:val="22"/>
        </w:rPr>
        <w:t xml:space="preserve"> </w:t>
      </w:r>
      <w:r>
        <w:rPr>
          <w:rFonts w:ascii="Arial" w:hAnsi="Arial"/>
          <w:sz w:val="22"/>
        </w:rPr>
        <w:t>–</w:t>
      </w:r>
      <w:r w:rsidRPr="00AA6392">
        <w:rPr>
          <w:rFonts w:ascii="Arial" w:hAnsi="Arial"/>
          <w:sz w:val="22"/>
        </w:rPr>
        <w:t xml:space="preserve"> </w:t>
      </w:r>
      <w:r>
        <w:rPr>
          <w:rFonts w:ascii="Arial" w:hAnsi="Arial"/>
          <w:sz w:val="22"/>
        </w:rPr>
        <w:t xml:space="preserve">here </w:t>
      </w:r>
      <w:r w:rsidRPr="00AA6392">
        <w:rPr>
          <w:rFonts w:ascii="Arial" w:hAnsi="Arial"/>
          <w:sz w:val="22"/>
        </w:rPr>
        <w:t xml:space="preserve">we </w:t>
      </w:r>
      <w:r>
        <w:rPr>
          <w:rFonts w:ascii="Arial" w:hAnsi="Arial"/>
          <w:sz w:val="22"/>
        </w:rPr>
        <w:t xml:space="preserve">also </w:t>
      </w:r>
      <w:r w:rsidRPr="00AA6392">
        <w:rPr>
          <w:rFonts w:ascii="Arial" w:hAnsi="Arial"/>
          <w:sz w:val="22"/>
        </w:rPr>
        <w:t xml:space="preserve">pooled results from several other tumor types published in a later study by the same group </w:t>
      </w:r>
      <w:r w:rsidRPr="00AA6392">
        <w:rPr>
          <w:rFonts w:ascii="Arial" w:hAnsi="Arial"/>
          <w:noProof/>
          <w:sz w:val="22"/>
        </w:rPr>
        <w:t>[4]</w:t>
      </w:r>
      <w:r w:rsidRPr="00AA6392">
        <w:rPr>
          <w:rFonts w:ascii="Arial" w:hAnsi="Arial"/>
          <w:sz w:val="22"/>
        </w:rPr>
        <w:t xml:space="preserve">. </w:t>
      </w:r>
    </w:p>
    <w:p w:rsidR="00EA5F35" w:rsidRPr="00AA6392" w:rsidRDefault="00EA5F35" w:rsidP="00BD1D14">
      <w:pPr>
        <w:rPr>
          <w:rFonts w:ascii="Arial" w:hAnsi="Arial"/>
          <w:sz w:val="22"/>
        </w:rPr>
      </w:pPr>
      <w:r>
        <w:rPr>
          <w:rFonts w:ascii="Arial" w:hAnsi="Arial"/>
          <w:sz w:val="22"/>
        </w:rPr>
        <w:tab/>
        <w:t>Firstly, t</w:t>
      </w:r>
      <w:r w:rsidRPr="00AA6392">
        <w:rPr>
          <w:rFonts w:ascii="Arial" w:hAnsi="Arial"/>
          <w:sz w:val="22"/>
        </w:rPr>
        <w:t xml:space="preserve">here are a few nomenclatural problems in identifying </w:t>
      </w:r>
      <w:r w:rsidR="00183F75">
        <w:rPr>
          <w:rFonts w:ascii="Arial" w:hAnsi="Arial"/>
          <w:sz w:val="22"/>
        </w:rPr>
        <w:t>proviruses</w:t>
      </w:r>
      <w:r w:rsidRPr="00AA6392">
        <w:rPr>
          <w:rFonts w:ascii="Arial" w:hAnsi="Arial"/>
          <w:sz w:val="22"/>
        </w:rPr>
        <w:t xml:space="preserve"> across studies. Converting the hg18 coordinates in Schmitt et al. </w:t>
      </w:r>
      <w:r w:rsidRPr="00AA6392">
        <w:rPr>
          <w:rFonts w:ascii="Arial" w:hAnsi="Arial"/>
          <w:noProof/>
          <w:sz w:val="22"/>
        </w:rPr>
        <w:t>[3]</w:t>
      </w:r>
      <w:r w:rsidRPr="00AA6392">
        <w:rPr>
          <w:rFonts w:ascii="Arial" w:hAnsi="Arial"/>
          <w:sz w:val="22"/>
        </w:rPr>
        <w:t xml:space="preserve"> to hg19 allowed us to identify and use the Subramanian et al. </w:t>
      </w:r>
      <w:r w:rsidRPr="00AA6392">
        <w:rPr>
          <w:rFonts w:ascii="Arial" w:hAnsi="Arial"/>
          <w:noProof/>
          <w:sz w:val="22"/>
        </w:rPr>
        <w:t>[5]</w:t>
      </w:r>
      <w:r w:rsidRPr="00AA6392">
        <w:rPr>
          <w:rFonts w:ascii="Arial" w:hAnsi="Arial"/>
          <w:sz w:val="22"/>
        </w:rPr>
        <w:t xml:space="preserve"> nomenclature for results in that study: of note, ERVK-14 is 7q22.2, ERVK-26 is 8p23.1d; ERVK-28 is 19q11 (although reported as ERVK-19 in </w:t>
      </w:r>
      <w:r w:rsidRPr="00AA6392">
        <w:rPr>
          <w:rFonts w:ascii="Arial" w:hAnsi="Arial"/>
          <w:noProof/>
          <w:sz w:val="22"/>
        </w:rPr>
        <w:t>[5]</w:t>
      </w:r>
      <w:r w:rsidRPr="00AA6392">
        <w:rPr>
          <w:rFonts w:ascii="Arial" w:hAnsi="Arial"/>
          <w:sz w:val="22"/>
        </w:rPr>
        <w:t xml:space="preserve"> it has the full-length </w:t>
      </w:r>
      <w:r w:rsidRPr="00AA6392">
        <w:rPr>
          <w:rFonts w:ascii="Arial" w:hAnsi="Arial"/>
          <w:i/>
          <w:sz w:val="22"/>
        </w:rPr>
        <w:t>gag</w:t>
      </w:r>
      <w:r w:rsidRPr="00AA6392">
        <w:rPr>
          <w:rFonts w:ascii="Arial" w:hAnsi="Arial"/>
          <w:sz w:val="22"/>
        </w:rPr>
        <w:t xml:space="preserve"> and </w:t>
      </w:r>
      <w:r w:rsidRPr="00AA6392">
        <w:rPr>
          <w:rFonts w:ascii="Arial" w:hAnsi="Arial"/>
          <w:i/>
          <w:sz w:val="22"/>
        </w:rPr>
        <w:t>env</w:t>
      </w:r>
      <w:r w:rsidRPr="00AA6392">
        <w:rPr>
          <w:rFonts w:ascii="Arial" w:hAnsi="Arial"/>
          <w:sz w:val="22"/>
        </w:rPr>
        <w:t xml:space="preserve"> ORFs reported in </w:t>
      </w:r>
      <w:r>
        <w:rPr>
          <w:rFonts w:ascii="Arial" w:hAnsi="Arial"/>
          <w:sz w:val="22"/>
        </w:rPr>
        <w:t xml:space="preserve">the </w:t>
      </w:r>
      <w:r w:rsidRPr="00AA6392">
        <w:rPr>
          <w:rFonts w:ascii="Arial" w:hAnsi="Arial"/>
          <w:sz w:val="22"/>
        </w:rPr>
        <w:t>Schmitt et al.</w:t>
      </w:r>
      <w:r>
        <w:rPr>
          <w:rFonts w:ascii="Arial" w:hAnsi="Arial"/>
          <w:sz w:val="22"/>
        </w:rPr>
        <w:t xml:space="preserve"> study</w:t>
      </w:r>
      <w:r w:rsidRPr="00AA6392">
        <w:rPr>
          <w:rFonts w:ascii="Arial" w:hAnsi="Arial"/>
          <w:sz w:val="22"/>
        </w:rPr>
        <w:t xml:space="preserve">); ERVK29 is 19q13.12b (as is the ERVK29 of </w:t>
      </w:r>
      <w:r w:rsidRPr="00AA6392">
        <w:rPr>
          <w:rFonts w:ascii="Arial" w:hAnsi="Arial"/>
          <w:noProof/>
          <w:sz w:val="22"/>
        </w:rPr>
        <w:t>[1]</w:t>
      </w:r>
      <w:r w:rsidRPr="00AA6392">
        <w:rPr>
          <w:rFonts w:ascii="Arial" w:hAnsi="Arial"/>
          <w:sz w:val="22"/>
        </w:rPr>
        <w:t xml:space="preserve">). Because of sequence similarity in the amplified region, HERV-K27 and HML-2_8p23.1 (our 8p23.1b and 8p23.1c respectively) were not distinguished in the results of </w:t>
      </w:r>
      <w:r>
        <w:rPr>
          <w:rFonts w:ascii="Arial" w:hAnsi="Arial"/>
          <w:sz w:val="22"/>
        </w:rPr>
        <w:t xml:space="preserve">Goering at el. </w:t>
      </w:r>
      <w:r w:rsidRPr="00AA6392">
        <w:rPr>
          <w:rFonts w:ascii="Arial" w:hAnsi="Arial"/>
          <w:noProof/>
          <w:sz w:val="22"/>
        </w:rPr>
        <w:t>[1]</w:t>
      </w:r>
      <w:r w:rsidRPr="00AA6392">
        <w:rPr>
          <w:rFonts w:ascii="Arial" w:hAnsi="Arial"/>
          <w:sz w:val="22"/>
        </w:rPr>
        <w:t xml:space="preserve">, so we distributed the (few) reads equally between the two </w:t>
      </w:r>
      <w:r w:rsidR="00183F75">
        <w:rPr>
          <w:rFonts w:ascii="Arial" w:hAnsi="Arial"/>
          <w:sz w:val="22"/>
        </w:rPr>
        <w:t>proviruses</w:t>
      </w:r>
      <w:r w:rsidRPr="00AA6392">
        <w:rPr>
          <w:rFonts w:ascii="Arial" w:hAnsi="Arial"/>
          <w:sz w:val="22"/>
        </w:rPr>
        <w:t xml:space="preserve">. </w:t>
      </w:r>
    </w:p>
    <w:p w:rsidR="00EA5F35" w:rsidRDefault="00EA5F35" w:rsidP="00BD1D14">
      <w:pPr>
        <w:rPr>
          <w:rFonts w:ascii="Arial" w:hAnsi="Arial"/>
          <w:sz w:val="22"/>
        </w:rPr>
      </w:pPr>
      <w:r>
        <w:rPr>
          <w:rFonts w:ascii="Arial" w:hAnsi="Arial"/>
          <w:sz w:val="22"/>
        </w:rPr>
        <w:tab/>
      </w:r>
      <w:r w:rsidRPr="00AA6392">
        <w:rPr>
          <w:rFonts w:ascii="Arial" w:hAnsi="Arial"/>
          <w:sz w:val="22"/>
        </w:rPr>
        <w:t xml:space="preserve">Comparisons between tissues are made harder by differences in the experimental method used. As mentioned in the main text, a </w:t>
      </w:r>
      <w:r w:rsidR="00183F75">
        <w:rPr>
          <w:rFonts w:ascii="Arial" w:hAnsi="Arial"/>
          <w:sz w:val="22"/>
        </w:rPr>
        <w:t>provirus</w:t>
      </w:r>
      <w:r w:rsidRPr="00AA6392">
        <w:rPr>
          <w:rFonts w:ascii="Arial" w:hAnsi="Arial"/>
          <w:sz w:val="22"/>
        </w:rPr>
        <w:t xml:space="preserve"> we find to be highly expressed is missed in the healthy lymphocyte study because it lacks the primer binding sites. Also, comparing the results of SMRT and Sanger Sequencing of cloned cDNA transcripts on the same Prostate cell lines shows very large differences (fig. 2</w:t>
      </w:r>
      <w:r>
        <w:rPr>
          <w:rFonts w:ascii="Arial" w:hAnsi="Arial"/>
          <w:sz w:val="22"/>
        </w:rPr>
        <w:t xml:space="preserve"> in the Goering et al. study</w:t>
      </w:r>
      <w:r w:rsidRPr="00AA6392">
        <w:rPr>
          <w:rFonts w:ascii="Arial" w:hAnsi="Arial"/>
          <w:sz w:val="22"/>
        </w:rPr>
        <w:t xml:space="preserve"> </w:t>
      </w:r>
      <w:r w:rsidRPr="00AA6392">
        <w:rPr>
          <w:rFonts w:ascii="Arial" w:hAnsi="Arial"/>
          <w:noProof/>
          <w:sz w:val="22"/>
        </w:rPr>
        <w:t>[1]</w:t>
      </w:r>
      <w:r w:rsidRPr="00AA6392">
        <w:rPr>
          <w:rFonts w:ascii="Arial" w:hAnsi="Arial"/>
          <w:sz w:val="22"/>
        </w:rPr>
        <w:t xml:space="preserve">). This is due to different primer sequences being used: SMRT follows RT-PCR using primers matching the common </w:t>
      </w:r>
      <w:r w:rsidR="00183F75">
        <w:rPr>
          <w:rFonts w:ascii="Arial" w:hAnsi="Arial"/>
          <w:sz w:val="22"/>
        </w:rPr>
        <w:t>provirus</w:t>
      </w:r>
      <w:r w:rsidRPr="00AA6392">
        <w:rPr>
          <w:rFonts w:ascii="Arial" w:hAnsi="Arial"/>
          <w:sz w:val="22"/>
        </w:rPr>
        <w:t xml:space="preserve"> 22q11.23 (dark blue in figure </w:t>
      </w:r>
      <w:r w:rsidR="009F29C0">
        <w:rPr>
          <w:rFonts w:ascii="Arial" w:hAnsi="Arial"/>
          <w:sz w:val="22"/>
        </w:rPr>
        <w:t>4</w:t>
      </w:r>
      <w:r w:rsidRPr="00AA6392">
        <w:rPr>
          <w:rFonts w:ascii="Arial" w:hAnsi="Arial"/>
          <w:sz w:val="22"/>
        </w:rPr>
        <w:t xml:space="preserve">, also called </w:t>
      </w:r>
      <w:r w:rsidR="00183F75">
        <w:rPr>
          <w:rFonts w:ascii="Arial" w:hAnsi="Arial"/>
          <w:sz w:val="22"/>
        </w:rPr>
        <w:t>provirus</w:t>
      </w:r>
      <w:r w:rsidRPr="00AA6392">
        <w:rPr>
          <w:rFonts w:ascii="Arial" w:hAnsi="Arial"/>
          <w:sz w:val="22"/>
        </w:rPr>
        <w:t xml:space="preserve"> "H22q") while the Sanger sequencing follows RT-PCR using primers from</w:t>
      </w:r>
      <w:r>
        <w:rPr>
          <w:rFonts w:ascii="Arial" w:hAnsi="Arial"/>
          <w:sz w:val="22"/>
        </w:rPr>
        <w:t xml:space="preserve"> </w:t>
      </w:r>
      <w:r w:rsidRPr="00BD1D14">
        <w:rPr>
          <w:rFonts w:ascii="Arial" w:hAnsi="Arial"/>
          <w:noProof/>
          <w:sz w:val="22"/>
        </w:rPr>
        <w:t>Schmitt</w:t>
      </w:r>
      <w:r>
        <w:rPr>
          <w:rFonts w:ascii="Arial" w:hAnsi="Arial"/>
          <w:noProof/>
          <w:sz w:val="22"/>
        </w:rPr>
        <w:t xml:space="preserve"> et al.</w:t>
      </w:r>
      <w:r w:rsidRPr="00AA6392">
        <w:rPr>
          <w:rFonts w:ascii="Arial" w:hAnsi="Arial"/>
          <w:sz w:val="22"/>
        </w:rPr>
        <w:t xml:space="preserve"> </w:t>
      </w:r>
      <w:r w:rsidRPr="00AA6392">
        <w:rPr>
          <w:rFonts w:ascii="Arial" w:hAnsi="Arial"/>
          <w:noProof/>
          <w:sz w:val="22"/>
        </w:rPr>
        <w:t>[3]</w:t>
      </w:r>
      <w:r w:rsidRPr="00AA6392">
        <w:rPr>
          <w:rFonts w:ascii="Arial" w:hAnsi="Arial"/>
          <w:sz w:val="22"/>
        </w:rPr>
        <w:t xml:space="preserve"> that have 4-8 mismatches with this </w:t>
      </w:r>
      <w:r w:rsidR="00183F75">
        <w:rPr>
          <w:rFonts w:ascii="Arial" w:hAnsi="Arial"/>
          <w:sz w:val="22"/>
        </w:rPr>
        <w:t>provirus</w:t>
      </w:r>
      <w:r w:rsidRPr="00AA6392">
        <w:rPr>
          <w:rFonts w:ascii="Arial" w:hAnsi="Arial"/>
          <w:sz w:val="22"/>
        </w:rPr>
        <w:t xml:space="preserve"> </w:t>
      </w:r>
      <w:r w:rsidRPr="00AA6392">
        <w:rPr>
          <w:rFonts w:ascii="Arial" w:hAnsi="Arial"/>
          <w:noProof/>
          <w:sz w:val="22"/>
        </w:rPr>
        <w:t>[1]</w:t>
      </w:r>
      <w:r w:rsidRPr="00AA6392">
        <w:rPr>
          <w:rFonts w:ascii="Arial" w:hAnsi="Arial"/>
          <w:sz w:val="22"/>
        </w:rPr>
        <w:t>. The high expression of 22q11.23 in prostate and testes cancer is driven almost entirely by an upstream second HER</w:t>
      </w:r>
      <w:r w:rsidR="000E56A4">
        <w:rPr>
          <w:rFonts w:ascii="Arial" w:hAnsi="Arial"/>
          <w:sz w:val="22"/>
        </w:rPr>
        <w:t>-</w:t>
      </w:r>
      <w:r w:rsidRPr="00AA6392">
        <w:rPr>
          <w:rFonts w:ascii="Arial" w:hAnsi="Arial"/>
          <w:sz w:val="22"/>
        </w:rPr>
        <w:t xml:space="preserve">V </w:t>
      </w:r>
      <w:r w:rsidR="00183F75">
        <w:rPr>
          <w:rFonts w:ascii="Arial" w:hAnsi="Arial"/>
          <w:sz w:val="22"/>
        </w:rPr>
        <w:t>provirus</w:t>
      </w:r>
      <w:r w:rsidRPr="00AA6392">
        <w:rPr>
          <w:rFonts w:ascii="Arial" w:hAnsi="Arial"/>
          <w:sz w:val="22"/>
        </w:rPr>
        <w:t xml:space="preserve"> creating an identified lincRNA (Long Intervening NonCoding RNA) </w:t>
      </w:r>
      <w:r w:rsidRPr="00AA6392">
        <w:rPr>
          <w:rFonts w:ascii="Arial" w:hAnsi="Arial"/>
          <w:noProof/>
          <w:sz w:val="22"/>
        </w:rPr>
        <w:t>[6]</w:t>
      </w:r>
      <w:r w:rsidRPr="00AA6392">
        <w:rPr>
          <w:rFonts w:ascii="Arial" w:hAnsi="Arial"/>
          <w:sz w:val="22"/>
        </w:rPr>
        <w:t xml:space="preserve"> – which it could be argued is therefore not a lincRNA </w:t>
      </w:r>
      <w:r w:rsidRPr="00AA6392">
        <w:rPr>
          <w:rFonts w:ascii="Arial" w:hAnsi="Arial"/>
          <w:noProof/>
          <w:sz w:val="22"/>
        </w:rPr>
        <w:t>[1]</w:t>
      </w:r>
      <w:r w:rsidRPr="00AA6392">
        <w:rPr>
          <w:rFonts w:ascii="Arial" w:hAnsi="Arial"/>
          <w:sz w:val="22"/>
        </w:rPr>
        <w:t xml:space="preserve">. Similarly, the teratocarcinoma RNA-Seq dataset shows high expression of the </w:t>
      </w:r>
      <w:r w:rsidR="00183F75">
        <w:rPr>
          <w:rFonts w:ascii="Arial" w:hAnsi="Arial"/>
          <w:sz w:val="22"/>
        </w:rPr>
        <w:t>proviruses</w:t>
      </w:r>
      <w:r w:rsidRPr="00AA6392">
        <w:rPr>
          <w:rFonts w:ascii="Arial" w:hAnsi="Arial"/>
          <w:sz w:val="22"/>
        </w:rPr>
        <w:t xml:space="preserve"> 19p12c and 22q11.23, but these do not appear in the seminoma in figure </w:t>
      </w:r>
      <w:r w:rsidR="009F29C0">
        <w:rPr>
          <w:rFonts w:ascii="Arial" w:hAnsi="Arial"/>
          <w:sz w:val="22"/>
        </w:rPr>
        <w:t>4</w:t>
      </w:r>
      <w:r w:rsidRPr="00AA6392">
        <w:rPr>
          <w:rFonts w:ascii="Arial" w:hAnsi="Arial"/>
          <w:sz w:val="22"/>
        </w:rPr>
        <w:t xml:space="preserve"> because they were not scored in that study.</w:t>
      </w:r>
    </w:p>
    <w:p w:rsidR="00EA5F35" w:rsidRDefault="00EA5F35" w:rsidP="007775B8">
      <w:pPr>
        <w:rPr>
          <w:rFonts w:ascii="Arial" w:hAnsi="Arial"/>
          <w:sz w:val="22"/>
        </w:rPr>
      </w:pPr>
      <w:r>
        <w:rPr>
          <w:rFonts w:ascii="Arial" w:hAnsi="Arial"/>
          <w:sz w:val="22"/>
        </w:rPr>
        <w:tab/>
      </w:r>
      <w:r w:rsidRPr="00AA6392">
        <w:rPr>
          <w:rFonts w:ascii="Arial" w:hAnsi="Arial"/>
          <w:sz w:val="22"/>
        </w:rPr>
        <w:t xml:space="preserve">The </w:t>
      </w:r>
      <w:r>
        <w:rPr>
          <w:rFonts w:ascii="Arial" w:hAnsi="Arial"/>
          <w:sz w:val="22"/>
        </w:rPr>
        <w:t xml:space="preserve">relatively </w:t>
      </w:r>
      <w:r w:rsidRPr="00AA6392">
        <w:rPr>
          <w:rFonts w:ascii="Arial" w:hAnsi="Arial"/>
          <w:sz w:val="22"/>
        </w:rPr>
        <w:t>high expression of 1q32.2 in ou</w:t>
      </w:r>
      <w:r>
        <w:rPr>
          <w:rFonts w:ascii="Arial" w:hAnsi="Arial"/>
          <w:sz w:val="22"/>
        </w:rPr>
        <w:t xml:space="preserve">r Rec1 is puzzling because this </w:t>
      </w:r>
      <w:r w:rsidR="00183F75">
        <w:rPr>
          <w:rFonts w:ascii="Arial" w:hAnsi="Arial"/>
          <w:sz w:val="22"/>
        </w:rPr>
        <w:t>provirus</w:t>
      </w:r>
      <w:r>
        <w:rPr>
          <w:rFonts w:ascii="Arial" w:hAnsi="Arial"/>
          <w:sz w:val="22"/>
        </w:rPr>
        <w:t xml:space="preserve"> lacks the 5' LTR, </w:t>
      </w:r>
      <w:r w:rsidRPr="00AA6392">
        <w:rPr>
          <w:rFonts w:ascii="Arial" w:hAnsi="Arial"/>
          <w:sz w:val="22"/>
        </w:rPr>
        <w:t>which contains the promoter motifs</w:t>
      </w:r>
      <w:r>
        <w:rPr>
          <w:rFonts w:ascii="Arial" w:hAnsi="Arial"/>
          <w:sz w:val="22"/>
        </w:rPr>
        <w:t>. In theory, high e</w:t>
      </w:r>
      <w:r w:rsidRPr="00AA6392">
        <w:rPr>
          <w:rFonts w:ascii="Arial" w:hAnsi="Arial"/>
          <w:sz w:val="22"/>
        </w:rPr>
        <w:t xml:space="preserve">xpression might </w:t>
      </w:r>
      <w:r>
        <w:rPr>
          <w:rFonts w:ascii="Arial" w:hAnsi="Arial"/>
          <w:sz w:val="22"/>
        </w:rPr>
        <w:t>result from it</w:t>
      </w:r>
      <w:r w:rsidRPr="00AA6392">
        <w:rPr>
          <w:rFonts w:ascii="Arial" w:hAnsi="Arial"/>
          <w:sz w:val="22"/>
        </w:rPr>
        <w:t xml:space="preserve"> by being within the last intron of the CR1 gene or </w:t>
      </w:r>
      <w:r>
        <w:rPr>
          <w:rFonts w:ascii="Arial" w:hAnsi="Arial"/>
          <w:sz w:val="22"/>
        </w:rPr>
        <w:t xml:space="preserve">an unidentified long non-coding </w:t>
      </w:r>
      <w:r w:rsidRPr="00AA6392">
        <w:rPr>
          <w:rFonts w:ascii="Arial" w:hAnsi="Arial"/>
          <w:sz w:val="22"/>
        </w:rPr>
        <w:t xml:space="preserve">RNAs </w:t>
      </w:r>
      <w:r>
        <w:rPr>
          <w:rFonts w:ascii="Arial" w:hAnsi="Arial"/>
          <w:sz w:val="22"/>
        </w:rPr>
        <w:t xml:space="preserve">derived </w:t>
      </w:r>
      <w:r w:rsidRPr="00AA6392">
        <w:rPr>
          <w:rFonts w:ascii="Arial" w:hAnsi="Arial"/>
          <w:sz w:val="22"/>
        </w:rPr>
        <w:t>from the multiple nearby Alu elements</w:t>
      </w:r>
      <w:r>
        <w:rPr>
          <w:rFonts w:ascii="Arial" w:hAnsi="Arial"/>
          <w:sz w:val="22"/>
        </w:rPr>
        <w:t xml:space="preserve"> (</w:t>
      </w:r>
      <w:r w:rsidRPr="00AA6392">
        <w:rPr>
          <w:rFonts w:ascii="Arial" w:hAnsi="Arial"/>
          <w:sz w:val="22"/>
        </w:rPr>
        <w:t>the very close LTR belonging to another ERV lineage – 913bp upstream – is in reverse orientation)</w:t>
      </w:r>
      <w:r>
        <w:rPr>
          <w:rFonts w:ascii="Arial" w:hAnsi="Arial"/>
          <w:sz w:val="22"/>
        </w:rPr>
        <w:t>. More detailed analysis of the reads could resolve this question. However, we note that a much smaller proportion of reads were assigned to HERV</w:t>
      </w:r>
      <w:r w:rsidR="000E56A4">
        <w:rPr>
          <w:rFonts w:ascii="Arial" w:hAnsi="Arial"/>
          <w:sz w:val="22"/>
        </w:rPr>
        <w:t>-</w:t>
      </w:r>
      <w:proofErr w:type="gramStart"/>
      <w:r>
        <w:rPr>
          <w:rFonts w:ascii="Arial" w:hAnsi="Arial"/>
          <w:sz w:val="22"/>
        </w:rPr>
        <w:t>K</w:t>
      </w:r>
      <w:r w:rsidR="00183F75">
        <w:rPr>
          <w:rFonts w:ascii="Arial" w:hAnsi="Arial"/>
          <w:sz w:val="22"/>
        </w:rPr>
        <w:t>(</w:t>
      </w:r>
      <w:proofErr w:type="gramEnd"/>
      <w:r w:rsidR="00183F75">
        <w:rPr>
          <w:rFonts w:ascii="Arial" w:hAnsi="Arial"/>
          <w:sz w:val="22"/>
        </w:rPr>
        <w:t>HML-2)</w:t>
      </w:r>
      <w:r>
        <w:rPr>
          <w:rFonts w:ascii="Arial" w:hAnsi="Arial"/>
          <w:sz w:val="22"/>
        </w:rPr>
        <w:t xml:space="preserve"> than in the other cell lines and this </w:t>
      </w:r>
      <w:r w:rsidR="00183F75">
        <w:rPr>
          <w:rFonts w:ascii="Arial" w:hAnsi="Arial"/>
          <w:sz w:val="22"/>
        </w:rPr>
        <w:t>provirus</w:t>
      </w:r>
      <w:r>
        <w:rPr>
          <w:rFonts w:ascii="Arial" w:hAnsi="Arial"/>
          <w:sz w:val="22"/>
        </w:rPr>
        <w:t xml:space="preserve"> </w:t>
      </w:r>
      <w:r w:rsidRPr="00AA6392">
        <w:rPr>
          <w:rFonts w:ascii="Arial" w:hAnsi="Arial"/>
          <w:sz w:val="22"/>
        </w:rPr>
        <w:t>is not highly expressed (&lt;5%</w:t>
      </w:r>
      <w:r>
        <w:rPr>
          <w:rFonts w:ascii="Arial" w:hAnsi="Arial"/>
          <w:sz w:val="22"/>
        </w:rPr>
        <w:t xml:space="preserve"> of RPKM</w:t>
      </w:r>
      <w:r w:rsidRPr="00AA6392">
        <w:rPr>
          <w:rFonts w:ascii="Arial" w:hAnsi="Arial"/>
          <w:sz w:val="22"/>
        </w:rPr>
        <w:t>) in another Rec1 dataset from the SRA</w:t>
      </w:r>
      <w:r>
        <w:rPr>
          <w:rFonts w:ascii="Arial" w:hAnsi="Arial"/>
          <w:sz w:val="22"/>
        </w:rPr>
        <w:t xml:space="preserve"> (SRX378549; unpublished; not shown).</w:t>
      </w:r>
    </w:p>
    <w:p w:rsidR="00553471" w:rsidRDefault="00553471"/>
    <w:p w:rsidR="00EA5F35" w:rsidRPr="00553471" w:rsidRDefault="00553471">
      <w:pPr>
        <w:rPr>
          <w:rFonts w:ascii="Arial" w:hAnsi="Arial"/>
          <w:b/>
        </w:rPr>
      </w:pPr>
      <w:r w:rsidRPr="00553471">
        <w:rPr>
          <w:rFonts w:ascii="Arial" w:hAnsi="Arial"/>
          <w:b/>
        </w:rPr>
        <w:t>References</w:t>
      </w:r>
    </w:p>
    <w:p w:rsidR="00EA5F35" w:rsidRPr="00BD1D14" w:rsidRDefault="00EA5F35">
      <w:pPr>
        <w:rPr>
          <w:rFonts w:ascii="Arial" w:hAnsi="Arial"/>
          <w:sz w:val="22"/>
        </w:rPr>
      </w:pPr>
    </w:p>
    <w:p w:rsidR="00EA5F35" w:rsidRPr="00C0046D" w:rsidRDefault="00EA5F35" w:rsidP="00BD1D14">
      <w:pPr>
        <w:ind w:left="720" w:hanging="720"/>
        <w:rPr>
          <w:rFonts w:ascii="Arial" w:hAnsi="Arial"/>
          <w:noProof/>
          <w:sz w:val="22"/>
        </w:rPr>
      </w:pPr>
      <w:r w:rsidRPr="00BD1D14">
        <w:rPr>
          <w:rFonts w:ascii="Arial" w:hAnsi="Arial"/>
          <w:noProof/>
          <w:sz w:val="22"/>
        </w:rPr>
        <w:t>1.</w:t>
      </w:r>
      <w:r w:rsidRPr="00BD1D14">
        <w:rPr>
          <w:rFonts w:ascii="Arial" w:hAnsi="Arial"/>
          <w:noProof/>
          <w:sz w:val="22"/>
        </w:rPr>
        <w:tab/>
      </w:r>
      <w:r w:rsidRPr="00C0046D">
        <w:rPr>
          <w:rFonts w:ascii="Arial" w:hAnsi="Arial"/>
          <w:noProof/>
          <w:sz w:val="22"/>
        </w:rPr>
        <w:t xml:space="preserve">Goering W, Schmitt K, Dostert M, Schaal H, Deenen R, Mayer J, Schulz WA: Human endogenous retrovirus HERV-K(HML-2) activity in prostate cancer is dominated by a few loci. </w:t>
      </w:r>
      <w:r w:rsidRPr="00C0046D">
        <w:rPr>
          <w:rFonts w:ascii="Arial" w:hAnsi="Arial"/>
          <w:i/>
          <w:noProof/>
          <w:sz w:val="22"/>
        </w:rPr>
        <w:t xml:space="preserve">Prostate </w:t>
      </w:r>
      <w:r w:rsidRPr="00C0046D">
        <w:rPr>
          <w:rFonts w:ascii="Arial" w:hAnsi="Arial"/>
          <w:noProof/>
          <w:sz w:val="22"/>
        </w:rPr>
        <w:t>2015, 75:1958-1971.</w:t>
      </w:r>
    </w:p>
    <w:p w:rsidR="00EA5F35" w:rsidRPr="00C0046D" w:rsidRDefault="00EA5F35" w:rsidP="00BD1D14">
      <w:pPr>
        <w:ind w:left="720" w:hanging="720"/>
        <w:rPr>
          <w:rFonts w:ascii="Arial" w:hAnsi="Arial"/>
          <w:noProof/>
          <w:sz w:val="22"/>
        </w:rPr>
      </w:pPr>
      <w:r w:rsidRPr="00C0046D">
        <w:rPr>
          <w:rFonts w:ascii="Arial" w:hAnsi="Arial"/>
          <w:noProof/>
          <w:sz w:val="22"/>
        </w:rPr>
        <w:t>2.</w:t>
      </w:r>
      <w:r w:rsidRPr="00C0046D">
        <w:rPr>
          <w:rFonts w:ascii="Arial" w:hAnsi="Arial"/>
          <w:noProof/>
          <w:sz w:val="22"/>
        </w:rPr>
        <w:tab/>
        <w:t xml:space="preserve">Brinzevich D, Young GR, Sebra R, Ayllon J, Maio SM, Deikus G, Chen BK, Fernandez-Sesma A, Simon V, Mulder LCF: HIV-1 interacts with Human Endogenous Retrovirus K (HML-2) Envelopes derived from human primary lymphocytes. </w:t>
      </w:r>
      <w:r w:rsidRPr="00C0046D">
        <w:rPr>
          <w:rFonts w:ascii="Arial" w:hAnsi="Arial"/>
          <w:i/>
          <w:noProof/>
          <w:sz w:val="22"/>
        </w:rPr>
        <w:t xml:space="preserve">J Virol </w:t>
      </w:r>
      <w:r w:rsidRPr="00C0046D">
        <w:rPr>
          <w:rFonts w:ascii="Arial" w:hAnsi="Arial"/>
          <w:noProof/>
          <w:sz w:val="22"/>
        </w:rPr>
        <w:t>2014, 88:6213-6223.</w:t>
      </w:r>
    </w:p>
    <w:p w:rsidR="00EA5F35" w:rsidRPr="00C0046D" w:rsidRDefault="00EA5F35" w:rsidP="00BD1D14">
      <w:pPr>
        <w:ind w:left="720" w:hanging="720"/>
        <w:rPr>
          <w:rFonts w:ascii="Arial" w:hAnsi="Arial"/>
          <w:noProof/>
          <w:sz w:val="22"/>
        </w:rPr>
      </w:pPr>
      <w:r w:rsidRPr="00C0046D">
        <w:rPr>
          <w:rFonts w:ascii="Arial" w:hAnsi="Arial"/>
          <w:noProof/>
          <w:sz w:val="22"/>
        </w:rPr>
        <w:t>3.</w:t>
      </w:r>
      <w:r w:rsidRPr="00C0046D">
        <w:rPr>
          <w:rFonts w:ascii="Arial" w:hAnsi="Arial"/>
          <w:noProof/>
          <w:sz w:val="22"/>
        </w:rPr>
        <w:tab/>
        <w:t xml:space="preserve">Schmitt K, Reichrath J, Roesch A, Meese E, Mayer J: Transcriptional profiling of Human Endogenous Retrovirus group HERV-K(HML-2) loci in melanoma. </w:t>
      </w:r>
      <w:r w:rsidRPr="00C0046D">
        <w:rPr>
          <w:rFonts w:ascii="Arial" w:hAnsi="Arial"/>
          <w:i/>
          <w:noProof/>
          <w:sz w:val="22"/>
        </w:rPr>
        <w:t xml:space="preserve">Genome Biol Evol </w:t>
      </w:r>
      <w:r w:rsidRPr="00C0046D">
        <w:rPr>
          <w:rFonts w:ascii="Arial" w:hAnsi="Arial"/>
          <w:noProof/>
          <w:sz w:val="22"/>
        </w:rPr>
        <w:t>2013, 5:307-328.</w:t>
      </w:r>
    </w:p>
    <w:p w:rsidR="00EA5F35" w:rsidRPr="00C0046D" w:rsidRDefault="00EA5F35" w:rsidP="00BD1D14">
      <w:pPr>
        <w:ind w:left="720" w:hanging="720"/>
        <w:rPr>
          <w:rFonts w:ascii="Arial" w:hAnsi="Arial"/>
          <w:noProof/>
          <w:sz w:val="22"/>
        </w:rPr>
      </w:pPr>
      <w:r w:rsidRPr="00C0046D">
        <w:rPr>
          <w:rFonts w:ascii="Arial" w:hAnsi="Arial"/>
          <w:noProof/>
          <w:sz w:val="22"/>
        </w:rPr>
        <w:t>4.</w:t>
      </w:r>
      <w:r w:rsidRPr="00C0046D">
        <w:rPr>
          <w:rFonts w:ascii="Arial" w:hAnsi="Arial"/>
          <w:noProof/>
          <w:sz w:val="22"/>
        </w:rPr>
        <w:tab/>
        <w:t>Flockerzi A, Ruggieri A, Frank O, Sauter M, Maldener E, Kopper B, Wullich B, Seifarth W, Müller-Lantzsch N, Leib-Mösch C</w:t>
      </w:r>
      <w:r w:rsidRPr="00C0046D">
        <w:rPr>
          <w:rFonts w:ascii="Arial" w:hAnsi="Arial"/>
          <w:i/>
          <w:noProof/>
          <w:sz w:val="22"/>
        </w:rPr>
        <w:t xml:space="preserve"> et al</w:t>
      </w:r>
      <w:r w:rsidRPr="00C0046D">
        <w:rPr>
          <w:rFonts w:ascii="Arial" w:hAnsi="Arial"/>
          <w:noProof/>
          <w:sz w:val="22"/>
        </w:rPr>
        <w:t xml:space="preserve">: Expression patterns of transcribed human endogenous retrovirus HERV-K(HML-2) loci in human tissues and the need for a HERV Transcriptome Project. </w:t>
      </w:r>
      <w:r w:rsidRPr="00C0046D">
        <w:rPr>
          <w:rFonts w:ascii="Arial" w:hAnsi="Arial"/>
          <w:i/>
          <w:noProof/>
          <w:sz w:val="22"/>
        </w:rPr>
        <w:t xml:space="preserve">BMC Genomics </w:t>
      </w:r>
      <w:r w:rsidRPr="00C0046D">
        <w:rPr>
          <w:rFonts w:ascii="Arial" w:hAnsi="Arial"/>
          <w:noProof/>
          <w:sz w:val="22"/>
        </w:rPr>
        <w:t>2008, 9:354.</w:t>
      </w:r>
    </w:p>
    <w:p w:rsidR="00EA5F35" w:rsidRPr="00C0046D" w:rsidRDefault="00EA5F35" w:rsidP="00BD1D14">
      <w:pPr>
        <w:ind w:left="720" w:hanging="720"/>
        <w:rPr>
          <w:rFonts w:ascii="Arial" w:hAnsi="Arial"/>
          <w:noProof/>
          <w:sz w:val="22"/>
        </w:rPr>
      </w:pPr>
      <w:r w:rsidRPr="00C0046D">
        <w:rPr>
          <w:rFonts w:ascii="Arial" w:hAnsi="Arial"/>
          <w:noProof/>
          <w:sz w:val="22"/>
        </w:rPr>
        <w:t>5.</w:t>
      </w:r>
      <w:r w:rsidRPr="00C0046D">
        <w:rPr>
          <w:rFonts w:ascii="Arial" w:hAnsi="Arial"/>
          <w:noProof/>
          <w:sz w:val="22"/>
        </w:rPr>
        <w:tab/>
        <w:t xml:space="preserve">Subramanian RP, Wildschutte JH, Russo C, Coffin JM: Identification, characterization, and comparative genomic distribution of the HERV-K (HML-2) group of human endogenous retroviruses. </w:t>
      </w:r>
      <w:r w:rsidRPr="00C0046D">
        <w:rPr>
          <w:rFonts w:ascii="Arial" w:hAnsi="Arial"/>
          <w:i/>
          <w:noProof/>
          <w:sz w:val="22"/>
        </w:rPr>
        <w:t xml:space="preserve">Retrovirology </w:t>
      </w:r>
      <w:r w:rsidRPr="00C0046D">
        <w:rPr>
          <w:rFonts w:ascii="Arial" w:hAnsi="Arial"/>
          <w:noProof/>
          <w:sz w:val="22"/>
        </w:rPr>
        <w:t>2011, 8:90.</w:t>
      </w:r>
    </w:p>
    <w:p w:rsidR="009C36AE" w:rsidRPr="000E56A4" w:rsidRDefault="00EA5F35" w:rsidP="000E56A4">
      <w:pPr>
        <w:ind w:left="720" w:hanging="720"/>
        <w:rPr>
          <w:rFonts w:ascii="Arial" w:hAnsi="Arial"/>
          <w:noProof/>
          <w:sz w:val="22"/>
        </w:rPr>
      </w:pPr>
      <w:r w:rsidRPr="00C0046D">
        <w:rPr>
          <w:rFonts w:ascii="Arial" w:hAnsi="Arial"/>
          <w:noProof/>
          <w:sz w:val="22"/>
        </w:rPr>
        <w:t>6.</w:t>
      </w:r>
      <w:r w:rsidRPr="00C0046D">
        <w:rPr>
          <w:rFonts w:ascii="Arial" w:hAnsi="Arial"/>
          <w:noProof/>
          <w:sz w:val="22"/>
        </w:rPr>
        <w:tab/>
        <w:t xml:space="preserve">Bhardwaj N, Montesion M, Roy F, Coffin JM: Differential expression of HERV-K (HML-2) proviruses in cells and virions of the Teratocarcinoma cell line Tera-1. </w:t>
      </w:r>
      <w:r w:rsidRPr="00C0046D">
        <w:rPr>
          <w:rFonts w:ascii="Arial" w:hAnsi="Arial"/>
          <w:i/>
          <w:noProof/>
          <w:sz w:val="22"/>
        </w:rPr>
        <w:t xml:space="preserve">Viruses </w:t>
      </w:r>
      <w:r w:rsidRPr="00C0046D">
        <w:rPr>
          <w:rFonts w:ascii="Arial" w:hAnsi="Arial"/>
          <w:noProof/>
          <w:sz w:val="22"/>
        </w:rPr>
        <w:t>2015, 7:939-968.</w:t>
      </w:r>
    </w:p>
    <w:sectPr w:rsidR="009C36AE" w:rsidRPr="000E56A4" w:rsidSect="009C36AE">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docVars>
    <w:docVar w:name="EN.InstantFormat" w:val="&lt;ENInstantFormat&gt;&lt;Enabled&gt;0&lt;/Enabled&gt;&lt;ScanUnformatted&gt;1&lt;/ScanUnformatted&gt;&lt;ScanChanges&gt;1&lt;/ScanChanges&gt;&lt;/ENInstantFormat&gt;"/>
  </w:docVars>
  <w:rsids>
    <w:rsidRoot w:val="00EA5F35"/>
    <w:rsid w:val="000E56A4"/>
    <w:rsid w:val="00113586"/>
    <w:rsid w:val="00127F4C"/>
    <w:rsid w:val="00183F75"/>
    <w:rsid w:val="002A2E50"/>
    <w:rsid w:val="00553471"/>
    <w:rsid w:val="006C1CF4"/>
    <w:rsid w:val="009A07AE"/>
    <w:rsid w:val="009F29C0"/>
    <w:rsid w:val="00A168EC"/>
    <w:rsid w:val="00AA20C1"/>
    <w:rsid w:val="00C0046D"/>
    <w:rsid w:val="00EA5F35"/>
    <w:rsid w:val="00F379AC"/>
  </w:rsids>
  <m:mathPr>
    <m:mathFont m:val="Lucida Sans Unicode"/>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A5F35"/>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708</Words>
  <Characters>4038</Characters>
  <Application>Microsoft Macintosh Word</Application>
  <DocSecurity>0</DocSecurity>
  <Lines>33</Lines>
  <Paragraphs>8</Paragraphs>
  <ScaleCrop>false</ScaleCrop>
  <Company>University of Oxford</Company>
  <LinksUpToDate>false</LinksUpToDate>
  <CharactersWithSpaces>4958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Belshaw</dc:creator>
  <cp:keywords/>
  <cp:lastModifiedBy>Robert Belshaw</cp:lastModifiedBy>
  <cp:revision>6</cp:revision>
  <dcterms:created xsi:type="dcterms:W3CDTF">2019-12-11T23:50:00Z</dcterms:created>
  <dcterms:modified xsi:type="dcterms:W3CDTF">2019-12-30T19:07:00Z</dcterms:modified>
</cp:coreProperties>
</file>