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E5E16" w14:textId="44E0F85E" w:rsidR="00140D32" w:rsidRPr="00140D32" w:rsidRDefault="00140D32" w:rsidP="00140D32">
      <w:pPr>
        <w:spacing w:line="480" w:lineRule="auto"/>
        <w:rPr>
          <w:b/>
          <w:bCs/>
          <w:i/>
          <w:iCs/>
          <w:color w:val="000000"/>
        </w:rPr>
      </w:pPr>
      <w:r w:rsidRPr="00140D32">
        <w:rPr>
          <w:b/>
          <w:bCs/>
          <w:color w:val="000000"/>
        </w:rPr>
        <w:t xml:space="preserve">Interference </w:t>
      </w:r>
      <w:r w:rsidR="00551E4B">
        <w:rPr>
          <w:b/>
          <w:bCs/>
          <w:color w:val="000000"/>
        </w:rPr>
        <w:t xml:space="preserve">and tetrad analysis </w:t>
      </w:r>
      <w:r w:rsidRPr="00140D32">
        <w:rPr>
          <w:b/>
          <w:bCs/>
          <w:color w:val="000000"/>
        </w:rPr>
        <w:t xml:space="preserve">in </w:t>
      </w:r>
      <w:r w:rsidRPr="00140D32">
        <w:rPr>
          <w:b/>
          <w:bCs/>
          <w:i/>
          <w:iCs/>
          <w:color w:val="000000"/>
        </w:rPr>
        <w:t>Drosophila virilis</w:t>
      </w:r>
    </w:p>
    <w:p w14:paraId="20B6F5E4" w14:textId="3C860288" w:rsidR="00140D32" w:rsidRPr="00140D32" w:rsidRDefault="00140D32" w:rsidP="00140D32">
      <w:pPr>
        <w:spacing w:line="480" w:lineRule="auto"/>
      </w:pPr>
      <w:r w:rsidRPr="00140D32">
        <w:rPr>
          <w:color w:val="000000"/>
        </w:rPr>
        <w:t xml:space="preserve">Interference reduces the probability of an additional CO in proximity to other </w:t>
      </w:r>
      <w:proofErr w:type="spellStart"/>
      <w:r w:rsidRPr="00140D32">
        <w:rPr>
          <w:color w:val="000000"/>
        </w:rPr>
        <w:t>COs.</w:t>
      </w:r>
      <w:proofErr w:type="spellEnd"/>
      <w:r w:rsidRPr="00140D32">
        <w:rPr>
          <w:color w:val="000000"/>
        </w:rPr>
        <w:t xml:space="preserve"> We calculated interference in </w:t>
      </w:r>
      <w:r w:rsidRPr="00140D32">
        <w:rPr>
          <w:i/>
          <w:iCs/>
          <w:color w:val="000000"/>
        </w:rPr>
        <w:t>D. virilis</w:t>
      </w:r>
      <w:r w:rsidRPr="00140D32">
        <w:rPr>
          <w:color w:val="000000"/>
        </w:rPr>
        <w:t xml:space="preserve"> using the </w:t>
      </w:r>
      <w:proofErr w:type="spellStart"/>
      <w:r w:rsidRPr="00140D32">
        <w:rPr>
          <w:color w:val="000000"/>
        </w:rPr>
        <w:t>Housworth</w:t>
      </w:r>
      <w:proofErr w:type="spellEnd"/>
      <w:r w:rsidRPr="00140D32">
        <w:rPr>
          <w:color w:val="000000"/>
        </w:rPr>
        <w:t xml:space="preserve">-Stahl model to calculate </w:t>
      </w:r>
      <w:r w:rsidRPr="00140D32">
        <w:rPr>
          <w:i/>
          <w:iCs/>
          <w:color w:val="000000"/>
        </w:rPr>
        <w:t>nu</w:t>
      </w:r>
      <w:r w:rsidRPr="00140D32">
        <w:rPr>
          <w:color w:val="000000"/>
        </w:rPr>
        <w:t xml:space="preserve">, a unitless measure of interference, with a maximum likelihood function based on </w:t>
      </w:r>
      <w:proofErr w:type="spellStart"/>
      <w:r w:rsidRPr="00140D32">
        <w:rPr>
          <w:color w:val="000000"/>
        </w:rPr>
        <w:t>intercrossover</w:t>
      </w:r>
      <w:proofErr w:type="spellEnd"/>
      <w:r w:rsidRPr="00140D32">
        <w:rPr>
          <w:color w:val="000000"/>
        </w:rPr>
        <w:t xml:space="preserve"> distances [1]. If COs are not subject to interference, </w:t>
      </w:r>
      <w:proofErr w:type="spellStart"/>
      <w:r w:rsidRPr="00140D32">
        <w:rPr>
          <w:color w:val="000000"/>
        </w:rPr>
        <w:t>intercrossover</w:t>
      </w:r>
      <w:proofErr w:type="spellEnd"/>
      <w:r w:rsidRPr="00140D32">
        <w:rPr>
          <w:color w:val="000000"/>
        </w:rPr>
        <w:t xml:space="preserve"> distances are Poisson distributed and </w:t>
      </w:r>
      <w:r w:rsidRPr="00140D32">
        <w:rPr>
          <w:i/>
          <w:iCs/>
          <w:color w:val="000000"/>
        </w:rPr>
        <w:t>nu</w:t>
      </w:r>
      <w:r w:rsidRPr="00140D32">
        <w:rPr>
          <w:color w:val="000000"/>
        </w:rPr>
        <w:t xml:space="preserve"> is equal to one [2]. </w:t>
      </w:r>
      <w:r w:rsidRPr="00140D32">
        <w:rPr>
          <w:i/>
          <w:iCs/>
          <w:color w:val="000000"/>
        </w:rPr>
        <w:t>nu</w:t>
      </w:r>
      <w:r w:rsidRPr="00140D32">
        <w:rPr>
          <w:color w:val="000000"/>
        </w:rPr>
        <w:t xml:space="preserve"> values greater than one are observed when COs are spaced more evenly than expected under a Poisson process. Each chromosome in </w:t>
      </w:r>
      <w:r w:rsidRPr="00140D32">
        <w:rPr>
          <w:i/>
          <w:iCs/>
          <w:color w:val="000000"/>
        </w:rPr>
        <w:t xml:space="preserve">D. virilis </w:t>
      </w:r>
      <w:r w:rsidRPr="00140D32">
        <w:rPr>
          <w:color w:val="000000"/>
        </w:rPr>
        <w:t xml:space="preserve">has detectable interference between COs with an average </w:t>
      </w:r>
      <w:r w:rsidRPr="00140D32">
        <w:rPr>
          <w:i/>
          <w:iCs/>
          <w:color w:val="000000"/>
        </w:rPr>
        <w:t>nu</w:t>
      </w:r>
      <w:r w:rsidRPr="00140D32">
        <w:rPr>
          <w:color w:val="000000"/>
        </w:rPr>
        <w:t xml:space="preserve"> ~ 3 (</w:t>
      </w:r>
      <w:r w:rsidR="00551E4B">
        <w:rPr>
          <w:color w:val="000000"/>
        </w:rPr>
        <w:t xml:space="preserve">Additional File 2: </w:t>
      </w:r>
      <w:r w:rsidRPr="00140D32">
        <w:rPr>
          <w:color w:val="000000"/>
        </w:rPr>
        <w:t xml:space="preserve">Table </w:t>
      </w:r>
      <w:r w:rsidR="00551E4B">
        <w:rPr>
          <w:color w:val="000000"/>
        </w:rPr>
        <w:t>S9</w:t>
      </w:r>
      <w:r w:rsidRPr="00140D32">
        <w:rPr>
          <w:color w:val="000000"/>
        </w:rPr>
        <w:t xml:space="preserve">). The </w:t>
      </w:r>
      <w:proofErr w:type="spellStart"/>
      <w:r w:rsidRPr="00140D32">
        <w:rPr>
          <w:color w:val="000000"/>
        </w:rPr>
        <w:t>Houseworth</w:t>
      </w:r>
      <w:proofErr w:type="spellEnd"/>
      <w:r w:rsidRPr="00140D32">
        <w:rPr>
          <w:color w:val="000000"/>
        </w:rPr>
        <w:t xml:space="preserve">-Stahl model also estimates the percentage of COs produced through an alternative pathway not subject to interference as the escape parameter </w:t>
      </w:r>
      <w:r w:rsidRPr="00140D32">
        <w:rPr>
          <w:i/>
          <w:iCs/>
          <w:color w:val="000000"/>
        </w:rPr>
        <w:t>P</w:t>
      </w:r>
      <w:r w:rsidRPr="00140D32">
        <w:rPr>
          <w:color w:val="000000"/>
        </w:rPr>
        <w:t xml:space="preserve"> [3]. Less than 1% of the COs in our study are estimated to be produced through the alternative CO pathway (</w:t>
      </w:r>
      <w:r w:rsidR="00551E4B">
        <w:rPr>
          <w:color w:val="000000"/>
        </w:rPr>
        <w:t xml:space="preserve">Additional File 2: </w:t>
      </w:r>
      <w:r w:rsidRPr="00140D32">
        <w:rPr>
          <w:color w:val="000000"/>
        </w:rPr>
        <w:t xml:space="preserve">Table </w:t>
      </w:r>
      <w:r w:rsidR="00551E4B">
        <w:rPr>
          <w:color w:val="000000"/>
        </w:rPr>
        <w:t>S9</w:t>
      </w:r>
      <w:r w:rsidRPr="00140D32">
        <w:rPr>
          <w:color w:val="000000"/>
        </w:rPr>
        <w:t xml:space="preserve">). In contrast to interference, assurance is the recombination control mechanism that maintains a minimal number of COs on each chromosome to ensure proper chromosome segregation during meiosis. In the absence of CO assurance and interference, the distribution of COs should resemble a Poisson distribution with variance in CO number equal to the mean. We find the CO mean and variance are not equal (7.3 and 4.9, respectively) and the distribution of CO counts is significantly different from a Poisson distribution </w:t>
      </w:r>
      <w:r w:rsidR="00551E4B" w:rsidRPr="00285225">
        <w:rPr>
          <w:color w:val="000000"/>
        </w:rPr>
        <w:t>(</w:t>
      </w:r>
      <w:r w:rsidR="00551E4B">
        <w:rPr>
          <w:rFonts w:ascii="Symbol" w:hAnsi="Symbol"/>
          <w:color w:val="000000"/>
        </w:rPr>
        <w:t></w:t>
      </w:r>
      <w:r w:rsidRPr="00140D32">
        <w:rPr>
          <w:color w:val="000000"/>
          <w:vertAlign w:val="superscript"/>
        </w:rPr>
        <w:t>2</w:t>
      </w:r>
      <w:r w:rsidR="005E4229">
        <w:rPr>
          <w:color w:val="000000"/>
          <w:vertAlign w:val="subscript"/>
        </w:rPr>
        <w:t>14</w:t>
      </w:r>
      <w:r w:rsidRPr="00140D32">
        <w:rPr>
          <w:color w:val="000000"/>
          <w:vertAlign w:val="superscript"/>
        </w:rPr>
        <w:t xml:space="preserve"> </w:t>
      </w:r>
      <w:r w:rsidRPr="00140D32">
        <w:rPr>
          <w:color w:val="000000"/>
        </w:rPr>
        <w:t xml:space="preserve">= 53.6, </w:t>
      </w:r>
      <w:r w:rsidRPr="00140D32">
        <w:rPr>
          <w:i/>
          <w:iCs/>
          <w:color w:val="000000"/>
        </w:rPr>
        <w:t>p</w:t>
      </w:r>
      <w:r w:rsidRPr="00140D32">
        <w:rPr>
          <w:color w:val="000000"/>
        </w:rPr>
        <w:t xml:space="preserve"> = 5.74E-08). Moreover, </w:t>
      </w:r>
      <w:r w:rsidRPr="00140D32">
        <w:rPr>
          <w:i/>
          <w:iCs/>
          <w:color w:val="000000"/>
        </w:rPr>
        <w:t>D. virilis</w:t>
      </w:r>
      <w:r w:rsidRPr="00140D32">
        <w:rPr>
          <w:color w:val="000000"/>
        </w:rPr>
        <w:t xml:space="preserve"> has a higher than expected frequency of individuals with CO numbers close to the mean (5-8 COs) and a lower than expected frequency of extreme CO numbers (</w:t>
      </w:r>
      <w:r w:rsidR="00551E4B">
        <w:rPr>
          <w:color w:val="000000"/>
        </w:rPr>
        <w:t xml:space="preserve">Additional File 2: </w:t>
      </w:r>
      <w:r w:rsidRPr="00140D32">
        <w:rPr>
          <w:color w:val="000000"/>
        </w:rPr>
        <w:t>Figure S</w:t>
      </w:r>
      <w:r w:rsidR="005E4229">
        <w:rPr>
          <w:color w:val="000000"/>
        </w:rPr>
        <w:t>4</w:t>
      </w:r>
      <w:bookmarkStart w:id="0" w:name="_GoBack"/>
      <w:bookmarkEnd w:id="0"/>
      <w:r w:rsidRPr="00140D32">
        <w:rPr>
          <w:color w:val="000000"/>
        </w:rPr>
        <w:t>). This indicates the collective action of CO assurance and interference.</w:t>
      </w:r>
    </w:p>
    <w:p w14:paraId="2603F20A" w14:textId="77777777" w:rsidR="00140D32" w:rsidRPr="00140D32" w:rsidRDefault="00140D32" w:rsidP="00140D32"/>
    <w:p w14:paraId="006924AE" w14:textId="58F56022" w:rsidR="00140D32" w:rsidRDefault="00140D32" w:rsidP="00140D32">
      <w:pPr>
        <w:spacing w:line="480" w:lineRule="auto"/>
        <w:rPr>
          <w:color w:val="000000"/>
        </w:rPr>
      </w:pPr>
      <w:r w:rsidRPr="00140D32">
        <w:rPr>
          <w:color w:val="000000"/>
        </w:rPr>
        <w:t xml:space="preserve">In many organisms, the total number of COs between markers in a single tetrad is unobservable because COs are typically detected using random spore analysis based on only one of the four chromatids resulting from meiosis. In contrast, tetrad analysis uses the number of COs for each </w:t>
      </w:r>
      <w:r w:rsidRPr="00140D32">
        <w:rPr>
          <w:color w:val="000000"/>
        </w:rPr>
        <w:lastRenderedPageBreak/>
        <w:t>of the four meiotic products to estimate the frequency of non-exchange tetrads (</w:t>
      </w:r>
      <w:r w:rsidRPr="00140D32">
        <w:rPr>
          <w:i/>
          <w:iCs/>
          <w:color w:val="000000"/>
        </w:rPr>
        <w:t>E</w:t>
      </w:r>
      <w:r w:rsidRPr="00140D32">
        <w:rPr>
          <w:color w:val="000000"/>
          <w:vertAlign w:val="subscript"/>
        </w:rPr>
        <w:t>0</w:t>
      </w:r>
      <w:r w:rsidRPr="00140D32">
        <w:rPr>
          <w:color w:val="000000"/>
        </w:rPr>
        <w:t>), single-exchange tetrads (</w:t>
      </w:r>
      <w:r w:rsidRPr="00140D32">
        <w:rPr>
          <w:i/>
          <w:iCs/>
          <w:color w:val="000000"/>
        </w:rPr>
        <w:t>E</w:t>
      </w:r>
      <w:r w:rsidRPr="00140D32">
        <w:rPr>
          <w:color w:val="000000"/>
          <w:vertAlign w:val="subscript"/>
        </w:rPr>
        <w:t>1</w:t>
      </w:r>
      <w:r w:rsidRPr="00140D32">
        <w:rPr>
          <w:color w:val="000000"/>
        </w:rPr>
        <w:t>), or multiple-exchange tetrads (</w:t>
      </w:r>
      <w:proofErr w:type="spellStart"/>
      <w:r w:rsidRPr="00140D32">
        <w:rPr>
          <w:i/>
          <w:iCs/>
          <w:color w:val="000000"/>
        </w:rPr>
        <w:t>E</w:t>
      </w:r>
      <w:r w:rsidRPr="00140D32">
        <w:rPr>
          <w:color w:val="000000"/>
          <w:vertAlign w:val="subscript"/>
        </w:rPr>
        <w:t>n</w:t>
      </w:r>
      <w:proofErr w:type="spellEnd"/>
      <w:r w:rsidRPr="00140D32">
        <w:rPr>
          <w:color w:val="000000"/>
        </w:rPr>
        <w:t xml:space="preserve">) [4]. We used the Weinstein method to estimate the frequency of </w:t>
      </w:r>
      <w:r w:rsidRPr="00140D32">
        <w:rPr>
          <w:i/>
          <w:iCs/>
          <w:color w:val="000000"/>
        </w:rPr>
        <w:t>E</w:t>
      </w:r>
      <w:r w:rsidRPr="00140D32">
        <w:rPr>
          <w:color w:val="000000"/>
          <w:vertAlign w:val="subscript"/>
        </w:rPr>
        <w:t>0</w:t>
      </w:r>
      <w:r w:rsidRPr="00140D32">
        <w:rPr>
          <w:color w:val="000000"/>
        </w:rPr>
        <w:t xml:space="preserve"> tetrads for each chromosome in </w:t>
      </w:r>
      <w:r w:rsidRPr="00140D32">
        <w:rPr>
          <w:i/>
          <w:iCs/>
          <w:color w:val="000000"/>
        </w:rPr>
        <w:t>D</w:t>
      </w:r>
      <w:r w:rsidRPr="00140D32">
        <w:rPr>
          <w:color w:val="000000"/>
        </w:rPr>
        <w:t xml:space="preserve">. </w:t>
      </w:r>
      <w:r w:rsidRPr="00140D32">
        <w:rPr>
          <w:i/>
          <w:iCs/>
          <w:color w:val="000000"/>
        </w:rPr>
        <w:t>virilis</w:t>
      </w:r>
      <w:r w:rsidRPr="00140D32">
        <w:rPr>
          <w:color w:val="000000"/>
        </w:rPr>
        <w:t xml:space="preserve">. The X chromosome and third chromosome </w:t>
      </w:r>
      <w:r w:rsidRPr="00140D32">
        <w:rPr>
          <w:i/>
          <w:iCs/>
          <w:color w:val="000000"/>
        </w:rPr>
        <w:t>E</w:t>
      </w:r>
      <w:r w:rsidRPr="00140D32">
        <w:rPr>
          <w:color w:val="000000"/>
          <w:vertAlign w:val="subscript"/>
        </w:rPr>
        <w:t>0</w:t>
      </w:r>
      <w:r w:rsidRPr="00140D32">
        <w:rPr>
          <w:color w:val="000000"/>
        </w:rPr>
        <w:t xml:space="preserve"> tetrad frequencies were estimated at 1.2% and 2.1% respectively. These calculated </w:t>
      </w:r>
      <w:r w:rsidRPr="00140D32">
        <w:rPr>
          <w:i/>
          <w:iCs/>
          <w:color w:val="000000"/>
        </w:rPr>
        <w:t>E</w:t>
      </w:r>
      <w:r w:rsidRPr="00140D32">
        <w:rPr>
          <w:color w:val="000000"/>
          <w:vertAlign w:val="subscript"/>
        </w:rPr>
        <w:t>0</w:t>
      </w:r>
      <w:r w:rsidRPr="00140D32">
        <w:rPr>
          <w:color w:val="000000"/>
        </w:rPr>
        <w:t xml:space="preserve"> tetrad frequencies in </w:t>
      </w:r>
      <w:r w:rsidRPr="00140D32">
        <w:rPr>
          <w:i/>
          <w:iCs/>
          <w:color w:val="000000"/>
        </w:rPr>
        <w:t>D. virilis</w:t>
      </w:r>
      <w:r w:rsidRPr="00140D32">
        <w:rPr>
          <w:color w:val="000000"/>
        </w:rPr>
        <w:t xml:space="preserve"> are lower in comparison to </w:t>
      </w:r>
      <w:r w:rsidRPr="00140D32">
        <w:rPr>
          <w:i/>
          <w:iCs/>
          <w:color w:val="000000"/>
        </w:rPr>
        <w:t>D. melanogaster</w:t>
      </w:r>
      <w:r w:rsidRPr="00140D32">
        <w:rPr>
          <w:color w:val="000000"/>
        </w:rPr>
        <w:t>,</w:t>
      </w:r>
      <w:r w:rsidRPr="00140D32">
        <w:rPr>
          <w:i/>
          <w:iCs/>
          <w:color w:val="000000"/>
        </w:rPr>
        <w:t xml:space="preserve"> </w:t>
      </w:r>
      <w:r w:rsidRPr="00140D32">
        <w:rPr>
          <w:color w:val="000000"/>
        </w:rPr>
        <w:t xml:space="preserve">previously estimated to be 5-10% [5,6]. However, the Weinstein method indicated negative </w:t>
      </w:r>
      <w:r w:rsidRPr="00140D32">
        <w:rPr>
          <w:i/>
          <w:iCs/>
          <w:color w:val="000000"/>
        </w:rPr>
        <w:t>E</w:t>
      </w:r>
      <w:r w:rsidRPr="00140D32">
        <w:rPr>
          <w:color w:val="000000"/>
          <w:vertAlign w:val="subscript"/>
        </w:rPr>
        <w:t>0</w:t>
      </w:r>
      <w:r w:rsidRPr="00140D32">
        <w:rPr>
          <w:color w:val="000000"/>
        </w:rPr>
        <w:t xml:space="preserve"> tetrad frequencies ranging from -2.6% to -3.9% for the second, fourth, and fifth chromosomes. Negative values were also sometimes obtained for other exchange class frequencies (Table S</w:t>
      </w:r>
      <w:r w:rsidR="00551E4B">
        <w:rPr>
          <w:color w:val="000000"/>
        </w:rPr>
        <w:t>10</w:t>
      </w:r>
      <w:r w:rsidRPr="00140D32">
        <w:rPr>
          <w:color w:val="000000"/>
        </w:rPr>
        <w:t xml:space="preserve">). Negative tetrad frequencies are a drawback to using the classic Weinstein method [5]. Nonetheless, these results indicate that there are many fewer non-exchange tetrads in </w:t>
      </w:r>
      <w:r w:rsidRPr="00140D32">
        <w:rPr>
          <w:i/>
          <w:iCs/>
          <w:color w:val="000000"/>
        </w:rPr>
        <w:t>D. virilis</w:t>
      </w:r>
      <w:r w:rsidRPr="00140D32">
        <w:rPr>
          <w:color w:val="000000"/>
        </w:rPr>
        <w:t xml:space="preserve"> compared to </w:t>
      </w:r>
      <w:r w:rsidRPr="00140D32">
        <w:rPr>
          <w:i/>
          <w:iCs/>
          <w:color w:val="000000"/>
        </w:rPr>
        <w:t>D. melanogaster</w:t>
      </w:r>
      <w:r w:rsidRPr="00140D32">
        <w:rPr>
          <w:color w:val="000000"/>
        </w:rPr>
        <w:t xml:space="preserve">, consistent with the higher estimated rate of recombination per Mb in </w:t>
      </w:r>
      <w:r w:rsidRPr="00140D32">
        <w:rPr>
          <w:i/>
          <w:iCs/>
          <w:color w:val="000000"/>
        </w:rPr>
        <w:t>D. virili</w:t>
      </w:r>
      <w:r w:rsidR="005E4229">
        <w:rPr>
          <w:i/>
          <w:iCs/>
          <w:color w:val="000000"/>
        </w:rPr>
        <w:t>s</w:t>
      </w:r>
    </w:p>
    <w:p w14:paraId="6633DB07" w14:textId="77777777" w:rsidR="00551E4B" w:rsidRDefault="00551E4B" w:rsidP="00140D32">
      <w:pPr>
        <w:spacing w:line="480" w:lineRule="auto"/>
        <w:rPr>
          <w:color w:val="000000"/>
        </w:rPr>
      </w:pPr>
    </w:p>
    <w:p w14:paraId="40A5F091" w14:textId="77777777" w:rsidR="00551E4B" w:rsidRDefault="00551E4B" w:rsidP="00551E4B">
      <w:pPr>
        <w:spacing w:line="480" w:lineRule="auto"/>
        <w:rPr>
          <w:b/>
          <w:bCs/>
        </w:rPr>
      </w:pPr>
      <w:r>
        <w:rPr>
          <w:b/>
          <w:bCs/>
          <w:color w:val="000000"/>
        </w:rPr>
        <w:t>Supplemental References</w:t>
      </w:r>
    </w:p>
    <w:p w14:paraId="0885DAD2" w14:textId="390AB814" w:rsidR="00140D32" w:rsidRDefault="00140D32" w:rsidP="00551E4B">
      <w:pPr>
        <w:rPr>
          <w:color w:val="000000"/>
        </w:rPr>
      </w:pPr>
      <w:r w:rsidRPr="00140D32">
        <w:rPr>
          <w:color w:val="000000"/>
        </w:rPr>
        <w:t xml:space="preserve">1. </w:t>
      </w:r>
      <w:proofErr w:type="spellStart"/>
      <w:r w:rsidRPr="00140D32">
        <w:rPr>
          <w:color w:val="000000"/>
        </w:rPr>
        <w:t>Housworth</w:t>
      </w:r>
      <w:proofErr w:type="spellEnd"/>
      <w:r w:rsidRPr="00140D32">
        <w:rPr>
          <w:color w:val="000000"/>
        </w:rPr>
        <w:t xml:space="preserve"> EA, Stahl</w:t>
      </w:r>
      <w:r w:rsidRPr="00140D32">
        <w:rPr>
          <w:color w:val="000000"/>
        </w:rPr>
        <w:t xml:space="preserve"> </w:t>
      </w:r>
      <w:r w:rsidRPr="00140D32">
        <w:rPr>
          <w:color w:val="000000"/>
        </w:rPr>
        <w:t xml:space="preserve">FW. Crossover interference in humans. Am J Hum Genet. </w:t>
      </w:r>
      <w:proofErr w:type="gramStart"/>
      <w:r w:rsidRPr="00140D32">
        <w:rPr>
          <w:color w:val="000000"/>
        </w:rPr>
        <w:t>2003;73:188</w:t>
      </w:r>
      <w:proofErr w:type="gramEnd"/>
      <w:r w:rsidRPr="00140D32">
        <w:rPr>
          <w:color w:val="000000"/>
        </w:rPr>
        <w:t>–97.</w:t>
      </w:r>
    </w:p>
    <w:p w14:paraId="6B44A317" w14:textId="77777777" w:rsidR="00551E4B" w:rsidRPr="00140D32" w:rsidRDefault="00551E4B" w:rsidP="00551E4B">
      <w:pPr>
        <w:rPr>
          <w:b/>
          <w:bCs/>
        </w:rPr>
      </w:pPr>
    </w:p>
    <w:p w14:paraId="12286004" w14:textId="60E52934" w:rsidR="00140D32" w:rsidRPr="00140D32" w:rsidRDefault="00140D32" w:rsidP="00140D32">
      <w:pPr>
        <w:spacing w:after="240"/>
      </w:pPr>
      <w:r w:rsidRPr="00140D32">
        <w:rPr>
          <w:color w:val="000000"/>
        </w:rPr>
        <w:t xml:space="preserve">2. Broman KW, Weber JL. Characterization of human crossover interference. Am J Hum Genet. </w:t>
      </w:r>
      <w:proofErr w:type="gramStart"/>
      <w:r w:rsidRPr="00140D32">
        <w:rPr>
          <w:color w:val="000000"/>
        </w:rPr>
        <w:t>2000;66:1911</w:t>
      </w:r>
      <w:proofErr w:type="gramEnd"/>
      <w:r w:rsidRPr="00140D32">
        <w:rPr>
          <w:color w:val="000000"/>
        </w:rPr>
        <w:t>–26.</w:t>
      </w:r>
    </w:p>
    <w:p w14:paraId="31F835FF" w14:textId="142987C1" w:rsidR="00140D32" w:rsidRPr="00140D32" w:rsidRDefault="00140D32" w:rsidP="00140D32">
      <w:pPr>
        <w:spacing w:after="240"/>
      </w:pPr>
      <w:r w:rsidRPr="00140D32">
        <w:rPr>
          <w:color w:val="000000"/>
        </w:rPr>
        <w:t xml:space="preserve">3. de los Santos T, Hunter N, Lee C, Larkin B, </w:t>
      </w:r>
      <w:proofErr w:type="spellStart"/>
      <w:r w:rsidRPr="00140D32">
        <w:rPr>
          <w:color w:val="000000"/>
        </w:rPr>
        <w:t>Loidl</w:t>
      </w:r>
      <w:proofErr w:type="spellEnd"/>
      <w:r w:rsidRPr="00140D32">
        <w:rPr>
          <w:color w:val="000000"/>
        </w:rPr>
        <w:t xml:space="preserve"> J, Hollingsworth NM. The Mus81/Mms4 endonuclease acts independently of double-Holliday junction resolution to promote a distinct subset of crossovers during meiosis in budding yeast. Genetics. </w:t>
      </w:r>
      <w:proofErr w:type="gramStart"/>
      <w:r w:rsidRPr="00140D32">
        <w:rPr>
          <w:color w:val="000000"/>
        </w:rPr>
        <w:t>2003;164:81</w:t>
      </w:r>
      <w:proofErr w:type="gramEnd"/>
      <w:r w:rsidRPr="00140D32">
        <w:rPr>
          <w:color w:val="000000"/>
        </w:rPr>
        <w:t>–94.</w:t>
      </w:r>
    </w:p>
    <w:p w14:paraId="1A3C487D" w14:textId="331666CE" w:rsidR="00140D32" w:rsidRPr="00140D32" w:rsidRDefault="00140D32" w:rsidP="00140D32">
      <w:pPr>
        <w:spacing w:after="240"/>
      </w:pPr>
      <w:r w:rsidRPr="00140D32">
        <w:rPr>
          <w:color w:val="000000"/>
        </w:rPr>
        <w:t xml:space="preserve">4. Weinstein A. Coincidence of Crossing over in </w:t>
      </w:r>
      <w:r w:rsidR="00551E4B">
        <w:rPr>
          <w:i/>
          <w:iCs/>
          <w:color w:val="000000"/>
        </w:rPr>
        <w:t xml:space="preserve">Drosophila </w:t>
      </w:r>
      <w:proofErr w:type="spellStart"/>
      <w:r w:rsidR="00551E4B">
        <w:rPr>
          <w:i/>
          <w:iCs/>
          <w:color w:val="000000"/>
        </w:rPr>
        <w:t>melanogster</w:t>
      </w:r>
      <w:proofErr w:type="spellEnd"/>
      <w:r w:rsidRPr="00140D32">
        <w:rPr>
          <w:color w:val="000000"/>
        </w:rPr>
        <w:t xml:space="preserve"> (</w:t>
      </w:r>
      <w:proofErr w:type="spellStart"/>
      <w:r w:rsidR="00551E4B" w:rsidRPr="00551E4B">
        <w:rPr>
          <w:i/>
          <w:iCs/>
          <w:color w:val="000000"/>
        </w:rPr>
        <w:t>Ampelophila</w:t>
      </w:r>
      <w:proofErr w:type="spellEnd"/>
      <w:r w:rsidRPr="00140D32">
        <w:rPr>
          <w:color w:val="000000"/>
        </w:rPr>
        <w:t xml:space="preserve">). Genetics. </w:t>
      </w:r>
      <w:proofErr w:type="gramStart"/>
      <w:r w:rsidRPr="00140D32">
        <w:rPr>
          <w:color w:val="000000"/>
        </w:rPr>
        <w:t>1918;3:135</w:t>
      </w:r>
      <w:proofErr w:type="gramEnd"/>
      <w:r w:rsidRPr="00140D32">
        <w:rPr>
          <w:color w:val="000000"/>
        </w:rPr>
        <w:t>–72.</w:t>
      </w:r>
    </w:p>
    <w:p w14:paraId="15B59684" w14:textId="02BAA147" w:rsidR="00140D32" w:rsidRPr="00140D32" w:rsidRDefault="00140D32" w:rsidP="00140D32">
      <w:pPr>
        <w:spacing w:after="240"/>
      </w:pPr>
      <w:r w:rsidRPr="00140D32">
        <w:rPr>
          <w:color w:val="000000"/>
        </w:rPr>
        <w:t xml:space="preserve">5. Zwick ME, Cutler DJ, Langley CH. Classic Weinstein: tetrad analysis, genetic variation and </w:t>
      </w:r>
      <w:proofErr w:type="spellStart"/>
      <w:r w:rsidRPr="00140D32">
        <w:rPr>
          <w:color w:val="000000"/>
        </w:rPr>
        <w:t>achiasmate</w:t>
      </w:r>
      <w:proofErr w:type="spellEnd"/>
      <w:r w:rsidRPr="00140D32">
        <w:rPr>
          <w:color w:val="000000"/>
        </w:rPr>
        <w:t xml:space="preserve"> segregation in </w:t>
      </w:r>
      <w:r w:rsidRPr="00140D32">
        <w:rPr>
          <w:i/>
          <w:iCs/>
          <w:color w:val="000000"/>
        </w:rPr>
        <w:t>Drosophila</w:t>
      </w:r>
      <w:r w:rsidRPr="00140D32">
        <w:rPr>
          <w:color w:val="000000"/>
        </w:rPr>
        <w:t xml:space="preserve"> and humans. Genetics. </w:t>
      </w:r>
      <w:proofErr w:type="gramStart"/>
      <w:r w:rsidRPr="00140D32">
        <w:rPr>
          <w:color w:val="000000"/>
        </w:rPr>
        <w:t>1999;152:1615</w:t>
      </w:r>
      <w:proofErr w:type="gramEnd"/>
      <w:r w:rsidRPr="00140D32">
        <w:rPr>
          <w:color w:val="000000"/>
        </w:rPr>
        <w:t>–29.</w:t>
      </w:r>
    </w:p>
    <w:p w14:paraId="725BF4C8" w14:textId="45EA146D" w:rsidR="00140D32" w:rsidRPr="00140D32" w:rsidRDefault="00140D32" w:rsidP="00140D32">
      <w:pPr>
        <w:spacing w:after="240"/>
      </w:pPr>
      <w:r w:rsidRPr="00140D32">
        <w:rPr>
          <w:color w:val="000000"/>
        </w:rPr>
        <w:t xml:space="preserve">6. Hughes SE, Miller DE, Miller AL, Scott Hawley R. Female </w:t>
      </w:r>
      <w:r w:rsidR="00551E4B">
        <w:rPr>
          <w:color w:val="000000"/>
        </w:rPr>
        <w:t>m</w:t>
      </w:r>
      <w:r w:rsidRPr="00140D32">
        <w:rPr>
          <w:color w:val="000000"/>
        </w:rPr>
        <w:t xml:space="preserve">eiosis: </w:t>
      </w:r>
      <w:r w:rsidR="00551E4B">
        <w:rPr>
          <w:color w:val="000000"/>
        </w:rPr>
        <w:t>s</w:t>
      </w:r>
      <w:r w:rsidRPr="00140D32">
        <w:rPr>
          <w:color w:val="000000"/>
        </w:rPr>
        <w:t xml:space="preserve">ynapsis, </w:t>
      </w:r>
      <w:r w:rsidR="00551E4B">
        <w:rPr>
          <w:color w:val="000000"/>
        </w:rPr>
        <w:t>r</w:t>
      </w:r>
      <w:r w:rsidRPr="00140D32">
        <w:rPr>
          <w:color w:val="000000"/>
        </w:rPr>
        <w:t xml:space="preserve">ecombination, and </w:t>
      </w:r>
      <w:r w:rsidR="00551E4B">
        <w:rPr>
          <w:color w:val="000000"/>
        </w:rPr>
        <w:t>s</w:t>
      </w:r>
      <w:r w:rsidRPr="00140D32">
        <w:rPr>
          <w:color w:val="000000"/>
        </w:rPr>
        <w:t>egregation in</w:t>
      </w:r>
      <w:r w:rsidR="00551E4B">
        <w:rPr>
          <w:color w:val="000000"/>
        </w:rPr>
        <w:t xml:space="preserve"> </w:t>
      </w:r>
      <w:r w:rsidRPr="00140D32">
        <w:rPr>
          <w:i/>
          <w:iCs/>
          <w:color w:val="000000"/>
        </w:rPr>
        <w:t>Drosophila melanogaster</w:t>
      </w:r>
      <w:r w:rsidRPr="00140D32">
        <w:rPr>
          <w:color w:val="000000"/>
        </w:rPr>
        <w:t xml:space="preserve">. Genetics. </w:t>
      </w:r>
      <w:proofErr w:type="gramStart"/>
      <w:r w:rsidRPr="00140D32">
        <w:rPr>
          <w:color w:val="000000"/>
        </w:rPr>
        <w:t>2018;208:875</w:t>
      </w:r>
      <w:proofErr w:type="gramEnd"/>
      <w:r w:rsidRPr="00140D32">
        <w:rPr>
          <w:color w:val="000000"/>
        </w:rPr>
        <w:t>–908.</w:t>
      </w:r>
    </w:p>
    <w:p w14:paraId="795281E9" w14:textId="100CC4DF" w:rsidR="00551E4B" w:rsidRPr="0042103C" w:rsidRDefault="00551E4B" w:rsidP="00551E4B">
      <w:pPr>
        <w:spacing w:line="480" w:lineRule="auto"/>
      </w:pPr>
      <w:r w:rsidRPr="0042103C">
        <w:rPr>
          <w:b/>
          <w:bCs/>
          <w:color w:val="000000"/>
        </w:rPr>
        <w:lastRenderedPageBreak/>
        <w:t xml:space="preserve">Table </w:t>
      </w:r>
      <w:r>
        <w:rPr>
          <w:b/>
          <w:bCs/>
          <w:color w:val="000000"/>
        </w:rPr>
        <w:t>S9</w:t>
      </w:r>
      <w:r w:rsidRPr="0042103C">
        <w:rPr>
          <w:b/>
          <w:bCs/>
          <w:color w:val="000000"/>
        </w:rPr>
        <w:t>:</w:t>
      </w:r>
      <w:r w:rsidRPr="0042103C">
        <w:rPr>
          <w:color w:val="000000"/>
        </w:rPr>
        <w:t xml:space="preserve"> Interference values (</w:t>
      </w:r>
      <w:r w:rsidRPr="0042103C">
        <w:rPr>
          <w:i/>
          <w:iCs/>
          <w:color w:val="000000"/>
        </w:rPr>
        <w:t>nu</w:t>
      </w:r>
      <w:r w:rsidRPr="0042103C">
        <w:rPr>
          <w:color w:val="000000"/>
        </w:rPr>
        <w:t>) and frequency of crossovers created in the non-interference pathway (</w:t>
      </w:r>
      <w:r w:rsidRPr="0042103C">
        <w:rPr>
          <w:i/>
          <w:iCs/>
          <w:color w:val="000000"/>
        </w:rPr>
        <w:t>P</w:t>
      </w:r>
      <w:r w:rsidRPr="0042103C">
        <w:rPr>
          <w:color w:val="000000"/>
        </w:rPr>
        <w:t xml:space="preserve">) for all chromosomes. Both values were estimated with the </w:t>
      </w:r>
      <w:proofErr w:type="spellStart"/>
      <w:r w:rsidRPr="0042103C">
        <w:rPr>
          <w:color w:val="000000"/>
        </w:rPr>
        <w:t>Housworth</w:t>
      </w:r>
      <w:proofErr w:type="spellEnd"/>
      <w:r w:rsidRPr="0042103C">
        <w:rPr>
          <w:color w:val="000000"/>
        </w:rPr>
        <w:t>-Stahl model for the entire dataset.  </w:t>
      </w:r>
    </w:p>
    <w:tbl>
      <w:tblPr>
        <w:tblW w:w="0" w:type="auto"/>
        <w:tblCellMar>
          <w:top w:w="15" w:type="dxa"/>
          <w:left w:w="15" w:type="dxa"/>
          <w:bottom w:w="15" w:type="dxa"/>
          <w:right w:w="15" w:type="dxa"/>
        </w:tblCellMar>
        <w:tblLook w:val="04A0" w:firstRow="1" w:lastRow="0" w:firstColumn="1" w:lastColumn="0" w:noHBand="0" w:noVBand="1"/>
      </w:tblPr>
      <w:tblGrid>
        <w:gridCol w:w="472"/>
        <w:gridCol w:w="1028"/>
        <w:gridCol w:w="1028"/>
        <w:gridCol w:w="1028"/>
        <w:gridCol w:w="1028"/>
        <w:gridCol w:w="1028"/>
      </w:tblGrid>
      <w:tr w:rsidR="00551E4B" w:rsidRPr="0042103C" w14:paraId="6931192A" w14:textId="77777777" w:rsidTr="00437BF5">
        <w:tc>
          <w:tcPr>
            <w:tcW w:w="0" w:type="auto"/>
            <w:tcBorders>
              <w:top w:val="single" w:sz="4" w:space="0" w:color="000000"/>
            </w:tcBorders>
            <w:tcMar>
              <w:top w:w="0" w:type="dxa"/>
              <w:left w:w="108" w:type="dxa"/>
              <w:bottom w:w="0" w:type="dxa"/>
              <w:right w:w="108" w:type="dxa"/>
            </w:tcMar>
            <w:hideMark/>
          </w:tcPr>
          <w:p w14:paraId="6D4EC67F" w14:textId="77777777" w:rsidR="00551E4B" w:rsidRPr="0042103C" w:rsidRDefault="00551E4B" w:rsidP="00437BF5"/>
        </w:tc>
        <w:tc>
          <w:tcPr>
            <w:tcW w:w="0" w:type="auto"/>
            <w:gridSpan w:val="5"/>
            <w:tcBorders>
              <w:top w:val="single" w:sz="4" w:space="0" w:color="000000"/>
            </w:tcBorders>
            <w:tcMar>
              <w:top w:w="0" w:type="dxa"/>
              <w:left w:w="108" w:type="dxa"/>
              <w:bottom w:w="0" w:type="dxa"/>
              <w:right w:w="108" w:type="dxa"/>
            </w:tcMar>
            <w:hideMark/>
          </w:tcPr>
          <w:p w14:paraId="0221E3E9" w14:textId="77777777" w:rsidR="00551E4B" w:rsidRPr="0042103C" w:rsidRDefault="00551E4B" w:rsidP="00437BF5">
            <w:pPr>
              <w:jc w:val="center"/>
            </w:pPr>
            <w:r w:rsidRPr="0042103C">
              <w:rPr>
                <w:rFonts w:ascii="Arial" w:hAnsi="Arial" w:cs="Arial"/>
                <w:b/>
                <w:bCs/>
                <w:color w:val="000000"/>
                <w:sz w:val="20"/>
                <w:szCs w:val="20"/>
              </w:rPr>
              <w:t>Chromosome</w:t>
            </w:r>
          </w:p>
        </w:tc>
      </w:tr>
      <w:tr w:rsidR="00551E4B" w:rsidRPr="0042103C" w14:paraId="4EEC3B8A" w14:textId="77777777" w:rsidTr="00437BF5">
        <w:tc>
          <w:tcPr>
            <w:tcW w:w="0" w:type="auto"/>
            <w:tcMar>
              <w:top w:w="0" w:type="dxa"/>
              <w:left w:w="108" w:type="dxa"/>
              <w:bottom w:w="0" w:type="dxa"/>
              <w:right w:w="108" w:type="dxa"/>
            </w:tcMar>
            <w:hideMark/>
          </w:tcPr>
          <w:p w14:paraId="1B9F50F4" w14:textId="77777777" w:rsidR="00551E4B" w:rsidRPr="0042103C" w:rsidRDefault="00551E4B" w:rsidP="00437BF5"/>
        </w:tc>
        <w:tc>
          <w:tcPr>
            <w:tcW w:w="0" w:type="auto"/>
            <w:tcBorders>
              <w:bottom w:val="single" w:sz="4" w:space="0" w:color="000000"/>
            </w:tcBorders>
            <w:tcMar>
              <w:top w:w="0" w:type="dxa"/>
              <w:left w:w="108" w:type="dxa"/>
              <w:bottom w:w="0" w:type="dxa"/>
              <w:right w:w="108" w:type="dxa"/>
            </w:tcMar>
            <w:hideMark/>
          </w:tcPr>
          <w:p w14:paraId="49F17250" w14:textId="77777777" w:rsidR="00551E4B" w:rsidRPr="0042103C" w:rsidRDefault="00551E4B" w:rsidP="00437BF5">
            <w:pPr>
              <w:jc w:val="center"/>
            </w:pPr>
            <w:r w:rsidRPr="0042103C">
              <w:rPr>
                <w:rFonts w:ascii="Arial" w:hAnsi="Arial" w:cs="Arial"/>
                <w:b/>
                <w:bCs/>
                <w:color w:val="000000"/>
                <w:sz w:val="20"/>
                <w:szCs w:val="20"/>
              </w:rPr>
              <w:t>X</w:t>
            </w:r>
          </w:p>
        </w:tc>
        <w:tc>
          <w:tcPr>
            <w:tcW w:w="0" w:type="auto"/>
            <w:tcBorders>
              <w:bottom w:val="single" w:sz="4" w:space="0" w:color="000000"/>
            </w:tcBorders>
            <w:tcMar>
              <w:top w:w="0" w:type="dxa"/>
              <w:left w:w="108" w:type="dxa"/>
              <w:bottom w:w="0" w:type="dxa"/>
              <w:right w:w="108" w:type="dxa"/>
            </w:tcMar>
            <w:hideMark/>
          </w:tcPr>
          <w:p w14:paraId="4EBB4074" w14:textId="77777777" w:rsidR="00551E4B" w:rsidRPr="0042103C" w:rsidRDefault="00551E4B" w:rsidP="00437BF5">
            <w:pPr>
              <w:jc w:val="center"/>
            </w:pPr>
            <w:r w:rsidRPr="0042103C">
              <w:rPr>
                <w:rFonts w:ascii="Arial" w:hAnsi="Arial" w:cs="Arial"/>
                <w:b/>
                <w:bCs/>
                <w:color w:val="000000"/>
                <w:sz w:val="20"/>
                <w:szCs w:val="20"/>
              </w:rPr>
              <w:t>2</w:t>
            </w:r>
          </w:p>
        </w:tc>
        <w:tc>
          <w:tcPr>
            <w:tcW w:w="0" w:type="auto"/>
            <w:tcBorders>
              <w:bottom w:val="single" w:sz="4" w:space="0" w:color="000000"/>
            </w:tcBorders>
            <w:tcMar>
              <w:top w:w="0" w:type="dxa"/>
              <w:left w:w="108" w:type="dxa"/>
              <w:bottom w:w="0" w:type="dxa"/>
              <w:right w:w="108" w:type="dxa"/>
            </w:tcMar>
            <w:hideMark/>
          </w:tcPr>
          <w:p w14:paraId="00A4705F" w14:textId="77777777" w:rsidR="00551E4B" w:rsidRPr="0042103C" w:rsidRDefault="00551E4B" w:rsidP="00437BF5">
            <w:pPr>
              <w:jc w:val="center"/>
            </w:pPr>
            <w:r w:rsidRPr="0042103C">
              <w:rPr>
                <w:rFonts w:ascii="Arial" w:hAnsi="Arial" w:cs="Arial"/>
                <w:b/>
                <w:bCs/>
                <w:color w:val="000000"/>
                <w:sz w:val="20"/>
                <w:szCs w:val="20"/>
              </w:rPr>
              <w:t>3</w:t>
            </w:r>
          </w:p>
        </w:tc>
        <w:tc>
          <w:tcPr>
            <w:tcW w:w="0" w:type="auto"/>
            <w:tcBorders>
              <w:bottom w:val="single" w:sz="4" w:space="0" w:color="000000"/>
            </w:tcBorders>
            <w:tcMar>
              <w:top w:w="0" w:type="dxa"/>
              <w:left w:w="108" w:type="dxa"/>
              <w:bottom w:w="0" w:type="dxa"/>
              <w:right w:w="108" w:type="dxa"/>
            </w:tcMar>
            <w:hideMark/>
          </w:tcPr>
          <w:p w14:paraId="3F7791E7" w14:textId="77777777" w:rsidR="00551E4B" w:rsidRPr="0042103C" w:rsidRDefault="00551E4B" w:rsidP="00437BF5">
            <w:pPr>
              <w:jc w:val="center"/>
            </w:pPr>
            <w:r w:rsidRPr="0042103C">
              <w:rPr>
                <w:rFonts w:ascii="Arial" w:hAnsi="Arial" w:cs="Arial"/>
                <w:b/>
                <w:bCs/>
                <w:color w:val="000000"/>
                <w:sz w:val="20"/>
                <w:szCs w:val="20"/>
              </w:rPr>
              <w:t>4</w:t>
            </w:r>
          </w:p>
        </w:tc>
        <w:tc>
          <w:tcPr>
            <w:tcW w:w="0" w:type="auto"/>
            <w:tcBorders>
              <w:bottom w:val="single" w:sz="4" w:space="0" w:color="000000"/>
            </w:tcBorders>
            <w:tcMar>
              <w:top w:w="0" w:type="dxa"/>
              <w:left w:w="108" w:type="dxa"/>
              <w:bottom w:w="0" w:type="dxa"/>
              <w:right w:w="108" w:type="dxa"/>
            </w:tcMar>
            <w:hideMark/>
          </w:tcPr>
          <w:p w14:paraId="692516E5" w14:textId="77777777" w:rsidR="00551E4B" w:rsidRPr="0042103C" w:rsidRDefault="00551E4B" w:rsidP="00437BF5">
            <w:pPr>
              <w:jc w:val="center"/>
            </w:pPr>
            <w:r w:rsidRPr="0042103C">
              <w:rPr>
                <w:rFonts w:ascii="Arial" w:hAnsi="Arial" w:cs="Arial"/>
                <w:b/>
                <w:bCs/>
                <w:color w:val="000000"/>
                <w:sz w:val="20"/>
                <w:szCs w:val="20"/>
              </w:rPr>
              <w:t>5</w:t>
            </w:r>
          </w:p>
        </w:tc>
      </w:tr>
      <w:tr w:rsidR="00551E4B" w:rsidRPr="0042103C" w14:paraId="6C18DB11" w14:textId="77777777" w:rsidTr="00437BF5">
        <w:tc>
          <w:tcPr>
            <w:tcW w:w="0" w:type="auto"/>
            <w:tcMar>
              <w:top w:w="0" w:type="dxa"/>
              <w:left w:w="108" w:type="dxa"/>
              <w:bottom w:w="0" w:type="dxa"/>
              <w:right w:w="108" w:type="dxa"/>
            </w:tcMar>
            <w:hideMark/>
          </w:tcPr>
          <w:p w14:paraId="57B4E9A2" w14:textId="77777777" w:rsidR="00551E4B" w:rsidRPr="0042103C" w:rsidRDefault="00551E4B" w:rsidP="00437BF5">
            <w:r w:rsidRPr="0042103C">
              <w:rPr>
                <w:rFonts w:ascii="Arial" w:hAnsi="Arial" w:cs="Arial"/>
                <w:i/>
                <w:iCs/>
                <w:color w:val="000000"/>
                <w:sz w:val="20"/>
                <w:szCs w:val="20"/>
              </w:rPr>
              <w:t>Nu</w:t>
            </w:r>
          </w:p>
        </w:tc>
        <w:tc>
          <w:tcPr>
            <w:tcW w:w="0" w:type="auto"/>
            <w:tcBorders>
              <w:top w:val="single" w:sz="4" w:space="0" w:color="000000"/>
            </w:tcBorders>
            <w:tcMar>
              <w:top w:w="0" w:type="dxa"/>
              <w:left w:w="108" w:type="dxa"/>
              <w:bottom w:w="0" w:type="dxa"/>
              <w:right w:w="108" w:type="dxa"/>
            </w:tcMar>
            <w:hideMark/>
          </w:tcPr>
          <w:p w14:paraId="5273D726" w14:textId="77777777" w:rsidR="00551E4B" w:rsidRPr="0042103C" w:rsidRDefault="00551E4B" w:rsidP="00437BF5">
            <w:pPr>
              <w:jc w:val="center"/>
            </w:pPr>
            <w:r w:rsidRPr="0042103C">
              <w:rPr>
                <w:rFonts w:ascii="Arial" w:hAnsi="Arial" w:cs="Arial"/>
                <w:color w:val="000000"/>
                <w:sz w:val="20"/>
                <w:szCs w:val="20"/>
              </w:rPr>
              <w:t>3.22</w:t>
            </w:r>
          </w:p>
        </w:tc>
        <w:tc>
          <w:tcPr>
            <w:tcW w:w="0" w:type="auto"/>
            <w:tcBorders>
              <w:top w:val="single" w:sz="4" w:space="0" w:color="000000"/>
            </w:tcBorders>
            <w:tcMar>
              <w:top w:w="0" w:type="dxa"/>
              <w:left w:w="108" w:type="dxa"/>
              <w:bottom w:w="0" w:type="dxa"/>
              <w:right w:w="108" w:type="dxa"/>
            </w:tcMar>
            <w:hideMark/>
          </w:tcPr>
          <w:p w14:paraId="4111AAD7" w14:textId="77777777" w:rsidR="00551E4B" w:rsidRPr="0042103C" w:rsidRDefault="00551E4B" w:rsidP="00437BF5">
            <w:pPr>
              <w:jc w:val="center"/>
            </w:pPr>
            <w:r w:rsidRPr="0042103C">
              <w:rPr>
                <w:rFonts w:ascii="Arial" w:hAnsi="Arial" w:cs="Arial"/>
                <w:color w:val="000000"/>
                <w:sz w:val="20"/>
                <w:szCs w:val="20"/>
              </w:rPr>
              <w:t>3.17</w:t>
            </w:r>
          </w:p>
        </w:tc>
        <w:tc>
          <w:tcPr>
            <w:tcW w:w="0" w:type="auto"/>
            <w:tcBorders>
              <w:top w:val="single" w:sz="4" w:space="0" w:color="000000"/>
            </w:tcBorders>
            <w:tcMar>
              <w:top w:w="0" w:type="dxa"/>
              <w:left w:w="108" w:type="dxa"/>
              <w:bottom w:w="0" w:type="dxa"/>
              <w:right w:w="108" w:type="dxa"/>
            </w:tcMar>
            <w:hideMark/>
          </w:tcPr>
          <w:p w14:paraId="5DD3D25F" w14:textId="77777777" w:rsidR="00551E4B" w:rsidRPr="0042103C" w:rsidRDefault="00551E4B" w:rsidP="00437BF5">
            <w:pPr>
              <w:jc w:val="center"/>
            </w:pPr>
            <w:r w:rsidRPr="0042103C">
              <w:rPr>
                <w:rFonts w:ascii="Arial" w:hAnsi="Arial" w:cs="Arial"/>
                <w:color w:val="000000"/>
                <w:sz w:val="20"/>
                <w:szCs w:val="20"/>
              </w:rPr>
              <w:t>2.68</w:t>
            </w:r>
          </w:p>
        </w:tc>
        <w:tc>
          <w:tcPr>
            <w:tcW w:w="0" w:type="auto"/>
            <w:tcBorders>
              <w:top w:val="single" w:sz="4" w:space="0" w:color="000000"/>
            </w:tcBorders>
            <w:tcMar>
              <w:top w:w="0" w:type="dxa"/>
              <w:left w:w="108" w:type="dxa"/>
              <w:bottom w:w="0" w:type="dxa"/>
              <w:right w:w="108" w:type="dxa"/>
            </w:tcMar>
            <w:hideMark/>
          </w:tcPr>
          <w:p w14:paraId="223A5F4E" w14:textId="77777777" w:rsidR="00551E4B" w:rsidRPr="0042103C" w:rsidRDefault="00551E4B" w:rsidP="00437BF5">
            <w:pPr>
              <w:jc w:val="center"/>
            </w:pPr>
            <w:r w:rsidRPr="0042103C">
              <w:rPr>
                <w:rFonts w:ascii="Arial" w:hAnsi="Arial" w:cs="Arial"/>
                <w:color w:val="000000"/>
                <w:sz w:val="20"/>
                <w:szCs w:val="20"/>
              </w:rPr>
              <w:t>3.09</w:t>
            </w:r>
          </w:p>
        </w:tc>
        <w:tc>
          <w:tcPr>
            <w:tcW w:w="0" w:type="auto"/>
            <w:tcBorders>
              <w:top w:val="single" w:sz="4" w:space="0" w:color="000000"/>
            </w:tcBorders>
            <w:tcMar>
              <w:top w:w="0" w:type="dxa"/>
              <w:left w:w="108" w:type="dxa"/>
              <w:bottom w:w="0" w:type="dxa"/>
              <w:right w:w="108" w:type="dxa"/>
            </w:tcMar>
            <w:hideMark/>
          </w:tcPr>
          <w:p w14:paraId="3466F02E" w14:textId="77777777" w:rsidR="00551E4B" w:rsidRPr="0042103C" w:rsidRDefault="00551E4B" w:rsidP="00437BF5">
            <w:pPr>
              <w:jc w:val="center"/>
            </w:pPr>
            <w:r w:rsidRPr="0042103C">
              <w:rPr>
                <w:rFonts w:ascii="Arial" w:hAnsi="Arial" w:cs="Arial"/>
                <w:color w:val="000000"/>
                <w:sz w:val="20"/>
                <w:szCs w:val="20"/>
              </w:rPr>
              <w:t>3.37</w:t>
            </w:r>
          </w:p>
        </w:tc>
      </w:tr>
      <w:tr w:rsidR="00551E4B" w:rsidRPr="0042103C" w14:paraId="19FA27C8" w14:textId="77777777" w:rsidTr="00437BF5">
        <w:tc>
          <w:tcPr>
            <w:tcW w:w="0" w:type="auto"/>
            <w:tcBorders>
              <w:bottom w:val="single" w:sz="4" w:space="0" w:color="000000"/>
            </w:tcBorders>
            <w:tcMar>
              <w:top w:w="0" w:type="dxa"/>
              <w:left w:w="108" w:type="dxa"/>
              <w:bottom w:w="0" w:type="dxa"/>
              <w:right w:w="108" w:type="dxa"/>
            </w:tcMar>
            <w:hideMark/>
          </w:tcPr>
          <w:p w14:paraId="10990A86" w14:textId="77777777" w:rsidR="00551E4B" w:rsidRPr="0042103C" w:rsidRDefault="00551E4B" w:rsidP="00437BF5">
            <w:r w:rsidRPr="0042103C">
              <w:rPr>
                <w:rFonts w:ascii="Arial" w:hAnsi="Arial" w:cs="Arial"/>
                <w:i/>
                <w:iCs/>
                <w:color w:val="000000"/>
                <w:sz w:val="20"/>
                <w:szCs w:val="20"/>
              </w:rPr>
              <w:t>P</w:t>
            </w:r>
          </w:p>
        </w:tc>
        <w:tc>
          <w:tcPr>
            <w:tcW w:w="0" w:type="auto"/>
            <w:tcBorders>
              <w:bottom w:val="single" w:sz="4" w:space="0" w:color="000000"/>
            </w:tcBorders>
            <w:tcMar>
              <w:top w:w="0" w:type="dxa"/>
              <w:left w:w="108" w:type="dxa"/>
              <w:bottom w:w="0" w:type="dxa"/>
              <w:right w:w="108" w:type="dxa"/>
            </w:tcMar>
            <w:hideMark/>
          </w:tcPr>
          <w:p w14:paraId="5A356728" w14:textId="77777777" w:rsidR="00551E4B" w:rsidRPr="0042103C" w:rsidRDefault="00551E4B" w:rsidP="00437BF5">
            <w:pPr>
              <w:jc w:val="center"/>
            </w:pPr>
            <w:r w:rsidRPr="0042103C">
              <w:rPr>
                <w:rFonts w:ascii="Arial" w:hAnsi="Arial" w:cs="Arial"/>
                <w:color w:val="000000"/>
                <w:sz w:val="20"/>
                <w:szCs w:val="20"/>
              </w:rPr>
              <w:t>4.81E-02</w:t>
            </w:r>
          </w:p>
        </w:tc>
        <w:tc>
          <w:tcPr>
            <w:tcW w:w="0" w:type="auto"/>
            <w:tcBorders>
              <w:bottom w:val="single" w:sz="4" w:space="0" w:color="000000"/>
            </w:tcBorders>
            <w:tcMar>
              <w:top w:w="0" w:type="dxa"/>
              <w:left w:w="108" w:type="dxa"/>
              <w:bottom w:w="0" w:type="dxa"/>
              <w:right w:w="108" w:type="dxa"/>
            </w:tcMar>
            <w:hideMark/>
          </w:tcPr>
          <w:p w14:paraId="4DC35760" w14:textId="77777777" w:rsidR="00551E4B" w:rsidRPr="0042103C" w:rsidRDefault="00551E4B" w:rsidP="00437BF5">
            <w:pPr>
              <w:jc w:val="center"/>
            </w:pPr>
            <w:r w:rsidRPr="0042103C">
              <w:rPr>
                <w:rFonts w:ascii="Arial" w:hAnsi="Arial" w:cs="Arial"/>
                <w:color w:val="000000"/>
                <w:sz w:val="20"/>
                <w:szCs w:val="20"/>
              </w:rPr>
              <w:t>1.05E-02</w:t>
            </w:r>
          </w:p>
        </w:tc>
        <w:tc>
          <w:tcPr>
            <w:tcW w:w="0" w:type="auto"/>
            <w:tcBorders>
              <w:bottom w:val="single" w:sz="4" w:space="0" w:color="000000"/>
            </w:tcBorders>
            <w:tcMar>
              <w:top w:w="0" w:type="dxa"/>
              <w:left w:w="108" w:type="dxa"/>
              <w:bottom w:w="0" w:type="dxa"/>
              <w:right w:w="108" w:type="dxa"/>
            </w:tcMar>
            <w:hideMark/>
          </w:tcPr>
          <w:p w14:paraId="59FBE2A7" w14:textId="77777777" w:rsidR="00551E4B" w:rsidRPr="0042103C" w:rsidRDefault="00551E4B" w:rsidP="00437BF5">
            <w:pPr>
              <w:jc w:val="center"/>
            </w:pPr>
            <w:r w:rsidRPr="0042103C">
              <w:rPr>
                <w:rFonts w:ascii="Arial" w:hAnsi="Arial" w:cs="Arial"/>
                <w:color w:val="000000"/>
                <w:sz w:val="20"/>
                <w:szCs w:val="20"/>
              </w:rPr>
              <w:t>2.73E-08</w:t>
            </w:r>
          </w:p>
        </w:tc>
        <w:tc>
          <w:tcPr>
            <w:tcW w:w="0" w:type="auto"/>
            <w:tcBorders>
              <w:bottom w:val="single" w:sz="4" w:space="0" w:color="000000"/>
            </w:tcBorders>
            <w:tcMar>
              <w:top w:w="0" w:type="dxa"/>
              <w:left w:w="108" w:type="dxa"/>
              <w:bottom w:w="0" w:type="dxa"/>
              <w:right w:w="108" w:type="dxa"/>
            </w:tcMar>
            <w:hideMark/>
          </w:tcPr>
          <w:p w14:paraId="2F330646" w14:textId="77777777" w:rsidR="00551E4B" w:rsidRPr="0042103C" w:rsidRDefault="00551E4B" w:rsidP="00437BF5">
            <w:pPr>
              <w:jc w:val="center"/>
            </w:pPr>
            <w:r w:rsidRPr="0042103C">
              <w:rPr>
                <w:rFonts w:ascii="Arial" w:hAnsi="Arial" w:cs="Arial"/>
                <w:color w:val="000000"/>
                <w:sz w:val="20"/>
                <w:szCs w:val="20"/>
              </w:rPr>
              <w:t>6.91E-03</w:t>
            </w:r>
          </w:p>
        </w:tc>
        <w:tc>
          <w:tcPr>
            <w:tcW w:w="0" w:type="auto"/>
            <w:tcBorders>
              <w:bottom w:val="single" w:sz="4" w:space="0" w:color="000000"/>
            </w:tcBorders>
            <w:tcMar>
              <w:top w:w="0" w:type="dxa"/>
              <w:left w:w="108" w:type="dxa"/>
              <w:bottom w:w="0" w:type="dxa"/>
              <w:right w:w="108" w:type="dxa"/>
            </w:tcMar>
            <w:hideMark/>
          </w:tcPr>
          <w:p w14:paraId="53846A98" w14:textId="77777777" w:rsidR="00551E4B" w:rsidRPr="0042103C" w:rsidRDefault="00551E4B" w:rsidP="00437BF5">
            <w:pPr>
              <w:jc w:val="center"/>
            </w:pPr>
            <w:r w:rsidRPr="0042103C">
              <w:rPr>
                <w:rFonts w:ascii="Arial" w:hAnsi="Arial" w:cs="Arial"/>
                <w:color w:val="000000"/>
                <w:sz w:val="20"/>
                <w:szCs w:val="20"/>
              </w:rPr>
              <w:t>9.75E-03</w:t>
            </w:r>
          </w:p>
        </w:tc>
      </w:tr>
    </w:tbl>
    <w:p w14:paraId="5736BBE0" w14:textId="3A12F99C" w:rsidR="00551E4B" w:rsidRDefault="00551E4B" w:rsidP="00DD2CFB">
      <w:pPr>
        <w:spacing w:line="480" w:lineRule="auto"/>
        <w:rPr>
          <w:b/>
        </w:rPr>
      </w:pPr>
    </w:p>
    <w:p w14:paraId="04FE9F55" w14:textId="77777777" w:rsidR="00551E4B" w:rsidRDefault="00551E4B">
      <w:pPr>
        <w:rPr>
          <w:b/>
        </w:rPr>
      </w:pPr>
      <w:r>
        <w:rPr>
          <w:b/>
        </w:rPr>
        <w:br w:type="page"/>
      </w:r>
    </w:p>
    <w:p w14:paraId="5E003384" w14:textId="0407D95C" w:rsidR="00DD2CFB" w:rsidRPr="00140D32" w:rsidRDefault="00DD2CFB" w:rsidP="00DD2CFB">
      <w:pPr>
        <w:spacing w:line="480" w:lineRule="auto"/>
      </w:pPr>
      <w:r w:rsidRPr="00140D32">
        <w:rPr>
          <w:b/>
        </w:rPr>
        <w:lastRenderedPageBreak/>
        <w:t>Table S</w:t>
      </w:r>
      <w:r w:rsidR="00551E4B">
        <w:rPr>
          <w:b/>
        </w:rPr>
        <w:t>10</w:t>
      </w:r>
      <w:r w:rsidRPr="00140D32">
        <w:rPr>
          <w:b/>
        </w:rPr>
        <w:t>:</w:t>
      </w:r>
      <w:r w:rsidRPr="00140D32">
        <w:t xml:space="preserve"> Tetrad frequencies for each chromosome of the </w:t>
      </w:r>
      <w:r w:rsidRPr="00140D32">
        <w:rPr>
          <w:i/>
        </w:rPr>
        <w:t xml:space="preserve">D. virilis </w:t>
      </w:r>
      <w:r w:rsidRPr="00140D32">
        <w:t>BC1 progeny. The tetrad frequencies were estimated using the Classic Weinstein method from Weinstein (1918). Negative tetrad frequencies are biologically meaningless and a drawback to using this method.</w:t>
      </w:r>
    </w:p>
    <w:p w14:paraId="48C53F58" w14:textId="77777777" w:rsidR="00DD2CFB" w:rsidRPr="00140D32" w:rsidRDefault="00DD2CFB" w:rsidP="00DD2CFB"/>
    <w:tbl>
      <w:tblPr>
        <w:tblStyle w:val="TableGrid"/>
        <w:tblW w:w="7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1007"/>
        <w:gridCol w:w="1008"/>
        <w:gridCol w:w="1008"/>
        <w:gridCol w:w="918"/>
        <w:gridCol w:w="1008"/>
        <w:gridCol w:w="918"/>
      </w:tblGrid>
      <w:tr w:rsidR="00DD2CFB" w:rsidRPr="00140D32" w14:paraId="4DF0EC99" w14:textId="77777777" w:rsidTr="00437BF5">
        <w:trPr>
          <w:trHeight w:val="263"/>
        </w:trPr>
        <w:tc>
          <w:tcPr>
            <w:tcW w:w="0" w:type="auto"/>
            <w:tcBorders>
              <w:top w:val="single" w:sz="4" w:space="0" w:color="auto"/>
            </w:tcBorders>
            <w:shd w:val="clear" w:color="auto" w:fill="auto"/>
          </w:tcPr>
          <w:p w14:paraId="521BFE7D" w14:textId="77777777" w:rsidR="00DD2CFB" w:rsidRPr="00140D32" w:rsidRDefault="00DD2CFB" w:rsidP="00437BF5">
            <w:pPr>
              <w:jc w:val="center"/>
              <w:rPr>
                <w:rFonts w:ascii="Arial" w:hAnsi="Arial" w:cs="Arial"/>
                <w:b/>
              </w:rPr>
            </w:pPr>
          </w:p>
        </w:tc>
        <w:tc>
          <w:tcPr>
            <w:tcW w:w="0" w:type="auto"/>
            <w:gridSpan w:val="6"/>
            <w:tcBorders>
              <w:top w:val="single" w:sz="4" w:space="0" w:color="auto"/>
              <w:left w:val="nil"/>
              <w:bottom w:val="single" w:sz="4" w:space="0" w:color="auto"/>
            </w:tcBorders>
            <w:shd w:val="clear" w:color="auto" w:fill="auto"/>
          </w:tcPr>
          <w:p w14:paraId="16FEF45A" w14:textId="77777777" w:rsidR="00DD2CFB" w:rsidRPr="00140D32" w:rsidRDefault="00DD2CFB" w:rsidP="00437BF5">
            <w:pPr>
              <w:jc w:val="center"/>
              <w:rPr>
                <w:rFonts w:ascii="Arial" w:hAnsi="Arial" w:cs="Arial"/>
                <w:b/>
              </w:rPr>
            </w:pPr>
            <w:r w:rsidRPr="00140D32">
              <w:rPr>
                <w:rFonts w:ascii="Arial" w:hAnsi="Arial" w:cs="Arial"/>
                <w:b/>
              </w:rPr>
              <w:t>N-Exchange (</w:t>
            </w:r>
            <w:proofErr w:type="spellStart"/>
            <w:r w:rsidRPr="00140D32">
              <w:rPr>
                <w:rFonts w:ascii="Arial" w:hAnsi="Arial" w:cs="Arial"/>
                <w:b/>
                <w:i/>
              </w:rPr>
              <w:t>E</w:t>
            </w:r>
            <w:r w:rsidRPr="00140D32">
              <w:rPr>
                <w:rFonts w:ascii="Arial" w:hAnsi="Arial" w:cs="Arial"/>
                <w:b/>
                <w:i/>
                <w:vertAlign w:val="subscript"/>
              </w:rPr>
              <w:t>n</w:t>
            </w:r>
            <w:proofErr w:type="spellEnd"/>
            <w:r w:rsidRPr="00140D32">
              <w:rPr>
                <w:rFonts w:ascii="Arial" w:hAnsi="Arial" w:cs="Arial"/>
                <w:b/>
              </w:rPr>
              <w:t>) Tetrad Frequency</w:t>
            </w:r>
          </w:p>
        </w:tc>
      </w:tr>
      <w:tr w:rsidR="00DD2CFB" w:rsidRPr="00140D32" w14:paraId="506284CC" w14:textId="77777777" w:rsidTr="00437BF5">
        <w:trPr>
          <w:trHeight w:val="263"/>
        </w:trPr>
        <w:tc>
          <w:tcPr>
            <w:tcW w:w="0" w:type="auto"/>
            <w:tcBorders>
              <w:bottom w:val="single" w:sz="4" w:space="0" w:color="auto"/>
            </w:tcBorders>
            <w:shd w:val="clear" w:color="auto" w:fill="auto"/>
          </w:tcPr>
          <w:p w14:paraId="2EB1837F" w14:textId="77777777" w:rsidR="00DD2CFB" w:rsidRPr="00140D32" w:rsidRDefault="00DD2CFB" w:rsidP="00437BF5">
            <w:pPr>
              <w:jc w:val="center"/>
              <w:rPr>
                <w:rFonts w:ascii="Arial" w:hAnsi="Arial" w:cs="Arial"/>
                <w:b/>
              </w:rPr>
            </w:pPr>
            <w:r w:rsidRPr="00140D32">
              <w:rPr>
                <w:rFonts w:ascii="Arial" w:hAnsi="Arial" w:cs="Arial"/>
                <w:b/>
              </w:rPr>
              <w:t>Chromosome</w:t>
            </w:r>
          </w:p>
        </w:tc>
        <w:tc>
          <w:tcPr>
            <w:tcW w:w="0" w:type="auto"/>
            <w:tcBorders>
              <w:top w:val="single" w:sz="4" w:space="0" w:color="auto"/>
              <w:left w:val="nil"/>
              <w:bottom w:val="single" w:sz="4" w:space="0" w:color="auto"/>
            </w:tcBorders>
            <w:shd w:val="clear" w:color="auto" w:fill="auto"/>
          </w:tcPr>
          <w:p w14:paraId="6B0E77C6" w14:textId="77777777" w:rsidR="00DD2CFB" w:rsidRPr="00140D32" w:rsidRDefault="00DD2CFB" w:rsidP="00437BF5">
            <w:pPr>
              <w:jc w:val="center"/>
              <w:rPr>
                <w:rFonts w:ascii="Arial" w:hAnsi="Arial" w:cs="Arial"/>
                <w:b/>
              </w:rPr>
            </w:pPr>
            <w:r w:rsidRPr="00140D32">
              <w:rPr>
                <w:rFonts w:ascii="Arial" w:hAnsi="Arial" w:cs="Arial"/>
                <w:b/>
                <w:i/>
              </w:rPr>
              <w:t>E</w:t>
            </w:r>
            <w:r w:rsidRPr="00140D32">
              <w:rPr>
                <w:rFonts w:ascii="Arial" w:hAnsi="Arial" w:cs="Arial"/>
                <w:b/>
                <w:vertAlign w:val="subscript"/>
              </w:rPr>
              <w:t>0</w:t>
            </w:r>
          </w:p>
        </w:tc>
        <w:tc>
          <w:tcPr>
            <w:tcW w:w="0" w:type="auto"/>
            <w:tcBorders>
              <w:top w:val="single" w:sz="4" w:space="0" w:color="auto"/>
              <w:bottom w:val="single" w:sz="4" w:space="0" w:color="auto"/>
            </w:tcBorders>
            <w:shd w:val="clear" w:color="auto" w:fill="auto"/>
          </w:tcPr>
          <w:p w14:paraId="2515E290" w14:textId="77777777" w:rsidR="00DD2CFB" w:rsidRPr="00140D32" w:rsidRDefault="00DD2CFB" w:rsidP="00437BF5">
            <w:pPr>
              <w:jc w:val="center"/>
              <w:rPr>
                <w:rFonts w:ascii="Arial" w:hAnsi="Arial" w:cs="Arial"/>
                <w:b/>
              </w:rPr>
            </w:pPr>
            <w:r w:rsidRPr="00140D32">
              <w:rPr>
                <w:rFonts w:ascii="Arial" w:hAnsi="Arial" w:cs="Arial"/>
                <w:b/>
                <w:i/>
              </w:rPr>
              <w:t>E</w:t>
            </w:r>
            <w:r w:rsidRPr="00140D32">
              <w:rPr>
                <w:rFonts w:ascii="Arial" w:hAnsi="Arial" w:cs="Arial"/>
                <w:b/>
                <w:vertAlign w:val="subscript"/>
              </w:rPr>
              <w:t>1</w:t>
            </w:r>
          </w:p>
        </w:tc>
        <w:tc>
          <w:tcPr>
            <w:tcW w:w="0" w:type="auto"/>
            <w:tcBorders>
              <w:top w:val="single" w:sz="4" w:space="0" w:color="auto"/>
              <w:bottom w:val="single" w:sz="4" w:space="0" w:color="auto"/>
            </w:tcBorders>
            <w:shd w:val="clear" w:color="auto" w:fill="auto"/>
          </w:tcPr>
          <w:p w14:paraId="53A17D10" w14:textId="77777777" w:rsidR="00DD2CFB" w:rsidRPr="00140D32" w:rsidRDefault="00DD2CFB" w:rsidP="00437BF5">
            <w:pPr>
              <w:jc w:val="center"/>
              <w:rPr>
                <w:rFonts w:ascii="Arial" w:hAnsi="Arial" w:cs="Arial"/>
                <w:b/>
              </w:rPr>
            </w:pPr>
            <w:r w:rsidRPr="00140D32">
              <w:rPr>
                <w:rFonts w:ascii="Arial" w:hAnsi="Arial" w:cs="Arial"/>
                <w:b/>
                <w:i/>
              </w:rPr>
              <w:t>E</w:t>
            </w:r>
            <w:r w:rsidRPr="00140D32">
              <w:rPr>
                <w:rFonts w:ascii="Arial" w:hAnsi="Arial" w:cs="Arial"/>
                <w:b/>
                <w:vertAlign w:val="subscript"/>
              </w:rPr>
              <w:t>2</w:t>
            </w:r>
          </w:p>
        </w:tc>
        <w:tc>
          <w:tcPr>
            <w:tcW w:w="0" w:type="auto"/>
            <w:tcBorders>
              <w:top w:val="single" w:sz="4" w:space="0" w:color="auto"/>
              <w:bottom w:val="single" w:sz="4" w:space="0" w:color="auto"/>
            </w:tcBorders>
            <w:shd w:val="clear" w:color="auto" w:fill="auto"/>
          </w:tcPr>
          <w:p w14:paraId="7547A4FA" w14:textId="77777777" w:rsidR="00DD2CFB" w:rsidRPr="00140D32" w:rsidRDefault="00DD2CFB" w:rsidP="00437BF5">
            <w:pPr>
              <w:jc w:val="center"/>
              <w:rPr>
                <w:rFonts w:ascii="Arial" w:hAnsi="Arial" w:cs="Arial"/>
                <w:b/>
              </w:rPr>
            </w:pPr>
            <w:r w:rsidRPr="00140D32">
              <w:rPr>
                <w:rFonts w:ascii="Arial" w:hAnsi="Arial" w:cs="Arial"/>
                <w:b/>
                <w:i/>
              </w:rPr>
              <w:t>E</w:t>
            </w:r>
            <w:r w:rsidRPr="00140D32">
              <w:rPr>
                <w:rFonts w:ascii="Arial" w:hAnsi="Arial" w:cs="Arial"/>
                <w:b/>
                <w:vertAlign w:val="subscript"/>
              </w:rPr>
              <w:t>3</w:t>
            </w:r>
          </w:p>
        </w:tc>
        <w:tc>
          <w:tcPr>
            <w:tcW w:w="0" w:type="auto"/>
            <w:tcBorders>
              <w:top w:val="single" w:sz="4" w:space="0" w:color="auto"/>
              <w:bottom w:val="single" w:sz="4" w:space="0" w:color="auto"/>
            </w:tcBorders>
            <w:shd w:val="clear" w:color="auto" w:fill="auto"/>
          </w:tcPr>
          <w:p w14:paraId="589106AD" w14:textId="77777777" w:rsidR="00DD2CFB" w:rsidRPr="00140D32" w:rsidRDefault="00DD2CFB" w:rsidP="00437BF5">
            <w:pPr>
              <w:jc w:val="center"/>
              <w:rPr>
                <w:rFonts w:ascii="Arial" w:hAnsi="Arial" w:cs="Arial"/>
                <w:b/>
              </w:rPr>
            </w:pPr>
            <w:r w:rsidRPr="00140D32">
              <w:rPr>
                <w:rFonts w:ascii="Arial" w:hAnsi="Arial" w:cs="Arial"/>
                <w:b/>
                <w:i/>
              </w:rPr>
              <w:t>E</w:t>
            </w:r>
            <w:r w:rsidRPr="00140D32">
              <w:rPr>
                <w:rFonts w:ascii="Arial" w:hAnsi="Arial" w:cs="Arial"/>
                <w:b/>
                <w:vertAlign w:val="subscript"/>
              </w:rPr>
              <w:t>4</w:t>
            </w:r>
          </w:p>
        </w:tc>
        <w:tc>
          <w:tcPr>
            <w:tcW w:w="0" w:type="auto"/>
            <w:tcBorders>
              <w:top w:val="single" w:sz="4" w:space="0" w:color="auto"/>
              <w:bottom w:val="single" w:sz="4" w:space="0" w:color="auto"/>
            </w:tcBorders>
            <w:shd w:val="clear" w:color="auto" w:fill="auto"/>
          </w:tcPr>
          <w:p w14:paraId="4EB9FE6D" w14:textId="77777777" w:rsidR="00DD2CFB" w:rsidRPr="00140D32" w:rsidRDefault="00DD2CFB" w:rsidP="00437BF5">
            <w:pPr>
              <w:jc w:val="center"/>
              <w:rPr>
                <w:rFonts w:ascii="Arial" w:hAnsi="Arial" w:cs="Arial"/>
                <w:b/>
              </w:rPr>
            </w:pPr>
            <w:r w:rsidRPr="00140D32">
              <w:rPr>
                <w:rFonts w:ascii="Arial" w:hAnsi="Arial" w:cs="Arial"/>
                <w:b/>
                <w:i/>
              </w:rPr>
              <w:t>E</w:t>
            </w:r>
            <w:r w:rsidRPr="00140D32">
              <w:rPr>
                <w:rFonts w:ascii="Arial" w:hAnsi="Arial" w:cs="Arial"/>
                <w:b/>
                <w:vertAlign w:val="subscript"/>
              </w:rPr>
              <w:t>5</w:t>
            </w:r>
          </w:p>
        </w:tc>
      </w:tr>
      <w:tr w:rsidR="00DD2CFB" w:rsidRPr="00140D32" w14:paraId="449EA6AA" w14:textId="77777777" w:rsidTr="00437BF5">
        <w:trPr>
          <w:trHeight w:val="263"/>
        </w:trPr>
        <w:tc>
          <w:tcPr>
            <w:tcW w:w="0" w:type="auto"/>
            <w:tcBorders>
              <w:top w:val="single" w:sz="4" w:space="0" w:color="auto"/>
            </w:tcBorders>
            <w:shd w:val="clear" w:color="auto" w:fill="auto"/>
          </w:tcPr>
          <w:p w14:paraId="6E8D60D8" w14:textId="77777777" w:rsidR="00DD2CFB" w:rsidRPr="00140D32" w:rsidRDefault="00DD2CFB" w:rsidP="00437BF5">
            <w:pPr>
              <w:jc w:val="center"/>
              <w:rPr>
                <w:rFonts w:ascii="Arial" w:hAnsi="Arial" w:cs="Arial"/>
              </w:rPr>
            </w:pPr>
            <w:r w:rsidRPr="00140D32">
              <w:rPr>
                <w:rFonts w:ascii="Arial" w:hAnsi="Arial" w:cs="Arial"/>
              </w:rPr>
              <w:t>X</w:t>
            </w:r>
          </w:p>
        </w:tc>
        <w:tc>
          <w:tcPr>
            <w:tcW w:w="0" w:type="auto"/>
            <w:tcBorders>
              <w:top w:val="single" w:sz="4" w:space="0" w:color="auto"/>
              <w:left w:val="nil"/>
            </w:tcBorders>
            <w:shd w:val="clear" w:color="auto" w:fill="auto"/>
          </w:tcPr>
          <w:p w14:paraId="40C93D66" w14:textId="77777777" w:rsidR="00DD2CFB" w:rsidRPr="00140D32" w:rsidRDefault="00DD2CFB" w:rsidP="00437BF5">
            <w:pPr>
              <w:jc w:val="center"/>
              <w:rPr>
                <w:rFonts w:ascii="Arial" w:hAnsi="Arial" w:cs="Arial"/>
              </w:rPr>
            </w:pPr>
            <w:r w:rsidRPr="00140D32">
              <w:rPr>
                <w:rFonts w:ascii="Arial" w:hAnsi="Arial" w:cs="Arial"/>
              </w:rPr>
              <w:t>0.012</w:t>
            </w:r>
          </w:p>
        </w:tc>
        <w:tc>
          <w:tcPr>
            <w:tcW w:w="0" w:type="auto"/>
            <w:tcBorders>
              <w:top w:val="single" w:sz="4" w:space="0" w:color="auto"/>
            </w:tcBorders>
            <w:shd w:val="clear" w:color="auto" w:fill="auto"/>
          </w:tcPr>
          <w:p w14:paraId="03454082" w14:textId="77777777" w:rsidR="00DD2CFB" w:rsidRPr="00140D32" w:rsidRDefault="00DD2CFB" w:rsidP="00437BF5">
            <w:pPr>
              <w:jc w:val="center"/>
              <w:rPr>
                <w:rFonts w:ascii="Arial" w:hAnsi="Arial" w:cs="Arial"/>
              </w:rPr>
            </w:pPr>
            <w:r w:rsidRPr="00140D32">
              <w:rPr>
                <w:rFonts w:ascii="Arial" w:hAnsi="Arial" w:cs="Arial"/>
              </w:rPr>
              <w:t>0.176</w:t>
            </w:r>
          </w:p>
        </w:tc>
        <w:tc>
          <w:tcPr>
            <w:tcW w:w="0" w:type="auto"/>
            <w:tcBorders>
              <w:top w:val="single" w:sz="4" w:space="0" w:color="auto"/>
            </w:tcBorders>
            <w:shd w:val="clear" w:color="auto" w:fill="auto"/>
          </w:tcPr>
          <w:p w14:paraId="12C87586" w14:textId="77777777" w:rsidR="00DD2CFB" w:rsidRPr="00140D32" w:rsidRDefault="00DD2CFB" w:rsidP="00437BF5">
            <w:pPr>
              <w:jc w:val="center"/>
              <w:rPr>
                <w:rFonts w:ascii="Arial" w:hAnsi="Arial" w:cs="Arial"/>
              </w:rPr>
            </w:pPr>
            <w:r w:rsidRPr="00140D32">
              <w:rPr>
                <w:rFonts w:ascii="Arial" w:hAnsi="Arial" w:cs="Arial"/>
              </w:rPr>
              <w:t>0.039</w:t>
            </w:r>
          </w:p>
        </w:tc>
        <w:tc>
          <w:tcPr>
            <w:tcW w:w="0" w:type="auto"/>
            <w:tcBorders>
              <w:top w:val="single" w:sz="4" w:space="0" w:color="auto"/>
            </w:tcBorders>
            <w:shd w:val="clear" w:color="auto" w:fill="auto"/>
          </w:tcPr>
          <w:p w14:paraId="2F51554C" w14:textId="77777777" w:rsidR="00DD2CFB" w:rsidRPr="00140D32" w:rsidRDefault="00DD2CFB" w:rsidP="00437BF5">
            <w:pPr>
              <w:jc w:val="center"/>
              <w:rPr>
                <w:rFonts w:ascii="Arial" w:hAnsi="Arial" w:cs="Arial"/>
              </w:rPr>
            </w:pPr>
            <w:r w:rsidRPr="00140D32">
              <w:rPr>
                <w:rFonts w:ascii="Arial" w:hAnsi="Arial" w:cs="Arial"/>
              </w:rPr>
              <w:t>0.580</w:t>
            </w:r>
          </w:p>
        </w:tc>
        <w:tc>
          <w:tcPr>
            <w:tcW w:w="0" w:type="auto"/>
            <w:tcBorders>
              <w:top w:val="single" w:sz="4" w:space="0" w:color="auto"/>
            </w:tcBorders>
            <w:shd w:val="clear" w:color="auto" w:fill="auto"/>
          </w:tcPr>
          <w:p w14:paraId="5E421741" w14:textId="77777777" w:rsidR="00DD2CFB" w:rsidRPr="00140D32" w:rsidRDefault="00DD2CFB" w:rsidP="00437BF5">
            <w:pPr>
              <w:jc w:val="center"/>
              <w:rPr>
                <w:rFonts w:ascii="Arial" w:hAnsi="Arial" w:cs="Arial"/>
              </w:rPr>
            </w:pPr>
            <w:r w:rsidRPr="00140D32">
              <w:rPr>
                <w:rFonts w:ascii="Arial" w:hAnsi="Arial" w:cs="Arial"/>
              </w:rPr>
              <w:t>0.116</w:t>
            </w:r>
          </w:p>
        </w:tc>
        <w:tc>
          <w:tcPr>
            <w:tcW w:w="0" w:type="auto"/>
            <w:tcBorders>
              <w:top w:val="single" w:sz="4" w:space="0" w:color="auto"/>
            </w:tcBorders>
            <w:shd w:val="clear" w:color="auto" w:fill="auto"/>
          </w:tcPr>
          <w:p w14:paraId="2882FFDE" w14:textId="77777777" w:rsidR="00DD2CFB" w:rsidRPr="00140D32" w:rsidRDefault="00DD2CFB" w:rsidP="00437BF5">
            <w:pPr>
              <w:jc w:val="center"/>
              <w:rPr>
                <w:rFonts w:ascii="Arial" w:hAnsi="Arial" w:cs="Arial"/>
              </w:rPr>
            </w:pPr>
            <w:r w:rsidRPr="00140D32">
              <w:rPr>
                <w:rFonts w:ascii="Arial" w:hAnsi="Arial" w:cs="Arial"/>
              </w:rPr>
              <w:t>0.077</w:t>
            </w:r>
          </w:p>
        </w:tc>
      </w:tr>
      <w:tr w:rsidR="00DD2CFB" w:rsidRPr="00140D32" w14:paraId="53397E68" w14:textId="77777777" w:rsidTr="00437BF5">
        <w:trPr>
          <w:trHeight w:val="263"/>
        </w:trPr>
        <w:tc>
          <w:tcPr>
            <w:tcW w:w="0" w:type="auto"/>
            <w:shd w:val="clear" w:color="auto" w:fill="auto"/>
          </w:tcPr>
          <w:p w14:paraId="156C9862" w14:textId="77777777" w:rsidR="00DD2CFB" w:rsidRPr="00140D32" w:rsidRDefault="00DD2CFB" w:rsidP="00437BF5">
            <w:pPr>
              <w:jc w:val="center"/>
              <w:rPr>
                <w:rFonts w:ascii="Arial" w:hAnsi="Arial" w:cs="Arial"/>
              </w:rPr>
            </w:pPr>
            <w:r w:rsidRPr="00140D32">
              <w:rPr>
                <w:rFonts w:ascii="Arial" w:hAnsi="Arial" w:cs="Arial"/>
              </w:rPr>
              <w:t>2</w:t>
            </w:r>
          </w:p>
        </w:tc>
        <w:tc>
          <w:tcPr>
            <w:tcW w:w="0" w:type="auto"/>
            <w:tcBorders>
              <w:left w:val="nil"/>
            </w:tcBorders>
            <w:shd w:val="clear" w:color="auto" w:fill="auto"/>
          </w:tcPr>
          <w:p w14:paraId="021EAC2A" w14:textId="77777777" w:rsidR="00DD2CFB" w:rsidRPr="00140D32" w:rsidRDefault="00DD2CFB" w:rsidP="00437BF5">
            <w:pPr>
              <w:jc w:val="center"/>
              <w:rPr>
                <w:rFonts w:ascii="Arial" w:hAnsi="Arial" w:cs="Arial"/>
              </w:rPr>
            </w:pPr>
            <w:r w:rsidRPr="00140D32">
              <w:rPr>
                <w:rFonts w:ascii="Arial" w:hAnsi="Arial" w:cs="Arial"/>
              </w:rPr>
              <w:t>-0.040</w:t>
            </w:r>
          </w:p>
        </w:tc>
        <w:tc>
          <w:tcPr>
            <w:tcW w:w="0" w:type="auto"/>
            <w:shd w:val="clear" w:color="auto" w:fill="auto"/>
          </w:tcPr>
          <w:p w14:paraId="6DBF8273" w14:textId="77777777" w:rsidR="00DD2CFB" w:rsidRPr="00140D32" w:rsidRDefault="00DD2CFB" w:rsidP="00437BF5">
            <w:pPr>
              <w:jc w:val="center"/>
              <w:rPr>
                <w:rFonts w:ascii="Arial" w:hAnsi="Arial" w:cs="Arial"/>
              </w:rPr>
            </w:pPr>
            <w:r w:rsidRPr="00140D32">
              <w:rPr>
                <w:rFonts w:ascii="Arial" w:hAnsi="Arial" w:cs="Arial"/>
              </w:rPr>
              <w:t>0.184</w:t>
            </w:r>
          </w:p>
        </w:tc>
        <w:tc>
          <w:tcPr>
            <w:tcW w:w="0" w:type="auto"/>
            <w:shd w:val="clear" w:color="auto" w:fill="auto"/>
          </w:tcPr>
          <w:p w14:paraId="66FC62A6" w14:textId="77777777" w:rsidR="00DD2CFB" w:rsidRPr="00140D32" w:rsidRDefault="00DD2CFB" w:rsidP="00437BF5">
            <w:pPr>
              <w:jc w:val="center"/>
              <w:rPr>
                <w:rFonts w:ascii="Arial" w:hAnsi="Arial" w:cs="Arial"/>
              </w:rPr>
            </w:pPr>
            <w:r w:rsidRPr="00140D32">
              <w:rPr>
                <w:rFonts w:ascii="Arial" w:hAnsi="Arial" w:cs="Arial"/>
              </w:rPr>
              <w:t>-0.034</w:t>
            </w:r>
          </w:p>
        </w:tc>
        <w:tc>
          <w:tcPr>
            <w:tcW w:w="0" w:type="auto"/>
            <w:shd w:val="clear" w:color="auto" w:fill="auto"/>
          </w:tcPr>
          <w:p w14:paraId="7B616839" w14:textId="77777777" w:rsidR="00DD2CFB" w:rsidRPr="00140D32" w:rsidRDefault="00DD2CFB" w:rsidP="00437BF5">
            <w:pPr>
              <w:jc w:val="center"/>
              <w:rPr>
                <w:rFonts w:ascii="Arial" w:hAnsi="Arial" w:cs="Arial"/>
              </w:rPr>
            </w:pPr>
            <w:r w:rsidRPr="00140D32">
              <w:rPr>
                <w:rFonts w:ascii="Arial" w:hAnsi="Arial" w:cs="Arial"/>
              </w:rPr>
              <w:t>0.754</w:t>
            </w:r>
          </w:p>
        </w:tc>
        <w:tc>
          <w:tcPr>
            <w:tcW w:w="0" w:type="auto"/>
            <w:shd w:val="clear" w:color="auto" w:fill="auto"/>
          </w:tcPr>
          <w:p w14:paraId="62E83E74" w14:textId="77777777" w:rsidR="00DD2CFB" w:rsidRPr="00140D32" w:rsidRDefault="00DD2CFB" w:rsidP="00437BF5">
            <w:pPr>
              <w:jc w:val="center"/>
              <w:rPr>
                <w:rFonts w:ascii="Arial" w:hAnsi="Arial" w:cs="Arial"/>
              </w:rPr>
            </w:pPr>
            <w:r w:rsidRPr="00140D32">
              <w:rPr>
                <w:rFonts w:ascii="Arial" w:hAnsi="Arial" w:cs="Arial"/>
              </w:rPr>
              <w:t>-0.135</w:t>
            </w:r>
          </w:p>
        </w:tc>
        <w:tc>
          <w:tcPr>
            <w:tcW w:w="0" w:type="auto"/>
            <w:shd w:val="clear" w:color="auto" w:fill="auto"/>
          </w:tcPr>
          <w:p w14:paraId="02B0C9C7" w14:textId="77777777" w:rsidR="00DD2CFB" w:rsidRPr="00140D32" w:rsidRDefault="00DD2CFB" w:rsidP="00437BF5">
            <w:pPr>
              <w:jc w:val="center"/>
              <w:rPr>
                <w:rFonts w:ascii="Arial" w:hAnsi="Arial" w:cs="Arial"/>
              </w:rPr>
            </w:pPr>
            <w:r w:rsidRPr="00140D32">
              <w:rPr>
                <w:rFonts w:ascii="Arial" w:hAnsi="Arial" w:cs="Arial"/>
              </w:rPr>
              <w:t>0.271</w:t>
            </w:r>
          </w:p>
        </w:tc>
      </w:tr>
      <w:tr w:rsidR="00DD2CFB" w:rsidRPr="00140D32" w14:paraId="5F1243D5" w14:textId="77777777" w:rsidTr="00437BF5">
        <w:trPr>
          <w:trHeight w:val="263"/>
        </w:trPr>
        <w:tc>
          <w:tcPr>
            <w:tcW w:w="0" w:type="auto"/>
            <w:shd w:val="clear" w:color="auto" w:fill="auto"/>
          </w:tcPr>
          <w:p w14:paraId="5FB32E94" w14:textId="77777777" w:rsidR="00DD2CFB" w:rsidRPr="00140D32" w:rsidRDefault="00DD2CFB" w:rsidP="00437BF5">
            <w:pPr>
              <w:jc w:val="center"/>
              <w:rPr>
                <w:rFonts w:ascii="Arial" w:hAnsi="Arial" w:cs="Arial"/>
              </w:rPr>
            </w:pPr>
            <w:r w:rsidRPr="00140D32">
              <w:rPr>
                <w:rFonts w:ascii="Arial" w:hAnsi="Arial" w:cs="Arial"/>
              </w:rPr>
              <w:t>3</w:t>
            </w:r>
          </w:p>
        </w:tc>
        <w:tc>
          <w:tcPr>
            <w:tcW w:w="0" w:type="auto"/>
            <w:tcBorders>
              <w:left w:val="nil"/>
            </w:tcBorders>
            <w:shd w:val="clear" w:color="auto" w:fill="auto"/>
          </w:tcPr>
          <w:p w14:paraId="780EC997" w14:textId="77777777" w:rsidR="00DD2CFB" w:rsidRPr="00140D32" w:rsidRDefault="00DD2CFB" w:rsidP="00437BF5">
            <w:pPr>
              <w:jc w:val="center"/>
              <w:rPr>
                <w:rFonts w:ascii="Arial" w:hAnsi="Arial" w:cs="Arial"/>
              </w:rPr>
            </w:pPr>
            <w:r w:rsidRPr="00140D32">
              <w:rPr>
                <w:rFonts w:ascii="Arial" w:hAnsi="Arial" w:cs="Arial"/>
              </w:rPr>
              <w:t>0.022</w:t>
            </w:r>
          </w:p>
        </w:tc>
        <w:tc>
          <w:tcPr>
            <w:tcW w:w="0" w:type="auto"/>
            <w:shd w:val="clear" w:color="auto" w:fill="auto"/>
          </w:tcPr>
          <w:p w14:paraId="6A58A049" w14:textId="77777777" w:rsidR="00DD2CFB" w:rsidRPr="00140D32" w:rsidRDefault="00DD2CFB" w:rsidP="00437BF5">
            <w:pPr>
              <w:jc w:val="center"/>
              <w:rPr>
                <w:rFonts w:ascii="Arial" w:hAnsi="Arial" w:cs="Arial"/>
              </w:rPr>
            </w:pPr>
            <w:r w:rsidRPr="00140D32">
              <w:rPr>
                <w:rFonts w:ascii="Arial" w:hAnsi="Arial" w:cs="Arial"/>
              </w:rPr>
              <w:t>-0.031</w:t>
            </w:r>
          </w:p>
        </w:tc>
        <w:tc>
          <w:tcPr>
            <w:tcW w:w="0" w:type="auto"/>
            <w:shd w:val="clear" w:color="auto" w:fill="auto"/>
          </w:tcPr>
          <w:p w14:paraId="650A093A" w14:textId="77777777" w:rsidR="00DD2CFB" w:rsidRPr="00140D32" w:rsidRDefault="00DD2CFB" w:rsidP="00437BF5">
            <w:pPr>
              <w:jc w:val="center"/>
              <w:rPr>
                <w:rFonts w:ascii="Arial" w:hAnsi="Arial" w:cs="Arial"/>
              </w:rPr>
            </w:pPr>
            <w:r w:rsidRPr="00140D32">
              <w:rPr>
                <w:rFonts w:ascii="Arial" w:hAnsi="Arial" w:cs="Arial"/>
              </w:rPr>
              <w:t>0.556</w:t>
            </w:r>
          </w:p>
        </w:tc>
        <w:tc>
          <w:tcPr>
            <w:tcW w:w="0" w:type="auto"/>
            <w:shd w:val="clear" w:color="auto" w:fill="auto"/>
          </w:tcPr>
          <w:p w14:paraId="4D10E7D0" w14:textId="77777777" w:rsidR="00DD2CFB" w:rsidRPr="00140D32" w:rsidRDefault="00DD2CFB" w:rsidP="00437BF5">
            <w:pPr>
              <w:jc w:val="center"/>
              <w:rPr>
                <w:rFonts w:ascii="Arial" w:hAnsi="Arial" w:cs="Arial"/>
              </w:rPr>
            </w:pPr>
            <w:r w:rsidRPr="00140D32">
              <w:rPr>
                <w:rFonts w:ascii="Arial" w:hAnsi="Arial" w:cs="Arial"/>
              </w:rPr>
              <w:t>0.184</w:t>
            </w:r>
          </w:p>
        </w:tc>
        <w:tc>
          <w:tcPr>
            <w:tcW w:w="0" w:type="auto"/>
            <w:shd w:val="clear" w:color="auto" w:fill="auto"/>
          </w:tcPr>
          <w:p w14:paraId="1C99E610" w14:textId="77777777" w:rsidR="00DD2CFB" w:rsidRPr="00140D32" w:rsidRDefault="00DD2CFB" w:rsidP="00437BF5">
            <w:pPr>
              <w:jc w:val="center"/>
              <w:rPr>
                <w:rFonts w:ascii="Arial" w:hAnsi="Arial" w:cs="Arial"/>
              </w:rPr>
            </w:pPr>
            <w:r w:rsidRPr="00140D32">
              <w:rPr>
                <w:rFonts w:ascii="Arial" w:hAnsi="Arial" w:cs="Arial"/>
              </w:rPr>
              <w:t>0.193</w:t>
            </w:r>
          </w:p>
        </w:tc>
        <w:tc>
          <w:tcPr>
            <w:tcW w:w="0" w:type="auto"/>
            <w:shd w:val="clear" w:color="auto" w:fill="auto"/>
          </w:tcPr>
          <w:p w14:paraId="571BC2F0" w14:textId="77777777" w:rsidR="00DD2CFB" w:rsidRPr="00140D32" w:rsidRDefault="00DD2CFB" w:rsidP="00437BF5">
            <w:pPr>
              <w:jc w:val="center"/>
              <w:rPr>
                <w:rFonts w:ascii="Arial" w:hAnsi="Arial" w:cs="Arial"/>
              </w:rPr>
            </w:pPr>
            <w:r w:rsidRPr="00140D32">
              <w:rPr>
                <w:rFonts w:ascii="Arial" w:hAnsi="Arial" w:cs="Arial"/>
              </w:rPr>
              <w:t>0.077</w:t>
            </w:r>
          </w:p>
        </w:tc>
      </w:tr>
      <w:tr w:rsidR="00DD2CFB" w:rsidRPr="00140D32" w14:paraId="73758F1A" w14:textId="77777777" w:rsidTr="00437BF5">
        <w:trPr>
          <w:trHeight w:val="263"/>
        </w:trPr>
        <w:tc>
          <w:tcPr>
            <w:tcW w:w="0" w:type="auto"/>
            <w:shd w:val="clear" w:color="auto" w:fill="auto"/>
          </w:tcPr>
          <w:p w14:paraId="5AC129A1" w14:textId="77777777" w:rsidR="00DD2CFB" w:rsidRPr="00140D32" w:rsidRDefault="00DD2CFB" w:rsidP="00437BF5">
            <w:pPr>
              <w:jc w:val="center"/>
              <w:rPr>
                <w:rFonts w:ascii="Arial" w:hAnsi="Arial" w:cs="Arial"/>
              </w:rPr>
            </w:pPr>
            <w:r w:rsidRPr="00140D32">
              <w:rPr>
                <w:rFonts w:ascii="Arial" w:hAnsi="Arial" w:cs="Arial"/>
              </w:rPr>
              <w:t>4</w:t>
            </w:r>
          </w:p>
        </w:tc>
        <w:tc>
          <w:tcPr>
            <w:tcW w:w="0" w:type="auto"/>
            <w:tcBorders>
              <w:left w:val="nil"/>
            </w:tcBorders>
            <w:shd w:val="clear" w:color="auto" w:fill="auto"/>
          </w:tcPr>
          <w:p w14:paraId="3F66EADE" w14:textId="77777777" w:rsidR="00DD2CFB" w:rsidRPr="00140D32" w:rsidRDefault="00DD2CFB" w:rsidP="00437BF5">
            <w:pPr>
              <w:jc w:val="center"/>
              <w:rPr>
                <w:rFonts w:ascii="Arial" w:hAnsi="Arial" w:cs="Arial"/>
              </w:rPr>
            </w:pPr>
            <w:r w:rsidRPr="00140D32">
              <w:rPr>
                <w:rFonts w:ascii="Arial" w:hAnsi="Arial" w:cs="Arial"/>
              </w:rPr>
              <w:t>-0.034</w:t>
            </w:r>
          </w:p>
        </w:tc>
        <w:tc>
          <w:tcPr>
            <w:tcW w:w="0" w:type="auto"/>
            <w:shd w:val="clear" w:color="auto" w:fill="auto"/>
          </w:tcPr>
          <w:p w14:paraId="6A4D1745" w14:textId="77777777" w:rsidR="00DD2CFB" w:rsidRPr="00140D32" w:rsidRDefault="00DD2CFB" w:rsidP="00437BF5">
            <w:pPr>
              <w:jc w:val="center"/>
              <w:rPr>
                <w:rFonts w:ascii="Arial" w:hAnsi="Arial" w:cs="Arial"/>
              </w:rPr>
            </w:pPr>
            <w:r w:rsidRPr="00140D32">
              <w:rPr>
                <w:rFonts w:ascii="Arial" w:hAnsi="Arial" w:cs="Arial"/>
              </w:rPr>
              <w:t>0.087</w:t>
            </w:r>
          </w:p>
        </w:tc>
        <w:tc>
          <w:tcPr>
            <w:tcW w:w="0" w:type="auto"/>
            <w:shd w:val="clear" w:color="auto" w:fill="auto"/>
          </w:tcPr>
          <w:p w14:paraId="2A829CFE" w14:textId="77777777" w:rsidR="00DD2CFB" w:rsidRPr="00140D32" w:rsidRDefault="00DD2CFB" w:rsidP="00437BF5">
            <w:pPr>
              <w:jc w:val="center"/>
              <w:rPr>
                <w:rFonts w:ascii="Arial" w:hAnsi="Arial" w:cs="Arial"/>
              </w:rPr>
            </w:pPr>
            <w:r w:rsidRPr="00140D32">
              <w:rPr>
                <w:rFonts w:ascii="Arial" w:hAnsi="Arial" w:cs="Arial"/>
              </w:rPr>
              <w:t>0.213</w:t>
            </w:r>
          </w:p>
        </w:tc>
        <w:tc>
          <w:tcPr>
            <w:tcW w:w="0" w:type="auto"/>
            <w:shd w:val="clear" w:color="auto" w:fill="auto"/>
          </w:tcPr>
          <w:p w14:paraId="6FCD7777" w14:textId="77777777" w:rsidR="00DD2CFB" w:rsidRPr="00140D32" w:rsidRDefault="00DD2CFB" w:rsidP="00437BF5">
            <w:pPr>
              <w:jc w:val="center"/>
              <w:rPr>
                <w:rFonts w:ascii="Arial" w:hAnsi="Arial" w:cs="Arial"/>
              </w:rPr>
            </w:pPr>
            <w:r w:rsidRPr="00140D32">
              <w:rPr>
                <w:rFonts w:ascii="Arial" w:hAnsi="Arial" w:cs="Arial"/>
              </w:rPr>
              <w:t>0.618</w:t>
            </w:r>
          </w:p>
        </w:tc>
        <w:tc>
          <w:tcPr>
            <w:tcW w:w="0" w:type="auto"/>
            <w:shd w:val="clear" w:color="auto" w:fill="auto"/>
          </w:tcPr>
          <w:p w14:paraId="386CFD1A" w14:textId="77777777" w:rsidR="00DD2CFB" w:rsidRPr="00140D32" w:rsidRDefault="00DD2CFB" w:rsidP="00437BF5">
            <w:pPr>
              <w:jc w:val="center"/>
              <w:rPr>
                <w:rFonts w:ascii="Arial" w:hAnsi="Arial" w:cs="Arial"/>
              </w:rPr>
            </w:pPr>
            <w:r w:rsidRPr="00140D32">
              <w:rPr>
                <w:rFonts w:ascii="Arial" w:hAnsi="Arial" w:cs="Arial"/>
              </w:rPr>
              <w:t>0.000</w:t>
            </w:r>
          </w:p>
        </w:tc>
        <w:tc>
          <w:tcPr>
            <w:tcW w:w="0" w:type="auto"/>
            <w:shd w:val="clear" w:color="auto" w:fill="auto"/>
          </w:tcPr>
          <w:p w14:paraId="4836A570" w14:textId="77777777" w:rsidR="00DD2CFB" w:rsidRPr="00140D32" w:rsidRDefault="00DD2CFB" w:rsidP="00437BF5">
            <w:pPr>
              <w:jc w:val="center"/>
              <w:rPr>
                <w:rFonts w:ascii="Arial" w:hAnsi="Arial" w:cs="Arial"/>
              </w:rPr>
            </w:pPr>
            <w:r w:rsidRPr="00140D32">
              <w:rPr>
                <w:rFonts w:ascii="Arial" w:hAnsi="Arial" w:cs="Arial"/>
              </w:rPr>
              <w:t>0.116</w:t>
            </w:r>
          </w:p>
        </w:tc>
      </w:tr>
      <w:tr w:rsidR="00DD2CFB" w:rsidRPr="00140D32" w14:paraId="76BDEB34" w14:textId="77777777" w:rsidTr="00437BF5">
        <w:trPr>
          <w:trHeight w:val="263"/>
        </w:trPr>
        <w:tc>
          <w:tcPr>
            <w:tcW w:w="0" w:type="auto"/>
            <w:tcBorders>
              <w:bottom w:val="single" w:sz="4" w:space="0" w:color="000000" w:themeColor="text1"/>
            </w:tcBorders>
            <w:shd w:val="clear" w:color="auto" w:fill="auto"/>
          </w:tcPr>
          <w:p w14:paraId="7FFFDB57" w14:textId="77777777" w:rsidR="00DD2CFB" w:rsidRPr="00140D32" w:rsidRDefault="00DD2CFB" w:rsidP="00437BF5">
            <w:pPr>
              <w:jc w:val="center"/>
              <w:rPr>
                <w:rFonts w:ascii="Arial" w:hAnsi="Arial" w:cs="Arial"/>
              </w:rPr>
            </w:pPr>
            <w:r w:rsidRPr="00140D32">
              <w:rPr>
                <w:rFonts w:ascii="Arial" w:hAnsi="Arial" w:cs="Arial"/>
              </w:rPr>
              <w:t>5</w:t>
            </w:r>
          </w:p>
        </w:tc>
        <w:tc>
          <w:tcPr>
            <w:tcW w:w="0" w:type="auto"/>
            <w:tcBorders>
              <w:left w:val="nil"/>
              <w:bottom w:val="single" w:sz="4" w:space="0" w:color="000000" w:themeColor="text1"/>
            </w:tcBorders>
            <w:shd w:val="clear" w:color="auto" w:fill="auto"/>
          </w:tcPr>
          <w:p w14:paraId="158EA566" w14:textId="77777777" w:rsidR="00DD2CFB" w:rsidRPr="00140D32" w:rsidRDefault="00DD2CFB" w:rsidP="00437BF5">
            <w:pPr>
              <w:jc w:val="center"/>
              <w:rPr>
                <w:rFonts w:ascii="Arial" w:hAnsi="Arial" w:cs="Arial"/>
              </w:rPr>
            </w:pPr>
            <w:r w:rsidRPr="00140D32">
              <w:rPr>
                <w:rFonts w:ascii="Arial" w:hAnsi="Arial" w:cs="Arial"/>
              </w:rPr>
              <w:t>-0.027</w:t>
            </w:r>
          </w:p>
        </w:tc>
        <w:tc>
          <w:tcPr>
            <w:tcW w:w="0" w:type="auto"/>
            <w:tcBorders>
              <w:bottom w:val="single" w:sz="4" w:space="0" w:color="000000" w:themeColor="text1"/>
            </w:tcBorders>
            <w:shd w:val="clear" w:color="auto" w:fill="auto"/>
          </w:tcPr>
          <w:p w14:paraId="1C6BF939" w14:textId="77777777" w:rsidR="00DD2CFB" w:rsidRPr="00140D32" w:rsidRDefault="00DD2CFB" w:rsidP="00437BF5">
            <w:pPr>
              <w:jc w:val="center"/>
              <w:rPr>
                <w:rFonts w:ascii="Arial" w:hAnsi="Arial" w:cs="Arial"/>
              </w:rPr>
            </w:pPr>
            <w:r w:rsidRPr="00140D32">
              <w:rPr>
                <w:rFonts w:ascii="Arial" w:hAnsi="Arial" w:cs="Arial"/>
              </w:rPr>
              <w:t>0.167</w:t>
            </w:r>
          </w:p>
        </w:tc>
        <w:tc>
          <w:tcPr>
            <w:tcW w:w="0" w:type="auto"/>
            <w:tcBorders>
              <w:bottom w:val="single" w:sz="4" w:space="0" w:color="000000" w:themeColor="text1"/>
            </w:tcBorders>
            <w:shd w:val="clear" w:color="auto" w:fill="auto"/>
          </w:tcPr>
          <w:p w14:paraId="7544B7E6" w14:textId="77777777" w:rsidR="00DD2CFB" w:rsidRPr="00140D32" w:rsidRDefault="00DD2CFB" w:rsidP="00437BF5">
            <w:pPr>
              <w:jc w:val="center"/>
              <w:rPr>
                <w:rFonts w:ascii="Arial" w:hAnsi="Arial" w:cs="Arial"/>
              </w:rPr>
            </w:pPr>
            <w:r w:rsidRPr="00140D32">
              <w:rPr>
                <w:rFonts w:ascii="Arial" w:hAnsi="Arial" w:cs="Arial"/>
              </w:rPr>
              <w:t>0.222</w:t>
            </w:r>
          </w:p>
        </w:tc>
        <w:tc>
          <w:tcPr>
            <w:tcW w:w="0" w:type="auto"/>
            <w:tcBorders>
              <w:bottom w:val="single" w:sz="4" w:space="0" w:color="000000" w:themeColor="text1"/>
            </w:tcBorders>
            <w:shd w:val="clear" w:color="auto" w:fill="auto"/>
          </w:tcPr>
          <w:p w14:paraId="684FFB99" w14:textId="77777777" w:rsidR="00DD2CFB" w:rsidRPr="00140D32" w:rsidRDefault="00DD2CFB" w:rsidP="00437BF5">
            <w:pPr>
              <w:jc w:val="center"/>
              <w:rPr>
                <w:rFonts w:ascii="Arial" w:hAnsi="Arial" w:cs="Arial"/>
              </w:rPr>
            </w:pPr>
            <w:r w:rsidRPr="00140D32">
              <w:rPr>
                <w:rFonts w:ascii="Arial" w:hAnsi="Arial" w:cs="Arial"/>
              </w:rPr>
              <w:t>0.367</w:t>
            </w:r>
          </w:p>
        </w:tc>
        <w:tc>
          <w:tcPr>
            <w:tcW w:w="0" w:type="auto"/>
            <w:tcBorders>
              <w:bottom w:val="single" w:sz="4" w:space="0" w:color="000000" w:themeColor="text1"/>
            </w:tcBorders>
            <w:shd w:val="clear" w:color="auto" w:fill="auto"/>
          </w:tcPr>
          <w:p w14:paraId="5F73FEF6" w14:textId="77777777" w:rsidR="00DD2CFB" w:rsidRPr="00140D32" w:rsidRDefault="00DD2CFB" w:rsidP="00437BF5">
            <w:pPr>
              <w:jc w:val="center"/>
              <w:rPr>
                <w:rFonts w:ascii="Arial" w:hAnsi="Arial" w:cs="Arial"/>
              </w:rPr>
            </w:pPr>
            <w:r w:rsidRPr="00140D32">
              <w:rPr>
                <w:rFonts w:ascii="Arial" w:hAnsi="Arial" w:cs="Arial"/>
              </w:rPr>
              <w:t>0.271</w:t>
            </w:r>
          </w:p>
        </w:tc>
        <w:tc>
          <w:tcPr>
            <w:tcW w:w="0" w:type="auto"/>
            <w:tcBorders>
              <w:bottom w:val="single" w:sz="4" w:space="0" w:color="000000" w:themeColor="text1"/>
            </w:tcBorders>
            <w:shd w:val="clear" w:color="auto" w:fill="auto"/>
          </w:tcPr>
          <w:p w14:paraId="0009102B" w14:textId="77777777" w:rsidR="00DD2CFB" w:rsidRPr="00140D32" w:rsidRDefault="00DD2CFB" w:rsidP="00437BF5">
            <w:pPr>
              <w:jc w:val="center"/>
              <w:rPr>
                <w:rFonts w:ascii="Arial" w:hAnsi="Arial" w:cs="Arial"/>
              </w:rPr>
            </w:pPr>
            <w:r w:rsidRPr="00140D32">
              <w:rPr>
                <w:rFonts w:ascii="Arial" w:hAnsi="Arial" w:cs="Arial"/>
              </w:rPr>
              <w:t>0.000</w:t>
            </w:r>
          </w:p>
        </w:tc>
      </w:tr>
    </w:tbl>
    <w:p w14:paraId="6EF522D3" w14:textId="77777777" w:rsidR="00DD2CFB" w:rsidRPr="00140D32" w:rsidRDefault="00DD2CFB" w:rsidP="00DD2CFB">
      <w:r w:rsidRPr="00140D32">
        <w:br w:type="page"/>
      </w:r>
    </w:p>
    <w:p w14:paraId="38316FDF" w14:textId="6A53794A" w:rsidR="00DD2CFB" w:rsidRPr="00140D32" w:rsidRDefault="00DD2CFB" w:rsidP="00DD2CFB">
      <w:pPr>
        <w:spacing w:line="480" w:lineRule="auto"/>
        <w:rPr>
          <w:b/>
          <w:noProof/>
        </w:rPr>
      </w:pPr>
      <w:r w:rsidRPr="00140D32">
        <w:rPr>
          <w:b/>
        </w:rPr>
        <w:lastRenderedPageBreak/>
        <w:t>Figure S</w:t>
      </w:r>
      <w:r w:rsidR="00551E4B">
        <w:rPr>
          <w:b/>
        </w:rPr>
        <w:t>4</w:t>
      </w:r>
      <w:r w:rsidRPr="00140D32">
        <w:rPr>
          <w:b/>
        </w:rPr>
        <w:t xml:space="preserve">: </w:t>
      </w:r>
      <w:r w:rsidRPr="00140D32">
        <w:t xml:space="preserve">The distribution of total crossover counts in </w:t>
      </w:r>
      <w:r w:rsidRPr="00140D32">
        <w:rPr>
          <w:i/>
        </w:rPr>
        <w:t xml:space="preserve">D. virilis </w:t>
      </w:r>
      <w:r w:rsidRPr="00140D32">
        <w:t>BC1 progeny. The line is the expected number of crossovers under a Poisson distribution given the mean number of crossovers among all samples.</w:t>
      </w:r>
      <w:r w:rsidRPr="00140D32">
        <w:rPr>
          <w:b/>
          <w:noProof/>
        </w:rPr>
        <w:t xml:space="preserve"> </w:t>
      </w:r>
    </w:p>
    <w:p w14:paraId="5B9D8A5D" w14:textId="5DFBA16F" w:rsidR="00DD2CFB" w:rsidRPr="00140D32" w:rsidRDefault="00DD2CFB" w:rsidP="00DD2CFB">
      <w:pPr>
        <w:spacing w:line="480" w:lineRule="auto"/>
      </w:pPr>
      <w:r w:rsidRPr="00140D32">
        <w:rPr>
          <w:noProof/>
        </w:rPr>
        <w:drawing>
          <wp:inline distT="0" distB="0" distL="0" distR="0" wp14:anchorId="45D1EF25" wp14:editId="21D044B8">
            <wp:extent cx="4114800" cy="50643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sson_CO_count.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14800" cy="5064369"/>
                    </a:xfrm>
                    <a:prstGeom prst="rect">
                      <a:avLst/>
                    </a:prstGeom>
                  </pic:spPr>
                </pic:pic>
              </a:graphicData>
            </a:graphic>
          </wp:inline>
        </w:drawing>
      </w:r>
    </w:p>
    <w:p w14:paraId="50E86BD5" w14:textId="77777777" w:rsidR="00331350" w:rsidRPr="00140D32" w:rsidRDefault="00331350"/>
    <w:sectPr w:rsidR="00331350" w:rsidRPr="00140D32" w:rsidSect="00AF61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FB"/>
    <w:rsid w:val="00014D20"/>
    <w:rsid w:val="00051578"/>
    <w:rsid w:val="000749CD"/>
    <w:rsid w:val="00140D32"/>
    <w:rsid w:val="001753DE"/>
    <w:rsid w:val="001A5F10"/>
    <w:rsid w:val="001F4E49"/>
    <w:rsid w:val="002A03B4"/>
    <w:rsid w:val="00313DB3"/>
    <w:rsid w:val="00331350"/>
    <w:rsid w:val="00551E4B"/>
    <w:rsid w:val="00582D22"/>
    <w:rsid w:val="005E4229"/>
    <w:rsid w:val="0065062E"/>
    <w:rsid w:val="006F3F95"/>
    <w:rsid w:val="00753D4A"/>
    <w:rsid w:val="007920E4"/>
    <w:rsid w:val="008A4AE1"/>
    <w:rsid w:val="00940953"/>
    <w:rsid w:val="009B5D59"/>
    <w:rsid w:val="009D5241"/>
    <w:rsid w:val="00A82E02"/>
    <w:rsid w:val="00AF6147"/>
    <w:rsid w:val="00C24CC9"/>
    <w:rsid w:val="00C37764"/>
    <w:rsid w:val="00C57047"/>
    <w:rsid w:val="00CC464B"/>
    <w:rsid w:val="00D0008F"/>
    <w:rsid w:val="00DD2CFB"/>
    <w:rsid w:val="00EE3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846DD3"/>
  <w15:chartTrackingRefBased/>
  <w15:docId w15:val="{02F0CB70-8651-F542-897A-BFAEB7857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CF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2CFB"/>
    <w:rPr>
      <w:rFonts w:eastAsiaTheme="minorHAnsi"/>
      <w:sz w:val="18"/>
      <w:szCs w:val="18"/>
    </w:rPr>
  </w:style>
  <w:style w:type="character" w:customStyle="1" w:styleId="BalloonTextChar">
    <w:name w:val="Balloon Text Char"/>
    <w:basedOn w:val="DefaultParagraphFont"/>
    <w:link w:val="BalloonText"/>
    <w:uiPriority w:val="99"/>
    <w:semiHidden/>
    <w:rsid w:val="00DD2CFB"/>
    <w:rPr>
      <w:rFonts w:ascii="Times New Roman" w:hAnsi="Times New Roman" w:cs="Times New Roman"/>
      <w:sz w:val="18"/>
      <w:szCs w:val="18"/>
    </w:rPr>
  </w:style>
  <w:style w:type="table" w:styleId="TableGrid">
    <w:name w:val="Table Grid"/>
    <w:basedOn w:val="TableNormal"/>
    <w:uiPriority w:val="59"/>
    <w:rsid w:val="00DD2CFB"/>
    <w:rPr>
      <w:rFonts w:ascii="Times New Roman" w:eastAsiaTheme="minorEastAsia"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40D32"/>
    <w:pPr>
      <w:spacing w:before="100" w:beforeAutospacing="1" w:after="100" w:afterAutospacing="1"/>
    </w:pPr>
  </w:style>
  <w:style w:type="character" w:styleId="Hyperlink">
    <w:name w:val="Hyperlink"/>
    <w:basedOn w:val="DefaultParagraphFont"/>
    <w:uiPriority w:val="99"/>
    <w:semiHidden/>
    <w:unhideWhenUsed/>
    <w:rsid w:val="00140D32"/>
    <w:rPr>
      <w:color w:val="0000FF"/>
      <w:u w:val="single"/>
    </w:rPr>
  </w:style>
  <w:style w:type="paragraph" w:styleId="ListParagraph">
    <w:name w:val="List Paragraph"/>
    <w:basedOn w:val="Normal"/>
    <w:uiPriority w:val="34"/>
    <w:qFormat/>
    <w:rsid w:val="00551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04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Hemmer, Lucas</dc:creator>
  <cp:keywords/>
  <dc:description/>
  <cp:lastModifiedBy>Hemmer, Lucas</cp:lastModifiedBy>
  <cp:revision>1</cp:revision>
  <dcterms:created xsi:type="dcterms:W3CDTF">2019-11-01T17:05:00Z</dcterms:created>
  <dcterms:modified xsi:type="dcterms:W3CDTF">2019-11-01T18:39:00Z</dcterms:modified>
</cp:coreProperties>
</file>