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tif" ContentType="image/tiff"/>
  <Override PartName="/word/media/image2.tif" ContentType="image/tiff"/>
  <Override PartName="/word/media/image3.tif" ContentType="image/tiff"/>
  <Override PartName="/word/media/image4.tif" ContentType="image/tiff"/>
  <Override PartName="/word/media/image5.tif" ContentType="image/tiff"/>
  <Override PartName="/word/media/image6.tif" ContentType="image/tiff"/>
  <Override PartName="/word/media/image7.tif" ContentType="image/tiff"/>
  <Override PartName="/word/media/image8.tif" ContentType="image/tiff"/>
  <Override PartName="/word/media/image9.tif" ContentType="image/tiff"/>
  <Override PartName="/word/media/image10.tif" ContentType="image/tif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pacing w:lineRule="exact" w:line="280" w:before="0" w:after="120"/>
        <w:jc w:val="both"/>
        <w:rPr>
          <w:rFonts w:ascii="Arial Unicode MS" w:hAnsi="Arial Unicode MS" w:cs="Arial Unicode MS"/>
          <w:b/>
          <w:color w:themeColor="text1" w:val="000000"/>
          <w:sz w:val="21"/>
          <w:szCs w:val="21"/>
        </w:rPr>
      </w:pPr>
      <w:r>
        <w:rPr>
          <w:rFonts w:eastAsia="Arial Unicode MS" w:cs="Arial Unicode MS" w:ascii="Arial Unicode MS" w:hAnsi="Arial Unicode MS"/>
          <w:b/>
          <w:bCs/>
          <w:color w:themeColor="text1" w:val="000000"/>
          <w:sz w:val="21"/>
          <w:szCs w:val="21"/>
        </w:rPr>
        <w:t xml:space="preserve">Supplementary Fig. 1. </w:t>
      </w:r>
      <w:r>
        <w:rPr>
          <w:rFonts w:eastAsia="Arial Unicode MS" w:cs="Arial Unicode MS" w:ascii="Arial Unicode MS" w:hAnsi="Arial Unicode MS"/>
          <w:b/>
          <w:color w:themeColor="text1" w:val="000000"/>
          <w:sz w:val="21"/>
          <w:szCs w:val="21"/>
        </w:rPr>
        <w:t xml:space="preserve">Subject characteristics, aggregate numbers of differentially expressed TE classes, and TEs with positive and significant correlation with SLEDAI score. </w:t>
      </w:r>
      <w:r>
        <w:rPr>
          <w:rFonts w:eastAsia="Arial Unicode MS" w:cs="Arial Unicode MS" w:ascii="Arial Unicode MS" w:hAnsi="Arial Unicode MS"/>
          <w:b/>
          <w:bCs/>
          <w:color w:themeColor="text1" w:val="000000"/>
          <w:sz w:val="21"/>
          <w:szCs w:val="21"/>
        </w:rPr>
        <w:t>A</w:t>
      </w:r>
      <w:r>
        <w:rPr>
          <w:rFonts w:eastAsia="Arial Unicode MS" w:cs="Arial Unicode MS" w:ascii="Arial Unicode MS" w:hAnsi="Arial Unicode MS"/>
          <w:color w:themeColor="text1" w:val="000000"/>
          <w:sz w:val="21"/>
          <w:szCs w:val="21"/>
        </w:rPr>
        <w:t xml:space="preserve">. Linking to the previously published Supplemental Information [59], shown are to DonorIDs of subjects whose blood samples were fractionated into the six types of leukocyte, age, sex, stratification as defined in [59], and sourcing (UCSD, Lupus Clinic of K. K.; LJI, La Jolla Institute; SANG, Sanguine Biosciences; Scripps, The Scripps Research Institute). Due to the paucity and unequal distribution of bloods from follow-up visits, all analyses presented herein were confined to samples collected at the first visit.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 xml:space="preserve">. Tables show the classes of TE subfamilies that are differentially expressed in PMN in each pairwise comparison between subject groups (IFNpos, IFNneg, and HC), and numbers of instances of increased expression for each subfamily. </w:t>
      </w:r>
      <w:r>
        <w:rPr>
          <w:rFonts w:eastAsia="Arial Unicode MS" w:cs="Arial Unicode MS" w:ascii="Arial Unicode MS" w:hAnsi="Arial Unicode MS"/>
          <w:b/>
          <w:bCs/>
          <w:color w:themeColor="text1" w:val="000000"/>
          <w:sz w:val="21"/>
          <w:szCs w:val="21"/>
        </w:rPr>
        <w:t>C</w:t>
      </w:r>
      <w:r>
        <w:rPr>
          <w:rFonts w:eastAsia="Arial Unicode MS" w:cs="Arial Unicode MS" w:ascii="Arial Unicode MS" w:hAnsi="Arial Unicode MS"/>
          <w:color w:themeColor="text1" w:val="000000"/>
          <w:sz w:val="21"/>
          <w:szCs w:val="21"/>
        </w:rPr>
        <w:t xml:space="preserve">, Table of the differentially expressed TEs that have significant positive correlation with SLEDAI score. The check mark indicates if a given TE was found upregulated in the indicated comparison. Raw p values are shown. </w:t>
      </w:r>
      <w:r>
        <w:rPr>
          <w:rFonts w:eastAsia="Arial Unicode MS" w:cs="Arial Unicode MS" w:ascii="Arial Unicode MS" w:hAnsi="Arial Unicode MS"/>
          <w:b/>
          <w:bCs/>
          <w:color w:themeColor="text1" w:val="000000"/>
          <w:sz w:val="21"/>
          <w:szCs w:val="21"/>
        </w:rPr>
        <w:t>D</w:t>
      </w:r>
      <w:r>
        <w:rPr>
          <w:rFonts w:eastAsia="Arial Unicode MS" w:cs="Arial Unicode MS" w:ascii="Arial Unicode MS" w:hAnsi="Arial Unicode MS"/>
          <w:color w:themeColor="text1" w:val="000000"/>
          <w:sz w:val="21"/>
          <w:szCs w:val="21"/>
        </w:rPr>
        <w:t>, A tabular enumeration of the numbers of individual differentially expressed TEs in the indicated classes and comparisons.</w:t>
      </w:r>
    </w:p>
    <w:p>
      <w:pPr>
        <w:pStyle w:val="Normal"/>
        <w:spacing w:lineRule="exact" w:line="280" w:before="0" w:after="120"/>
        <w:jc w:val="both"/>
        <w:rPr>
          <w:rFonts w:ascii="Arial Unicode MS" w:hAnsi="Arial Unicode MS" w:cs="Arial Unicode MS"/>
          <w:b/>
          <w:bCs/>
          <w:color w:themeColor="text1" w:val="000000"/>
          <w:sz w:val="21"/>
          <w:szCs w:val="21"/>
        </w:rPr>
      </w:pPr>
      <w:r>
        <w:rPr>
          <w:rFonts w:eastAsia="Arial Unicode MS" w:cs="Arial Unicode MS" w:ascii="Arial Unicode MS" w:hAnsi="Arial Unicode MS"/>
          <w:b/>
          <w:bCs/>
          <w:color w:themeColor="text1" w:val="000000"/>
          <w:sz w:val="21"/>
          <w:szCs w:val="21"/>
        </w:rPr>
        <w:t xml:space="preserve">Supplementary Fig. 2. Differential expression of ISGs and TEs (subfamilies) in all cell types. </w:t>
      </w:r>
      <w:r>
        <w:rPr>
          <w:rFonts w:eastAsia="Arial Unicode MS" w:cs="Arial Unicode MS" w:ascii="Arial Unicode MS" w:hAnsi="Arial Unicode MS"/>
          <w:bCs/>
          <w:color w:themeColor="text1" w:val="000000"/>
          <w:sz w:val="21"/>
          <w:szCs w:val="21"/>
        </w:rPr>
        <w:t xml:space="preserve">For each of the six evaluable cell types (designated to the left), analyses of differential expression in pairwise comparisons </w:t>
      </w:r>
      <w:r>
        <w:rPr>
          <w:rFonts w:eastAsia="Arial Unicode MS" w:cs="Arial Unicode MS" w:ascii="Arial Unicode MS" w:hAnsi="Arial Unicode MS"/>
          <w:color w:themeColor="text1" w:val="000000"/>
          <w:sz w:val="21"/>
          <w:szCs w:val="21"/>
        </w:rPr>
        <w:t>between subject groups (IFNpos, IFNneg, and HC), as indicated, were performed for</w:t>
      </w:r>
      <w:r>
        <w:rPr>
          <w:rFonts w:eastAsia="Arial Unicode MS" w:cs="Arial Unicode MS" w:ascii="Arial Unicode MS" w:hAnsi="Arial Unicode MS"/>
          <w:bCs/>
          <w:color w:themeColor="text1" w:val="000000"/>
          <w:sz w:val="21"/>
          <w:szCs w:val="21"/>
        </w:rPr>
        <w:t xml:space="preserve"> </w:t>
      </w:r>
      <w:r>
        <w:rPr>
          <w:rFonts w:eastAsia="Arial Unicode MS" w:cs="Arial Unicode MS" w:ascii="Arial Unicode MS" w:hAnsi="Arial Unicode MS"/>
          <w:b/>
          <w:bCs/>
          <w:color w:themeColor="text1" w:val="000000"/>
          <w:sz w:val="21"/>
          <w:szCs w:val="21"/>
        </w:rPr>
        <w:t>A</w:t>
      </w:r>
      <w:r>
        <w:rPr>
          <w:rFonts w:eastAsia="Arial Unicode MS" w:cs="Arial Unicode MS" w:ascii="Arial Unicode MS" w:hAnsi="Arial Unicode MS"/>
          <w:color w:themeColor="text1" w:val="000000"/>
          <w:sz w:val="21"/>
          <w:szCs w:val="21"/>
        </w:rPr>
        <w:t>. ISGs</w:t>
      </w:r>
      <w:r>
        <w:rPr>
          <w:rFonts w:eastAsia="Arial Unicode MS" w:cs="Arial Unicode MS" w:ascii="Arial Unicode MS" w:hAnsi="Arial Unicode MS"/>
          <w:bCs/>
          <w:color w:themeColor="text1" w:val="000000"/>
          <w:sz w:val="21"/>
          <w:szCs w:val="21"/>
        </w:rPr>
        <w:t xml:space="preserve"> and</w:t>
      </w:r>
      <w:r>
        <w:rPr>
          <w:rFonts w:eastAsia="Arial Unicode MS" w:cs="Arial Unicode MS" w:ascii="Arial Unicode MS" w:hAnsi="Arial Unicode MS"/>
          <w:color w:themeColor="text1" w:val="000000"/>
          <w:sz w:val="21"/>
          <w:szCs w:val="21"/>
        </w:rPr>
        <w:t xml:space="preserve">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 TEs, classified and color-coded as indicated, using the Methods of Fig. 1. Data for PMN are identical to those of Fig. 1 and recapitulated to facilitate comparisons to the other types of leukocyte.</w:t>
      </w:r>
    </w:p>
    <w:p>
      <w:pPr>
        <w:pStyle w:val="Normal"/>
        <w:spacing w:lineRule="exact" w:line="280" w:before="0" w:after="120"/>
        <w:jc w:val="both"/>
        <w:rPr>
          <w:rFonts w:ascii="Arial Unicode MS" w:hAnsi="Arial Unicode MS" w:cs="Arial Unicode MS"/>
          <w:b/>
          <w:bCs/>
          <w:color w:themeColor="text1" w:val="000000"/>
          <w:sz w:val="21"/>
          <w:szCs w:val="21"/>
        </w:rPr>
      </w:pPr>
      <w:r>
        <w:rPr>
          <w:rFonts w:eastAsia="Arial Unicode MS" w:cs="Arial Unicode MS" w:ascii="Arial Unicode MS" w:hAnsi="Arial Unicode MS"/>
          <w:b/>
          <w:bCs/>
          <w:color w:themeColor="text1" w:val="000000"/>
          <w:sz w:val="21"/>
          <w:szCs w:val="21"/>
        </w:rPr>
        <w:t>Supplementary Fig. 3. Increased expression of subsets of upregulated TEs (subfamily level) correlates with SLEDAI or ISG GSVA scores. A</w:t>
      </w:r>
      <w:r>
        <w:rPr>
          <w:rFonts w:eastAsia="Arial Unicode MS" w:cs="Arial Unicode MS" w:ascii="Arial Unicode MS" w:hAnsi="Arial Unicode MS"/>
          <w:color w:themeColor="text1" w:val="000000"/>
          <w:sz w:val="21"/>
          <w:szCs w:val="21"/>
        </w:rPr>
        <w:t xml:space="preserve">, For each cell type, the number of upregulated TEs (subfamily level) whose expression correlates with SLEDAI score is shown along with classification by TE class as indicated.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 xml:space="preserve"> As in A except the numbers are for subfamily level TEs whose increase correlated with ISG GSVA score. </w:t>
      </w:r>
      <w:r>
        <w:rPr>
          <w:rFonts w:eastAsia="Arial Unicode MS" w:cs="Arial Unicode MS" w:ascii="Arial Unicode MS" w:hAnsi="Arial Unicode MS"/>
          <w:b/>
          <w:bCs/>
          <w:color w:themeColor="text1" w:val="000000"/>
          <w:sz w:val="21"/>
          <w:szCs w:val="21"/>
        </w:rPr>
        <w:t>C</w:t>
      </w:r>
      <w:r>
        <w:rPr>
          <w:rFonts w:eastAsia="Arial Unicode MS" w:cs="Arial Unicode MS" w:ascii="Arial Unicode MS" w:hAnsi="Arial Unicode MS"/>
          <w:color w:themeColor="text1" w:val="000000"/>
          <w:sz w:val="21"/>
          <w:szCs w:val="21"/>
        </w:rPr>
        <w:t xml:space="preserve">, Total TE counts (subfamily level) per cell type, and </w:t>
      </w:r>
      <w:r>
        <w:rPr>
          <w:rFonts w:eastAsia="Arial Unicode MS" w:cs="Arial Unicode MS" w:ascii="Arial Unicode MS" w:hAnsi="Arial Unicode MS"/>
          <w:b/>
          <w:bCs/>
          <w:color w:themeColor="text1" w:val="000000"/>
          <w:sz w:val="21"/>
          <w:szCs w:val="21"/>
        </w:rPr>
        <w:t>D.</w:t>
      </w:r>
      <w:r>
        <w:rPr>
          <w:rFonts w:eastAsia="Arial Unicode MS" w:cs="Arial Unicode MS" w:ascii="Arial Unicode MS" w:hAnsi="Arial Unicode MS"/>
          <w:color w:themeColor="text1" w:val="000000"/>
          <w:sz w:val="21"/>
          <w:szCs w:val="21"/>
        </w:rPr>
        <w:t xml:space="preserve"> total ISGs counts per cell type. </w:t>
      </w:r>
      <w:r>
        <w:rPr>
          <w:rFonts w:eastAsia="Arial Unicode MS" w:cs="Arial Unicode MS" w:ascii="Arial Unicode MS" w:hAnsi="Arial Unicode MS"/>
          <w:b/>
          <w:bCs/>
          <w:color w:themeColor="text1" w:val="000000"/>
          <w:sz w:val="21"/>
          <w:szCs w:val="21"/>
        </w:rPr>
        <w:t>E</w:t>
      </w:r>
      <w:r>
        <w:rPr>
          <w:rFonts w:eastAsia="Arial Unicode MS" w:cs="Arial Unicode MS" w:ascii="Arial Unicode MS" w:hAnsi="Arial Unicode MS"/>
          <w:color w:themeColor="text1" w:val="000000"/>
          <w:sz w:val="21"/>
          <w:szCs w:val="21"/>
        </w:rPr>
        <w:t>, Histogram showing the distribution of the ratio between the number of intronic TEs whose expression correlates with the expression of the ISG in which they are located, and the total number of intronic TEs in the ISG.</w:t>
      </w:r>
    </w:p>
    <w:p>
      <w:pPr>
        <w:pStyle w:val="Normal"/>
        <w:spacing w:lineRule="exact" w:line="280" w:before="0" w:after="120"/>
        <w:jc w:val="both"/>
        <w:rPr>
          <w:rFonts w:ascii="Arial Unicode MS" w:hAnsi="Arial Unicode MS" w:cs="Arial Unicode MS"/>
          <w:b/>
          <w:bCs/>
          <w:color w:themeColor="text1" w:val="000000"/>
          <w:sz w:val="21"/>
          <w:szCs w:val="21"/>
        </w:rPr>
      </w:pPr>
      <w:r>
        <w:rPr>
          <w:rFonts w:eastAsia="Arial Unicode MS" w:cs="Arial Unicode MS" w:ascii="Arial Unicode MS" w:hAnsi="Arial Unicode MS"/>
          <w:b/>
          <w:bCs/>
          <w:color w:themeColor="text1" w:val="000000"/>
          <w:sz w:val="21"/>
          <w:szCs w:val="21"/>
        </w:rPr>
        <w:t xml:space="preserve">Supplementary Fig. 4. Table showing the numbers and percentages of ISGs among total genes with nearby differentially expressed (DE) TEs. </w:t>
      </w:r>
      <w:r>
        <w:rPr>
          <w:rFonts w:eastAsia="Arial Unicode MS" w:cs="Arial Unicode MS" w:ascii="Arial Unicode MS" w:hAnsi="Arial Unicode MS"/>
          <w:color w:themeColor="text1" w:val="000000"/>
          <w:sz w:val="21"/>
          <w:szCs w:val="21"/>
        </w:rPr>
        <w:t>Detailed quantitative breakdown of data depicted as graphs depiction in</w:t>
      </w:r>
      <w:r>
        <w:rPr>
          <w:rFonts w:eastAsia="Arial Unicode MS" w:cs="Arial Unicode MS" w:ascii="Arial Unicode MS" w:hAnsi="Arial Unicode MS"/>
          <w:b/>
          <w:bCs/>
          <w:color w:themeColor="text1" w:val="000000"/>
          <w:sz w:val="21"/>
          <w:szCs w:val="21"/>
        </w:rPr>
        <w:t xml:space="preserve"> Fig. 4</w:t>
      </w:r>
      <w:r>
        <w:rPr>
          <w:rFonts w:eastAsia="Arial Unicode MS" w:cs="Arial Unicode MS" w:ascii="Arial Unicode MS" w:hAnsi="Arial Unicode MS"/>
          <w:color w:themeColor="text1" w:val="000000"/>
          <w:sz w:val="21"/>
          <w:szCs w:val="21"/>
        </w:rPr>
        <w:t>. For each of the indicated pairwise comparisons between PMN of two patient groups (all SLE vs HC, IFNpos vs HC, and IFNpos vs IFNneg), numerical entries in the tabulated cells indicate percentages (upper matrix) and numbers (lower matrix) of ISGs among the total of all genes containing DE TEs for the comparisons. The data are computed for TEs at each of the genomic locations shown in</w:t>
      </w:r>
      <w:r>
        <w:rPr>
          <w:rFonts w:eastAsia="Arial Unicode MS" w:cs="Arial Unicode MS" w:ascii="Arial Unicode MS" w:hAnsi="Arial Unicode MS"/>
          <w:b/>
          <w:bCs/>
          <w:color w:themeColor="text1" w:val="000000"/>
          <w:sz w:val="21"/>
          <w:szCs w:val="21"/>
        </w:rPr>
        <w:t xml:space="preserve"> Fig. 4A</w:t>
      </w:r>
      <w:r>
        <w:rPr>
          <w:rFonts w:eastAsia="Arial Unicode MS" w:cs="Arial Unicode MS" w:ascii="Arial Unicode MS" w:hAnsi="Arial Unicode MS"/>
          <w:color w:themeColor="text1" w:val="000000"/>
          <w:sz w:val="21"/>
          <w:szCs w:val="21"/>
        </w:rPr>
        <w:t>. (N/A, not applicable).</w:t>
      </w:r>
    </w:p>
    <w:p>
      <w:pPr>
        <w:pStyle w:val="Normal"/>
        <w:spacing w:lineRule="exact" w:line="280" w:before="0" w:after="120"/>
        <w:jc w:val="both"/>
        <w:rPr>
          <w:rFonts w:ascii="Arial Unicode MS" w:hAnsi="Arial Unicode MS" w:cs="Arial Unicode MS"/>
          <w:b/>
          <w:bCs/>
          <w:color w:themeColor="text1" w:val="000000"/>
          <w:sz w:val="21"/>
          <w:szCs w:val="21"/>
        </w:rPr>
      </w:pPr>
      <w:r>
        <w:rPr>
          <w:rFonts w:eastAsia="Arial Unicode MS" w:cs="Arial Unicode MS" w:ascii="Arial Unicode MS" w:hAnsi="Arial Unicode MS"/>
          <w:b/>
          <w:bCs/>
          <w:color w:themeColor="text1" w:val="000000"/>
          <w:sz w:val="21"/>
          <w:szCs w:val="21"/>
        </w:rPr>
        <w:t>Supplementary Fig. 5. Analyses of the intronic TEs in SLE PMN relative to healthy control samples. A</w:t>
      </w:r>
      <w:r>
        <w:rPr>
          <w:rFonts w:eastAsia="Arial Unicode MS" w:cs="Arial Unicode MS" w:ascii="Arial Unicode MS" w:hAnsi="Arial Unicode MS"/>
          <w:color w:themeColor="text1" w:val="000000"/>
          <w:sz w:val="21"/>
          <w:szCs w:val="21"/>
        </w:rPr>
        <w:t xml:space="preserve">, Number of differentially expressed transposable elements found at different genomic locations (upstream, exon, intron, 3’UTR, 5’UTR, intergenic) in the comparison SLE vs HC, IFNneg vs HC, IFNpos vs HC and IFNpos vs IFNneg.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 xml:space="preserve">, Table showing the number of upregulated TEs classes and families in introns of upregulated genes (left) or not differentially expressed genes (right). </w:t>
      </w:r>
      <w:r>
        <w:rPr>
          <w:rFonts w:eastAsia="Arial Unicode MS" w:cs="Arial Unicode MS" w:ascii="Arial Unicode MS" w:hAnsi="Arial Unicode MS"/>
          <w:b/>
          <w:bCs/>
          <w:color w:themeColor="text1" w:val="000000"/>
          <w:sz w:val="21"/>
          <w:szCs w:val="21"/>
        </w:rPr>
        <w:t>C</w:t>
      </w:r>
      <w:r>
        <w:rPr>
          <w:rFonts w:eastAsia="Arial Unicode MS" w:cs="Arial Unicode MS" w:ascii="Arial Unicode MS" w:hAnsi="Arial Unicode MS"/>
          <w:color w:themeColor="text1" w:val="000000"/>
          <w:sz w:val="21"/>
          <w:szCs w:val="21"/>
        </w:rPr>
        <w:t xml:space="preserve">, Bubble plot comparing TEs families of the upregulated TEs in introns of upregulated genes and upregulated TEs in introns of not differentially expressed genes. </w:t>
      </w:r>
      <w:r>
        <w:rPr>
          <w:rFonts w:eastAsia="Arial Unicode MS" w:cs="Arial Unicode MS" w:ascii="Arial Unicode MS" w:hAnsi="Arial Unicode MS"/>
          <w:b/>
          <w:bCs/>
          <w:color w:themeColor="text1" w:val="000000"/>
          <w:sz w:val="21"/>
          <w:szCs w:val="21"/>
        </w:rPr>
        <w:t>D</w:t>
      </w:r>
      <w:r>
        <w:rPr>
          <w:rFonts w:eastAsia="Arial Unicode MS" w:cs="Arial Unicode MS" w:ascii="Arial Unicode MS" w:hAnsi="Arial Unicode MS"/>
          <w:color w:themeColor="text1" w:val="000000"/>
          <w:sz w:val="21"/>
          <w:szCs w:val="21"/>
        </w:rPr>
        <w:t xml:space="preserve">, Table showing the mean and median values of TEs in introns of different gene sets. </w:t>
      </w:r>
      <w:r>
        <w:rPr>
          <w:rFonts w:eastAsia="Arial Unicode MS" w:cs="Arial Unicode MS" w:ascii="Arial Unicode MS" w:hAnsi="Arial Unicode MS"/>
          <w:b/>
          <w:bCs/>
          <w:color w:themeColor="text1" w:val="000000"/>
          <w:sz w:val="21"/>
          <w:szCs w:val="21"/>
        </w:rPr>
        <w:t>E</w:t>
      </w:r>
      <w:r>
        <w:rPr>
          <w:rFonts w:eastAsia="Arial Unicode MS" w:cs="Arial Unicode MS" w:ascii="Arial Unicode MS" w:hAnsi="Arial Unicode MS"/>
          <w:color w:themeColor="text1" w:val="000000"/>
          <w:sz w:val="21"/>
          <w:szCs w:val="21"/>
        </w:rPr>
        <w:t xml:space="preserve">, Boxplots showing the log2 Fold Change of TEs located in introns of upregulated ISGs and not ISGs. </w:t>
      </w:r>
      <w:r>
        <w:rPr>
          <w:rFonts w:eastAsia="Arial Unicode MS" w:cs="Arial Unicode MS" w:ascii="Arial Unicode MS" w:hAnsi="Arial Unicode MS"/>
          <w:b/>
          <w:bCs/>
          <w:color w:themeColor="text1" w:val="000000"/>
          <w:sz w:val="21"/>
          <w:szCs w:val="21"/>
        </w:rPr>
        <w:t>F</w:t>
      </w:r>
      <w:r>
        <w:rPr>
          <w:rFonts w:eastAsia="Arial Unicode MS" w:cs="Arial Unicode MS" w:ascii="Arial Unicode MS" w:hAnsi="Arial Unicode MS"/>
          <w:color w:themeColor="text1" w:val="000000"/>
          <w:sz w:val="21"/>
          <w:szCs w:val="21"/>
        </w:rPr>
        <w:t>, Table showing the percentages of upregulated TEs in introns of genes in different contexts.</w:t>
      </w:r>
    </w:p>
    <w:p>
      <w:pPr>
        <w:pStyle w:val="Normal"/>
        <w:spacing w:lineRule="exact" w:line="280" w:before="0" w:after="120"/>
        <w:jc w:val="both"/>
        <w:rPr>
          <w:rFonts w:ascii="Arial Unicode MS" w:hAnsi="Arial Unicode MS" w:cs="Arial Unicode MS"/>
          <w:color w:themeColor="text1" w:val="000000"/>
          <w:sz w:val="21"/>
          <w:szCs w:val="21"/>
        </w:rPr>
      </w:pPr>
      <w:r>
        <w:rPr>
          <w:rFonts w:eastAsia="Arial Unicode MS" w:cs="Arial Unicode MS" w:ascii="Arial Unicode MS" w:hAnsi="Arial Unicode MS"/>
          <w:b/>
          <w:bCs/>
          <w:color w:themeColor="text1" w:val="000000"/>
          <w:sz w:val="21"/>
          <w:szCs w:val="21"/>
        </w:rPr>
        <w:t>Supplementary Fig. 6. Computational estimation of the extents of intron retention in SLE PMN relative to healthy control samples. A</w:t>
      </w:r>
      <w:r>
        <w:rPr>
          <w:rFonts w:eastAsia="Arial Unicode MS" w:cs="Arial Unicode MS" w:ascii="Arial Unicode MS" w:hAnsi="Arial Unicode MS"/>
          <w:color w:themeColor="text1" w:val="000000"/>
          <w:sz w:val="21"/>
          <w:szCs w:val="21"/>
        </w:rPr>
        <w:t xml:space="preserve">, Mean of intron retention ratio (IRratioMean) from IRFinder of HC samples.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 xml:space="preserve">, Mean of intron retention ratio (IRratioMean) from IRFinder of SLE samples. </w:t>
      </w:r>
      <w:r>
        <w:rPr>
          <w:rFonts w:eastAsia="Arial Unicode MS" w:cs="Arial Unicode MS" w:ascii="Arial Unicode MS" w:hAnsi="Arial Unicode MS"/>
          <w:b/>
          <w:bCs/>
          <w:color w:themeColor="text1" w:val="000000"/>
          <w:sz w:val="21"/>
          <w:szCs w:val="21"/>
        </w:rPr>
        <w:t>C</w:t>
      </w:r>
      <w:r>
        <w:rPr>
          <w:rFonts w:eastAsia="Arial Unicode MS" w:cs="Arial Unicode MS" w:ascii="Arial Unicode MS" w:hAnsi="Arial Unicode MS"/>
          <w:color w:themeColor="text1" w:val="000000"/>
          <w:sz w:val="21"/>
          <w:szCs w:val="21"/>
        </w:rPr>
        <w:t xml:space="preserve">, Mean of intron retention ratio (IRratioMean) from IRFinder of IFNneg samples. </w:t>
      </w:r>
      <w:r>
        <w:rPr>
          <w:rFonts w:eastAsia="Arial Unicode MS" w:cs="Arial Unicode MS" w:ascii="Arial Unicode MS" w:hAnsi="Arial Unicode MS"/>
          <w:b/>
          <w:bCs/>
          <w:color w:themeColor="text1" w:val="000000"/>
          <w:sz w:val="21"/>
          <w:szCs w:val="21"/>
        </w:rPr>
        <w:t>D</w:t>
      </w:r>
      <w:r>
        <w:rPr>
          <w:rFonts w:eastAsia="Arial Unicode MS" w:cs="Arial Unicode MS" w:ascii="Arial Unicode MS" w:hAnsi="Arial Unicode MS"/>
          <w:color w:themeColor="text1" w:val="000000"/>
          <w:sz w:val="21"/>
          <w:szCs w:val="21"/>
        </w:rPr>
        <w:t xml:space="preserve">, Mean of intron retention ratio (IRratioMean) from IRFinder of IFNpos samples. </w:t>
      </w:r>
      <w:r>
        <w:rPr>
          <w:rFonts w:eastAsia="Arial Unicode MS" w:cs="Arial Unicode MS" w:ascii="Arial Unicode MS" w:hAnsi="Arial Unicode MS"/>
          <w:b/>
          <w:bCs/>
          <w:color w:themeColor="text1" w:val="000000"/>
          <w:sz w:val="21"/>
          <w:szCs w:val="21"/>
        </w:rPr>
        <w:t>E</w:t>
      </w:r>
      <w:r>
        <w:rPr>
          <w:rFonts w:eastAsia="Arial Unicode MS" w:cs="Arial Unicode MS" w:ascii="Arial Unicode MS" w:hAnsi="Arial Unicode MS"/>
          <w:color w:themeColor="text1" w:val="000000"/>
          <w:sz w:val="21"/>
          <w:szCs w:val="21"/>
        </w:rPr>
        <w:t xml:space="preserve">, Differential Intron retention comparing SLE against HC, significant intron retention change is indicated by color. Differentially retained intron in SLE (UP) red; differentially retained intron in HC (DOWN), blue; not differentially retained intron, grey. </w:t>
      </w:r>
      <w:r>
        <w:rPr>
          <w:rFonts w:eastAsia="Arial Unicode MS" w:cs="Arial Unicode MS" w:ascii="Arial Unicode MS" w:hAnsi="Arial Unicode MS"/>
          <w:b/>
          <w:bCs/>
          <w:color w:themeColor="text1" w:val="000000"/>
          <w:sz w:val="21"/>
          <w:szCs w:val="21"/>
        </w:rPr>
        <w:t>F</w:t>
      </w:r>
      <w:r>
        <w:rPr>
          <w:rFonts w:eastAsia="Arial Unicode MS" w:cs="Arial Unicode MS" w:ascii="Arial Unicode MS" w:hAnsi="Arial Unicode MS"/>
          <w:color w:themeColor="text1" w:val="000000"/>
          <w:sz w:val="21"/>
          <w:szCs w:val="21"/>
        </w:rPr>
        <w:t xml:space="preserve">, Differential Intron retention comparing IFNneg against HC, significant intron retention change is indicated by color. Differentially retained intron in IFNneg (UP) red; differentially retained intron in HC (DOWN), blue; not differentially retained intron, grey. </w:t>
      </w:r>
      <w:r>
        <w:rPr>
          <w:rFonts w:eastAsia="Arial Unicode MS" w:cs="Arial Unicode MS" w:ascii="Arial Unicode MS" w:hAnsi="Arial Unicode MS"/>
          <w:b/>
          <w:bCs/>
          <w:color w:themeColor="text1" w:val="000000"/>
          <w:sz w:val="21"/>
          <w:szCs w:val="21"/>
        </w:rPr>
        <w:t>G</w:t>
      </w:r>
      <w:r>
        <w:rPr>
          <w:rFonts w:eastAsia="Arial Unicode MS" w:cs="Arial Unicode MS" w:ascii="Arial Unicode MS" w:hAnsi="Arial Unicode MS"/>
          <w:color w:themeColor="text1" w:val="000000"/>
          <w:sz w:val="21"/>
          <w:szCs w:val="21"/>
        </w:rPr>
        <w:t xml:space="preserve">, Differential Intron retention comparing IFNpos against HC, significant intron retention change is indicated by color. Differentially retained intron in IFNpos (UP) red; differentially retained intron in HC (DOWN), blue; not differentially retained intron, grey. </w:t>
      </w:r>
      <w:r>
        <w:rPr>
          <w:rFonts w:eastAsia="Arial Unicode MS" w:cs="Arial Unicode MS" w:ascii="Arial Unicode MS" w:hAnsi="Arial Unicode MS"/>
          <w:b/>
          <w:bCs/>
          <w:color w:themeColor="text1" w:val="000000"/>
          <w:sz w:val="21"/>
          <w:szCs w:val="21"/>
        </w:rPr>
        <w:t>H</w:t>
      </w:r>
      <w:r>
        <w:rPr>
          <w:rFonts w:eastAsia="Arial Unicode MS" w:cs="Arial Unicode MS" w:ascii="Arial Unicode MS" w:hAnsi="Arial Unicode MS"/>
          <w:color w:themeColor="text1" w:val="000000"/>
          <w:sz w:val="21"/>
          <w:szCs w:val="21"/>
        </w:rPr>
        <w:t>, Differential Intron retention comparing IFNpos against IFNneg, significant intron retention change is indicated by color. Differentially retained intron in IFNpos (UP) red; differentially retained intron in IFNneg (DOWN), blue; not differentially retained intron, grey.</w:t>
      </w:r>
    </w:p>
    <w:p>
      <w:pPr>
        <w:pStyle w:val="Normal"/>
        <w:spacing w:lineRule="exact" w:line="280" w:before="0" w:after="120"/>
        <w:rPr>
          <w:rFonts w:ascii="Arial Unicode MS" w:hAnsi="Arial Unicode MS" w:cs="Arial Unicode MS"/>
          <w:b/>
          <w:color w:themeColor="text1" w:val="000000"/>
          <w:sz w:val="21"/>
          <w:szCs w:val="21"/>
        </w:rPr>
      </w:pPr>
      <w:r>
        <w:rPr>
          <w:rFonts w:eastAsia="Arial Unicode MS" w:cs="Arial Unicode MS" w:ascii="Arial Unicode MS" w:hAnsi="Arial Unicode MS"/>
          <w:b/>
          <w:bCs/>
          <w:color w:themeColor="text1" w:val="000000"/>
          <w:sz w:val="21"/>
          <w:szCs w:val="21"/>
        </w:rPr>
        <w:t xml:space="preserve">Supplementary Fig. 7 (complementary to Fig. 3). Representative examples of incomplete transcription of two TE-containing introns in the </w:t>
      </w:r>
      <w:r>
        <w:rPr>
          <w:rFonts w:eastAsia="Arial Unicode MS" w:cs="Arial Unicode MS" w:ascii="Arial Unicode MS" w:hAnsi="Arial Unicode MS"/>
          <w:b/>
          <w:bCs/>
          <w:i/>
          <w:iCs/>
          <w:color w:themeColor="text1" w:val="000000"/>
          <w:sz w:val="21"/>
          <w:szCs w:val="21"/>
        </w:rPr>
        <w:t>IFI44L</w:t>
      </w:r>
      <w:r>
        <w:rPr>
          <w:rFonts w:eastAsia="Arial Unicode MS" w:cs="Arial Unicode MS" w:ascii="Arial Unicode MS" w:hAnsi="Arial Unicode MS"/>
          <w:b/>
          <w:bCs/>
          <w:color w:themeColor="text1" w:val="000000"/>
          <w:sz w:val="21"/>
          <w:szCs w:val="21"/>
        </w:rPr>
        <w:t xml:space="preserve"> and </w:t>
      </w:r>
      <w:r>
        <w:rPr>
          <w:rFonts w:eastAsia="Arial Unicode MS" w:cs="Arial Unicode MS" w:ascii="Arial Unicode MS" w:hAnsi="Arial Unicode MS"/>
          <w:b/>
          <w:bCs/>
          <w:i/>
          <w:iCs/>
          <w:color w:themeColor="text1" w:val="000000"/>
          <w:sz w:val="21"/>
          <w:szCs w:val="21"/>
        </w:rPr>
        <w:t>IFI44</w:t>
      </w:r>
      <w:r>
        <w:rPr>
          <w:rFonts w:eastAsia="Arial Unicode MS" w:cs="Arial Unicode MS" w:ascii="Arial Unicode MS" w:hAnsi="Arial Unicode MS"/>
          <w:b/>
          <w:bCs/>
          <w:color w:themeColor="text1" w:val="000000"/>
          <w:sz w:val="21"/>
          <w:szCs w:val="21"/>
        </w:rPr>
        <w:t xml:space="preserve"> loci. A</w:t>
      </w:r>
      <w:r>
        <w:rPr>
          <w:rFonts w:eastAsia="Arial Unicode MS" w:cs="Arial Unicode MS" w:ascii="Arial Unicode MS" w:hAnsi="Arial Unicode MS"/>
          <w:color w:themeColor="text1" w:val="000000"/>
          <w:sz w:val="21"/>
          <w:szCs w:val="21"/>
        </w:rPr>
        <w:t xml:space="preserve">, Expanded genome browser view of the </w:t>
      </w:r>
      <w:r>
        <w:rPr>
          <w:rFonts w:eastAsia="Arial Unicode MS" w:cs="Arial Unicode MS" w:ascii="Arial Unicode MS" w:hAnsi="Arial Unicode MS"/>
          <w:i/>
          <w:iCs/>
          <w:color w:themeColor="text1" w:val="000000"/>
          <w:sz w:val="21"/>
          <w:szCs w:val="21"/>
        </w:rPr>
        <w:t>IFI44L-IFI44</w:t>
      </w:r>
      <w:r>
        <w:rPr>
          <w:rFonts w:eastAsia="Arial Unicode MS" w:cs="Arial Unicode MS" w:ascii="Arial Unicode MS" w:hAnsi="Arial Unicode MS"/>
          <w:color w:themeColor="text1" w:val="000000"/>
          <w:sz w:val="21"/>
          <w:szCs w:val="21"/>
        </w:rPr>
        <w:t xml:space="preserve"> locus showing increased expression of the same HAL1B element shown in Fig. 5</w:t>
      </w:r>
      <w:r>
        <w:rPr>
          <w:rFonts w:eastAsia="Arial Unicode MS" w:cs="Arial Unicode MS" w:ascii="Arial Unicode MS" w:hAnsi="Arial Unicode MS"/>
          <w:b/>
          <w:bCs/>
          <w:color w:themeColor="text1" w:val="000000"/>
          <w:sz w:val="21"/>
          <w:szCs w:val="21"/>
        </w:rPr>
        <w:t>A, B</w:t>
      </w:r>
      <w:r>
        <w:rPr>
          <w:rFonts w:eastAsia="Arial Unicode MS" w:cs="Arial Unicode MS" w:ascii="Arial Unicode MS" w:hAnsi="Arial Unicode MS"/>
          <w:color w:themeColor="text1" w:val="000000"/>
          <w:sz w:val="21"/>
          <w:szCs w:val="21"/>
        </w:rPr>
        <w:t xml:space="preserve">.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 xml:space="preserve">, Expanded genome browser view of the </w:t>
      </w:r>
      <w:r>
        <w:rPr>
          <w:rFonts w:eastAsia="Arial Unicode MS" w:cs="Arial Unicode MS" w:ascii="Arial Unicode MS" w:hAnsi="Arial Unicode MS"/>
          <w:i/>
          <w:iCs/>
          <w:color w:themeColor="text1" w:val="000000"/>
          <w:sz w:val="21"/>
          <w:szCs w:val="21"/>
        </w:rPr>
        <w:t>IFI44</w:t>
      </w:r>
      <w:r>
        <w:rPr>
          <w:rFonts w:eastAsia="Arial Unicode MS" w:cs="Arial Unicode MS" w:ascii="Arial Unicode MS" w:hAnsi="Arial Unicode MS"/>
          <w:color w:themeColor="text1" w:val="000000"/>
          <w:sz w:val="21"/>
          <w:szCs w:val="21"/>
        </w:rPr>
        <w:t xml:space="preserve"> gene, showing one of LTR80A:ERVL’s and one of MLT1A:ERVL-MaLR’s highest expressing units located in introns 2 and 5, respectively, of </w:t>
      </w:r>
      <w:r>
        <w:rPr>
          <w:rFonts w:eastAsia="Arial Unicode MS" w:cs="Arial Unicode MS" w:ascii="Arial Unicode MS" w:hAnsi="Arial Unicode MS"/>
          <w:i/>
          <w:iCs/>
          <w:color w:themeColor="text1" w:val="000000"/>
          <w:sz w:val="21"/>
          <w:szCs w:val="21"/>
        </w:rPr>
        <w:t>IFI44</w:t>
      </w:r>
      <w:r>
        <w:rPr>
          <w:rFonts w:eastAsia="Arial Unicode MS" w:cs="Arial Unicode MS" w:ascii="Arial Unicode MS" w:hAnsi="Arial Unicode MS"/>
          <w:color w:themeColor="text1" w:val="000000"/>
          <w:sz w:val="21"/>
          <w:szCs w:val="21"/>
        </w:rPr>
        <w:t>. Note the selective upregulation of transcription in the introns containing these high-expressed TEs and the occurrence of annotated splice variants in the flanking exons.</w:t>
      </w:r>
    </w:p>
    <w:p>
      <w:pPr>
        <w:pStyle w:val="Normal"/>
        <w:spacing w:lineRule="exact" w:line="280" w:before="0" w:after="120"/>
        <w:jc w:val="both"/>
        <w:rPr>
          <w:rFonts w:ascii="Arial Unicode MS" w:hAnsi="Arial Unicode MS" w:cs="Arial Unicode MS"/>
          <w:b/>
          <w:bCs/>
          <w:color w:themeColor="text1" w:val="000000"/>
          <w:sz w:val="21"/>
          <w:szCs w:val="21"/>
        </w:rPr>
      </w:pPr>
      <w:r>
        <w:rPr>
          <w:rFonts w:eastAsia="Arial Unicode MS" w:cs="Arial Unicode MS" w:ascii="Arial Unicode MS" w:hAnsi="Arial Unicode MS"/>
          <w:b/>
          <w:bCs/>
          <w:color w:themeColor="text1" w:val="000000"/>
          <w:sz w:val="21"/>
          <w:szCs w:val="21"/>
        </w:rPr>
        <w:t xml:space="preserve">Supplementary Fig. 8. Genome browser views of the intronic MLT1A and MLT1-int elements in IFIH1 locus and intronic LTR103_Mam element in the </w:t>
      </w:r>
      <w:r>
        <w:rPr>
          <w:rFonts w:eastAsia="Arial Unicode MS" w:cs="Arial Unicode MS" w:ascii="Arial Unicode MS" w:hAnsi="Arial Unicode MS"/>
          <w:b/>
          <w:bCs/>
          <w:i/>
          <w:iCs/>
          <w:color w:themeColor="text1" w:val="000000"/>
          <w:sz w:val="21"/>
          <w:szCs w:val="21"/>
        </w:rPr>
        <w:t>IFI6</w:t>
      </w:r>
      <w:r>
        <w:rPr>
          <w:rFonts w:eastAsia="Arial Unicode MS" w:cs="Arial Unicode MS" w:ascii="Arial Unicode MS" w:hAnsi="Arial Unicode MS"/>
          <w:b/>
          <w:bCs/>
          <w:color w:themeColor="text1" w:val="000000"/>
          <w:sz w:val="21"/>
          <w:szCs w:val="21"/>
        </w:rPr>
        <w:t xml:space="preserve"> locus. A</w:t>
      </w:r>
      <w:r>
        <w:rPr>
          <w:rFonts w:eastAsia="Arial Unicode MS" w:cs="Arial Unicode MS" w:ascii="Arial Unicode MS" w:hAnsi="Arial Unicode MS"/>
          <w:color w:themeColor="text1" w:val="000000"/>
          <w:sz w:val="21"/>
          <w:szCs w:val="21"/>
        </w:rPr>
        <w:t xml:space="preserve">, Genome browser view of the </w:t>
      </w:r>
      <w:r>
        <w:rPr>
          <w:rFonts w:eastAsia="Arial Unicode MS" w:cs="Arial Unicode MS" w:ascii="Arial Unicode MS" w:hAnsi="Arial Unicode MS"/>
          <w:i/>
          <w:iCs/>
          <w:color w:themeColor="text1" w:val="000000"/>
          <w:sz w:val="21"/>
          <w:szCs w:val="21"/>
        </w:rPr>
        <w:t>IFIH1</w:t>
      </w:r>
      <w:r>
        <w:rPr>
          <w:rFonts w:eastAsia="Arial Unicode MS" w:cs="Arial Unicode MS" w:ascii="Arial Unicode MS" w:hAnsi="Arial Unicode MS"/>
          <w:color w:themeColor="text1" w:val="000000"/>
          <w:sz w:val="21"/>
          <w:szCs w:val="21"/>
        </w:rPr>
        <w:t xml:space="preserve"> locus encoding MDA5, showing the localization of one of the highest-expressing units of the MLT1A transcription unit and one of the top-expressing units of the MLT1-int family in </w:t>
      </w:r>
      <w:r>
        <w:rPr>
          <w:rFonts w:eastAsia="Arial Unicode MS" w:cs="Arial Unicode MS" w:ascii="Arial Unicode MS" w:hAnsi="Arial Unicode MS"/>
          <w:i/>
          <w:iCs/>
          <w:color w:themeColor="text1" w:val="000000"/>
          <w:sz w:val="21"/>
          <w:szCs w:val="21"/>
        </w:rPr>
        <w:t>IFIH1</w:t>
      </w:r>
      <w:r>
        <w:rPr>
          <w:rFonts w:eastAsia="Arial Unicode MS" w:cs="Arial Unicode MS" w:ascii="Arial Unicode MS" w:hAnsi="Arial Unicode MS"/>
          <w:color w:themeColor="text1" w:val="000000"/>
          <w:sz w:val="21"/>
          <w:szCs w:val="21"/>
        </w:rPr>
        <w:t xml:space="preserve"> intron 2. Note the selective upregulation of transcription in the intron containing this high-expressed TE and the occurrence of annotated splice variants in the flanking exons.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 xml:space="preserve">, As in </w:t>
      </w:r>
      <w:r>
        <w:rPr>
          <w:rFonts w:eastAsia="Arial Unicode MS" w:cs="Arial Unicode MS" w:ascii="Arial Unicode MS" w:hAnsi="Arial Unicode MS"/>
          <w:b/>
          <w:bCs/>
          <w:color w:themeColor="text1" w:val="000000"/>
          <w:sz w:val="21"/>
          <w:szCs w:val="21"/>
        </w:rPr>
        <w:t>A</w:t>
      </w:r>
      <w:r>
        <w:rPr>
          <w:rFonts w:eastAsia="Arial Unicode MS" w:cs="Arial Unicode MS" w:ascii="Arial Unicode MS" w:hAnsi="Arial Unicode MS"/>
          <w:color w:themeColor="text1" w:val="000000"/>
          <w:sz w:val="21"/>
          <w:szCs w:val="21"/>
        </w:rPr>
        <w:t xml:space="preserve">, but showing the localization of one of LTR103_Mam:ERV1’s highest expressing units in an intron of </w:t>
      </w:r>
      <w:r>
        <w:rPr>
          <w:rFonts w:eastAsia="Arial Unicode MS" w:cs="Arial Unicode MS" w:ascii="Arial Unicode MS" w:hAnsi="Arial Unicode MS"/>
          <w:i/>
          <w:iCs/>
          <w:color w:themeColor="text1" w:val="000000"/>
          <w:sz w:val="21"/>
          <w:szCs w:val="21"/>
        </w:rPr>
        <w:t>IFI6</w:t>
      </w:r>
      <w:r>
        <w:rPr>
          <w:rFonts w:eastAsia="Arial Unicode MS" w:cs="Arial Unicode MS" w:ascii="Arial Unicode MS" w:hAnsi="Arial Unicode MS"/>
          <w:color w:themeColor="text1" w:val="000000"/>
          <w:sz w:val="21"/>
          <w:szCs w:val="21"/>
        </w:rPr>
        <w:t>.</w:t>
      </w:r>
    </w:p>
    <w:p>
      <w:pPr>
        <w:pStyle w:val="Normal"/>
        <w:rPr/>
      </w:pPr>
      <w:r>
        <w:rPr>
          <w:rFonts w:eastAsia="Arial Unicode MS" w:cs="Arial Unicode MS" w:ascii="Arial Unicode MS" w:hAnsi="Arial Unicode MS"/>
          <w:b/>
          <w:bCs/>
          <w:color w:themeColor="text1" w:val="000000"/>
          <w:sz w:val="21"/>
          <w:szCs w:val="21"/>
        </w:rPr>
        <w:t>Supplementary Fig. 9. Expanded view of the intronic HAL1B element and LTR80A elements in the IFI44L-IFI44 locus. A</w:t>
      </w:r>
      <w:r>
        <w:rPr>
          <w:rFonts w:eastAsia="Arial Unicode MS" w:cs="Arial Unicode MS" w:ascii="Arial Unicode MS" w:hAnsi="Arial Unicode MS"/>
          <w:color w:themeColor="text1" w:val="000000"/>
          <w:sz w:val="21"/>
          <w:szCs w:val="21"/>
        </w:rPr>
        <w:t xml:space="preserve">, Genome browser view of the IFI44L-IFI44 locus. In order, the tracks depict chromosomal location, the annotated splice isoforms of the IFI44L and IFI44 genes, and all repeat/transposable elements in the IFI44L-IFI44 locus. </w:t>
      </w:r>
      <w:r>
        <w:rPr>
          <w:rFonts w:eastAsia="Arial Unicode MS" w:cs="Arial Unicode MS" w:ascii="Arial Unicode MS" w:hAnsi="Arial Unicode MS"/>
          <w:b/>
          <w:bCs/>
          <w:color w:themeColor="text1" w:val="000000"/>
          <w:sz w:val="21"/>
          <w:szCs w:val="21"/>
        </w:rPr>
        <w:t>B</w:t>
      </w:r>
      <w:r>
        <w:rPr>
          <w:rFonts w:eastAsia="Arial Unicode MS" w:cs="Arial Unicode MS" w:ascii="Arial Unicode MS" w:hAnsi="Arial Unicode MS"/>
          <w:color w:themeColor="text1" w:val="000000"/>
          <w:sz w:val="21"/>
          <w:szCs w:val="21"/>
        </w:rPr>
        <w:t>,</w:t>
      </w:r>
      <w:r>
        <w:rPr>
          <w:rFonts w:eastAsia="Arial Unicode MS" w:cs="Arial Unicode MS" w:ascii="Arial Unicode MS" w:hAnsi="Arial Unicode MS"/>
          <w:b/>
          <w:bCs/>
          <w:color w:themeColor="text1" w:val="000000"/>
          <w:sz w:val="21"/>
          <w:szCs w:val="21"/>
        </w:rPr>
        <w:t xml:space="preserve"> </w:t>
      </w:r>
      <w:r>
        <w:rPr>
          <w:rFonts w:eastAsia="Arial Unicode MS" w:cs="Arial Unicode MS" w:ascii="Arial Unicode MS" w:hAnsi="Arial Unicode MS"/>
          <w:color w:themeColor="text1" w:val="000000"/>
          <w:sz w:val="21"/>
          <w:szCs w:val="21"/>
        </w:rPr>
        <w:t xml:space="preserve">Scatter plot showing the expression of IFI44 and LTR80A_dup297 of all samples, correlation results denoted in red font which come from the correlation analysis comparing the expression of the gene and the TE in all SLE samples. </w:t>
      </w:r>
      <w:r>
        <w:rPr>
          <w:rFonts w:eastAsia="Arial Unicode MS" w:cs="Arial Unicode MS" w:ascii="Arial Unicode MS" w:hAnsi="Arial Unicode MS"/>
          <w:b/>
          <w:bCs/>
          <w:color w:themeColor="text1" w:val="000000"/>
          <w:sz w:val="21"/>
          <w:szCs w:val="21"/>
        </w:rPr>
        <w:t>C</w:t>
      </w:r>
      <w:r>
        <w:rPr>
          <w:rFonts w:eastAsia="Arial Unicode MS" w:cs="Arial Unicode MS" w:ascii="Arial Unicode MS" w:hAnsi="Arial Unicode MS"/>
          <w:color w:themeColor="text1" w:val="000000"/>
          <w:sz w:val="21"/>
          <w:szCs w:val="21"/>
        </w:rPr>
        <w:t>,</w:t>
      </w:r>
      <w:r>
        <w:rPr>
          <w:rFonts w:eastAsia="Arial Unicode MS" w:cs="Arial Unicode MS" w:ascii="Arial Unicode MS" w:hAnsi="Arial Unicode MS"/>
          <w:b/>
          <w:bCs/>
          <w:color w:themeColor="text1" w:val="000000"/>
          <w:sz w:val="21"/>
          <w:szCs w:val="21"/>
        </w:rPr>
        <w:t xml:space="preserve"> </w:t>
      </w:r>
      <w:r>
        <w:rPr>
          <w:rFonts w:eastAsia="Arial Unicode MS" w:cs="Arial Unicode MS" w:ascii="Arial Unicode MS" w:hAnsi="Arial Unicode MS"/>
          <w:color w:themeColor="text1" w:val="000000"/>
          <w:sz w:val="21"/>
          <w:szCs w:val="21"/>
        </w:rPr>
        <w:t xml:space="preserve">Scatter plot showing the expression of IFI44 and MLT1A_dup9707 of all samples, correlation results denoted in red font which come from the correlation analysis comparing the expression of the gene and the TE in all SLE samples. </w:t>
      </w:r>
      <w:r>
        <w:rPr>
          <w:rFonts w:eastAsia="Arial Unicode MS" w:cs="Arial Unicode MS" w:ascii="Arial Unicode MS" w:hAnsi="Arial Unicode MS"/>
          <w:b/>
          <w:bCs/>
          <w:color w:themeColor="text1" w:val="000000"/>
          <w:sz w:val="21"/>
          <w:szCs w:val="21"/>
        </w:rPr>
        <w:t>D</w:t>
      </w:r>
      <w:r>
        <w:rPr>
          <w:rFonts w:eastAsia="Arial Unicode MS" w:cs="Arial Unicode MS" w:ascii="Arial Unicode MS" w:hAnsi="Arial Unicode MS"/>
          <w:color w:themeColor="text1" w:val="000000"/>
          <w:sz w:val="21"/>
          <w:szCs w:val="21"/>
        </w:rPr>
        <w:t>,</w:t>
      </w:r>
      <w:r>
        <w:rPr>
          <w:rFonts w:eastAsia="Arial Unicode MS" w:cs="Arial Unicode MS" w:ascii="Arial Unicode MS" w:hAnsi="Arial Unicode MS"/>
          <w:b/>
          <w:bCs/>
          <w:color w:themeColor="text1" w:val="000000"/>
          <w:sz w:val="21"/>
          <w:szCs w:val="21"/>
        </w:rPr>
        <w:t xml:space="preserve"> </w:t>
      </w:r>
      <w:r>
        <w:rPr>
          <w:rFonts w:eastAsia="Arial Unicode MS" w:cs="Arial Unicode MS" w:ascii="Arial Unicode MS" w:hAnsi="Arial Unicode MS"/>
          <w:color w:themeColor="text1" w:val="000000"/>
          <w:sz w:val="21"/>
          <w:szCs w:val="21"/>
        </w:rPr>
        <w:t>Scatter plot showing the expression of IFI44 and L1Bb_dup129 of all samples, correlation results denoted in red font which come from the correlation analysis comparing the expression of the gene and the TE in all SLE samples.</w:t>
      </w:r>
    </w:p>
    <w:p>
      <w:pPr>
        <w:pStyle w:val="Normal"/>
        <w:rPr/>
      </w:pPr>
      <w:r>
        <w:rPr/>
        <w:drawing>
          <wp:inline distT="0" distB="0" distL="0" distR="0">
            <wp:extent cx="5822315" cy="8229600"/>
            <wp:effectExtent l="0" t="0" r="0" b="0"/>
            <wp:docPr id="1"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
                    <pic:cNvPicPr>
                      <a:picLocks noChangeAspect="1" noChangeArrowheads="1"/>
                    </pic:cNvPicPr>
                  </pic:nvPicPr>
                  <pic:blipFill>
                    <a:blip r:embed="rId2"/>
                    <a:stretch>
                      <a:fillRect/>
                    </a:stretch>
                  </pic:blipFill>
                  <pic:spPr bwMode="auto">
                    <a:xfrm>
                      <a:off x="0" y="0"/>
                      <a:ext cx="5822315" cy="8229600"/>
                    </a:xfrm>
                    <a:prstGeom prst="rect">
                      <a:avLst/>
                    </a:prstGeom>
                    <a:noFill/>
                  </pic:spPr>
                </pic:pic>
              </a:graphicData>
            </a:graphic>
          </wp:inline>
        </w:drawing>
      </w:r>
      <w:r>
        <w:rPr/>
        <w:drawing>
          <wp:inline distT="0" distB="0" distL="0" distR="0">
            <wp:extent cx="5815965" cy="8218170"/>
            <wp:effectExtent l="0" t="0" r="0" b="0"/>
            <wp:docPr id="2"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
                    <pic:cNvPicPr>
                      <a:picLocks noChangeAspect="1" noChangeArrowheads="1"/>
                    </pic:cNvPicPr>
                  </pic:nvPicPr>
                  <pic:blipFill>
                    <a:blip r:embed="rId3"/>
                    <a:stretch>
                      <a:fillRect/>
                    </a:stretch>
                  </pic:blipFill>
                  <pic:spPr bwMode="auto">
                    <a:xfrm>
                      <a:off x="0" y="0"/>
                      <a:ext cx="5815965" cy="8218170"/>
                    </a:xfrm>
                    <a:prstGeom prst="rect">
                      <a:avLst/>
                    </a:prstGeom>
                    <a:noFill/>
                  </pic:spPr>
                </pic:pic>
              </a:graphicData>
            </a:graphic>
          </wp:inline>
        </w:drawing>
      </w:r>
      <w:r>
        <w:rPr/>
        <w:drawing>
          <wp:inline distT="0" distB="0" distL="0" distR="0">
            <wp:extent cx="5815965" cy="8218170"/>
            <wp:effectExtent l="0" t="0" r="0" b="0"/>
            <wp:docPr id="3"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
                    <pic:cNvPicPr>
                      <a:picLocks noChangeAspect="1" noChangeArrowheads="1"/>
                    </pic:cNvPicPr>
                  </pic:nvPicPr>
                  <pic:blipFill>
                    <a:blip r:embed="rId4"/>
                    <a:stretch>
                      <a:fillRect/>
                    </a:stretch>
                  </pic:blipFill>
                  <pic:spPr bwMode="auto">
                    <a:xfrm>
                      <a:off x="0" y="0"/>
                      <a:ext cx="5815965" cy="8218170"/>
                    </a:xfrm>
                    <a:prstGeom prst="rect">
                      <a:avLst/>
                    </a:prstGeom>
                    <a:noFill/>
                  </pic:spPr>
                </pic:pic>
              </a:graphicData>
            </a:graphic>
          </wp:inline>
        </w:drawing>
      </w:r>
      <w:r>
        <w:rPr/>
        <w:drawing>
          <wp:inline distT="0" distB="0" distL="0" distR="0">
            <wp:extent cx="5815965" cy="8218170"/>
            <wp:effectExtent l="0" t="0" r="0" b="0"/>
            <wp:docPr id="4"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
                    <pic:cNvPicPr>
                      <a:picLocks noChangeAspect="1" noChangeArrowheads="1"/>
                    </pic:cNvPicPr>
                  </pic:nvPicPr>
                  <pic:blipFill>
                    <a:blip r:embed="rId5"/>
                    <a:stretch>
                      <a:fillRect/>
                    </a:stretch>
                  </pic:blipFill>
                  <pic:spPr bwMode="auto">
                    <a:xfrm>
                      <a:off x="0" y="0"/>
                      <a:ext cx="5815965" cy="8218170"/>
                    </a:xfrm>
                    <a:prstGeom prst="rect">
                      <a:avLst/>
                    </a:prstGeom>
                    <a:noFill/>
                  </pic:spPr>
                </pic:pic>
              </a:graphicData>
            </a:graphic>
          </wp:inline>
        </w:drawing>
      </w:r>
    </w:p>
    <w:p>
      <w:pPr>
        <w:pStyle w:val="Normal"/>
        <w:rPr/>
      </w:pPr>
      <w:r>
        <w:rPr/>
        <w:drawing>
          <wp:inline distT="0" distB="0" distL="0" distR="0">
            <wp:extent cx="5815965" cy="8218170"/>
            <wp:effectExtent l="0" t="0" r="0" b="0"/>
            <wp:docPr id="5"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
                    <pic:cNvPicPr>
                      <a:picLocks noChangeAspect="1" noChangeArrowheads="1"/>
                    </pic:cNvPicPr>
                  </pic:nvPicPr>
                  <pic:blipFill>
                    <a:blip r:embed="rId6"/>
                    <a:stretch>
                      <a:fillRect/>
                    </a:stretch>
                  </pic:blipFill>
                  <pic:spPr bwMode="auto">
                    <a:xfrm>
                      <a:off x="0" y="0"/>
                      <a:ext cx="5815965" cy="8218170"/>
                    </a:xfrm>
                    <a:prstGeom prst="rect">
                      <a:avLst/>
                    </a:prstGeom>
                    <a:noFill/>
                  </pic:spPr>
                </pic:pic>
              </a:graphicData>
            </a:graphic>
          </wp:inline>
        </w:drawing>
      </w:r>
      <w:r>
        <w:rPr/>
        <w:drawing>
          <wp:inline distT="0" distB="0" distL="0" distR="0">
            <wp:extent cx="5815965" cy="8218170"/>
            <wp:effectExtent l="0" t="0" r="0" b="0"/>
            <wp:docPr id="6"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
                    <pic:cNvPicPr>
                      <a:picLocks noChangeAspect="1" noChangeArrowheads="1"/>
                    </pic:cNvPicPr>
                  </pic:nvPicPr>
                  <pic:blipFill>
                    <a:blip r:embed="rId7"/>
                    <a:stretch>
                      <a:fillRect/>
                    </a:stretch>
                  </pic:blipFill>
                  <pic:spPr bwMode="auto">
                    <a:xfrm>
                      <a:off x="0" y="0"/>
                      <a:ext cx="5815965" cy="8218170"/>
                    </a:xfrm>
                    <a:prstGeom prst="rect">
                      <a:avLst/>
                    </a:prstGeom>
                    <a:noFill/>
                  </pic:spPr>
                </pic:pic>
              </a:graphicData>
            </a:graphic>
          </wp:inline>
        </w:drawing>
      </w:r>
      <w:r>
        <w:rPr/>
        <w:drawing>
          <wp:inline distT="0" distB="0" distL="0" distR="0">
            <wp:extent cx="5822315" cy="8229600"/>
            <wp:effectExtent l="0" t="0" r="0" b="0"/>
            <wp:docPr id="7"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
                    <pic:cNvPicPr>
                      <a:picLocks noChangeAspect="1" noChangeArrowheads="1"/>
                    </pic:cNvPicPr>
                  </pic:nvPicPr>
                  <pic:blipFill>
                    <a:blip r:embed="rId8"/>
                    <a:stretch>
                      <a:fillRect/>
                    </a:stretch>
                  </pic:blipFill>
                  <pic:spPr bwMode="auto">
                    <a:xfrm>
                      <a:off x="0" y="0"/>
                      <a:ext cx="5822315" cy="8229600"/>
                    </a:xfrm>
                    <a:prstGeom prst="rect">
                      <a:avLst/>
                    </a:prstGeom>
                    <a:noFill/>
                  </pic:spPr>
                </pic:pic>
              </a:graphicData>
            </a:graphic>
          </wp:inline>
        </w:drawing>
      </w:r>
      <w:r>
        <w:rPr/>
        <w:drawing>
          <wp:inline distT="0" distB="0" distL="0" distR="0">
            <wp:extent cx="5815965" cy="8218170"/>
            <wp:effectExtent l="0" t="0" r="0" b="0"/>
            <wp:docPr id="8"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
                    <pic:cNvPicPr>
                      <a:picLocks noChangeAspect="1" noChangeArrowheads="1"/>
                    </pic:cNvPicPr>
                  </pic:nvPicPr>
                  <pic:blipFill>
                    <a:blip r:embed="rId9"/>
                    <a:stretch>
                      <a:fillRect/>
                    </a:stretch>
                  </pic:blipFill>
                  <pic:spPr bwMode="auto">
                    <a:xfrm>
                      <a:off x="0" y="0"/>
                      <a:ext cx="5815965" cy="8218170"/>
                    </a:xfrm>
                    <a:prstGeom prst="rect">
                      <a:avLst/>
                    </a:prstGeom>
                    <a:noFill/>
                  </pic:spPr>
                </pic:pic>
              </a:graphicData>
            </a:graphic>
          </wp:inline>
        </w:drawing>
      </w:r>
      <w:r>
        <w:rPr/>
        <w:drawing>
          <wp:inline distT="0" distB="0" distL="0" distR="0">
            <wp:extent cx="5815965" cy="8218170"/>
            <wp:effectExtent l="0" t="0" r="0" b="0"/>
            <wp:docPr id="9"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
                    <pic:cNvPicPr>
                      <a:picLocks noChangeAspect="1" noChangeArrowheads="1"/>
                    </pic:cNvPicPr>
                  </pic:nvPicPr>
                  <pic:blipFill>
                    <a:blip r:embed="rId10"/>
                    <a:stretch>
                      <a:fillRect/>
                    </a:stretch>
                  </pic:blipFill>
                  <pic:spPr bwMode="auto">
                    <a:xfrm>
                      <a:off x="0" y="0"/>
                      <a:ext cx="5815965" cy="8218170"/>
                    </a:xfrm>
                    <a:prstGeom prst="rect">
                      <a:avLst/>
                    </a:prstGeom>
                    <a:noFill/>
                  </pic:spPr>
                </pic:pic>
              </a:graphicData>
            </a:graphic>
          </wp:inline>
        </w:drawing>
      </w:r>
      <w:r>
        <w:rPr/>
        <w:drawing>
          <wp:inline distT="0" distB="0" distL="0" distR="0">
            <wp:extent cx="5815965" cy="8218170"/>
            <wp:effectExtent l="0" t="0" r="0" b="0"/>
            <wp:docPr id="10" name="Picture 6"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A diagram of a graph&#10;&#10;AI-generated content may be incorrect."/>
                    <pic:cNvPicPr>
                      <a:picLocks noChangeAspect="1" noChangeArrowheads="1"/>
                    </pic:cNvPicPr>
                  </pic:nvPicPr>
                  <pic:blipFill>
                    <a:blip r:embed="rId11"/>
                    <a:stretch>
                      <a:fillRect/>
                    </a:stretch>
                  </pic:blipFill>
                  <pic:spPr bwMode="auto">
                    <a:xfrm>
                      <a:off x="0" y="0"/>
                      <a:ext cx="5815965" cy="8218170"/>
                    </a:xfrm>
                    <a:prstGeom prst="rect">
                      <a:avLst/>
                    </a:prstGeom>
                    <a:noFill/>
                  </pic:spPr>
                </pic:pic>
              </a:graphicData>
            </a:graphic>
          </wp:inline>
        </w:drawing>
      </w:r>
    </w:p>
    <w:p>
      <w:pPr>
        <w:pStyle w:val="Normal"/>
        <w:snapToGrid w:val="false"/>
        <w:spacing w:lineRule="exact" w:line="280" w:before="120" w:after="160"/>
        <w:jc w:val="both"/>
        <w:rPr>
          <w:rFonts w:ascii="Arial Unicode MS" w:hAnsi="Arial Unicode MS" w:cs="Arial Unicode MS"/>
          <w:b/>
          <w:bCs/>
          <w:color w:themeColor="text1" w:val="000000"/>
          <w:sz w:val="21"/>
          <w:szCs w:val="21"/>
        </w:rPr>
      </w:pPr>
      <w:r>
        <w:rPr/>
      </w:r>
    </w:p>
    <w:p>
      <w:pPr>
        <w:pStyle w:val="Normal"/>
        <w:widowControl/>
        <w:bidi w:val="0"/>
        <w:spacing w:lineRule="auto" w:line="278"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Arial Unicode MS">
    <w:charset w:val="00"/>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f33958"/>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f33958"/>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f33958"/>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f33958"/>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f33958"/>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f33958"/>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f33958"/>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f33958"/>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f33958"/>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33958"/>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f33958"/>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f33958"/>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f33958"/>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f33958"/>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f33958"/>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f33958"/>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f33958"/>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f33958"/>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f33958"/>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f33958"/>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f33958"/>
    <w:rPr>
      <w:i/>
      <w:iCs/>
      <w:color w:themeColor="text1" w:themeTint="bf" w:val="404040"/>
    </w:rPr>
  </w:style>
  <w:style w:type="character" w:styleId="IntenseEmphasis">
    <w:name w:val="Intense Emphasis"/>
    <w:basedOn w:val="DefaultParagraphFont"/>
    <w:uiPriority w:val="21"/>
    <w:qFormat/>
    <w:rsid w:val="00f33958"/>
    <w:rPr>
      <w:i/>
      <w:iCs/>
      <w:color w:themeColor="accent1" w:themeShade="bf" w:val="0F4761"/>
    </w:rPr>
  </w:style>
  <w:style w:type="character" w:styleId="IntenseQuoteChar" w:customStyle="1">
    <w:name w:val="Intense Quote Char"/>
    <w:basedOn w:val="DefaultParagraphFont"/>
    <w:link w:val="IntenseQuote"/>
    <w:uiPriority w:val="30"/>
    <w:qFormat/>
    <w:rsid w:val="00f33958"/>
    <w:rPr>
      <w:i/>
      <w:iCs/>
      <w:color w:themeColor="accent1" w:themeShade="bf" w:val="0F4761"/>
    </w:rPr>
  </w:style>
  <w:style w:type="character" w:styleId="IntenseReference">
    <w:name w:val="Intense Reference"/>
    <w:basedOn w:val="DefaultParagraphFont"/>
    <w:uiPriority w:val="32"/>
    <w:qFormat/>
    <w:rsid w:val="00f33958"/>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f33958"/>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f33958"/>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f33958"/>
    <w:pPr>
      <w:spacing w:before="160" w:after="160"/>
      <w:jc w:val="center"/>
    </w:pPr>
    <w:rPr>
      <w:i/>
      <w:iCs/>
      <w:color w:themeColor="text1" w:themeTint="bf" w:val="404040"/>
    </w:rPr>
  </w:style>
  <w:style w:type="paragraph" w:styleId="ListParagraph">
    <w:name w:val="List Paragraph"/>
    <w:basedOn w:val="Normal"/>
    <w:uiPriority w:val="34"/>
    <w:qFormat/>
    <w:rsid w:val="00f33958"/>
    <w:pPr>
      <w:spacing w:before="0" w:after="160"/>
      <w:ind w:left="720"/>
      <w:contextualSpacing/>
    </w:pPr>
    <w:rPr/>
  </w:style>
  <w:style w:type="paragraph" w:styleId="IntenseQuote">
    <w:name w:val="Intense Quote"/>
    <w:basedOn w:val="Normal"/>
    <w:next w:val="Normal"/>
    <w:link w:val="IntenseQuoteChar"/>
    <w:uiPriority w:val="30"/>
    <w:qFormat/>
    <w:rsid w:val="00f33958"/>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tif"/><Relationship Id="rId3" Type="http://schemas.openxmlformats.org/officeDocument/2006/relationships/image" Target="media/image2.tif"/><Relationship Id="rId4" Type="http://schemas.openxmlformats.org/officeDocument/2006/relationships/image" Target="media/image3.tif"/><Relationship Id="rId5" Type="http://schemas.openxmlformats.org/officeDocument/2006/relationships/image" Target="media/image4.tif"/><Relationship Id="rId6" Type="http://schemas.openxmlformats.org/officeDocument/2006/relationships/image" Target="media/image5.tif"/><Relationship Id="rId7" Type="http://schemas.openxmlformats.org/officeDocument/2006/relationships/image" Target="media/image6.tif"/><Relationship Id="rId8" Type="http://schemas.openxmlformats.org/officeDocument/2006/relationships/image" Target="media/image7.tif"/><Relationship Id="rId9" Type="http://schemas.openxmlformats.org/officeDocument/2006/relationships/image" Target="media/image8.tif"/><Relationship Id="rId10" Type="http://schemas.openxmlformats.org/officeDocument/2006/relationships/image" Target="media/image9.tif"/><Relationship Id="rId11" Type="http://schemas.openxmlformats.org/officeDocument/2006/relationships/image" Target="media/image10.tif"/><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LibreOffice/25.2.5.2$Windows_X86_64 LibreOffice_project/03d19516eb2e1dd5d4ccd751a0d6f35f35e08022</Application>
  <AppVersion>15.0000</AppVersion>
  <Pages>13</Pages>
  <Words>1215</Words>
  <Characters>6719</Characters>
  <CharactersWithSpaces>7925</CharactersWithSpaces>
  <Paragraphs>11</Paragraphs>
  <Company>SpringerNature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2025-09-09T03:49:00Z</dcterms:created>
  <dc:creator>Euegen Jaiseelan</dc:creator>
  <dc:description/>
  <dc:language>en-IN</dc:language>
  <cp:lastModifiedBy/>
  <dcterms:modified xsi:type="dcterms:W3CDTF">2025-10-14T15:51:00Z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