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D06F27" w14:textId="03317870" w:rsidR="00881BAA" w:rsidRPr="00514FED" w:rsidRDefault="005F3D93" w:rsidP="00A078B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2: </w:t>
      </w:r>
      <w:r w:rsidR="00545311">
        <w:rPr>
          <w:rFonts w:ascii="Times New Roman" w:hAnsi="Times New Roman" w:cs="Times New Roman"/>
          <w:b/>
          <w:sz w:val="24"/>
          <w:szCs w:val="24"/>
        </w:rPr>
        <w:t>Table</w:t>
      </w:r>
      <w:r w:rsidR="00A078B9" w:rsidRPr="00A078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22B9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bookmarkStart w:id="0" w:name="_GoBack"/>
      <w:bookmarkEnd w:id="0"/>
      <w:r w:rsidR="00A078B9" w:rsidRPr="00A078B9">
        <w:rPr>
          <w:rFonts w:ascii="Times New Roman" w:hAnsi="Times New Roman" w:cs="Times New Roman"/>
          <w:b/>
          <w:sz w:val="24"/>
          <w:szCs w:val="24"/>
        </w:rPr>
        <w:t>. [Table 4 counterpart for the control group] Relationship between the changes in physical activity and the change in health parameters at + 1 and + 2-year in the control group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8"/>
        <w:gridCol w:w="1439"/>
        <w:gridCol w:w="1439"/>
        <w:gridCol w:w="1439"/>
        <w:gridCol w:w="1439"/>
        <w:gridCol w:w="1439"/>
        <w:gridCol w:w="1439"/>
        <w:gridCol w:w="1439"/>
        <w:gridCol w:w="1439"/>
      </w:tblGrid>
      <w:tr w:rsidR="00881BAA" w:rsidRPr="00881BAA" w14:paraId="7FA6D647" w14:textId="77777777" w:rsidTr="0010109A">
        <w:tc>
          <w:tcPr>
            <w:tcW w:w="1438" w:type="dxa"/>
            <w:shd w:val="clear" w:color="auto" w:fill="auto"/>
          </w:tcPr>
          <w:p w14:paraId="745517EB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Change in MVPA vs.</w:t>
            </w:r>
          </w:p>
        </w:tc>
        <w:tc>
          <w:tcPr>
            <w:tcW w:w="2878" w:type="dxa"/>
            <w:gridSpan w:val="2"/>
            <w:shd w:val="clear" w:color="auto" w:fill="auto"/>
          </w:tcPr>
          <w:p w14:paraId="7F83829C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Change in total energy intakes</w:t>
            </w:r>
          </w:p>
        </w:tc>
        <w:tc>
          <w:tcPr>
            <w:tcW w:w="2878" w:type="dxa"/>
            <w:gridSpan w:val="2"/>
            <w:shd w:val="clear" w:color="auto" w:fill="auto"/>
          </w:tcPr>
          <w:p w14:paraId="73369EC5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Change in protein intakes</w:t>
            </w:r>
          </w:p>
        </w:tc>
        <w:tc>
          <w:tcPr>
            <w:tcW w:w="2878" w:type="dxa"/>
            <w:gridSpan w:val="2"/>
            <w:tcBorders>
              <w:tl2br w:val="nil"/>
              <w:tr2bl w:val="nil"/>
            </w:tcBorders>
            <w:shd w:val="clear" w:color="auto" w:fill="auto"/>
          </w:tcPr>
          <w:p w14:paraId="1175CE66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Change in carbohydrate intakes</w:t>
            </w:r>
          </w:p>
        </w:tc>
        <w:tc>
          <w:tcPr>
            <w:tcW w:w="2878" w:type="dxa"/>
            <w:gridSpan w:val="2"/>
            <w:tcBorders>
              <w:tl2br w:val="nil"/>
              <w:tr2bl w:val="nil"/>
            </w:tcBorders>
          </w:tcPr>
          <w:p w14:paraId="6F7BE902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Change in fat intakes</w:t>
            </w:r>
          </w:p>
        </w:tc>
      </w:tr>
      <w:tr w:rsidR="00881BAA" w:rsidRPr="00881BAA" w14:paraId="6019F715" w14:textId="77777777" w:rsidTr="0010109A">
        <w:tc>
          <w:tcPr>
            <w:tcW w:w="1438" w:type="dxa"/>
            <w:vMerge w:val="restart"/>
            <w:shd w:val="clear" w:color="auto" w:fill="auto"/>
          </w:tcPr>
          <w:p w14:paraId="3E775901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Nutrition parameters</w:t>
            </w:r>
          </w:p>
        </w:tc>
        <w:tc>
          <w:tcPr>
            <w:tcW w:w="1439" w:type="dxa"/>
            <w:shd w:val="clear" w:color="auto" w:fill="auto"/>
          </w:tcPr>
          <w:p w14:paraId="039E54E8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6C2BFE14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+ 1-year</w:t>
            </w:r>
          </w:p>
        </w:tc>
        <w:tc>
          <w:tcPr>
            <w:tcW w:w="1439" w:type="dxa"/>
            <w:shd w:val="clear" w:color="auto" w:fill="auto"/>
          </w:tcPr>
          <w:p w14:paraId="6EBF2F23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378044E1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+2-year</w:t>
            </w:r>
          </w:p>
        </w:tc>
        <w:tc>
          <w:tcPr>
            <w:tcW w:w="1439" w:type="dxa"/>
            <w:shd w:val="clear" w:color="auto" w:fill="auto"/>
          </w:tcPr>
          <w:p w14:paraId="4EDF4C9F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678B4447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+ 1-year</w:t>
            </w:r>
          </w:p>
        </w:tc>
        <w:tc>
          <w:tcPr>
            <w:tcW w:w="1439" w:type="dxa"/>
            <w:shd w:val="clear" w:color="auto" w:fill="auto"/>
          </w:tcPr>
          <w:p w14:paraId="64C753CC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4DE6AA8D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+2-year</w:t>
            </w:r>
          </w:p>
        </w:tc>
        <w:tc>
          <w:tcPr>
            <w:tcW w:w="1439" w:type="dxa"/>
            <w:tcBorders>
              <w:tl2br w:val="nil"/>
              <w:tr2bl w:val="nil"/>
            </w:tcBorders>
            <w:shd w:val="clear" w:color="auto" w:fill="auto"/>
          </w:tcPr>
          <w:p w14:paraId="2529BD37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4D4CA03A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+ 1-year</w:t>
            </w:r>
          </w:p>
        </w:tc>
        <w:tc>
          <w:tcPr>
            <w:tcW w:w="1439" w:type="dxa"/>
            <w:tcBorders>
              <w:tl2br w:val="nil"/>
              <w:tr2bl w:val="nil"/>
            </w:tcBorders>
            <w:shd w:val="clear" w:color="auto" w:fill="auto"/>
          </w:tcPr>
          <w:p w14:paraId="0FABA239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467B0D51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+2-year</w:t>
            </w:r>
          </w:p>
        </w:tc>
        <w:tc>
          <w:tcPr>
            <w:tcW w:w="1439" w:type="dxa"/>
            <w:tcBorders>
              <w:tl2br w:val="nil"/>
              <w:tr2bl w:val="nil"/>
            </w:tcBorders>
            <w:shd w:val="clear" w:color="auto" w:fill="auto"/>
          </w:tcPr>
          <w:p w14:paraId="79BAC77F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0D8442A2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+ 1-year</w:t>
            </w:r>
          </w:p>
        </w:tc>
        <w:tc>
          <w:tcPr>
            <w:tcW w:w="1439" w:type="dxa"/>
            <w:tcBorders>
              <w:tl2br w:val="nil"/>
              <w:tr2bl w:val="nil"/>
            </w:tcBorders>
          </w:tcPr>
          <w:p w14:paraId="25FCFF1E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75D3F990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+2-year</w:t>
            </w:r>
          </w:p>
        </w:tc>
      </w:tr>
      <w:tr w:rsidR="00881BAA" w:rsidRPr="00881BAA" w14:paraId="693F1B1A" w14:textId="77777777" w:rsidTr="0010109A">
        <w:tc>
          <w:tcPr>
            <w:tcW w:w="143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F28BE83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bottom w:val="single" w:sz="12" w:space="0" w:color="auto"/>
            </w:tcBorders>
            <w:shd w:val="clear" w:color="auto" w:fill="auto"/>
          </w:tcPr>
          <w:p w14:paraId="39219848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R = 0.05</w:t>
            </w:r>
          </w:p>
          <w:p w14:paraId="58DBE330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(ns)</w:t>
            </w:r>
          </w:p>
        </w:tc>
        <w:tc>
          <w:tcPr>
            <w:tcW w:w="1439" w:type="dxa"/>
            <w:tcBorders>
              <w:bottom w:val="single" w:sz="12" w:space="0" w:color="auto"/>
            </w:tcBorders>
            <w:shd w:val="clear" w:color="auto" w:fill="auto"/>
          </w:tcPr>
          <w:p w14:paraId="06A78AE6" w14:textId="35BBD2F3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 xml:space="preserve">R = </w:t>
            </w:r>
            <w:r w:rsidR="00A078B9">
              <w:rPr>
                <w:rFonts w:ascii="Times New Roman" w:hAnsi="Times New Roman" w:cs="Times New Roman"/>
                <w:sz w:val="20"/>
                <w:szCs w:val="20"/>
              </w:rPr>
              <w:t>−</w:t>
            </w: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0.041</w:t>
            </w:r>
          </w:p>
          <w:p w14:paraId="64884097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(ns)</w:t>
            </w:r>
          </w:p>
        </w:tc>
        <w:tc>
          <w:tcPr>
            <w:tcW w:w="1439" w:type="dxa"/>
            <w:tcBorders>
              <w:bottom w:val="single" w:sz="12" w:space="0" w:color="auto"/>
            </w:tcBorders>
            <w:shd w:val="clear" w:color="auto" w:fill="auto"/>
          </w:tcPr>
          <w:p w14:paraId="5A22D30B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R = 0.029</w:t>
            </w:r>
          </w:p>
          <w:p w14:paraId="0507464F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(ns)</w:t>
            </w:r>
          </w:p>
        </w:tc>
        <w:tc>
          <w:tcPr>
            <w:tcW w:w="1439" w:type="dxa"/>
            <w:tcBorders>
              <w:bottom w:val="single" w:sz="12" w:space="0" w:color="auto"/>
            </w:tcBorders>
            <w:shd w:val="clear" w:color="auto" w:fill="auto"/>
          </w:tcPr>
          <w:p w14:paraId="0320FB1A" w14:textId="5E6C81B9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 xml:space="preserve">R = </w:t>
            </w:r>
            <w:r w:rsidR="00A078B9">
              <w:rPr>
                <w:rFonts w:ascii="Times New Roman" w:hAnsi="Times New Roman" w:cs="Times New Roman"/>
                <w:sz w:val="20"/>
                <w:szCs w:val="20"/>
              </w:rPr>
              <w:t>−</w:t>
            </w: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0.109</w:t>
            </w:r>
          </w:p>
          <w:p w14:paraId="234DC2FA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(ns)</w:t>
            </w:r>
          </w:p>
        </w:tc>
        <w:tc>
          <w:tcPr>
            <w:tcW w:w="1439" w:type="dxa"/>
            <w:tcBorders>
              <w:bottom w:val="single" w:sz="12" w:space="0" w:color="auto"/>
              <w:tl2br w:val="nil"/>
              <w:tr2bl w:val="nil"/>
            </w:tcBorders>
            <w:shd w:val="clear" w:color="auto" w:fill="auto"/>
          </w:tcPr>
          <w:p w14:paraId="793DC2F1" w14:textId="697FAEC8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 xml:space="preserve">R = </w:t>
            </w:r>
            <w:r w:rsidR="00A078B9">
              <w:rPr>
                <w:rFonts w:ascii="Times New Roman" w:hAnsi="Times New Roman" w:cs="Times New Roman"/>
                <w:sz w:val="20"/>
                <w:szCs w:val="20"/>
              </w:rPr>
              <w:t>−</w:t>
            </w: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  <w:p w14:paraId="516C8B64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(ns)</w:t>
            </w:r>
          </w:p>
        </w:tc>
        <w:tc>
          <w:tcPr>
            <w:tcW w:w="1439" w:type="dxa"/>
            <w:tcBorders>
              <w:bottom w:val="single" w:sz="12" w:space="0" w:color="auto"/>
              <w:tl2br w:val="nil"/>
              <w:tr2bl w:val="nil"/>
            </w:tcBorders>
            <w:shd w:val="clear" w:color="auto" w:fill="auto"/>
          </w:tcPr>
          <w:p w14:paraId="4C2C4E46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R = 0.23</w:t>
            </w:r>
          </w:p>
          <w:p w14:paraId="5AC3B031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(p=0.044)</w:t>
            </w:r>
          </w:p>
        </w:tc>
        <w:tc>
          <w:tcPr>
            <w:tcW w:w="1439" w:type="dxa"/>
            <w:tcBorders>
              <w:tl2br w:val="nil"/>
              <w:tr2bl w:val="nil"/>
            </w:tcBorders>
            <w:shd w:val="clear" w:color="auto" w:fill="auto"/>
          </w:tcPr>
          <w:p w14:paraId="204B1CB2" w14:textId="48E31888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 xml:space="preserve">R = </w:t>
            </w:r>
            <w:r w:rsidR="00A078B9">
              <w:rPr>
                <w:rFonts w:ascii="Times New Roman" w:hAnsi="Times New Roman" w:cs="Times New Roman"/>
                <w:sz w:val="20"/>
                <w:szCs w:val="20"/>
              </w:rPr>
              <w:t>−</w:t>
            </w: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  <w:p w14:paraId="7C98AAC8" w14:textId="13E4D5A0" w:rsidR="00881BAA" w:rsidRPr="00881BAA" w:rsidRDefault="00AA340F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81BAA" w:rsidRPr="00881BAA">
              <w:rPr>
                <w:rFonts w:ascii="Times New Roman" w:hAnsi="Times New Roman" w:cs="Times New Roman"/>
                <w:sz w:val="20"/>
                <w:szCs w:val="20"/>
              </w:rPr>
              <w:t>ns)</w:t>
            </w:r>
          </w:p>
        </w:tc>
        <w:tc>
          <w:tcPr>
            <w:tcW w:w="1439" w:type="dxa"/>
            <w:tcBorders>
              <w:tl2br w:val="nil"/>
              <w:tr2bl w:val="nil"/>
            </w:tcBorders>
          </w:tcPr>
          <w:p w14:paraId="07DCBDDC" w14:textId="632AB174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 xml:space="preserve">R = </w:t>
            </w:r>
            <w:r w:rsidR="00A078B9">
              <w:rPr>
                <w:rFonts w:ascii="Times New Roman" w:hAnsi="Times New Roman" w:cs="Times New Roman"/>
                <w:sz w:val="20"/>
                <w:szCs w:val="20"/>
              </w:rPr>
              <w:t>−</w:t>
            </w: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  <w:p w14:paraId="3A6C567F" w14:textId="6EED1E65" w:rsidR="00881BAA" w:rsidRPr="00881BAA" w:rsidRDefault="00AA340F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81BAA" w:rsidRPr="00881BAA">
              <w:rPr>
                <w:rFonts w:ascii="Times New Roman" w:hAnsi="Times New Roman" w:cs="Times New Roman"/>
                <w:sz w:val="20"/>
                <w:szCs w:val="20"/>
              </w:rPr>
              <w:t>ns)</w:t>
            </w:r>
          </w:p>
        </w:tc>
      </w:tr>
      <w:tr w:rsidR="00881BAA" w:rsidRPr="00881BAA" w14:paraId="519B3D5C" w14:textId="77777777" w:rsidTr="0010109A">
        <w:tc>
          <w:tcPr>
            <w:tcW w:w="1438" w:type="dxa"/>
            <w:tcBorders>
              <w:top w:val="single" w:sz="12" w:space="0" w:color="auto"/>
            </w:tcBorders>
            <w:shd w:val="clear" w:color="auto" w:fill="auto"/>
          </w:tcPr>
          <w:p w14:paraId="34FFB3E6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Change in MVPA vs.</w:t>
            </w:r>
          </w:p>
        </w:tc>
        <w:tc>
          <w:tcPr>
            <w:tcW w:w="2878" w:type="dxa"/>
            <w:gridSpan w:val="2"/>
            <w:shd w:val="clear" w:color="auto" w:fill="auto"/>
          </w:tcPr>
          <w:p w14:paraId="50A55745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Change in weight</w:t>
            </w:r>
          </w:p>
        </w:tc>
        <w:tc>
          <w:tcPr>
            <w:tcW w:w="2878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14:paraId="7211CE4D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Change in waist circumference</w:t>
            </w:r>
          </w:p>
        </w:tc>
        <w:tc>
          <w:tcPr>
            <w:tcW w:w="2878" w:type="dxa"/>
            <w:gridSpan w:val="2"/>
            <w:vMerge w:val="restart"/>
            <w:tcBorders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302450D1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8" w:type="dxa"/>
            <w:gridSpan w:val="2"/>
            <w:vMerge w:val="restart"/>
            <w:tcBorders>
              <w:top w:val="single" w:sz="12" w:space="0" w:color="auto"/>
              <w:tl2br w:val="single" w:sz="4" w:space="0" w:color="auto"/>
              <w:tr2bl w:val="single" w:sz="4" w:space="0" w:color="auto"/>
            </w:tcBorders>
          </w:tcPr>
          <w:p w14:paraId="7C3D2AAE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BAA" w:rsidRPr="00881BAA" w14:paraId="324F095C" w14:textId="77777777" w:rsidTr="0010109A">
        <w:tc>
          <w:tcPr>
            <w:tcW w:w="1438" w:type="dxa"/>
            <w:vMerge w:val="restart"/>
            <w:shd w:val="clear" w:color="auto" w:fill="auto"/>
          </w:tcPr>
          <w:p w14:paraId="4B8DDED8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Body composition parameters</w:t>
            </w:r>
          </w:p>
        </w:tc>
        <w:tc>
          <w:tcPr>
            <w:tcW w:w="1439" w:type="dxa"/>
            <w:shd w:val="clear" w:color="auto" w:fill="auto"/>
          </w:tcPr>
          <w:p w14:paraId="1CAAD7F1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612AF95D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+ 1-year</w:t>
            </w:r>
          </w:p>
        </w:tc>
        <w:tc>
          <w:tcPr>
            <w:tcW w:w="1439" w:type="dxa"/>
            <w:shd w:val="clear" w:color="auto" w:fill="auto"/>
          </w:tcPr>
          <w:p w14:paraId="48AD4332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39F7A9E9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+2-year</w:t>
            </w:r>
          </w:p>
        </w:tc>
        <w:tc>
          <w:tcPr>
            <w:tcW w:w="1439" w:type="dxa"/>
            <w:shd w:val="clear" w:color="auto" w:fill="auto"/>
          </w:tcPr>
          <w:p w14:paraId="6D3E13D4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018B9119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+ 1-year</w:t>
            </w:r>
          </w:p>
        </w:tc>
        <w:tc>
          <w:tcPr>
            <w:tcW w:w="1439" w:type="dxa"/>
            <w:shd w:val="clear" w:color="auto" w:fill="auto"/>
          </w:tcPr>
          <w:p w14:paraId="624A20E8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50DD404B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+2-year</w:t>
            </w:r>
          </w:p>
        </w:tc>
        <w:tc>
          <w:tcPr>
            <w:tcW w:w="2878" w:type="dxa"/>
            <w:gridSpan w:val="2"/>
            <w:vMerge/>
            <w:tcBorders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52F864A5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8" w:type="dxa"/>
            <w:gridSpan w:val="2"/>
            <w:vMerge/>
            <w:tcBorders>
              <w:tl2br w:val="single" w:sz="4" w:space="0" w:color="auto"/>
              <w:tr2bl w:val="single" w:sz="4" w:space="0" w:color="auto"/>
            </w:tcBorders>
          </w:tcPr>
          <w:p w14:paraId="1E3A0142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BAA" w:rsidRPr="00881BAA" w14:paraId="5706CDCE" w14:textId="77777777" w:rsidTr="0010109A">
        <w:tc>
          <w:tcPr>
            <w:tcW w:w="1438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1D26D3BC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bottom w:val="single" w:sz="12" w:space="0" w:color="auto"/>
            </w:tcBorders>
            <w:shd w:val="clear" w:color="auto" w:fill="auto"/>
          </w:tcPr>
          <w:p w14:paraId="75958772" w14:textId="4F4E6E24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 xml:space="preserve">R = </w:t>
            </w:r>
            <w:r w:rsidR="00A078B9">
              <w:rPr>
                <w:rFonts w:ascii="Times New Roman" w:hAnsi="Times New Roman" w:cs="Times New Roman"/>
                <w:sz w:val="20"/>
                <w:szCs w:val="20"/>
              </w:rPr>
              <w:t>−</w:t>
            </w: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  <w:p w14:paraId="047A0A71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(ns)</w:t>
            </w:r>
          </w:p>
        </w:tc>
        <w:tc>
          <w:tcPr>
            <w:tcW w:w="1439" w:type="dxa"/>
            <w:tcBorders>
              <w:bottom w:val="single" w:sz="12" w:space="0" w:color="auto"/>
            </w:tcBorders>
            <w:shd w:val="clear" w:color="auto" w:fill="auto"/>
          </w:tcPr>
          <w:p w14:paraId="58EF456D" w14:textId="1358B3C0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 xml:space="preserve">R = </w:t>
            </w:r>
            <w:r w:rsidR="00A078B9">
              <w:rPr>
                <w:rFonts w:ascii="Times New Roman" w:hAnsi="Times New Roman" w:cs="Times New Roman"/>
                <w:sz w:val="20"/>
                <w:szCs w:val="20"/>
              </w:rPr>
              <w:t>−</w:t>
            </w: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  <w:p w14:paraId="6E473F29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(ns)</w:t>
            </w:r>
          </w:p>
        </w:tc>
        <w:tc>
          <w:tcPr>
            <w:tcW w:w="1439" w:type="dxa"/>
            <w:tcBorders>
              <w:bottom w:val="single" w:sz="12" w:space="0" w:color="auto"/>
            </w:tcBorders>
            <w:shd w:val="clear" w:color="auto" w:fill="auto"/>
          </w:tcPr>
          <w:p w14:paraId="3E4EFC8F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R = 0.06</w:t>
            </w:r>
          </w:p>
          <w:p w14:paraId="773BCCBE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(ns)</w:t>
            </w:r>
          </w:p>
        </w:tc>
        <w:tc>
          <w:tcPr>
            <w:tcW w:w="1439" w:type="dxa"/>
            <w:tcBorders>
              <w:bottom w:val="single" w:sz="12" w:space="0" w:color="auto"/>
            </w:tcBorders>
            <w:shd w:val="clear" w:color="auto" w:fill="auto"/>
          </w:tcPr>
          <w:p w14:paraId="4C2A8A36" w14:textId="6E441E9C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 xml:space="preserve">R = </w:t>
            </w:r>
            <w:r w:rsidR="00A078B9">
              <w:rPr>
                <w:rFonts w:ascii="Times New Roman" w:hAnsi="Times New Roman" w:cs="Times New Roman"/>
                <w:sz w:val="20"/>
                <w:szCs w:val="20"/>
              </w:rPr>
              <w:t>−</w:t>
            </w: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  <w:p w14:paraId="170516C2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(ns)</w:t>
            </w:r>
          </w:p>
        </w:tc>
        <w:tc>
          <w:tcPr>
            <w:tcW w:w="2878" w:type="dxa"/>
            <w:gridSpan w:val="2"/>
            <w:vMerge/>
            <w:tcBorders>
              <w:bottom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3946BB7C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8" w:type="dxa"/>
            <w:gridSpan w:val="2"/>
            <w:vMerge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699367ED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BAA" w:rsidRPr="00881BAA" w14:paraId="13B471BA" w14:textId="77777777" w:rsidTr="0010109A">
        <w:tc>
          <w:tcPr>
            <w:tcW w:w="1438" w:type="dxa"/>
            <w:tcBorders>
              <w:top w:val="single" w:sz="12" w:space="0" w:color="auto"/>
            </w:tcBorders>
            <w:shd w:val="clear" w:color="auto" w:fill="auto"/>
          </w:tcPr>
          <w:p w14:paraId="3B124874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Change in MVPA vs.</w:t>
            </w:r>
          </w:p>
        </w:tc>
        <w:tc>
          <w:tcPr>
            <w:tcW w:w="2878" w:type="dxa"/>
            <w:gridSpan w:val="2"/>
            <w:shd w:val="clear" w:color="auto" w:fill="auto"/>
          </w:tcPr>
          <w:p w14:paraId="47726434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Change in resting HR</w:t>
            </w:r>
          </w:p>
        </w:tc>
        <w:tc>
          <w:tcPr>
            <w:tcW w:w="2878" w:type="dxa"/>
            <w:gridSpan w:val="2"/>
            <w:shd w:val="clear" w:color="auto" w:fill="auto"/>
          </w:tcPr>
          <w:p w14:paraId="0A7B0579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Change in mean arterial pressure</w:t>
            </w:r>
          </w:p>
        </w:tc>
        <w:tc>
          <w:tcPr>
            <w:tcW w:w="2878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14:paraId="2C8D999F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Change in baPVW</w:t>
            </w:r>
          </w:p>
        </w:tc>
        <w:tc>
          <w:tcPr>
            <w:tcW w:w="2878" w:type="dxa"/>
            <w:gridSpan w:val="2"/>
            <w:vMerge w:val="restart"/>
            <w:tcBorders>
              <w:top w:val="single" w:sz="12" w:space="0" w:color="auto"/>
              <w:tl2br w:val="single" w:sz="4" w:space="0" w:color="auto"/>
              <w:tr2bl w:val="single" w:sz="4" w:space="0" w:color="auto"/>
            </w:tcBorders>
          </w:tcPr>
          <w:p w14:paraId="4F4B381C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BAA" w:rsidRPr="00881BAA" w14:paraId="0C7C6009" w14:textId="77777777" w:rsidTr="0010109A">
        <w:tc>
          <w:tcPr>
            <w:tcW w:w="1438" w:type="dxa"/>
            <w:vMerge w:val="restart"/>
            <w:shd w:val="clear" w:color="auto" w:fill="auto"/>
          </w:tcPr>
          <w:p w14:paraId="0C7BA119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Vascular parameters</w:t>
            </w:r>
          </w:p>
        </w:tc>
        <w:tc>
          <w:tcPr>
            <w:tcW w:w="1439" w:type="dxa"/>
            <w:shd w:val="clear" w:color="auto" w:fill="auto"/>
          </w:tcPr>
          <w:p w14:paraId="7DDFFC38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14DBDCC5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+ 1-year</w:t>
            </w:r>
          </w:p>
        </w:tc>
        <w:tc>
          <w:tcPr>
            <w:tcW w:w="1439" w:type="dxa"/>
            <w:shd w:val="clear" w:color="auto" w:fill="auto"/>
          </w:tcPr>
          <w:p w14:paraId="51B11EBF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12F57389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+2-year</w:t>
            </w:r>
          </w:p>
        </w:tc>
        <w:tc>
          <w:tcPr>
            <w:tcW w:w="1439" w:type="dxa"/>
            <w:shd w:val="clear" w:color="auto" w:fill="auto"/>
          </w:tcPr>
          <w:p w14:paraId="6D5E02B1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4A9A3BC8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+ 1-year</w:t>
            </w:r>
          </w:p>
        </w:tc>
        <w:tc>
          <w:tcPr>
            <w:tcW w:w="1439" w:type="dxa"/>
            <w:shd w:val="clear" w:color="auto" w:fill="auto"/>
          </w:tcPr>
          <w:p w14:paraId="19F44EAF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4C7B600C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+2-year</w:t>
            </w:r>
          </w:p>
        </w:tc>
        <w:tc>
          <w:tcPr>
            <w:tcW w:w="1439" w:type="dxa"/>
            <w:shd w:val="clear" w:color="auto" w:fill="auto"/>
          </w:tcPr>
          <w:p w14:paraId="34208959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5F41DEC4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+ 1-year</w:t>
            </w:r>
          </w:p>
        </w:tc>
        <w:tc>
          <w:tcPr>
            <w:tcW w:w="1439" w:type="dxa"/>
            <w:shd w:val="clear" w:color="auto" w:fill="auto"/>
          </w:tcPr>
          <w:p w14:paraId="7D0BF152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4E35DB1D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+2-year</w:t>
            </w:r>
          </w:p>
        </w:tc>
        <w:tc>
          <w:tcPr>
            <w:tcW w:w="2878" w:type="dxa"/>
            <w:gridSpan w:val="2"/>
            <w:vMerge/>
            <w:tcBorders>
              <w:tl2br w:val="single" w:sz="4" w:space="0" w:color="auto"/>
              <w:tr2bl w:val="single" w:sz="4" w:space="0" w:color="auto"/>
            </w:tcBorders>
          </w:tcPr>
          <w:p w14:paraId="0323B8FC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BAA" w:rsidRPr="00881BAA" w14:paraId="08BC2A48" w14:textId="77777777" w:rsidTr="0010109A">
        <w:tc>
          <w:tcPr>
            <w:tcW w:w="1438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1A7CED80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bottom w:val="single" w:sz="12" w:space="0" w:color="auto"/>
            </w:tcBorders>
            <w:shd w:val="clear" w:color="auto" w:fill="auto"/>
          </w:tcPr>
          <w:p w14:paraId="45B002C2" w14:textId="13E72D24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 xml:space="preserve">R = </w:t>
            </w:r>
            <w:r w:rsidR="00A078B9">
              <w:rPr>
                <w:rFonts w:ascii="Times New Roman" w:hAnsi="Times New Roman" w:cs="Times New Roman"/>
                <w:sz w:val="20"/>
                <w:szCs w:val="20"/>
              </w:rPr>
              <w:t>−</w:t>
            </w: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  <w:p w14:paraId="0C66B112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(ns)</w:t>
            </w:r>
          </w:p>
        </w:tc>
        <w:tc>
          <w:tcPr>
            <w:tcW w:w="1439" w:type="dxa"/>
            <w:tcBorders>
              <w:bottom w:val="single" w:sz="12" w:space="0" w:color="auto"/>
            </w:tcBorders>
            <w:shd w:val="clear" w:color="auto" w:fill="auto"/>
          </w:tcPr>
          <w:p w14:paraId="5AA3C093" w14:textId="7BF0BE23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 xml:space="preserve">R = </w:t>
            </w:r>
            <w:r w:rsidR="00A078B9">
              <w:rPr>
                <w:rFonts w:ascii="Times New Roman" w:hAnsi="Times New Roman" w:cs="Times New Roman"/>
                <w:sz w:val="20"/>
                <w:szCs w:val="20"/>
              </w:rPr>
              <w:t>−</w:t>
            </w: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  <w:p w14:paraId="571FBAB7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(ns)</w:t>
            </w:r>
          </w:p>
        </w:tc>
        <w:tc>
          <w:tcPr>
            <w:tcW w:w="1439" w:type="dxa"/>
            <w:tcBorders>
              <w:bottom w:val="single" w:sz="12" w:space="0" w:color="auto"/>
            </w:tcBorders>
            <w:shd w:val="clear" w:color="auto" w:fill="auto"/>
          </w:tcPr>
          <w:p w14:paraId="774AED39" w14:textId="029F2306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 xml:space="preserve">R = </w:t>
            </w:r>
            <w:r w:rsidR="00A078B9">
              <w:rPr>
                <w:rFonts w:ascii="Times New Roman" w:hAnsi="Times New Roman" w:cs="Times New Roman"/>
                <w:sz w:val="20"/>
                <w:szCs w:val="20"/>
              </w:rPr>
              <w:t>−</w:t>
            </w: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  <w:p w14:paraId="107B8F62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(ns)</w:t>
            </w:r>
          </w:p>
        </w:tc>
        <w:tc>
          <w:tcPr>
            <w:tcW w:w="1439" w:type="dxa"/>
            <w:tcBorders>
              <w:bottom w:val="single" w:sz="12" w:space="0" w:color="auto"/>
            </w:tcBorders>
            <w:shd w:val="clear" w:color="auto" w:fill="auto"/>
          </w:tcPr>
          <w:p w14:paraId="6F3856D3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R = 0.01</w:t>
            </w:r>
          </w:p>
          <w:p w14:paraId="5F67CDA5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(ns)</w:t>
            </w:r>
          </w:p>
        </w:tc>
        <w:tc>
          <w:tcPr>
            <w:tcW w:w="1439" w:type="dxa"/>
            <w:tcBorders>
              <w:bottom w:val="single" w:sz="12" w:space="0" w:color="auto"/>
            </w:tcBorders>
            <w:shd w:val="clear" w:color="auto" w:fill="auto"/>
          </w:tcPr>
          <w:p w14:paraId="2C49097C" w14:textId="5BD7135D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 xml:space="preserve">R = </w:t>
            </w:r>
            <w:r w:rsidR="00A078B9">
              <w:rPr>
                <w:rFonts w:ascii="Times New Roman" w:hAnsi="Times New Roman" w:cs="Times New Roman"/>
                <w:sz w:val="20"/>
                <w:szCs w:val="20"/>
              </w:rPr>
              <w:t>−</w:t>
            </w: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  <w:p w14:paraId="08FDAC06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(ns)</w:t>
            </w:r>
          </w:p>
        </w:tc>
        <w:tc>
          <w:tcPr>
            <w:tcW w:w="1439" w:type="dxa"/>
            <w:tcBorders>
              <w:bottom w:val="single" w:sz="12" w:space="0" w:color="auto"/>
            </w:tcBorders>
            <w:shd w:val="clear" w:color="auto" w:fill="auto"/>
          </w:tcPr>
          <w:p w14:paraId="06BD0AB8" w14:textId="2B3AC3DA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 xml:space="preserve">R = </w:t>
            </w:r>
            <w:r w:rsidR="00A078B9">
              <w:rPr>
                <w:rFonts w:ascii="Times New Roman" w:hAnsi="Times New Roman" w:cs="Times New Roman"/>
                <w:sz w:val="20"/>
                <w:szCs w:val="20"/>
              </w:rPr>
              <w:t>−</w:t>
            </w: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  <w:p w14:paraId="1D50F296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(ns)</w:t>
            </w:r>
          </w:p>
        </w:tc>
        <w:tc>
          <w:tcPr>
            <w:tcW w:w="2878" w:type="dxa"/>
            <w:gridSpan w:val="2"/>
            <w:vMerge/>
            <w:tcBorders>
              <w:bottom w:val="single" w:sz="12" w:space="0" w:color="auto"/>
              <w:tl2br w:val="single" w:sz="4" w:space="0" w:color="auto"/>
              <w:tr2bl w:val="single" w:sz="4" w:space="0" w:color="auto"/>
            </w:tcBorders>
          </w:tcPr>
          <w:p w14:paraId="457731BE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BAA" w:rsidRPr="00881BAA" w14:paraId="5E2B0A4C" w14:textId="77777777" w:rsidTr="0010109A">
        <w:tc>
          <w:tcPr>
            <w:tcW w:w="1438" w:type="dxa"/>
            <w:tcBorders>
              <w:top w:val="single" w:sz="12" w:space="0" w:color="auto"/>
            </w:tcBorders>
            <w:shd w:val="clear" w:color="auto" w:fill="auto"/>
          </w:tcPr>
          <w:p w14:paraId="35AEC0FB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Change in MVPA vs.</w:t>
            </w:r>
          </w:p>
        </w:tc>
        <w:tc>
          <w:tcPr>
            <w:tcW w:w="2878" w:type="dxa"/>
            <w:gridSpan w:val="2"/>
            <w:shd w:val="clear" w:color="auto" w:fill="auto"/>
          </w:tcPr>
          <w:p w14:paraId="0C2E3933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Change in blood glucose</w:t>
            </w:r>
          </w:p>
        </w:tc>
        <w:tc>
          <w:tcPr>
            <w:tcW w:w="2878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14:paraId="64550F19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Change in HbA1c</w:t>
            </w:r>
          </w:p>
        </w:tc>
        <w:tc>
          <w:tcPr>
            <w:tcW w:w="2878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14:paraId="2E312D6A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Change in TG</w:t>
            </w:r>
          </w:p>
        </w:tc>
        <w:tc>
          <w:tcPr>
            <w:tcW w:w="2878" w:type="dxa"/>
            <w:gridSpan w:val="2"/>
            <w:tcBorders>
              <w:top w:val="single" w:sz="12" w:space="0" w:color="auto"/>
            </w:tcBorders>
          </w:tcPr>
          <w:p w14:paraId="2FA81499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Change in total cholesterol</w:t>
            </w:r>
          </w:p>
        </w:tc>
      </w:tr>
      <w:tr w:rsidR="00881BAA" w:rsidRPr="00881BAA" w14:paraId="46F13D67" w14:textId="77777777" w:rsidTr="0010109A">
        <w:tc>
          <w:tcPr>
            <w:tcW w:w="1438" w:type="dxa"/>
            <w:vMerge w:val="restart"/>
            <w:shd w:val="clear" w:color="auto" w:fill="auto"/>
          </w:tcPr>
          <w:p w14:paraId="3436E1D9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Blood markers</w:t>
            </w:r>
          </w:p>
        </w:tc>
        <w:tc>
          <w:tcPr>
            <w:tcW w:w="1439" w:type="dxa"/>
            <w:shd w:val="clear" w:color="auto" w:fill="auto"/>
          </w:tcPr>
          <w:p w14:paraId="38830C50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167C21AC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+ 1-year</w:t>
            </w:r>
          </w:p>
        </w:tc>
        <w:tc>
          <w:tcPr>
            <w:tcW w:w="1439" w:type="dxa"/>
            <w:shd w:val="clear" w:color="auto" w:fill="auto"/>
          </w:tcPr>
          <w:p w14:paraId="33247756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1902EC65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+2-year</w:t>
            </w:r>
          </w:p>
        </w:tc>
        <w:tc>
          <w:tcPr>
            <w:tcW w:w="1439" w:type="dxa"/>
            <w:shd w:val="clear" w:color="auto" w:fill="auto"/>
          </w:tcPr>
          <w:p w14:paraId="2033A37A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78134F6A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+ 1-year</w:t>
            </w:r>
          </w:p>
        </w:tc>
        <w:tc>
          <w:tcPr>
            <w:tcW w:w="1439" w:type="dxa"/>
            <w:shd w:val="clear" w:color="auto" w:fill="auto"/>
          </w:tcPr>
          <w:p w14:paraId="17DA9C62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38AE0D48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+2-year</w:t>
            </w:r>
          </w:p>
        </w:tc>
        <w:tc>
          <w:tcPr>
            <w:tcW w:w="1439" w:type="dxa"/>
            <w:shd w:val="clear" w:color="auto" w:fill="auto"/>
          </w:tcPr>
          <w:p w14:paraId="0840470C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24F23A34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+ 1-year</w:t>
            </w:r>
          </w:p>
        </w:tc>
        <w:tc>
          <w:tcPr>
            <w:tcW w:w="1439" w:type="dxa"/>
            <w:shd w:val="clear" w:color="auto" w:fill="auto"/>
          </w:tcPr>
          <w:p w14:paraId="7BAFA21F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1BEB792C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+2-year</w:t>
            </w:r>
          </w:p>
        </w:tc>
        <w:tc>
          <w:tcPr>
            <w:tcW w:w="1439" w:type="dxa"/>
          </w:tcPr>
          <w:p w14:paraId="339454D7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5C879D5C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+ 1-year</w:t>
            </w:r>
          </w:p>
        </w:tc>
        <w:tc>
          <w:tcPr>
            <w:tcW w:w="1439" w:type="dxa"/>
          </w:tcPr>
          <w:p w14:paraId="59ACC9C8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54C5E50E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+2-year</w:t>
            </w:r>
          </w:p>
        </w:tc>
      </w:tr>
      <w:tr w:rsidR="00881BAA" w:rsidRPr="00881BAA" w14:paraId="4F2096A0" w14:textId="77777777" w:rsidTr="0010109A">
        <w:tc>
          <w:tcPr>
            <w:tcW w:w="1438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2FCD60CD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bottom w:val="single" w:sz="12" w:space="0" w:color="auto"/>
            </w:tcBorders>
            <w:shd w:val="clear" w:color="auto" w:fill="auto"/>
          </w:tcPr>
          <w:p w14:paraId="75075DC7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R = 0.06</w:t>
            </w:r>
          </w:p>
          <w:p w14:paraId="36A59C2C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(ns)</w:t>
            </w:r>
          </w:p>
        </w:tc>
        <w:tc>
          <w:tcPr>
            <w:tcW w:w="1439" w:type="dxa"/>
            <w:tcBorders>
              <w:bottom w:val="single" w:sz="12" w:space="0" w:color="auto"/>
            </w:tcBorders>
            <w:shd w:val="clear" w:color="auto" w:fill="auto"/>
          </w:tcPr>
          <w:p w14:paraId="0A6507A6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R = 0.11</w:t>
            </w:r>
          </w:p>
          <w:p w14:paraId="60E31F9A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vertAlign w:val="superscript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(ns)</w:t>
            </w:r>
          </w:p>
        </w:tc>
        <w:tc>
          <w:tcPr>
            <w:tcW w:w="1439" w:type="dxa"/>
            <w:tcBorders>
              <w:bottom w:val="single" w:sz="12" w:space="0" w:color="auto"/>
            </w:tcBorders>
            <w:shd w:val="clear" w:color="auto" w:fill="auto"/>
          </w:tcPr>
          <w:p w14:paraId="04404EE9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R = 0.03</w:t>
            </w:r>
          </w:p>
          <w:p w14:paraId="321FECB4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(ns)</w:t>
            </w:r>
          </w:p>
        </w:tc>
        <w:tc>
          <w:tcPr>
            <w:tcW w:w="1439" w:type="dxa"/>
            <w:tcBorders>
              <w:bottom w:val="single" w:sz="12" w:space="0" w:color="auto"/>
            </w:tcBorders>
            <w:shd w:val="clear" w:color="auto" w:fill="auto"/>
          </w:tcPr>
          <w:p w14:paraId="0DC887BD" w14:textId="4DF8680D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 xml:space="preserve">R = </w:t>
            </w:r>
            <w:r w:rsidR="00A078B9">
              <w:rPr>
                <w:rFonts w:ascii="Times New Roman" w:hAnsi="Times New Roman" w:cs="Times New Roman"/>
                <w:sz w:val="20"/>
                <w:szCs w:val="20"/>
              </w:rPr>
              <w:t>−</w:t>
            </w: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  <w:p w14:paraId="610C2909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(ns)</w:t>
            </w:r>
          </w:p>
        </w:tc>
        <w:tc>
          <w:tcPr>
            <w:tcW w:w="1439" w:type="dxa"/>
            <w:tcBorders>
              <w:bottom w:val="single" w:sz="12" w:space="0" w:color="auto"/>
            </w:tcBorders>
            <w:shd w:val="clear" w:color="auto" w:fill="auto"/>
          </w:tcPr>
          <w:p w14:paraId="2A8F3422" w14:textId="578C7924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 xml:space="preserve">R = </w:t>
            </w:r>
            <w:r w:rsidR="00A078B9">
              <w:rPr>
                <w:rFonts w:ascii="Times New Roman" w:hAnsi="Times New Roman" w:cs="Times New Roman"/>
                <w:sz w:val="20"/>
                <w:szCs w:val="20"/>
              </w:rPr>
              <w:t>−</w:t>
            </w: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  <w:p w14:paraId="52CFCB7A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(ns)</w:t>
            </w:r>
          </w:p>
        </w:tc>
        <w:tc>
          <w:tcPr>
            <w:tcW w:w="1439" w:type="dxa"/>
            <w:tcBorders>
              <w:bottom w:val="single" w:sz="12" w:space="0" w:color="auto"/>
            </w:tcBorders>
            <w:shd w:val="clear" w:color="auto" w:fill="auto"/>
          </w:tcPr>
          <w:p w14:paraId="08BDD9F8" w14:textId="24D05213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R =</w:t>
            </w:r>
            <w:r w:rsidR="00A078B9">
              <w:rPr>
                <w:rFonts w:ascii="Times New Roman" w:hAnsi="Times New Roman" w:cs="Times New Roman"/>
                <w:sz w:val="20"/>
                <w:szCs w:val="20"/>
              </w:rPr>
              <w:t xml:space="preserve"> −</w:t>
            </w: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  <w:p w14:paraId="765FBFFB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(ns)</w:t>
            </w:r>
          </w:p>
        </w:tc>
        <w:tc>
          <w:tcPr>
            <w:tcW w:w="1439" w:type="dxa"/>
            <w:tcBorders>
              <w:bottom w:val="single" w:sz="12" w:space="0" w:color="auto"/>
            </w:tcBorders>
          </w:tcPr>
          <w:p w14:paraId="5254E590" w14:textId="233E7AE9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 xml:space="preserve">R = </w:t>
            </w:r>
            <w:r w:rsidR="00A078B9">
              <w:rPr>
                <w:rFonts w:ascii="Times New Roman" w:hAnsi="Times New Roman" w:cs="Times New Roman"/>
                <w:sz w:val="20"/>
                <w:szCs w:val="20"/>
              </w:rPr>
              <w:t>−</w:t>
            </w: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  <w:p w14:paraId="1DF79603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(ns)</w:t>
            </w:r>
          </w:p>
        </w:tc>
        <w:tc>
          <w:tcPr>
            <w:tcW w:w="1439" w:type="dxa"/>
            <w:tcBorders>
              <w:bottom w:val="single" w:sz="12" w:space="0" w:color="auto"/>
            </w:tcBorders>
          </w:tcPr>
          <w:p w14:paraId="3E42BC9E" w14:textId="726ACB19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 xml:space="preserve">R = </w:t>
            </w:r>
            <w:r w:rsidR="00A078B9">
              <w:rPr>
                <w:rFonts w:ascii="Times New Roman" w:hAnsi="Times New Roman" w:cs="Times New Roman"/>
                <w:sz w:val="20"/>
                <w:szCs w:val="20"/>
              </w:rPr>
              <w:t>−</w:t>
            </w: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  <w:p w14:paraId="214AD6D6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(ns)</w:t>
            </w: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438"/>
        <w:gridCol w:w="1439"/>
        <w:gridCol w:w="1439"/>
        <w:gridCol w:w="1439"/>
        <w:gridCol w:w="1439"/>
        <w:gridCol w:w="1439"/>
        <w:gridCol w:w="1439"/>
        <w:gridCol w:w="2878"/>
      </w:tblGrid>
      <w:tr w:rsidR="00881BAA" w:rsidRPr="00881BAA" w14:paraId="40D5E5D3" w14:textId="77777777" w:rsidTr="0010109A">
        <w:tc>
          <w:tcPr>
            <w:tcW w:w="1438" w:type="dxa"/>
            <w:tcBorders>
              <w:top w:val="single" w:sz="12" w:space="0" w:color="auto"/>
            </w:tcBorders>
            <w:shd w:val="clear" w:color="auto" w:fill="auto"/>
          </w:tcPr>
          <w:p w14:paraId="40AA5FFA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Change in MVPA vs.</w:t>
            </w:r>
          </w:p>
        </w:tc>
        <w:tc>
          <w:tcPr>
            <w:tcW w:w="2878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14:paraId="6330D348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Change in trunk flexibility</w:t>
            </w:r>
          </w:p>
        </w:tc>
        <w:tc>
          <w:tcPr>
            <w:tcW w:w="2878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14:paraId="63266CB6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Change in vertical jump height</w:t>
            </w:r>
          </w:p>
        </w:tc>
        <w:tc>
          <w:tcPr>
            <w:tcW w:w="2878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14:paraId="5425701C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Change in VO</w:t>
            </w:r>
            <w:r w:rsidRPr="00881BA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PEAK</w:t>
            </w:r>
          </w:p>
        </w:tc>
        <w:tc>
          <w:tcPr>
            <w:tcW w:w="2878" w:type="dxa"/>
            <w:vMerge w:val="restart"/>
            <w:tcBorders>
              <w:top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3B4AD4E3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BAA" w:rsidRPr="00881BAA" w14:paraId="5D6B54DE" w14:textId="77777777" w:rsidTr="0010109A">
        <w:tc>
          <w:tcPr>
            <w:tcW w:w="1438" w:type="dxa"/>
            <w:vMerge w:val="restart"/>
            <w:shd w:val="clear" w:color="auto" w:fill="auto"/>
          </w:tcPr>
          <w:p w14:paraId="68DEB5ED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Physical fitness parameters</w:t>
            </w:r>
          </w:p>
        </w:tc>
        <w:tc>
          <w:tcPr>
            <w:tcW w:w="1439" w:type="dxa"/>
            <w:shd w:val="clear" w:color="auto" w:fill="auto"/>
          </w:tcPr>
          <w:p w14:paraId="42F642FA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7C7450A6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+ 1-year</w:t>
            </w:r>
          </w:p>
        </w:tc>
        <w:tc>
          <w:tcPr>
            <w:tcW w:w="1439" w:type="dxa"/>
            <w:shd w:val="clear" w:color="auto" w:fill="auto"/>
          </w:tcPr>
          <w:p w14:paraId="1546FCB9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5F5A07F7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+2-year</w:t>
            </w:r>
          </w:p>
        </w:tc>
        <w:tc>
          <w:tcPr>
            <w:tcW w:w="1439" w:type="dxa"/>
            <w:shd w:val="clear" w:color="auto" w:fill="auto"/>
          </w:tcPr>
          <w:p w14:paraId="1BF088DE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75BF62F8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+ 1-year</w:t>
            </w:r>
          </w:p>
        </w:tc>
        <w:tc>
          <w:tcPr>
            <w:tcW w:w="1439" w:type="dxa"/>
            <w:shd w:val="clear" w:color="auto" w:fill="auto"/>
          </w:tcPr>
          <w:p w14:paraId="4A44B862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49625DD8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+2-year</w:t>
            </w:r>
          </w:p>
        </w:tc>
        <w:tc>
          <w:tcPr>
            <w:tcW w:w="1439" w:type="dxa"/>
            <w:shd w:val="clear" w:color="auto" w:fill="auto"/>
          </w:tcPr>
          <w:p w14:paraId="5DB703EE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511EA0D8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+ 1-year</w:t>
            </w:r>
          </w:p>
        </w:tc>
        <w:tc>
          <w:tcPr>
            <w:tcW w:w="1439" w:type="dxa"/>
            <w:shd w:val="clear" w:color="auto" w:fill="auto"/>
          </w:tcPr>
          <w:p w14:paraId="1F0D6114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  <w:p w14:paraId="5F51F13D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+2-year</w:t>
            </w:r>
          </w:p>
        </w:tc>
        <w:tc>
          <w:tcPr>
            <w:tcW w:w="2878" w:type="dxa"/>
            <w:vMerge/>
            <w:tcBorders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65A09B1B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1BAA" w:rsidRPr="00881BAA" w14:paraId="741224E3" w14:textId="77777777" w:rsidTr="0010109A">
        <w:tc>
          <w:tcPr>
            <w:tcW w:w="1438" w:type="dxa"/>
            <w:vMerge/>
            <w:shd w:val="clear" w:color="auto" w:fill="auto"/>
          </w:tcPr>
          <w:p w14:paraId="79A39E5D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14:paraId="14FF4E33" w14:textId="665E0968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R =</w:t>
            </w:r>
            <w:r w:rsidR="00A078B9">
              <w:rPr>
                <w:rFonts w:ascii="Times New Roman" w:hAnsi="Times New Roman" w:cs="Times New Roman"/>
                <w:sz w:val="20"/>
                <w:szCs w:val="20"/>
              </w:rPr>
              <w:t xml:space="preserve"> −</w:t>
            </w: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  <w:p w14:paraId="2167AA1C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(ns)</w:t>
            </w:r>
          </w:p>
        </w:tc>
        <w:tc>
          <w:tcPr>
            <w:tcW w:w="1439" w:type="dxa"/>
            <w:shd w:val="clear" w:color="auto" w:fill="auto"/>
          </w:tcPr>
          <w:p w14:paraId="20F5B4C3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R = 0.19</w:t>
            </w:r>
          </w:p>
          <w:p w14:paraId="0D246659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 xml:space="preserve">(ns) </w:t>
            </w:r>
            <w:r w:rsidRPr="00881BA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14:paraId="48771F13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R = 0.09</w:t>
            </w:r>
          </w:p>
          <w:p w14:paraId="1CF00554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(ns)</w:t>
            </w:r>
          </w:p>
        </w:tc>
        <w:tc>
          <w:tcPr>
            <w:tcW w:w="1439" w:type="dxa"/>
            <w:shd w:val="clear" w:color="auto" w:fill="auto"/>
          </w:tcPr>
          <w:p w14:paraId="3F0930CC" w14:textId="32F6B9D8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 xml:space="preserve">R = </w:t>
            </w:r>
            <w:r w:rsidR="00A078B9">
              <w:rPr>
                <w:rFonts w:ascii="Times New Roman" w:hAnsi="Times New Roman" w:cs="Times New Roman"/>
                <w:sz w:val="20"/>
                <w:szCs w:val="20"/>
              </w:rPr>
              <w:t>−</w:t>
            </w: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  <w:p w14:paraId="5EA1CE4F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(ns)</w:t>
            </w:r>
          </w:p>
        </w:tc>
        <w:tc>
          <w:tcPr>
            <w:tcW w:w="1439" w:type="dxa"/>
            <w:shd w:val="clear" w:color="auto" w:fill="auto"/>
          </w:tcPr>
          <w:p w14:paraId="0074A27E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R = 0.07</w:t>
            </w:r>
          </w:p>
          <w:p w14:paraId="158A5D92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(ns)</w:t>
            </w:r>
          </w:p>
        </w:tc>
        <w:tc>
          <w:tcPr>
            <w:tcW w:w="1439" w:type="dxa"/>
            <w:shd w:val="clear" w:color="auto" w:fill="auto"/>
          </w:tcPr>
          <w:p w14:paraId="78345A71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1BAA">
              <w:rPr>
                <w:rFonts w:ascii="Times New Roman" w:hAnsi="Times New Roman" w:cs="Times New Roman"/>
                <w:sz w:val="20"/>
                <w:szCs w:val="20"/>
              </w:rPr>
              <w:t>R = 0.22</w:t>
            </w:r>
          </w:p>
          <w:p w14:paraId="0B7E936F" w14:textId="0C8592C7" w:rsidR="00881BAA" w:rsidRPr="00881BAA" w:rsidRDefault="002356B1" w:rsidP="005D73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2356B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D732A" w:rsidRPr="00D1211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</w:t>
            </w:r>
            <w:r w:rsidR="00881BAA" w:rsidRPr="002356B1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881BAA" w:rsidRPr="002356B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878" w:type="dxa"/>
            <w:vMerge/>
            <w:tcBorders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11EAB443" w14:textId="77777777" w:rsidR="00881BAA" w:rsidRPr="00881BAA" w:rsidRDefault="00881BAA" w:rsidP="00881B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D0352C7" w14:textId="1B2E3401" w:rsidR="00C9794A" w:rsidRDefault="00C9794A">
      <w:pPr>
        <w:rPr>
          <w:rFonts w:ascii="Times New Roman" w:hAnsi="Times New Roman" w:cs="Times New Roman"/>
          <w:sz w:val="24"/>
          <w:szCs w:val="24"/>
        </w:rPr>
      </w:pPr>
    </w:p>
    <w:p w14:paraId="568DDA63" w14:textId="3877095C" w:rsidR="00A078B9" w:rsidRDefault="00A078B9" w:rsidP="00A078B9">
      <w:pPr>
        <w:rPr>
          <w:rFonts w:ascii="Times New Roman" w:hAnsi="Times New Roman" w:cs="Times New Roman"/>
          <w:sz w:val="24"/>
          <w:szCs w:val="24"/>
        </w:rPr>
      </w:pPr>
      <w:r w:rsidRPr="00A078B9">
        <w:rPr>
          <w:rFonts w:ascii="Times New Roman" w:hAnsi="Times New Roman" w:cs="Times New Roman"/>
          <w:sz w:val="24"/>
          <w:szCs w:val="24"/>
        </w:rPr>
        <w:t xml:space="preserve">HbA1c: Glycosylated hemoglobin; HR: heart-rate; MVPA: moderate-to-vigorous physical activity; ns: non-significant; R: correlation coefficient; TG: Triglycerides; VO2PEAK: maximal oxygen consumption; “+ 1-year”: end of the intervention; “+ 2-year”: 1 year after the end of intervention. </w:t>
      </w:r>
      <w:r w:rsidRPr="00A078B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078B9">
        <w:rPr>
          <w:rFonts w:ascii="Times New Roman" w:hAnsi="Times New Roman" w:cs="Times New Roman"/>
          <w:sz w:val="24"/>
          <w:szCs w:val="24"/>
        </w:rPr>
        <w:t>: trend (p = 0.069).</w:t>
      </w:r>
    </w:p>
    <w:sectPr w:rsidR="00A078B9" w:rsidSect="00903B67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2C76E9" w14:textId="77777777" w:rsidR="00F45659" w:rsidRDefault="00F45659" w:rsidP="005E7771">
      <w:pPr>
        <w:spacing w:after="0" w:line="240" w:lineRule="auto"/>
      </w:pPr>
      <w:r>
        <w:separator/>
      </w:r>
    </w:p>
  </w:endnote>
  <w:endnote w:type="continuationSeparator" w:id="0">
    <w:p w14:paraId="76AD9061" w14:textId="77777777" w:rsidR="00F45659" w:rsidRDefault="00F45659" w:rsidP="005E7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607D7D" w14:textId="77777777" w:rsidR="00F45659" w:rsidRDefault="00F45659" w:rsidP="005E7771">
      <w:pPr>
        <w:spacing w:after="0" w:line="240" w:lineRule="auto"/>
      </w:pPr>
      <w:r>
        <w:separator/>
      </w:r>
    </w:p>
  </w:footnote>
  <w:footnote w:type="continuationSeparator" w:id="0">
    <w:p w14:paraId="62F22C55" w14:textId="77777777" w:rsidR="00F45659" w:rsidRDefault="00F45659" w:rsidP="005E77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bordersDoNotSurroundHeader/>
  <w:bordersDoNotSurroundFooter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BAA"/>
    <w:rsid w:val="0010109A"/>
    <w:rsid w:val="002356B1"/>
    <w:rsid w:val="003222B9"/>
    <w:rsid w:val="003A596B"/>
    <w:rsid w:val="0047396D"/>
    <w:rsid w:val="005341B2"/>
    <w:rsid w:val="00545311"/>
    <w:rsid w:val="005D732A"/>
    <w:rsid w:val="005E7771"/>
    <w:rsid w:val="005F3D93"/>
    <w:rsid w:val="00881BAA"/>
    <w:rsid w:val="008C2D70"/>
    <w:rsid w:val="008C4DC6"/>
    <w:rsid w:val="00903B67"/>
    <w:rsid w:val="00A078B9"/>
    <w:rsid w:val="00AA340F"/>
    <w:rsid w:val="00AE6E98"/>
    <w:rsid w:val="00B0322D"/>
    <w:rsid w:val="00BE0C64"/>
    <w:rsid w:val="00C37937"/>
    <w:rsid w:val="00C9794A"/>
    <w:rsid w:val="00CF0294"/>
    <w:rsid w:val="00D1211C"/>
    <w:rsid w:val="00E831DA"/>
    <w:rsid w:val="00F3373B"/>
    <w:rsid w:val="00F4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8B330D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BAA"/>
    <w:pPr>
      <w:spacing w:after="160" w:line="259" w:lineRule="auto"/>
    </w:pPr>
    <w:rPr>
      <w:sz w:val="22"/>
      <w:szCs w:val="2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1BAA"/>
    <w:rPr>
      <w:rFonts w:eastAsia="MS Mincho"/>
      <w:sz w:val="22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881BAA"/>
    <w:rPr>
      <w:rFonts w:eastAsia="MS Mincho"/>
      <w:sz w:val="22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4DC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DC6"/>
    <w:rPr>
      <w:rFonts w:ascii="Times New Roman" w:eastAsiaTheme="minorEastAsia" w:hAnsi="Times New Roman" w:cs="Times New Roman"/>
      <w:sz w:val="18"/>
      <w:szCs w:val="18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5E777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7771"/>
    <w:rPr>
      <w:sz w:val="22"/>
      <w:szCs w:val="22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E777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7771"/>
    <w:rPr>
      <w:sz w:val="22"/>
      <w:szCs w:val="22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A078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78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78B9"/>
    <w:rPr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78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78B9"/>
    <w:rPr>
      <w:b/>
      <w:bCs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2020-10-17T17:18:00Z</dcterms:created>
  <dcterms:modified xsi:type="dcterms:W3CDTF">2021-10-16T16:36:00Z</dcterms:modified>
</cp:coreProperties>
</file>