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63DB9" w14:textId="604F237D" w:rsidR="00BF6B15" w:rsidRPr="00FA10C2" w:rsidRDefault="00BF6B15" w:rsidP="00B504E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A10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</w:t>
      </w:r>
      <w:r w:rsidR="00DF3543" w:rsidRPr="00FA10C2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</w:t>
      </w:r>
      <w:r w:rsidR="00FA10C2" w:rsidRPr="00FA10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first muscle t</w:t>
      </w:r>
      <w:r w:rsidR="00FA10C2">
        <w:rPr>
          <w:rFonts w:ascii="Times New Roman" w:hAnsi="Times New Roman" w:cs="Times New Roman"/>
          <w:b/>
          <w:bCs/>
          <w:sz w:val="28"/>
          <w:szCs w:val="28"/>
          <w:lang w:val="en-US"/>
        </w:rPr>
        <w:t>witch</w:t>
      </w:r>
    </w:p>
    <w:p w14:paraId="3DFD6699" w14:textId="77777777" w:rsidR="000271C6" w:rsidRPr="00FA10C2" w:rsidRDefault="000271C6" w:rsidP="00B504EE">
      <w:pPr>
        <w:rPr>
          <w:lang w:val="en-US"/>
        </w:rPr>
      </w:pPr>
    </w:p>
    <w:p w14:paraId="20E4D182" w14:textId="70BC3C8E" w:rsidR="0079725F" w:rsidRPr="008E479B" w:rsidRDefault="00901DF1" w:rsidP="00042983">
      <w:pPr>
        <w:spacing w:line="480" w:lineRule="auto"/>
        <w:rPr>
          <w:lang w:val="en-US"/>
        </w:rPr>
      </w:pPr>
      <w:r>
        <w:rPr>
          <w:noProof/>
        </w:rPr>
        <w:drawing>
          <wp:inline distT="0" distB="0" distL="0" distR="0" wp14:anchorId="2AC520A9" wp14:editId="7057A5AA">
            <wp:extent cx="5746376" cy="6981070"/>
            <wp:effectExtent l="0" t="0" r="698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4485" cy="70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25F" w:rsidRPr="0079725F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Figure </w:t>
      </w:r>
      <w:r w:rsidR="00F610FC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S1</w:t>
      </w:r>
      <w:r w:rsidR="0079725F" w:rsidRPr="0079725F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.</w:t>
      </w:r>
      <w:r w:rsidR="0079725F" w:rsidRPr="0079725F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79725F" w:rsidRPr="0079725F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Comfort according the </w:t>
      </w:r>
      <w:r w:rsidR="0079725F" w:rsidRPr="0079725F">
        <w:rPr>
          <w:rFonts w:ascii="Times New Roman" w:hAnsi="Times New Roman" w:cs="Times New Roman"/>
          <w:b/>
          <w:bCs/>
          <w:i/>
          <w:iCs/>
          <w:noProof/>
          <w:sz w:val="18"/>
          <w:szCs w:val="18"/>
          <w:lang w:val="en-US"/>
        </w:rPr>
        <w:t>Numeric Rating Scale for pain</w:t>
      </w:r>
      <w:r w:rsidR="0079725F" w:rsidRPr="0079725F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 (NRS) and intensity needed for </w:t>
      </w:r>
      <w:r w:rsidR="00B3300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visible muscle twitch</w:t>
      </w:r>
      <w:r w:rsidR="0079725F" w:rsidRPr="0079725F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 for different placements of the electrodes </w:t>
      </w:r>
      <w:r w:rsidR="0079725F" w:rsidRPr="0079725F">
        <w:rPr>
          <w:rFonts w:ascii="Times New Roman" w:hAnsi="Times New Roman" w:cs="Times New Roman"/>
          <w:b/>
          <w:bCs/>
          <w:i/>
          <w:iCs/>
          <w:noProof/>
          <w:sz w:val="18"/>
          <w:szCs w:val="18"/>
          <w:lang w:val="en-US"/>
        </w:rPr>
        <w:t xml:space="preserve">on </w:t>
      </w:r>
      <w:r w:rsidR="00E1338E">
        <w:rPr>
          <w:rFonts w:ascii="Times New Roman" w:hAnsi="Times New Roman" w:cs="Times New Roman"/>
          <w:b/>
          <w:bCs/>
          <w:i/>
          <w:iCs/>
          <w:noProof/>
          <w:sz w:val="18"/>
          <w:szCs w:val="18"/>
          <w:lang w:val="en-US"/>
        </w:rPr>
        <w:t xml:space="preserve">the quadriceps, hamstrings and </w:t>
      </w:r>
      <w:r w:rsidR="0079725F" w:rsidRPr="0079725F">
        <w:rPr>
          <w:rFonts w:ascii="Times New Roman" w:hAnsi="Times New Roman" w:cs="Times New Roman"/>
          <w:b/>
          <w:bCs/>
          <w:i/>
          <w:iCs/>
          <w:noProof/>
          <w:sz w:val="18"/>
          <w:szCs w:val="18"/>
          <w:lang w:val="en-US"/>
        </w:rPr>
        <w:t>gluteus.</w:t>
      </w:r>
      <w:r w:rsidR="0079725F" w:rsidRPr="0079725F">
        <w:rPr>
          <w:rFonts w:ascii="Times New Roman" w:hAnsi="Times New Roman" w:cs="Times New Roman"/>
          <w:i/>
          <w:iCs/>
          <w:noProof/>
          <w:sz w:val="18"/>
          <w:szCs w:val="18"/>
          <w:lang w:val="en-US"/>
        </w:rPr>
        <w:t xml:space="preserve"> </w:t>
      </w:r>
      <w:r w:rsidR="00600481" w:rsidRPr="00A94FE5">
        <w:rPr>
          <w:rFonts w:ascii="Times New Roman" w:hAnsi="Times New Roman" w:cs="Times New Roman"/>
          <w:i/>
          <w:iCs/>
          <w:sz w:val="18"/>
          <w:szCs w:val="18"/>
          <w:lang w:val="en-US"/>
        </w:rPr>
        <w:t>Intensity describes the total intensity (mA) needed for the first visible muscle twitch of the muscles for each electrode size.</w:t>
      </w:r>
      <w:r w:rsidR="00600481" w:rsidRPr="00A94FE5">
        <w:rPr>
          <w:rFonts w:ascii="Times New Roman" w:hAnsi="Times New Roman" w:cs="Times New Roman"/>
          <w:i/>
          <w:iCs/>
          <w:noProof/>
          <w:sz w:val="18"/>
          <w:szCs w:val="18"/>
          <w:lang w:val="en-US"/>
        </w:rPr>
        <w:t xml:space="preserve"> </w:t>
      </w:r>
      <w:r w:rsidR="0079725F" w:rsidRPr="0079725F">
        <w:rPr>
          <w:rFonts w:ascii="Times New Roman" w:hAnsi="Times New Roman" w:cs="Times New Roman"/>
          <w:i/>
          <w:iCs/>
          <w:noProof/>
          <w:sz w:val="18"/>
          <w:szCs w:val="18"/>
          <w:lang w:val="en-US"/>
        </w:rPr>
        <w:t>P-values calculated with Wilcoxon sign rank test, significant values are bold.</w:t>
      </w:r>
      <w:r w:rsidR="0079725F">
        <w:rPr>
          <w:noProof/>
          <w:lang w:val="en-US"/>
        </w:rPr>
        <w:t xml:space="preserve">  </w:t>
      </w:r>
    </w:p>
    <w:p w14:paraId="172ACC13" w14:textId="6D77067B" w:rsidR="00E8429B" w:rsidRDefault="00E8429B" w:rsidP="008E47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0808CDA" wp14:editId="61C9116D">
            <wp:simplePos x="0" y="0"/>
            <wp:positionH relativeFrom="margin">
              <wp:align>left</wp:align>
            </wp:positionH>
            <wp:positionV relativeFrom="paragraph">
              <wp:posOffset>781050</wp:posOffset>
            </wp:positionV>
            <wp:extent cx="7473315" cy="5916930"/>
            <wp:effectExtent l="0" t="2857" r="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73315" cy="591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5595C" w14:textId="7B8ABE86" w:rsidR="00C96D0F" w:rsidRDefault="00730073" w:rsidP="00FE528C">
      <w:pPr>
        <w:spacing w:after="0" w:line="480" w:lineRule="auto"/>
        <w:jc w:val="both"/>
        <w:rPr>
          <w:rFonts w:ascii="Times New Roman" w:hAnsi="Times New Roman" w:cs="Times New Roman"/>
          <w:i/>
          <w:iCs/>
          <w:noProof/>
          <w:sz w:val="18"/>
          <w:szCs w:val="18"/>
          <w:lang w:val="en-US"/>
        </w:rPr>
      </w:pPr>
      <w:r w:rsidRPr="00A94FE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Figu</w:t>
      </w:r>
      <w:r w:rsidRPr="00023640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re </w:t>
      </w:r>
      <w:r w:rsidR="00F610FC" w:rsidRPr="00023640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S2</w:t>
      </w:r>
      <w:r w:rsidRPr="00023640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. </w:t>
      </w:r>
      <w:r w:rsidR="00187ABF" w:rsidRPr="00023640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Comfort according the Numeric Rating Scale for pain (NRS)</w:t>
      </w:r>
      <w:r w:rsidRPr="00023640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 and intensity of the NMES-stimulation require for first</w:t>
      </w:r>
      <w:r w:rsidR="00B33005" w:rsidRPr="00023640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 visible</w:t>
      </w:r>
      <w:r w:rsidRPr="00A94FE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 muscle twitch for the different electrode sizes (2x2cm, 5x5cm and 5x9cm) on the quadriceps, </w:t>
      </w:r>
      <w:proofErr w:type="gramStart"/>
      <w:r w:rsidRPr="00A94FE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hamstrings</w:t>
      </w:r>
      <w:proofErr w:type="gramEnd"/>
      <w:r w:rsidRPr="00A94FE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 and gluteus.</w:t>
      </w:r>
      <w:r w:rsidRPr="00A94FE5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Intensity describes the total intensity (mA</w:t>
      </w:r>
      <w:proofErr w:type="gramStart"/>
      <w:r w:rsidRPr="00A94FE5">
        <w:rPr>
          <w:rFonts w:ascii="Times New Roman" w:hAnsi="Times New Roman" w:cs="Times New Roman"/>
          <w:i/>
          <w:iCs/>
          <w:sz w:val="18"/>
          <w:szCs w:val="18"/>
          <w:lang w:val="en-US"/>
        </w:rPr>
        <w:t>)</w:t>
      </w:r>
      <w:proofErr w:type="gramEnd"/>
      <w:r w:rsidRPr="00A94FE5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and current density describes the intensity/area (mA/cm</w:t>
      </w:r>
      <w:r w:rsidRPr="00A94FE5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US"/>
        </w:rPr>
        <w:t>2</w:t>
      </w:r>
      <w:r w:rsidRPr="00A94FE5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) needed for the first visible muscle </w:t>
      </w:r>
      <w:r w:rsidR="00B33005" w:rsidRPr="00A94FE5">
        <w:rPr>
          <w:rFonts w:ascii="Times New Roman" w:hAnsi="Times New Roman" w:cs="Times New Roman"/>
          <w:i/>
          <w:iCs/>
          <w:sz w:val="18"/>
          <w:szCs w:val="18"/>
          <w:lang w:val="en-US"/>
        </w:rPr>
        <w:t>twitch</w:t>
      </w:r>
      <w:r w:rsidRPr="00A94FE5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of the muscles for each electrode size.</w:t>
      </w:r>
      <w:r w:rsidRPr="00A94FE5">
        <w:rPr>
          <w:rFonts w:ascii="Times New Roman" w:hAnsi="Times New Roman" w:cs="Times New Roman"/>
          <w:i/>
          <w:iCs/>
          <w:noProof/>
          <w:sz w:val="18"/>
          <w:szCs w:val="18"/>
          <w:lang w:val="en-US"/>
        </w:rPr>
        <w:t xml:space="preserve"> P-values calculated with Wilcox</w:t>
      </w:r>
      <w:r w:rsidR="00B7123E">
        <w:rPr>
          <w:rFonts w:ascii="Times New Roman" w:hAnsi="Times New Roman" w:cs="Times New Roman"/>
          <w:i/>
          <w:iCs/>
          <w:noProof/>
          <w:sz w:val="18"/>
          <w:szCs w:val="18"/>
          <w:lang w:val="en-US"/>
        </w:rPr>
        <w:t>o</w:t>
      </w:r>
      <w:r w:rsidRPr="00A94FE5">
        <w:rPr>
          <w:rFonts w:ascii="Times New Roman" w:hAnsi="Times New Roman" w:cs="Times New Roman"/>
          <w:i/>
          <w:iCs/>
          <w:noProof/>
          <w:sz w:val="18"/>
          <w:szCs w:val="18"/>
          <w:lang w:val="en-US"/>
        </w:rPr>
        <w:t>n sign rank test, significant values are bold.</w:t>
      </w:r>
    </w:p>
    <w:p w14:paraId="43722409" w14:textId="76CCC8E1" w:rsidR="00C03A77" w:rsidRPr="008C2912" w:rsidRDefault="00C03A77" w:rsidP="00C03A77">
      <w:pPr>
        <w:spacing w:after="0" w:line="48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8C2912">
        <w:rPr>
          <w:rFonts w:ascii="Times New Roman" w:hAnsi="Times New Roman" w:cs="Times New Roman"/>
          <w:b/>
          <w:bCs/>
          <w:i/>
          <w:i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S1</w:t>
      </w:r>
      <w:r w:rsidRPr="008C2912">
        <w:rPr>
          <w:rFonts w:ascii="Times New Roman" w:hAnsi="Times New Roman" w:cs="Times New Roman"/>
          <w:b/>
          <w:bCs/>
          <w:i/>
          <w:iCs/>
          <w:lang w:val="en-US"/>
        </w:rPr>
        <w:t>. Comfort and intensity needed for first muscle for horizontal</w:t>
      </w:r>
      <w:r w:rsidRPr="008C291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8C2912">
        <w:rPr>
          <w:rFonts w:ascii="Times New Roman" w:hAnsi="Times New Roman" w:cs="Times New Roman"/>
          <w:b/>
          <w:bCs/>
          <w:i/>
          <w:iCs/>
          <w:lang w:val="en-US"/>
        </w:rPr>
        <w:t xml:space="preserve">vs vertical placement of the 5x9cm electrodes. </w:t>
      </w:r>
    </w:p>
    <w:tbl>
      <w:tblPr>
        <w:tblStyle w:val="Rutntstabell2dekorfrg32"/>
        <w:tblpPr w:leftFromText="141" w:rightFromText="141" w:vertAnchor="text" w:horzAnchor="margin" w:tblpXSpec="center" w:tblpY="52"/>
        <w:tblW w:w="9916" w:type="dxa"/>
        <w:tblInd w:w="0" w:type="dxa"/>
        <w:tblLayout w:type="fixed"/>
        <w:tblLook w:val="01A0" w:firstRow="1" w:lastRow="0" w:firstColumn="1" w:lastColumn="1" w:noHBand="0" w:noVBand="0"/>
      </w:tblPr>
      <w:tblGrid>
        <w:gridCol w:w="2551"/>
        <w:gridCol w:w="1276"/>
        <w:gridCol w:w="1276"/>
        <w:gridCol w:w="1276"/>
        <w:gridCol w:w="1134"/>
        <w:gridCol w:w="1262"/>
        <w:gridCol w:w="1132"/>
        <w:gridCol w:w="9"/>
      </w:tblGrid>
      <w:tr w:rsidR="00C03A77" w:rsidRPr="008C2912" w14:paraId="417619B6" w14:textId="77777777" w:rsidTr="005B4D9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dxa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D38BA" w14:textId="77777777" w:rsidR="00C03A77" w:rsidRPr="008C2912" w:rsidRDefault="00C03A77" w:rsidP="00AD239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C9C9C9" w:themeColor="accent3" w:themeTint="99"/>
            </w:tcBorders>
            <w:hideMark/>
          </w:tcPr>
          <w:p w14:paraId="1DD5E7AD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proofErr w:type="spellStart"/>
            <w:r w:rsidRPr="008C2912">
              <w:rPr>
                <w:rFonts w:ascii="Times New Roman" w:hAnsi="Times New Roman" w:cs="Times New Roman"/>
              </w:rPr>
              <w:t>Quadriceps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2" w:space="0" w:color="C9C9C9" w:themeColor="accent3" w:themeTint="99"/>
              <w:bottom w:val="single" w:sz="4" w:space="0" w:color="auto"/>
              <w:right w:val="single" w:sz="2" w:space="0" w:color="C9C9C9" w:themeColor="accent3" w:themeTint="99"/>
            </w:tcBorders>
            <w:hideMark/>
          </w:tcPr>
          <w:p w14:paraId="3225A2DA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8C2912">
              <w:rPr>
                <w:rFonts w:ascii="Times New Roman" w:hAnsi="Times New Roman" w:cs="Times New Roman"/>
              </w:rPr>
              <w:t>Hamstrings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94" w:type="dxa"/>
            <w:gridSpan w:val="2"/>
            <w:tcBorders>
              <w:top w:val="single" w:sz="4" w:space="0" w:color="auto"/>
              <w:left w:val="single" w:sz="2" w:space="0" w:color="C9C9C9" w:themeColor="accent3" w:themeTint="99"/>
              <w:bottom w:val="single" w:sz="4" w:space="0" w:color="auto"/>
              <w:right w:val="nil"/>
            </w:tcBorders>
            <w:hideMark/>
          </w:tcPr>
          <w:p w14:paraId="68E55837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C2912">
              <w:rPr>
                <w:rFonts w:ascii="Times New Roman" w:hAnsi="Times New Roman" w:cs="Times New Roman"/>
              </w:rPr>
              <w:t>Gluteus</w:t>
            </w:r>
            <w:proofErr w:type="spellEnd"/>
          </w:p>
        </w:tc>
      </w:tr>
      <w:tr w:rsidR="005B4D99" w:rsidRPr="008C2912" w14:paraId="7CF2B336" w14:textId="77777777" w:rsidTr="005B4D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52BE3" w14:textId="77777777" w:rsidR="00C03A77" w:rsidRPr="008C2912" w:rsidRDefault="00C03A77" w:rsidP="00AD239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C9C9C9" w:themeColor="accent3" w:themeTint="99"/>
            </w:tcBorders>
          </w:tcPr>
          <w:p w14:paraId="29319C53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C9C9C9" w:themeColor="accent3" w:themeTint="99"/>
              <w:bottom w:val="single" w:sz="4" w:space="0" w:color="auto"/>
              <w:right w:val="single" w:sz="2" w:space="0" w:color="C9C9C9" w:themeColor="accent3" w:themeTint="99"/>
            </w:tcBorders>
            <w:hideMark/>
          </w:tcPr>
          <w:p w14:paraId="6F46F58A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2912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8C2912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  <w:r w:rsidRPr="008C2912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 xml:space="preserve">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2" w:space="0" w:color="C9C9C9" w:themeColor="accent3" w:themeTint="99"/>
              <w:bottom w:val="single" w:sz="4" w:space="0" w:color="auto"/>
              <w:right w:val="single" w:sz="2" w:space="0" w:color="C9C9C9" w:themeColor="accent3" w:themeTint="99"/>
            </w:tcBorders>
          </w:tcPr>
          <w:p w14:paraId="1046A3B9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C9C9C9" w:themeColor="accent3" w:themeTint="99"/>
              <w:bottom w:val="single" w:sz="4" w:space="0" w:color="auto"/>
              <w:right w:val="single" w:sz="2" w:space="0" w:color="C9C9C9" w:themeColor="accent3" w:themeTint="99"/>
            </w:tcBorders>
            <w:hideMark/>
          </w:tcPr>
          <w:p w14:paraId="0103BBF7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C2912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8C2912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  <w:r w:rsidRPr="008C2912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 xml:space="preserve">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2" w:type="dxa"/>
            <w:tcBorders>
              <w:top w:val="single" w:sz="4" w:space="0" w:color="auto"/>
              <w:left w:val="single" w:sz="2" w:space="0" w:color="C9C9C9" w:themeColor="accent3" w:themeTint="99"/>
              <w:bottom w:val="single" w:sz="4" w:space="0" w:color="auto"/>
              <w:right w:val="single" w:sz="2" w:space="0" w:color="C9C9C9" w:themeColor="accent3" w:themeTint="99"/>
            </w:tcBorders>
          </w:tcPr>
          <w:p w14:paraId="074E9859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tcBorders>
              <w:top w:val="single" w:sz="4" w:space="0" w:color="auto"/>
              <w:left w:val="single" w:sz="2" w:space="0" w:color="C9C9C9" w:themeColor="accent3" w:themeTint="99"/>
              <w:bottom w:val="single" w:sz="4" w:space="0" w:color="auto"/>
              <w:right w:val="nil"/>
            </w:tcBorders>
            <w:hideMark/>
          </w:tcPr>
          <w:p w14:paraId="6D3748DA" w14:textId="77777777" w:rsidR="00C03A77" w:rsidRPr="008C2912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2912">
              <w:rPr>
                <w:rFonts w:ascii="Times New Roman" w:hAnsi="Times New Roman" w:cs="Times New Roman"/>
              </w:rPr>
              <w:t>p-</w:t>
            </w:r>
            <w:proofErr w:type="spellStart"/>
            <w:r w:rsidRPr="008C2912">
              <w:rPr>
                <w:rFonts w:ascii="Times New Roman" w:hAnsi="Times New Roman" w:cs="Times New Roman"/>
              </w:rPr>
              <w:t>value</w:t>
            </w:r>
            <w:proofErr w:type="spellEnd"/>
            <w:r w:rsidRPr="008C2912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a</w:t>
            </w:r>
          </w:p>
        </w:tc>
      </w:tr>
      <w:tr w:rsidR="00C03A77" w:rsidRPr="00E8419C" w14:paraId="41A33B3A" w14:textId="77777777" w:rsidTr="005B4D99">
        <w:trPr>
          <w:gridAfter w:val="1"/>
          <w:wAfter w:w="9" w:type="dxa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auto"/>
              <w:left w:val="nil"/>
              <w:bottom w:val="single" w:sz="2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05D22950" w14:textId="1113F52D" w:rsidR="00C03A77" w:rsidRPr="005B4D99" w:rsidRDefault="00C03A77" w:rsidP="005B4D9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C2912">
              <w:rPr>
                <w:rFonts w:ascii="Times New Roman" w:hAnsi="Times New Roman" w:cs="Times New Roman"/>
                <w:lang w:val="en-US"/>
              </w:rPr>
              <w:t>NRS – vertical</w:t>
            </w:r>
            <w:r w:rsidR="005B4D9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2912">
              <w:rPr>
                <w:rFonts w:ascii="Times New Roman" w:hAnsi="Times New Roman" w:cs="Times New Roman"/>
                <w:lang w:val="en-US"/>
              </w:rPr>
              <w:t xml:space="preserve">placement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vAlign w:val="center"/>
            <w:hideMark/>
          </w:tcPr>
          <w:p w14:paraId="6A879DEE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 (0-0.09)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shd w:val="clear" w:color="auto" w:fill="auto"/>
            <w:vAlign w:val="center"/>
            <w:hideMark/>
          </w:tcPr>
          <w:p w14:paraId="6FC29251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vAlign w:val="center"/>
            <w:hideMark/>
          </w:tcPr>
          <w:p w14:paraId="16742BFC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 (0-0)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shd w:val="clear" w:color="auto" w:fill="auto"/>
            <w:vAlign w:val="center"/>
            <w:hideMark/>
          </w:tcPr>
          <w:p w14:paraId="01C80E16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2" w:type="dxa"/>
            <w:tcBorders>
              <w:top w:val="single" w:sz="4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vAlign w:val="center"/>
            <w:hideMark/>
          </w:tcPr>
          <w:p w14:paraId="72D1038F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 (0-0.75)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vMerge w:val="restart"/>
            <w:tcBorders>
              <w:top w:val="single" w:sz="4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shd w:val="clear" w:color="auto" w:fill="auto"/>
            <w:vAlign w:val="center"/>
            <w:hideMark/>
          </w:tcPr>
          <w:p w14:paraId="57826D2D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b w:val="0"/>
                <w:bCs w:val="0"/>
                <w:lang w:val="en-US"/>
              </w:rPr>
              <w:t>0.60</w:t>
            </w:r>
          </w:p>
        </w:tc>
      </w:tr>
      <w:tr w:rsidR="00C03A77" w:rsidRPr="00E8419C" w14:paraId="11805C65" w14:textId="77777777" w:rsidTr="005B4D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2E23FEC8" w14:textId="6B9841B9" w:rsidR="00C03A77" w:rsidRPr="008C2912" w:rsidRDefault="00C03A77" w:rsidP="00AD239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2912">
              <w:rPr>
                <w:rFonts w:ascii="Times New Roman" w:hAnsi="Times New Roman" w:cs="Times New Roman"/>
                <w:lang w:val="en-US"/>
              </w:rPr>
              <w:t xml:space="preserve">NRS – horizontal placement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2" w:space="0" w:color="C9C9C9" w:themeColor="accent3" w:themeTint="99"/>
              <w:left w:val="single" w:sz="4" w:space="0" w:color="auto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vAlign w:val="center"/>
            <w:hideMark/>
          </w:tcPr>
          <w:p w14:paraId="35F208E9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 (0-0)</w:t>
            </w:r>
          </w:p>
        </w:tc>
        <w:tc>
          <w:tcPr>
            <w:tcW w:w="1276" w:type="dxa"/>
            <w:vMerge/>
            <w:tcBorders>
              <w:top w:val="single" w:sz="4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shd w:val="clear" w:color="auto" w:fill="auto"/>
            <w:vAlign w:val="center"/>
            <w:hideMark/>
          </w:tcPr>
          <w:p w14:paraId="214CACB6" w14:textId="77777777" w:rsidR="00C03A77" w:rsidRPr="00E8419C" w:rsidRDefault="00C03A77" w:rsidP="00AD23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vAlign w:val="center"/>
            <w:hideMark/>
          </w:tcPr>
          <w:p w14:paraId="158A8255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 (0-0.13)</w:t>
            </w:r>
          </w:p>
        </w:tc>
        <w:tc>
          <w:tcPr>
            <w:tcW w:w="1134" w:type="dxa"/>
            <w:vMerge/>
            <w:tcBorders>
              <w:top w:val="single" w:sz="4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shd w:val="clear" w:color="auto" w:fill="auto"/>
            <w:vAlign w:val="center"/>
            <w:hideMark/>
          </w:tcPr>
          <w:p w14:paraId="7DB6C3E7" w14:textId="77777777" w:rsidR="00C03A77" w:rsidRPr="00E8419C" w:rsidRDefault="00C03A77" w:rsidP="00AD23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2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vAlign w:val="center"/>
            <w:hideMark/>
          </w:tcPr>
          <w:p w14:paraId="67866AA1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 (0-0)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2" w:type="dxa"/>
            <w:vMerge/>
            <w:tcBorders>
              <w:top w:val="single" w:sz="4" w:space="0" w:color="auto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shd w:val="clear" w:color="auto" w:fill="auto"/>
            <w:vAlign w:val="center"/>
            <w:hideMark/>
          </w:tcPr>
          <w:p w14:paraId="2AB58A1E" w14:textId="77777777" w:rsidR="00C03A77" w:rsidRPr="00E8419C" w:rsidRDefault="00C03A77" w:rsidP="00AD23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03A77" w:rsidRPr="00E8419C" w14:paraId="5B24E13E" w14:textId="77777777" w:rsidTr="005B4D9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right w:val="single" w:sz="4" w:space="0" w:color="auto"/>
            </w:tcBorders>
            <w:vAlign w:val="center"/>
          </w:tcPr>
          <w:p w14:paraId="04654AB7" w14:textId="37EACD14" w:rsidR="00C03A77" w:rsidRPr="008C2912" w:rsidRDefault="00C03A77" w:rsidP="00AD239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8C2912">
              <w:rPr>
                <w:rFonts w:ascii="Times New Roman" w:hAnsi="Times New Roman" w:cs="Times New Roman"/>
                <w:lang w:val="fr-FR"/>
              </w:rPr>
              <w:t xml:space="preserve">Amplitude (mA) – vertical placement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auto"/>
            </w:tcBorders>
            <w:vAlign w:val="center"/>
          </w:tcPr>
          <w:p w14:paraId="3CEFEE8D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16 (14-17)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B9F672B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D45D58F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20 (19-22)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B1E88DE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2" w:type="dxa"/>
            <w:vAlign w:val="center"/>
          </w:tcPr>
          <w:p w14:paraId="6D759625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27 (21-30)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41" w:type="dxa"/>
            <w:gridSpan w:val="2"/>
            <w:vMerge w:val="restart"/>
            <w:shd w:val="clear" w:color="auto" w:fill="auto"/>
            <w:vAlign w:val="center"/>
          </w:tcPr>
          <w:p w14:paraId="530E000D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8419C">
              <w:rPr>
                <w:rFonts w:ascii="Times New Roman" w:hAnsi="Times New Roman" w:cs="Times New Roman"/>
                <w:b w:val="0"/>
                <w:bCs w:val="0"/>
                <w:lang w:val="en-US"/>
              </w:rPr>
              <w:t>0.73</w:t>
            </w:r>
          </w:p>
        </w:tc>
      </w:tr>
      <w:tr w:rsidR="00C03A77" w:rsidRPr="00E8419C" w14:paraId="1F038B0F" w14:textId="77777777" w:rsidTr="005B4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right w:val="single" w:sz="4" w:space="0" w:color="auto"/>
            </w:tcBorders>
            <w:vAlign w:val="center"/>
          </w:tcPr>
          <w:p w14:paraId="30E1DE4B" w14:textId="7DED8547" w:rsidR="00C03A77" w:rsidRPr="008C2912" w:rsidRDefault="00C03A77" w:rsidP="00AD239D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8C2912">
              <w:rPr>
                <w:rFonts w:ascii="Times New Roman" w:hAnsi="Times New Roman" w:cs="Times New Roman"/>
                <w:lang w:val="fr-FR"/>
              </w:rPr>
              <w:t xml:space="preserve">Amplitude (mA) – horizontal placement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auto"/>
            </w:tcBorders>
            <w:vAlign w:val="center"/>
          </w:tcPr>
          <w:p w14:paraId="6419A3C2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</w:pPr>
            <w:r w:rsidRPr="00E8419C">
              <w:rPr>
                <w:rFonts w:ascii="Times New Roman" w:hAnsi="Times New Roman" w:cs="Times New Roman"/>
                <w:lang w:val="en-US"/>
              </w:rPr>
              <w:t>15 (13-17)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6AC3260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715721A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21 (19-23)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CC7387E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2" w:type="dxa"/>
            <w:vAlign w:val="center"/>
          </w:tcPr>
          <w:p w14:paraId="31CF2CF0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419C">
              <w:rPr>
                <w:rFonts w:ascii="Times New Roman" w:hAnsi="Times New Roman" w:cs="Times New Roman"/>
                <w:lang w:val="en-US"/>
              </w:rPr>
              <w:t>26 (20-31)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41" w:type="dxa"/>
            <w:gridSpan w:val="2"/>
            <w:vMerge/>
            <w:shd w:val="clear" w:color="auto" w:fill="auto"/>
            <w:vAlign w:val="center"/>
          </w:tcPr>
          <w:p w14:paraId="73FBD411" w14:textId="77777777" w:rsidR="00C03A77" w:rsidRPr="00E8419C" w:rsidRDefault="00C03A77" w:rsidP="00AD239D">
            <w:pPr>
              <w:autoSpaceDE w:val="0"/>
              <w:autoSpaceDN w:val="0"/>
              <w:adjustRightInd w:val="0"/>
              <w:jc w:val="center"/>
              <w:rPr>
                <w:b w:val="0"/>
                <w:bCs w:val="0"/>
              </w:rPr>
            </w:pPr>
          </w:p>
        </w:tc>
      </w:tr>
    </w:tbl>
    <w:p w14:paraId="7C2C1D6F" w14:textId="33DF5405" w:rsidR="00C03A77" w:rsidRPr="00A94FE5" w:rsidRDefault="00C03A77" w:rsidP="00FE528C">
      <w:pPr>
        <w:spacing w:after="0" w:line="480" w:lineRule="auto"/>
        <w:jc w:val="both"/>
        <w:rPr>
          <w:rFonts w:ascii="Calibri" w:eastAsia="Times New Roman" w:hAnsi="Calibri" w:cs="Calibri"/>
          <w:i/>
          <w:iCs/>
          <w:lang w:val="en-US" w:eastAsia="sv-SE"/>
        </w:rPr>
      </w:pPr>
      <w:r w:rsidRPr="008C2912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a</w:t>
      </w:r>
      <w:r w:rsidRPr="008C2912">
        <w:rPr>
          <w:rFonts w:ascii="Times New Roman" w:hAnsi="Times New Roman" w:cs="Times New Roman"/>
          <w:sz w:val="20"/>
          <w:szCs w:val="20"/>
          <w:lang w:val="en-US"/>
        </w:rPr>
        <w:t xml:space="preserve"> P-values calculated with Wilcoxon sign rank test. Data are expressed as median (inter-quartile range). NRS=Numeric Rating Scale for pain. </w:t>
      </w:r>
      <w:r>
        <w:rPr>
          <w:rFonts w:ascii="Times New Roman" w:hAnsi="Times New Roman" w:cs="Times New Roman"/>
          <w:sz w:val="20"/>
          <w:szCs w:val="20"/>
          <w:lang w:val="en-US"/>
        </w:rPr>
        <w:t>mA=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MilliAmpere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C03A77" w:rsidRPr="00A94F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653ED" w14:textId="77777777" w:rsidR="00BC3523" w:rsidRDefault="00BC3523" w:rsidP="00CB605C">
      <w:pPr>
        <w:spacing w:after="0" w:line="240" w:lineRule="auto"/>
      </w:pPr>
      <w:r>
        <w:separator/>
      </w:r>
    </w:p>
  </w:endnote>
  <w:endnote w:type="continuationSeparator" w:id="0">
    <w:p w14:paraId="7E11E331" w14:textId="77777777" w:rsidR="00BC3523" w:rsidRDefault="00BC3523" w:rsidP="00CB6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3134196"/>
      <w:docPartObj>
        <w:docPartGallery w:val="Page Numbers (Bottom of Page)"/>
        <w:docPartUnique/>
      </w:docPartObj>
    </w:sdtPr>
    <w:sdtEndPr/>
    <w:sdtContent>
      <w:p w14:paraId="0780548B" w14:textId="3C027A38" w:rsidR="00CB605C" w:rsidRDefault="00CB605C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A6348" w14:textId="77777777" w:rsidR="00CB605C" w:rsidRDefault="00CB60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0F9E6" w14:textId="77777777" w:rsidR="00BC3523" w:rsidRDefault="00BC3523" w:rsidP="00CB605C">
      <w:pPr>
        <w:spacing w:after="0" w:line="240" w:lineRule="auto"/>
      </w:pPr>
      <w:r>
        <w:separator/>
      </w:r>
    </w:p>
  </w:footnote>
  <w:footnote w:type="continuationSeparator" w:id="0">
    <w:p w14:paraId="790DC23B" w14:textId="77777777" w:rsidR="00BC3523" w:rsidRDefault="00BC3523" w:rsidP="00CB6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44"/>
    <w:rsid w:val="00022E13"/>
    <w:rsid w:val="00023640"/>
    <w:rsid w:val="000271C6"/>
    <w:rsid w:val="00042983"/>
    <w:rsid w:val="000C1803"/>
    <w:rsid w:val="00117267"/>
    <w:rsid w:val="00187ABF"/>
    <w:rsid w:val="001963D7"/>
    <w:rsid w:val="001D59FD"/>
    <w:rsid w:val="001F15A6"/>
    <w:rsid w:val="00221A0C"/>
    <w:rsid w:val="0023186C"/>
    <w:rsid w:val="002560D7"/>
    <w:rsid w:val="002F0D71"/>
    <w:rsid w:val="003A3A93"/>
    <w:rsid w:val="003A7FEB"/>
    <w:rsid w:val="004056E0"/>
    <w:rsid w:val="00420BAC"/>
    <w:rsid w:val="0043439E"/>
    <w:rsid w:val="004514A9"/>
    <w:rsid w:val="00493008"/>
    <w:rsid w:val="004A6699"/>
    <w:rsid w:val="005071A7"/>
    <w:rsid w:val="00544B90"/>
    <w:rsid w:val="005B4D99"/>
    <w:rsid w:val="00600481"/>
    <w:rsid w:val="00601FD9"/>
    <w:rsid w:val="00631369"/>
    <w:rsid w:val="006A1B44"/>
    <w:rsid w:val="006B113F"/>
    <w:rsid w:val="006D6957"/>
    <w:rsid w:val="006F0A46"/>
    <w:rsid w:val="006F602D"/>
    <w:rsid w:val="00730073"/>
    <w:rsid w:val="0079725F"/>
    <w:rsid w:val="007F3F73"/>
    <w:rsid w:val="00844FED"/>
    <w:rsid w:val="008974B1"/>
    <w:rsid w:val="008E3079"/>
    <w:rsid w:val="008E479B"/>
    <w:rsid w:val="00901DF1"/>
    <w:rsid w:val="009C6DCA"/>
    <w:rsid w:val="00A17976"/>
    <w:rsid w:val="00A94FE5"/>
    <w:rsid w:val="00AA295C"/>
    <w:rsid w:val="00AD66BE"/>
    <w:rsid w:val="00AF1721"/>
    <w:rsid w:val="00B07A42"/>
    <w:rsid w:val="00B20E32"/>
    <w:rsid w:val="00B33005"/>
    <w:rsid w:val="00B504EE"/>
    <w:rsid w:val="00B7123E"/>
    <w:rsid w:val="00B84440"/>
    <w:rsid w:val="00B96CB1"/>
    <w:rsid w:val="00BC3523"/>
    <w:rsid w:val="00BF6B15"/>
    <w:rsid w:val="00C03A77"/>
    <w:rsid w:val="00C4223F"/>
    <w:rsid w:val="00C51F26"/>
    <w:rsid w:val="00C90FFA"/>
    <w:rsid w:val="00C96D0F"/>
    <w:rsid w:val="00CA5560"/>
    <w:rsid w:val="00CB605C"/>
    <w:rsid w:val="00CF2135"/>
    <w:rsid w:val="00D63B89"/>
    <w:rsid w:val="00DF3543"/>
    <w:rsid w:val="00E1338E"/>
    <w:rsid w:val="00E8429B"/>
    <w:rsid w:val="00EF30E3"/>
    <w:rsid w:val="00F610FC"/>
    <w:rsid w:val="00FA10C2"/>
    <w:rsid w:val="00FC4160"/>
    <w:rsid w:val="00FD6ECD"/>
    <w:rsid w:val="00FE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A0C1"/>
  <w15:chartTrackingRefBased/>
  <w15:docId w15:val="{2846A893-7BF3-45E2-87A5-CFB3C16F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rsid w:val="006A1B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0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04EE"/>
    <w:rPr>
      <w:rFonts w:ascii="Segoe UI" w:hAnsi="Segoe UI" w:cs="Segoe UI"/>
      <w:sz w:val="18"/>
      <w:szCs w:val="18"/>
    </w:rPr>
  </w:style>
  <w:style w:type="table" w:customStyle="1" w:styleId="Rutntstabell2dekorfrg32">
    <w:name w:val="Rutnätstabell 2 – dekorfärg 32"/>
    <w:basedOn w:val="Normaltabell"/>
    <w:uiPriority w:val="47"/>
    <w:rsid w:val="006F602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nk">
    <w:name w:val="Hyperlink"/>
    <w:basedOn w:val="Standardstycketeckensnitt"/>
    <w:uiPriority w:val="99"/>
    <w:unhideWhenUsed/>
    <w:rsid w:val="00B20E32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B6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B605C"/>
  </w:style>
  <w:style w:type="paragraph" w:styleId="Sidfot">
    <w:name w:val="footer"/>
    <w:basedOn w:val="Normal"/>
    <w:link w:val="SidfotChar"/>
    <w:uiPriority w:val="99"/>
    <w:unhideWhenUsed/>
    <w:rsid w:val="00CB6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B605C"/>
  </w:style>
  <w:style w:type="character" w:styleId="Olstomnmnande">
    <w:name w:val="Unresolved Mention"/>
    <w:basedOn w:val="Standardstycketeckensnitt"/>
    <w:uiPriority w:val="99"/>
    <w:semiHidden/>
    <w:unhideWhenUsed/>
    <w:rsid w:val="00405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6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Flodin</dc:creator>
  <cp:keywords/>
  <dc:description/>
  <cp:lastModifiedBy>Johanna Flodin</cp:lastModifiedBy>
  <cp:revision>2</cp:revision>
  <dcterms:created xsi:type="dcterms:W3CDTF">2022-01-13T14:53:00Z</dcterms:created>
  <dcterms:modified xsi:type="dcterms:W3CDTF">2022-01-13T14:53:00Z</dcterms:modified>
</cp:coreProperties>
</file>