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0D3D5D5" w:rsidR="007A78ED" w:rsidRPr="00490645" w:rsidRDefault="0049064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</w:pPr>
      <w:r w:rsidRPr="00490645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Supplementary file </w:t>
      </w:r>
      <w:r w:rsidR="00FB320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1</w:t>
      </w:r>
      <w:r w:rsidRPr="00490645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- Pilot study to determine the experimental </w:t>
      </w:r>
      <w:proofErr w:type="gramStart"/>
      <w:r w:rsidRPr="00490645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model</w:t>
      </w:r>
      <w:proofErr w:type="gramEnd"/>
    </w:p>
    <w:p w14:paraId="00000002" w14:textId="77777777" w:rsidR="007A78ED" w:rsidRPr="003E5226" w:rsidRDefault="00490645">
      <w:pPr>
        <w:rPr>
          <w:rFonts w:ascii="Times New Roman" w:eastAsia="Times New Roman" w:hAnsi="Times New Roman" w:cs="Times New Roman"/>
          <w:sz w:val="28"/>
          <w:szCs w:val="28"/>
          <w:lang w:val="en-CA"/>
        </w:rPr>
      </w:pP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Pilot study of female C57bl/6 “retired breeders” compared to male “retired breeders” (</w:t>
      </w:r>
      <w:r w:rsidRPr="003E5226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CA"/>
        </w:rPr>
        <w:t>approximately 30-40 weeks old)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 receiving a single dose of either 4 mg/kg or 20 mg/kg of doxorubicin (DOX). Three groups: controls (CTRL) received a saline injection (n=2 male and n=2 female); DOX 4 mg/kg, received a low bolus intravenous DOX injection of 4 mg/kg (n=3 male and n=3 female) and DOX 20 mg/kg, received a high bolus intravenous DOX injection (n=3 male and n=3 female). All animals were sacrificed 7 days following injection.   </w:t>
      </w:r>
    </w:p>
    <w:p w14:paraId="00000004" w14:textId="773BD03A" w:rsidR="007A78ED" w:rsidRPr="00B0440B" w:rsidRDefault="00490645">
      <w:pPr>
        <w:rPr>
          <w:b/>
          <w:u w:val="single"/>
          <w:lang w:val="en-CA"/>
        </w:rPr>
      </w:pP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Figure S</w:t>
      </w:r>
      <w:r w:rsidR="00FB320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1</w:t>
      </w: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.1 – Body mass following </w:t>
      </w:r>
      <w:r w:rsid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a </w:t>
      </w:r>
      <w:r w:rsidR="003E5226"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high </w:t>
      </w:r>
      <w:r w:rsid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doxorubicin</w:t>
      </w:r>
      <w:r w:rsidR="003E5226"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 </w:t>
      </w:r>
      <w:r w:rsid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bolus injection</w:t>
      </w:r>
      <w:r w:rsidR="003E5226"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 (20 mg/kg)</w:t>
      </w:r>
      <w:r w:rsid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 </w:t>
      </w: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according to </w:t>
      </w:r>
      <w:proofErr w:type="gramStart"/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sex</w:t>
      </w:r>
      <w:proofErr w:type="gramEnd"/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 xml:space="preserve"> </w:t>
      </w:r>
    </w:p>
    <w:p w14:paraId="0EDCEF7C" w14:textId="18C873D8" w:rsidR="00B0440B" w:rsidRDefault="00B0440B">
      <w:r w:rsidRPr="00B0440B">
        <w:rPr>
          <w:noProof/>
        </w:rPr>
        <w:drawing>
          <wp:inline distT="0" distB="0" distL="0" distR="0" wp14:anchorId="59EE6E25" wp14:editId="59875909">
            <wp:extent cx="3855516" cy="2255520"/>
            <wp:effectExtent l="0" t="0" r="0" b="0"/>
            <wp:docPr id="43921883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" t="10480" r="42244" b="7717"/>
                    <a:stretch/>
                  </pic:blipFill>
                  <pic:spPr bwMode="auto">
                    <a:xfrm>
                      <a:off x="0" y="0"/>
                      <a:ext cx="3867122" cy="22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06" w14:textId="4CB026D3" w:rsidR="007A78ED" w:rsidRPr="003E5226" w:rsidRDefault="00490645">
      <w:pPr>
        <w:rPr>
          <w:rFonts w:ascii="Verdana" w:eastAsia="Verdana" w:hAnsi="Verdana" w:cs="Verdana"/>
          <w:color w:val="FF0000"/>
          <w:sz w:val="17"/>
          <w:szCs w:val="17"/>
          <w:highlight w:val="white"/>
          <w:lang w:val="en-CA"/>
        </w:rPr>
      </w:pP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There is a significant time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=0.001) effect on weight loss but no significant time*SEX interaction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=0.096) using a repeated measure ANOVA. </w:t>
      </w:r>
      <w:r w:rsidRPr="003E522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Bonferroni corrected post hoc 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analysis showed a significant difference between T0 and T5 for male mice (p=0.032) but not for female mice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=0.308). T7 was significantly different than T0 for both sexes (female 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=0.013; male 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=0.002).</w:t>
      </w:r>
      <w:r w:rsid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 T0, baseline before DOX injection; T5, 5 days after DOX injection; T7, 7 day</w:t>
      </w:r>
      <w:r w:rsidR="00771E7D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s</w:t>
      </w:r>
      <w:r w:rsid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 after DOX injection. </w:t>
      </w:r>
    </w:p>
    <w:p w14:paraId="00000008" w14:textId="1C56D400" w:rsidR="007A78ED" w:rsidRPr="000A4650" w:rsidRDefault="00490645">
      <w:pPr>
        <w:rPr>
          <w:rFonts w:ascii="Verdana" w:eastAsia="Verdana" w:hAnsi="Verdana" w:cs="Verdana"/>
          <w:b/>
          <w:color w:val="FF0000"/>
          <w:sz w:val="17"/>
          <w:szCs w:val="17"/>
          <w:highlight w:val="white"/>
          <w:lang w:val="en-CA"/>
        </w:rPr>
      </w:pP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Figure S</w:t>
      </w:r>
      <w:r w:rsidR="00FB320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1</w:t>
      </w: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CA"/>
        </w:rPr>
        <w:t>.2 – Heart mass to tibia length ratio according to sex and DOX dose (low/high).</w:t>
      </w:r>
    </w:p>
    <w:p w14:paraId="441C96EC" w14:textId="7CD5FA4F" w:rsidR="00B0440B" w:rsidRDefault="000A4650">
      <w:r w:rsidRPr="000A4650">
        <w:rPr>
          <w:noProof/>
        </w:rPr>
        <w:drawing>
          <wp:inline distT="0" distB="0" distL="0" distR="0" wp14:anchorId="57C58922" wp14:editId="730199CC">
            <wp:extent cx="3467100" cy="2253056"/>
            <wp:effectExtent l="0" t="0" r="0" b="0"/>
            <wp:docPr id="76595274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" t="10580" r="38205" b="1740"/>
                    <a:stretch/>
                  </pic:blipFill>
                  <pic:spPr bwMode="auto">
                    <a:xfrm>
                      <a:off x="0" y="0"/>
                      <a:ext cx="3470829" cy="225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09" w14:textId="77777777" w:rsidR="007A78ED" w:rsidRDefault="007A78ED"/>
    <w:p w14:paraId="0000000B" w14:textId="3B5008F7" w:rsidR="007A78ED" w:rsidRPr="003E5226" w:rsidRDefault="00490645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</w:pP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Sex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=0.043) and DOX dose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 xml:space="preserve">=0.015) had a significant effect on heart to tibia ratio but there was no significant interaction (sex*dose; p=0.296) using a multi-factor ANOVA. </w:t>
      </w:r>
      <w:r w:rsidRPr="003E522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Bonferroni corrected post hoc 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analysis showed a significant difference between CTRL animals and high DOX dose 20 mg/kg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=0.026) but not compared to low DOX dose 4 mg/kg (</w:t>
      </w:r>
      <w:r w:rsidRPr="003E5226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CA"/>
        </w:rPr>
        <w:t>p</w:t>
      </w:r>
      <w:r w:rsidRPr="003E5226">
        <w:rPr>
          <w:rFonts w:ascii="Times New Roman" w:eastAsia="Times New Roman" w:hAnsi="Times New Roman" w:cs="Times New Roman"/>
          <w:sz w:val="24"/>
          <w:szCs w:val="24"/>
          <w:highlight w:val="white"/>
          <w:lang w:val="en-CA"/>
        </w:rPr>
        <w:t>=0.347).</w:t>
      </w:r>
    </w:p>
    <w:p w14:paraId="0000000C" w14:textId="41279202" w:rsidR="007A78ED" w:rsidRPr="003E5226" w:rsidRDefault="00490645">
      <w:pPr>
        <w:rPr>
          <w:lang w:val="en-US"/>
        </w:rPr>
      </w:pP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</w:t>
      </w:r>
      <w:r w:rsidR="00FB320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E52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.1 - pilot study result summary (pros and cons) for experimental model choice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A78ED" w:rsidRPr="003E5226" w14:paraId="213A12C7" w14:textId="77777777">
        <w:tc>
          <w:tcPr>
            <w:tcW w:w="46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Female C57bl/6</w:t>
            </w:r>
          </w:p>
        </w:tc>
        <w:tc>
          <w:tcPr>
            <w:tcW w:w="46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Male C57bl/6</w:t>
            </w:r>
          </w:p>
        </w:tc>
      </w:tr>
      <w:tr w:rsidR="007A78ED" w:rsidRPr="003E5226" w14:paraId="4BEF1BF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Pros:</w:t>
            </w:r>
          </w:p>
          <w:p w14:paraId="00000010" w14:textId="77777777" w:rsidR="007A78ED" w:rsidRPr="003E5226" w:rsidRDefault="0049064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 lethargic than males despite high DOX dose</w:t>
            </w:r>
          </w:p>
          <w:p w14:paraId="00000011" w14:textId="77777777" w:rsidR="007A78ED" w:rsidRPr="003E5226" w:rsidRDefault="0049064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Lower normalized heart mass to tibia length ratio compared to males (marker of cardiotoxicity)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Pros: none</w:t>
            </w:r>
          </w:p>
        </w:tc>
      </w:tr>
      <w:tr w:rsidR="007A78ED" w:rsidRPr="00771E7D" w14:paraId="6B20837F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Cons:</w:t>
            </w:r>
          </w:p>
          <w:p w14:paraId="00000014" w14:textId="77777777" w:rsidR="007A78ED" w:rsidRPr="003E5226" w:rsidRDefault="004906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7A78ED" w:rsidRPr="003E5226" w:rsidRDefault="00490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Cons: </w:t>
            </w:r>
          </w:p>
          <w:p w14:paraId="00000016" w14:textId="77777777" w:rsidR="007A78ED" w:rsidRDefault="0049064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Mice possibly too lethargic to exercise following high DOX </w:t>
            </w:r>
            <w:proofErr w:type="gramStart"/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dose</w:t>
            </w:r>
            <w:proofErr w:type="gramEnd"/>
          </w:p>
          <w:p w14:paraId="2934C6D7" w14:textId="77777777" w:rsidR="003E5226" w:rsidRDefault="003E5226" w:rsidP="003E5226">
            <w:pPr>
              <w:pStyle w:val="Paragraphedelist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Weight loss is greater and occurs sooner than females. Higher risk of reaching the study’s intervention point before the endpoint (body mass loss ≥20%)</w:t>
            </w:r>
          </w:p>
          <w:p w14:paraId="00000018" w14:textId="4F5C7657" w:rsidR="007A78ED" w:rsidRPr="003E5226" w:rsidRDefault="00490645" w:rsidP="003E5226">
            <w:pPr>
              <w:pStyle w:val="Paragraphedelist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Need to be caged individually (increased stress related to isolation)</w:t>
            </w: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</w:tbl>
    <w:p w14:paraId="00000019" w14:textId="77777777" w:rsidR="007A78ED" w:rsidRPr="003E5226" w:rsidRDefault="007A78E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A78ED" w:rsidRPr="00771E7D" w14:paraId="596192AD" w14:textId="77777777">
        <w:tc>
          <w:tcPr>
            <w:tcW w:w="46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Low bolus dose 4 mg/kg</w:t>
            </w:r>
          </w:p>
        </w:tc>
        <w:tc>
          <w:tcPr>
            <w:tcW w:w="46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 bolus dose 20 mg/kg</w:t>
            </w:r>
          </w:p>
        </w:tc>
      </w:tr>
      <w:tr w:rsidR="007A78ED" w:rsidRPr="00771E7D" w14:paraId="717231CF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Pros:</w:t>
            </w:r>
          </w:p>
          <w:p w14:paraId="0000001D" w14:textId="77777777" w:rsidR="007A78ED" w:rsidRPr="003E5226" w:rsidRDefault="00490645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 lethargic</w:t>
            </w:r>
          </w:p>
          <w:p w14:paraId="0000001E" w14:textId="72CC7CFF" w:rsidR="007A78ED" w:rsidRPr="003E5226" w:rsidRDefault="003E5226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Lower risk of reaching the study's intervention point (body mass loss ≥20%) before the endpoint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Pros: </w:t>
            </w:r>
          </w:p>
          <w:p w14:paraId="00000020" w14:textId="77777777" w:rsidR="007A78ED" w:rsidRPr="003E5226" w:rsidRDefault="0049064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Significantly greater toxicity compared to CTRL (heart to tibia ratio)</w:t>
            </w:r>
          </w:p>
          <w:p w14:paraId="00000021" w14:textId="77777777" w:rsidR="007A78ED" w:rsidRPr="003E5226" w:rsidRDefault="0049064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Only one injection needed to reach significant cardiotoxicity (heart mass loss)</w:t>
            </w:r>
          </w:p>
        </w:tc>
      </w:tr>
      <w:tr w:rsidR="007A78ED" w:rsidRPr="00771E7D" w14:paraId="44EDD8C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Cons:</w:t>
            </w:r>
          </w:p>
          <w:p w14:paraId="00000023" w14:textId="0B05BFA4" w:rsidR="007A78ED" w:rsidRPr="003E5226" w:rsidRDefault="00490645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Lower toxicity (no difference on heart to tibia ratio, one of the </w:t>
            </w:r>
            <w:r w:rsidR="003E5226"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study’s </w:t>
            </w: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 outcome</w:t>
            </w:r>
            <w:r w:rsidR="003E5226"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7A78ED" w:rsidRPr="003E5226" w:rsidRDefault="004906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Cons: </w:t>
            </w:r>
          </w:p>
          <w:p w14:paraId="00000025" w14:textId="77777777" w:rsidR="007A78ED" w:rsidRPr="003E5226" w:rsidRDefault="0049064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52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Risk of reaching the study’s intervention point before endpoint</w:t>
            </w:r>
          </w:p>
        </w:tc>
      </w:tr>
    </w:tbl>
    <w:p w14:paraId="00000026" w14:textId="77777777" w:rsidR="007A78ED" w:rsidRPr="003E5226" w:rsidRDefault="007A78ED">
      <w:pPr>
        <w:rPr>
          <w:lang w:val="en-CA"/>
        </w:rPr>
      </w:pPr>
    </w:p>
    <w:sectPr w:rsidR="007A78ED" w:rsidRPr="003E522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A467C"/>
    <w:multiLevelType w:val="multilevel"/>
    <w:tmpl w:val="A4DAF2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6E550C1"/>
    <w:multiLevelType w:val="multilevel"/>
    <w:tmpl w:val="97E264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1619AA"/>
    <w:multiLevelType w:val="multilevel"/>
    <w:tmpl w:val="6480FC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011388"/>
    <w:multiLevelType w:val="multilevel"/>
    <w:tmpl w:val="18D86B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917E37"/>
    <w:multiLevelType w:val="multilevel"/>
    <w:tmpl w:val="8A1494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43182683">
    <w:abstractNumId w:val="4"/>
  </w:num>
  <w:num w:numId="2" w16cid:durableId="1729305648">
    <w:abstractNumId w:val="0"/>
  </w:num>
  <w:num w:numId="3" w16cid:durableId="896478599">
    <w:abstractNumId w:val="3"/>
  </w:num>
  <w:num w:numId="4" w16cid:durableId="2098358390">
    <w:abstractNumId w:val="1"/>
  </w:num>
  <w:num w:numId="5" w16cid:durableId="667943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ED"/>
    <w:rsid w:val="000A4650"/>
    <w:rsid w:val="000F0BCE"/>
    <w:rsid w:val="003E5226"/>
    <w:rsid w:val="00490645"/>
    <w:rsid w:val="005332BA"/>
    <w:rsid w:val="00771E7D"/>
    <w:rsid w:val="007A78ED"/>
    <w:rsid w:val="007E57B0"/>
    <w:rsid w:val="00B0440B"/>
    <w:rsid w:val="00FB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6A29"/>
  <w15:docId w15:val="{5378D93C-3C1A-4B14-860F-20E84565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Marquedecommentaire">
    <w:name w:val="annotation reference"/>
    <w:basedOn w:val="Policepardfaut"/>
    <w:uiPriority w:val="99"/>
    <w:semiHidden/>
    <w:unhideWhenUsed/>
    <w:rsid w:val="002C1A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1A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1A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1A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1A49"/>
    <w:rPr>
      <w:b/>
      <w:bCs/>
      <w:sz w:val="20"/>
      <w:szCs w:val="2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phedeliste">
    <w:name w:val="List Paragraph"/>
    <w:basedOn w:val="Normal"/>
    <w:uiPriority w:val="34"/>
    <w:qFormat/>
    <w:rsid w:val="003E5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Cnvbz5d6cCgrV8dMTkQcEPOWA==">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Élise Legault (CHUM)</dc:creator>
  <cp:lastModifiedBy>Élise Legault (CHUM)</cp:lastModifiedBy>
  <cp:revision>5</cp:revision>
  <dcterms:created xsi:type="dcterms:W3CDTF">2023-05-12T04:28:00Z</dcterms:created>
  <dcterms:modified xsi:type="dcterms:W3CDTF">2023-05-12T12:18:00Z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2023-04-17T02:02:29Z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9b2ea71a-e7b7-416e-821b-7a2256ac084e</vt:lpwstr>
  </property>
  <property fmtid="{D5CDD505-2E9C-101B-9397-08002B2CF9AE}" pid="8" name="MSIP_Label_6a7d8d5d-78e2-4a62-9fcd-016eb5e4c57c_ContentBits">
    <vt:lpwstr>0</vt:lpwstr>
  </property>
</Properties>
</file>