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2"/>
        <w:rPr>
          <w:b w:val="0"/>
        </w:rPr>
      </w:pPr>
      <w:r>
        <w:t>Supplementary Material</w:t>
      </w:r>
    </w:p>
    <w:p>
      <w:pPr>
        <w:pStyle w:val="2"/>
      </w:pPr>
      <w:r>
        <w:t xml:space="preserve">Supplementary </w:t>
      </w:r>
      <w:r>
        <w:rPr>
          <w:rFonts w:hint="default"/>
        </w:rPr>
        <w:t>Figures</w:t>
      </w:r>
    </w:p>
    <w:p>
      <w:pPr>
        <w:snapToGrid w:val="0"/>
        <w:spacing w:line="360" w:lineRule="auto"/>
        <w:rPr>
          <w:rFonts w:hint="default"/>
          <w:lang w:eastAsia="zh-Hans"/>
        </w:rPr>
      </w:pP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figure 1</w:t>
      </w: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 Bold Italic" w:hAnsi="Times New Roman Bold Italic" w:eastAsia="宋体" w:cs="Times New Roman Bold Italic"/>
          <w:b/>
          <w:bCs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Funnel plots of (A) GMFM, (B) gait speed, (C) mobility, (D) muscle strength, (E) A/P SI, and (F) M/L SI.</w:t>
      </w:r>
    </w:p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9988550" cy="4562475"/>
            <wp:effectExtent l="0" t="0" r="19050" b="9525"/>
            <wp:docPr id="15" name="图片 15" descr="儿童肥胖运动干预数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儿童肥胖运动干预数据图"/>
                    <pic:cNvPicPr>
                      <a:picLocks noChangeAspect="1"/>
                    </pic:cNvPicPr>
                  </pic:nvPicPr>
                  <pic:blipFill>
                    <a:blip r:embed="rId10"/>
                    <a:srcRect l="9850" t="10378" b="32331"/>
                    <a:stretch>
                      <a:fillRect/>
                    </a:stretch>
                  </pic:blipFill>
                  <pic:spPr>
                    <a:xfrm>
                      <a:off x="0" y="0"/>
                      <a:ext cx="99885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hint="default" w:ascii="Times New Roman" w:hAnsi="Times New Roman" w:cs="Times New Roman"/>
          <w:b w:val="0"/>
          <w:bCs w:val="0"/>
          <w:lang w:eastAsia="zh-Hans"/>
        </w:rPr>
      </w:pP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figure 2</w:t>
      </w: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 Bold Italic" w:hAnsi="Times New Roman Bold Italic" w:eastAsia="宋体" w:cs="Times New Roman Bold Italic"/>
          <w:b/>
          <w:bCs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Begg’s funnel plots of (A) GMFM, (B) gait speed, (C) mobility, (D) muscle strength, (E) A/P SI, and (F) M/L SI.</w:t>
      </w: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0465435" cy="4565015"/>
            <wp:effectExtent l="0" t="0" r="24765" b="6985"/>
            <wp:docPr id="17" name="图片 17" descr="儿童肥胖运动干预数据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儿童肥胖运动干预数据图-2"/>
                    <pic:cNvPicPr>
                      <a:picLocks noChangeAspect="1"/>
                    </pic:cNvPicPr>
                  </pic:nvPicPr>
                  <pic:blipFill>
                    <a:blip r:embed="rId11"/>
                    <a:srcRect l="8727" t="11180" r="2084" b="34696"/>
                    <a:stretch>
                      <a:fillRect/>
                    </a:stretch>
                  </pic:blipFill>
                  <pic:spPr>
                    <a:xfrm>
                      <a:off x="0" y="0"/>
                      <a:ext cx="10465435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default" w:ascii="Times New Roman" w:hAnsi="Times New Roman" w:cs="Times New Roman"/>
          <w:b w:val="0"/>
          <w:bCs w:val="0"/>
          <w:lang w:eastAsia="zh-Hans"/>
        </w:rPr>
      </w:pP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figure 3</w:t>
      </w: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 Bold Italic" w:hAnsi="Times New Roman Bold Italic" w:eastAsia="宋体" w:cs="Times New Roman Bold Italic"/>
          <w:b/>
          <w:bCs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Sensitivity analysis of (A) GMFM, (B) gait speed, (C) mobility, (D) muscle strength, (E) A/P SI, and (F) M/L SI.</w:t>
      </w:r>
    </w:p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9951720" cy="4518025"/>
            <wp:effectExtent l="0" t="0" r="5080" b="3175"/>
            <wp:docPr id="16" name="图片 16" descr="儿童肥胖运动干预数据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儿童肥胖运动干预数据图-1"/>
                    <pic:cNvPicPr>
                      <a:picLocks noChangeAspect="1"/>
                    </pic:cNvPicPr>
                  </pic:nvPicPr>
                  <pic:blipFill>
                    <a:blip r:embed="rId12"/>
                    <a:srcRect l="9865" t="11576" r="4260" b="34182"/>
                    <a:stretch>
                      <a:fillRect/>
                    </a:stretch>
                  </pic:blipFill>
                  <pic:spPr>
                    <a:xfrm>
                      <a:off x="0" y="0"/>
                      <a:ext cx="995172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figure 4</w:t>
      </w: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Forest plot of comparison: stability index. 95% CI: 95% confidence interval; SD: standard deviation; IV: inverse variance.</w:t>
      </w:r>
    </w:p>
    <w:p>
      <w:pPr>
        <w:snapToGrid w:val="0"/>
        <w:spacing w:line="360" w:lineRule="auto"/>
      </w:pPr>
      <w:r>
        <w:drawing>
          <wp:inline distT="0" distB="0" distL="114300" distR="114300">
            <wp:extent cx="9572625" cy="1809750"/>
            <wp:effectExtent l="0" t="0" r="3175" b="1905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726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</w:pP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figure 5</w:t>
      </w:r>
      <w:r>
        <w:rPr>
          <w:rFonts w:hint="eastAsia" w:ascii="Times New Roman Bold" w:hAnsi="Times New Roman Bold" w:eastAsia="宋体" w:cs="Times New Roman Bold"/>
          <w:b/>
          <w:bCs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36"/>
          <w:sz w:val="24"/>
          <w14:textFill>
            <w14:solidFill>
              <w14:schemeClr w14:val="tx1"/>
            </w14:solidFill>
          </w14:textFill>
        </w:rPr>
        <w:t>Forest plot of comparison: step length. 95% CI: 95% confidence interval; SD: standard deviation; IV: inverse variance.</w:t>
      </w:r>
    </w:p>
    <w:p>
      <w:pPr>
        <w:snapToGrid w:val="0"/>
        <w:spacing w:line="360" w:lineRule="auto"/>
        <w:rPr>
          <w:rFonts w:hint="default"/>
          <w:lang w:eastAsia="zh-Hans"/>
        </w:rPr>
      </w:pPr>
      <w:r>
        <w:drawing>
          <wp:inline distT="0" distB="0" distL="114300" distR="114300">
            <wp:extent cx="9648825" cy="1733550"/>
            <wp:effectExtent l="0" t="0" r="3175" b="1905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488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t>Supplementary Tables</w:t>
      </w: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table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Search syntax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tbl>
      <w:tblPr>
        <w:tblStyle w:val="21"/>
        <w:tblW w:w="17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6921"/>
        <w:gridCol w:w="8252"/>
      </w:tblGrid>
      <w:tr>
        <w:trPr>
          <w:jc w:val="center"/>
        </w:trPr>
        <w:tc>
          <w:tcPr>
            <w:tcW w:w="1964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atabase</w:t>
            </w:r>
          </w:p>
        </w:tc>
        <w:tc>
          <w:tcPr>
            <w:tcW w:w="6921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earch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strategy</w:t>
            </w:r>
          </w:p>
        </w:tc>
        <w:tc>
          <w:tcPr>
            <w:tcW w:w="8252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Result</w:t>
            </w:r>
          </w:p>
        </w:tc>
      </w:tr>
      <w:tr>
        <w:trPr>
          <w:jc w:val="center"/>
        </w:trPr>
        <w:tc>
          <w:tcPr>
            <w:tcW w:w="19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Pubmed</w:t>
            </w:r>
          </w:p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N=304</w:t>
            </w:r>
          </w:p>
        </w:tc>
        <w:tc>
          <w:tcPr>
            <w:tcW w:w="6921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("cerebral palsy"[MeSH Terms] OR ("cerebral"[All Fields] AND "palsy"[All Fields]) OR "cerebral palsy"[All Fields]) AND ("child"[MeSH Terms] OR "child"[All Fields] OR "children"[All Fields] OR "child s"[All Fields] OR "children s"[All Fields] OR "childrens"[All Fields] OR "childs"[All Fields]) AND ("exercise"[MeSH Terms] OR "exercise"[All Fields] OR "exercises"[All Fields] OR "exercise therapy"[MeSH Terms] OR ("exercise"[All Fields] AND "therapy"[All Fields]) OR "exercise therapy"[All Fields] OR "exercising"[All Fields] OR "exercise s"[All Fields] OR "exercised"[All Fields] OR "exerciser"[All Fields] OR "exercisers"[All Fields]) AND ("balance"[All Fields] OR "balanced"[All Fields] OR "balances"[All Fields] OR "balancing"[All Fields])</w:t>
            </w:r>
          </w:p>
        </w:tc>
        <w:tc>
          <w:tcPr>
            <w:tcW w:w="825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rPr>
                <w:rFonts w:hint="default" w:ascii="Times New Roman Bold Italic" w:hAnsi="Times New Roman Bold Italic" w:eastAsia="宋体" w:cs="Times New Roman Bold Italic"/>
                <w:b/>
                <w:b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094605" cy="1621155"/>
                  <wp:effectExtent l="0" t="0" r="10795" b="444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4605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  <w:t>b of Science</w:t>
            </w:r>
          </w:p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:lang w:eastAsia="zh-Hans"/>
                <w14:textFill>
                  <w14:solidFill>
                    <w14:schemeClr w14:val="tx1"/>
                  </w14:solidFill>
                </w14:textFill>
              </w:rPr>
              <w:t>N=293</w:t>
            </w:r>
          </w:p>
        </w:tc>
        <w:tc>
          <w:tcPr>
            <w:tcW w:w="69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cerebral palsy (All Fields) and children (All Fields) and exercise (All Fields) and balance (All Fields)</w:t>
            </w:r>
          </w:p>
        </w:tc>
        <w:tc>
          <w:tcPr>
            <w:tcW w:w="8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rPr>
                <w:rFonts w:hint="default" w:ascii="Times New Roman Bold Italic" w:hAnsi="Times New Roman Bold Italic" w:eastAsia="宋体" w:cs="Times New Roman Bold Italic"/>
                <w:b/>
                <w:b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099685" cy="1367790"/>
                  <wp:effectExtent l="0" t="0" r="5715" b="381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685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1964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Scopus</w:t>
            </w:r>
          </w:p>
          <w:p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N=290</w:t>
            </w:r>
          </w:p>
        </w:tc>
        <w:tc>
          <w:tcPr>
            <w:tcW w:w="692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( TITLE-ABS-KEY ( cerebral AND palsy ) AND TITLE-ABS-KEY ( children ) AND TITLE-ABS-KEY ( exercise ) AND TITLE-ABS-KEY ( balance ) )</w:t>
            </w:r>
          </w:p>
        </w:tc>
        <w:tc>
          <w:tcPr>
            <w:tcW w:w="8252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480" w:lineRule="auto"/>
              <w:rPr>
                <w:rFonts w:hint="default" w:ascii="Times New Roman Bold Italic" w:hAnsi="Times New Roman Bold Italic" w:eastAsia="宋体" w:cs="Times New Roman Bold Italic"/>
                <w:b/>
                <w:bCs/>
                <w:color w:val="000000" w:themeColor="text1"/>
                <w:kern w:val="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095875" cy="2072005"/>
                  <wp:effectExtent l="0" t="0" r="9525" b="1079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87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 xml:space="preserve">able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Intervention protocol of included studies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.</w:t>
      </w:r>
    </w:p>
    <w:tbl>
      <w:tblPr>
        <w:tblStyle w:val="21"/>
        <w:tblW w:w="16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2329"/>
        <w:gridCol w:w="2295"/>
        <w:gridCol w:w="8153"/>
      </w:tblGrid>
      <w:tr>
        <w:trPr>
          <w:trHeight w:val="357" w:hRule="atLeast"/>
        </w:trPr>
        <w:tc>
          <w:tcPr>
            <w:tcW w:w="3380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Study</w:t>
            </w:r>
          </w:p>
        </w:tc>
        <w:tc>
          <w:tcPr>
            <w:tcW w:w="462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 xml:space="preserve">Cerebral </w:t>
            </w:r>
            <w:r>
              <w:rPr>
                <w:rFonts w:hint="eastAsia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palsy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 xml:space="preserve"> classification</w:t>
            </w:r>
          </w:p>
        </w:tc>
        <w:tc>
          <w:tcPr>
            <w:tcW w:w="8153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Intervention protocol</w:t>
            </w:r>
          </w:p>
        </w:tc>
      </w:tr>
      <w:tr>
        <w:trPr>
          <w:trHeight w:val="357" w:hRule="atLeast"/>
        </w:trPr>
        <w:tc>
          <w:tcPr>
            <w:tcW w:w="3380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23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Spasticity grades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GMFCS level</w:t>
            </w:r>
          </w:p>
        </w:tc>
        <w:tc>
          <w:tcPr>
            <w:tcW w:w="8153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c>
          <w:tcPr>
            <w:tcW w:w="33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Abd, et al. (2014)</w:t>
            </w:r>
          </w:p>
        </w:tc>
        <w:tc>
          <w:tcPr>
            <w:tcW w:w="23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1: n=9 (30%)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1+: n=16 (53%)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2: n=5 (17%)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n=13 (43%)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n=17 (57%)</w:t>
            </w:r>
          </w:p>
        </w:tc>
        <w:tc>
          <w:tcPr>
            <w:tcW w:w="815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30 mins of dynamic postural stability training, stability level 8 for 4 weeks followed by training on stability level 7 during the next 4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Adaikina, et al. (2023)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Spastic: n=7 (78%)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Dyskinetic: n=2 (22%)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n=3 (33%)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n=5 (66%)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n=1 (1%)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Home-based VT sessions (standing barefoot on the plate four times a week, 9 minutes a day, at a frequency of 20 Hz and amplitude of 1.5–2.0 mm)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Adıguzel, et al. (2021)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n=6 (33.3%)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n=11 (61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n=1 (5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6%)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2 days a week, 1 h a day, for 8 weeks in modifed pilates exercises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Ameer, et al. (2019)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Mild spasticity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Treadmill gait training for 20 minutes at a self-paced speed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Chrysagis, et al. (2012)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numPr>
                <w:ilvl w:val="0"/>
                <w:numId w:val="3"/>
              </w:numPr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n=14 (64%)</w:t>
            </w:r>
          </w:p>
          <w:p>
            <w:pPr>
              <w:widowControl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n=8 (36%)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Participants walked on the treadmill without body weight support to a comfortable speed for a maximum of 30 mins per session at a frequency of three times per week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Chrysagis, et al. (2012)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Spastic: n=16 (57%)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Dyskinetic: n=12 (43%)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5 (18%)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IV: 6 (21%)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V: 17 (61%)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Trained head and trunk control for up to a half hour, 5 days a week for a period of 6 months by a published algorithm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El-Basatiny, et al., (2014)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1: n=8 (27%)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1+: n=17 (57%)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2: n=5 (16%)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n=14 (47%)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n=16 (53%)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Walking training 25 min/day, 3 days/week for 3 successive months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El-Shamy, et al., (2014)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n=13 (43%)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n=17 (57%)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Using the Vibraflex Home Edition II WBV device;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3 mins of WBV, 3 mins of rest, 3 mins of WBV, 3 mins of rest, and 3 mins of WBV;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12 Hz vibration frequency in the first treatment sessions, and increase the WBV frequency in steps of 0.5 Hz every two treatment sessions until the target frequency of 18 Hz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Gatica-Rojas, et al., (2017)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n=6 (19%)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n=11 (34%)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Included stretching, flexibility, strengthening, and balance exercises for 40 minutes in each session at a frequency of three times per week over 6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González, et al., (2020)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n=16 (59%)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n=11 (41%)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Included a 10-min warm-up period with stretching of the main locomotive system muscles, followed by 15 min of slackline tasks, and ending with a 5-min cool-down phase including active and static stretching, three 30-min sessions per week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Grecco, et al. (2013)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n=7 (50%)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n=3 (21%)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n=4 (29%)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Walked at 60% maximal speed in the first and final five minutes of the session and walked at 80% maximal speed for the other 20 minutes, two 30-minute sessions per week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Grecco-Collange, et al. (2013)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n=13 (39%)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n=15 (45%)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n=5 (15%)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Walked at 60% maximal speed in the first and final five minutes of the session and walked at 80% maximal speed during the other 20 minutes, two 30-minute sessions per week over seven 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consecutive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Hemachithra, et al., (2019)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30 min of the horse riding simulator U-Gallop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Jelsma, et al., (2012)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Stood on the Wii Fit balance board operating the gaming for 3-week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Kara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et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 al., (2019)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n=14 (47%)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n=9 (30%)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n=7 (23%)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Consisted of functional strengthening using the leg press (for eccentric, concentric, and isometric contraction of quadriceps femoris, hamstrings, tibialis anterior, and gastrosoleus), plyometric exercises (including jumping), and balance training, treated 3 times per week for 90 minutes per session for a total of 36 sessions over a period of 12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eastAsia" w:ascii="Times New Roman Regular" w:hAnsi="Times New Roman Regular" w:cs="Times New Roman Regular"/>
                <w:vertAlign w:val="baseline"/>
              </w:rPr>
              <w:t>Kepenek-Varol, et al., (2021)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n=18 (60%)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n=12 (40%)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Including NDTbased balance and postural control exercises, and balance exercises with the BBS for 8 weeks with three training sessions of 45 minutes per week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Peungsuwan, et al., (2017)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n=4 (27%)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n=8 (53%)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n=3 (20%)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Consisted of a 5-minute warm-up period, 60 minutes of circuit exercises, and a 5-minute cool-down period for 8 weeks;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Functional strength training consisted of a sit-to-stand (STS) and a step up-down (SUD) activity;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Endurance training was performed the 3 stations for endurance training included (1) leg stationary bicycles, (2) elliptical machines, and (3) recreational fast walking or running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Salem, et al., (2009)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n=2 (20%)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n=6 (60%)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n=2 (20%)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(1) walking activities ; (2)walking up and down ramps and stairs; (3) stepping forward, backward, and sideways from floor onto blocks of various heights; (4) standing balance activities; (5) standing up from a chair; (6) performing single leg stance; and (7) kicking a ball, twice weekly for 5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Saxena, et al., (2016)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n=6 (43%)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III: n=8 (57%)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Stood on the force plate of the Good balance system for 15 min and two such sessions in a day for two days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Surana, et al., (2019)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I: n=8 (33%)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II: n=16 (67%)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(1) motor learning, (2) intensive and structured practice, (3) skill or activity progression, and (4) resistance training, 90 hours for 9 weeks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Tarakci, et al., (2016)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Hemiplegic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=14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Diplegic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=12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%)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Dyskinetic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 xml:space="preserve">=4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  <w:t>%)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Consisted of two days a week (1 sessions - 50 minutes) with total of 12 weeks; Wii-Fit balance-based video games group were applied to Wii Group (WiiG) for 20 minutes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Wallard, et al., (2017)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Received twenty sessions of Lokomat®Pediatric conducted over a four weeks period (5 sessions/week), gait speed was initially set at 0.7 km/h and gradually increased to 1.4 km/h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Wallard, et al., (2018)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consisted of twenty Lokomat® Pediatric sessions with a duration of 40 min, spread over a period of four weeks, the initial body-weight support was 70%, and was then gradually decreased to 40% over the sessions</w:t>
            </w:r>
          </w:p>
        </w:tc>
      </w:tr>
      <w:tr>
        <w:tc>
          <w:tcPr>
            <w:tcW w:w="33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Yazıcı, et al., (2019)</w:t>
            </w:r>
          </w:p>
        </w:tc>
        <w:tc>
          <w:tcPr>
            <w:tcW w:w="23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815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During aerobic exercises, a low-intense 5-min warm-up and cooling program was performed at 30-40% of the maximum HR;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brisk walking was performed for 20 min with increasing speed at 55-75% of the maximum HR;</w:t>
            </w:r>
          </w:p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  <w:t>Gait training comprised a 30-min active walking training</w:t>
            </w:r>
          </w:p>
        </w:tc>
      </w:tr>
    </w:tbl>
    <w:p>
      <w:pPr>
        <w:snapToGrid w:val="0"/>
        <w:spacing w:line="36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Online supplementary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 xml:space="preserve">able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 xml:space="preserve">3. </w:t>
      </w:r>
      <w:bookmarkStart w:id="0" w:name="_GoBack"/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Outcomes of included RCTs (Experimental/Control).</w:t>
      </w:r>
    </w:p>
    <w:bookmarkEnd w:id="0"/>
    <w:tbl>
      <w:tblPr>
        <w:tblStyle w:val="21"/>
        <w:tblW w:w="16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1782"/>
        <w:gridCol w:w="1724"/>
        <w:gridCol w:w="1724"/>
        <w:gridCol w:w="1724"/>
        <w:gridCol w:w="1713"/>
        <w:gridCol w:w="1713"/>
        <w:gridCol w:w="1713"/>
        <w:gridCol w:w="1713"/>
      </w:tblGrid>
      <w:tr>
        <w:trPr>
          <w:jc w:val="center"/>
        </w:trPr>
        <w:tc>
          <w:tcPr>
            <w:tcW w:w="25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</w:t>
            </w: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Hans"/>
              </w:rPr>
              <w:t>uthor</w:t>
            </w:r>
          </w:p>
        </w:tc>
        <w:tc>
          <w:tcPr>
            <w:tcW w:w="178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GMFM</w:t>
            </w:r>
          </w:p>
        </w:tc>
        <w:tc>
          <w:tcPr>
            <w:tcW w:w="17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gait speed</w:t>
            </w:r>
          </w:p>
        </w:tc>
        <w:tc>
          <w:tcPr>
            <w:tcW w:w="17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Mobility</w:t>
            </w:r>
          </w:p>
        </w:tc>
        <w:tc>
          <w:tcPr>
            <w:tcW w:w="17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Muscle strength</w:t>
            </w:r>
          </w:p>
        </w:tc>
        <w:tc>
          <w:tcPr>
            <w:tcW w:w="171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Step length</w:t>
            </w:r>
          </w:p>
        </w:tc>
        <w:tc>
          <w:tcPr>
            <w:tcW w:w="171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Overall SI</w:t>
            </w:r>
          </w:p>
        </w:tc>
        <w:tc>
          <w:tcPr>
            <w:tcW w:w="171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A/P SI</w:t>
            </w:r>
          </w:p>
        </w:tc>
        <w:tc>
          <w:tcPr>
            <w:tcW w:w="171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  <w:t>M/L SI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Abd, et al. (2014)</w:t>
            </w:r>
          </w:p>
        </w:tc>
        <w:tc>
          <w:tcPr>
            <w:tcW w:w="178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0.39±0.12 (m/s)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0.09±0.07 (cm)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59±0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77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11±0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75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36±0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30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0.17±0.10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0.06±0.68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13±0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69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08±0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35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Adaikina, et al. (2023)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9±8.96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0±1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55 (s)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9±2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49 (kg)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8±9.86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4±1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55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2±2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Ameer, et al. (2019)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0.09±0.079 (m)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0.004±0.074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Chrysagis, et al. (2012)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3.86±17.96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10.26±12.28</w:t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(m/min)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0.68±17.66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0.48±10.51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Curtis, et al., (2017)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1.8±4.0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-5.5±15.1 (mm)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0.9±9.2 (mm)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0.7±3.3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11.7±11.5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4.3±7.5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El-Basatiny, et al., (2014)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-0.46±0.24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-0.43±0.20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-0.72±0.25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-0.17±0.11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-0.12±0.08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-0.25±0.12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El-Shamy, et al., (2014)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14.67±1.38 (N·m)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90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12.77±1.46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González, et al., (2020)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-3.1±3.21 (mm/s)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-4.1±3.29</w:t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(mm/s)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1.3±4.26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0.56±3.15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Grecco, et al. (2013)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-0.1±0.10 (cm)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0.3±1.28 (cm)</w:t>
            </w:r>
          </w:p>
        </w:tc>
      </w:tr>
      <w:tr>
        <w:trPr>
          <w:trHeight w:val="192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-0.1±0.05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-0.1±2.40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Grecco-Collange, et al. (2013)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3.1±7.21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-6.5±2.2 (s)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-0.4±0.0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-0.1±1.35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-5.1±5.0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-2.3±2.36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-0.1±0.0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0.1±1.13</w:t>
            </w:r>
          </w:p>
        </w:tc>
      </w:tr>
      <w:tr>
        <w:trPr>
          <w:trHeight w:val="187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eastAsia" w:ascii="Times New Roman Regular" w:hAnsi="Times New Roman Regular" w:cs="Times New Roman Regular"/>
                <w:vertAlign w:val="baseline"/>
              </w:rPr>
              <w:t>Kara, et al., (2019)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0.17±0.67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-1.02±0.45 (s)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5.54±6.33 (N/kg)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7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0.32±1.42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0.08±0.45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0.05±1.59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362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eastAsia" w:ascii="Times New Roman Regular" w:hAnsi="Times New Roman Regular" w:cs="Times New Roman Regular"/>
                <w:vertAlign w:val="baseline"/>
              </w:rPr>
              <w:t>Kepenek-Varol, et al., (2021)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49.87±28.13 (m)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-0.66±0.37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-0.44±0.31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-0.46±0.26</w:t>
            </w:r>
          </w:p>
        </w:tc>
      </w:tr>
      <w:tr>
        <w:trPr>
          <w:trHeight w:val="362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44.44±64.29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-0.63±0.65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-0.56±0.43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-0.55±0.66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Peungsuwan, et al., (2017)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0.11±0.08 (m/s)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2.75±1.02 (s)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-0.62±2.27 (rep)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-0.05±0.16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0.29±1.73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0.12±2.49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Salem, et al., (2009)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11.28±25.14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-4.00±11.08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5.10±25.54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1.80±13.23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Saxena, et al., (2016)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0.5±4.11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-0.6±2.8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1.3±4.76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-0.3±2.5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Tarakci, et al., (2016)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-2.34±3.49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1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-1.1±4.53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7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Wallard, et al., (2018)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6.69±15.41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0.12±0.19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7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1.93±14.33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0.02±0.17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Yazıcı, et al., (2019)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3.17±8.53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-0.69±0.80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  <w:tr>
        <w:trPr>
          <w:trHeight w:val="188" w:hRule="atLeast"/>
          <w:jc w:val="center"/>
        </w:trPr>
        <w:tc>
          <w:tcPr>
            <w:tcW w:w="256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1.58±7.82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-0.32±0.98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0"/>
                <w:szCs w:val="21"/>
                <w:vertAlign w:val="baseline"/>
                <w:lang w:eastAsia="zh-Hans" w:bidi="ar"/>
              </w:rPr>
              <w:t>/</w:t>
            </w:r>
          </w:p>
        </w:tc>
      </w:tr>
    </w:tbl>
    <w:p>
      <w:pPr>
        <w:widowControl/>
        <w:snapToGrid w:val="0"/>
        <w:spacing w:line="360" w:lineRule="auto"/>
        <w:jc w:val="both"/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Cs w:val="21"/>
          <w:lang w:bidi="ar"/>
        </w:rPr>
        <w:t>Abbreviations: GMFM (gross motor function measure); PBS (the pediatric balance test); TUG (time up and go); SI (stability index); A/P SI (anteroposterior stability index); M/L SI (mediolateral stability index).</w:t>
      </w:r>
    </w:p>
    <w:sectPr>
      <w:headerReference r:id="rId6" w:type="first"/>
      <w:footerReference r:id="rId7" w:type="default"/>
      <w:headerReference r:id="rId5" w:type="even"/>
      <w:footerReference r:id="rId8" w:type="even"/>
      <w:pgSz w:w="20160" w:h="12240" w:orient="landscape"/>
      <w:pgMar w:top="1281" w:right="1140" w:bottom="1179" w:left="11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832.2pt;margin-top:546.5pt;height:31.15pt;width:118.8pt;mso-position-horizontal-relative:page;mso-position-vertical-relative:page;z-index:251659264;mso-width-relative:page;mso-height-relative:page;" filled="f" stroked="f" coordsize="21600,21600" o:gfxdata="UEsFBgAAAAAAAAAAAAAAAAAAAAAAAFBLAwQKAAAAAACHTuJAAAAAAAAAAAAAAAAABAAAAGRycy9Q&#10;SwMEFAAAAAgAh07iQExXRCLSAAAABAEAAA8AAABkcnMvZG93bnJldi54bWxNj8FOwzAQRO9I/IO1&#10;SFwQtZNKKQpxeqiUc9WUD3DjJQnY6yh2mvL3LFzgstJoRjNvq/3NO3HFOY6BNGQbBQKpC3akXsPb&#10;uXl+ARGTIWtcINTwhRH29f1dZUobVjrhtU294BKKpdEwpDSVUsZuQG/iJkxI7L2H2ZvEcu6lnc3K&#10;5d7JXKlCejMSLwxmwsOA3We7eA0hX5/cqc2aw3H9aNRxwXMbUevHh0y9gkh4S39h+MFndKiZ6RIW&#10;slE4DfxI+r3s5dtdAeKioci3IOtK/oevvwFQSwMEFAAAAAgAh07iQEQHADgzAgAAdQQAAA4AAABk&#10;cnMvZTJvRG9jLnhtbK1UTW/bMAy9D9h/EHRf7KRJ2gZxiqxBhgHFWqAtdlZkOTagr0lK7O7X70l2&#10;0qLboYddHIqkHvkeqSxvOiXJUTjfGF3Q8SinRGhuykbvC/r8tP1yRYkPTJdMGi0K+iI8vVl9/rRs&#10;7UJMTG1kKRwBiPaL1ha0DsEusszzWijmR8YKjWBlnGIBR7fPSsdaoCuZTfJ8nrXGldYZLryHd9MH&#10;6YDoPgJoqqrhYmP4QQkdelQnJAug5OvGerpK3VaV4OG+qrwIRBYUTEP6ogjsXfxmqyVb7B2zdcOH&#10;FthHWnjHSbFGo+gZasMCIwfX/AWlGu6MN1UYcaOynkhSBCzG+TttHmtmReICqb09i+7/Hyz/cXxw&#10;pCkLOptTopnCxJ9EF8hX0xG4oE9r/QJpjxaJoYMfW3Pyezgj7a5yKv6CEEEc6r6c1Y1oPF6a5VeX&#10;c4Q4YhfXs3k+izDZ623rfPgmjCLRKKjD9JKo7HjnQ596SonFtNk2UqYJSk3ags4vZnm6cI4AXOqY&#10;K9IuDDCRUd95tEK36waaO1O+gKUz/Z54y7cNWrljPjwwh8VA93g64R6fShqUNINFSW3c73/5Yz7m&#10;hSglLRatoP7XgTlBifyuMcnr8XQK2JAO09nlBAf3NrJ7G9EHdWuwy2M8UsuTGfODPJmVM+onXtg6&#10;VkWIaY7aBQ0n8zb0648XysV6nZKwi5aFO/1oeYSOgnm7PgQInHSPMvXaYF7xgG1MkxteTlz3t+eU&#10;9fpvsfo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TFdEItIAAAAEAQAADwAAAAAAAAABACAAAAA4&#10;AAAAZHJzL2Rvd25yZXYueG1sUEsBAhQAFAAAAAgAh07iQEQHADgzAgAAdQQAAA4AAAAAAAAAAQAg&#10;AAAANwEAAGRycy9lMm9Eb2MueG1sUEsFBgAAAAAGAAYAWQEAANw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832.2pt;margin-top:544.2pt;height:31.15pt;width:118.8pt;mso-position-horizontal-relative:page;mso-position-vertical-relative:page;z-index:251660288;mso-width-relative:page;mso-height-relative:page;" filled="f" stroked="f" coordsize="21600,21600" o:gfxdata="UEsFBgAAAAAAAAAAAAAAAAAAAAAAAFBLAwQKAAAAAACHTuJAAAAAAAAAAAAAAAAABAAAAGRycy9Q&#10;SwMEFAAAAAgAh07iQExXRCLSAAAABAEAAA8AAABkcnMvZG93bnJldi54bWxNj8FOwzAQRO9I/IO1&#10;SFwQtZNKKQpxeqiUc9WUD3DjJQnY6yh2mvL3LFzgstJoRjNvq/3NO3HFOY6BNGQbBQKpC3akXsPb&#10;uXl+ARGTIWtcINTwhRH29f1dZUobVjrhtU294BKKpdEwpDSVUsZuQG/iJkxI7L2H2ZvEcu6lnc3K&#10;5d7JXKlCejMSLwxmwsOA3We7eA0hX5/cqc2aw3H9aNRxwXMbUevHh0y9gkh4S39h+MFndKiZ6RIW&#10;slE4DfxI+r3s5dtdAeKioci3IOtK/oevvwFQSwMEFAAAAAgAh07iQFsR1fExAgAAcwQAAA4AAABk&#10;cnMvZTJvRG9jLnhtbK1UTW/bMAy9D9h/EHRf7LRJ2gZ1iqxBhgHBWiAtdlZkuTagr0lK7OzX70l2&#10;0qLboYddHIqkHvkeqdzedUqSg3C+Mbqg41FOidDclI1+Kejz0/rLNSU+MF0yabQo6FF4erf4/Om2&#10;tXNxYWojS+EIQLSft7agdQh2nmWe10IxPzJWaAQr4xQLOLqXrHSsBbqS2UWez7LWuNI6w4X38K76&#10;IB0Q3UcATVU1XKwM3yuhQ4/qhGQBlHzdWE8XqduqEjw8VJUXgciCgmlIXxSBvYvfbHHL5i+O2brh&#10;QwvsIy2846RYo1H0DLVigZG9a/6CUg13xpsqjLhRWU8kKQIW4/ydNtuaWZG4QGpvz6L7/wfLfxwe&#10;HWlKbAIlmikM/El0gXw1HRlHdVrr50jaWqSFDu6YOfg9nJF0VzkVf0GHIA5tj2dtIxiPl6b59dUM&#10;IY7Y5c10lk8jTPZ62zofvgmjSDQK6jC7JCk7bHzoU08psZg260ZK+NlcatIWdHY5zdOFcwTgUscE&#10;kTZhgImM+s6jFbpdN9DZmfIIls70W+ItXzdoZcN8eGQOa4Hu8XDCAz6VNChpBouS2rjf//LHfEwL&#10;UUparFlB/a89c4IS+V1jjjfjyQSwIR0m06sLHNzbyO5tRO/VvcEmY1boLpkxP8iTWTmjfuJ9LWNV&#10;hJjmqF3QcDLvQ7/8eJ9cLJcpCZtoWdjoreUROgrm7XIfIHDSPcrUa4N5xQN2MU1ueDdx2d+eU9br&#10;f8X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ExXRCLSAAAABAEAAA8AAAAAAAAAAQAgAAAAOAAA&#10;AGRycy9kb3ducmV2LnhtbFBLAQIUABQAAAAIAIdO4kBbEdXxMQIAAHMEAAAOAAAAAAAAAAEAIAAA&#10;ADcBAABkcnMvZTJvRG9jLnhtbFBLBQYAAAAABgAGAFkBAADaBQAAAAA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4AFEC8AF"/>
    <w:multiLevelType w:val="singleLevel"/>
    <w:tmpl w:val="4AFEC8AF"/>
    <w:lvl w:ilvl="0" w:tentative="0">
      <w:start w:val="1"/>
      <w:numFmt w:val="upperRoman"/>
      <w:suff w:val="nothing"/>
      <w:lvlText w:val="%1-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7FFC7115"/>
    <w:rsid w:val="D5FF8535"/>
    <w:rsid w:val="E37766ED"/>
    <w:rsid w:val="F7EFA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uiPriority w:val="99"/>
    <w:rPr>
      <w:b/>
      <w:bCs/>
    </w:rPr>
  </w:style>
  <w:style w:type="table" w:styleId="21">
    <w:name w:val="Table Grid"/>
    <w:basedOn w:val="20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uiPriority w:val="99"/>
    <w:rPr>
      <w:vertAlign w:val="superscript"/>
    </w:rPr>
  </w:style>
  <w:style w:type="character" w:styleId="25">
    <w:name w:val="FollowedHyperlink"/>
    <w:basedOn w:val="2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yangchengwei/Library/Containers/com.kingsoft.wpsoffice.mac/Data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142</Words>
  <Characters>810</Characters>
  <Lines>6</Lines>
  <Paragraphs>1</Paragraphs>
  <TotalTime>1</TotalTime>
  <ScaleCrop>false</ScaleCrop>
  <LinksUpToDate>false</LinksUpToDate>
  <CharactersWithSpaces>951</CharactersWithSpaces>
  <Application>WPS Office_5.3.0.7863_F1E327BC-269C-435d-A152-05C5408002CA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2022-11-18T15:28:00Z</dcterms:created>
  <dc:creator>Frontiers</dc:creator>
  <cp:lastModifiedBy>文档存本地丢失不负责</cp:lastModifiedBy>
  <cp:lastPrinted>2013-10-04T11:21:00Z</cp:lastPrinted>
  <dcterms:modified xsi:type="dcterms:W3CDTF">2024-02-28T00:02:09Z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2052-5.3.0.7863</vt:lpwstr>
  </property>
  <property fmtid="{D5CDD505-2E9C-101B-9397-08002B2CF9AE}" pid="11" name="ICV">
    <vt:lpwstr>8C5E5BEE95E393C59606DE654B07666D_43</vt:lpwstr>
  </property>
</Properties>
</file>