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C3615" w14:textId="7EA0EC0D" w:rsidR="00FC60A4" w:rsidRPr="00AC2EF5" w:rsidRDefault="00AC2EF5" w:rsidP="003F3EBF">
      <w:pPr>
        <w:pStyle w:val="Heading1"/>
        <w:jc w:val="center"/>
        <w:rPr>
          <w:sz w:val="22"/>
          <w:szCs w:val="22"/>
        </w:rPr>
      </w:pPr>
      <w:r w:rsidRPr="00AC2EF5">
        <w:rPr>
          <w:sz w:val="22"/>
          <w:szCs w:val="22"/>
        </w:rPr>
        <w:t xml:space="preserve">S1 </w:t>
      </w:r>
      <w:r w:rsidR="006234E0" w:rsidRPr="00AC2EF5">
        <w:rPr>
          <w:sz w:val="22"/>
          <w:szCs w:val="22"/>
        </w:rPr>
        <w:t>Table</w:t>
      </w:r>
      <w:r>
        <w:rPr>
          <w:sz w:val="22"/>
          <w:szCs w:val="22"/>
        </w:rPr>
        <w:t>.</w:t>
      </w:r>
      <w:r w:rsidR="00FC60A4" w:rsidRPr="00AC2EF5">
        <w:rPr>
          <w:sz w:val="22"/>
          <w:szCs w:val="22"/>
        </w:rPr>
        <w:t xml:space="preserve"> </w:t>
      </w:r>
      <w:r w:rsidR="00FC60A4" w:rsidRPr="003F3EBF">
        <w:rPr>
          <w:b w:val="0"/>
          <w:bCs w:val="0"/>
          <w:sz w:val="22"/>
          <w:szCs w:val="22"/>
          <w:lang w:eastAsia="en-GB"/>
        </w:rPr>
        <w:t>Comparison of different criteria included in the Downs and Black scale and USPSTF system quality assessment tools.</w:t>
      </w:r>
    </w:p>
    <w:p w14:paraId="4B338B7C" w14:textId="77777777" w:rsidR="00FC60A4" w:rsidRDefault="00FC60A4" w:rsidP="00FC60A4">
      <w:pPr>
        <w:pStyle w:val="Heading3"/>
      </w:pPr>
    </w:p>
    <w:p w14:paraId="137AF54F" w14:textId="77777777" w:rsidR="00FC60A4" w:rsidRPr="00CC0FA8" w:rsidRDefault="00FC60A4" w:rsidP="00FC60A4">
      <w:pPr>
        <w:pStyle w:val="Heading3"/>
        <w:rPr>
          <w:b w:val="0"/>
        </w:rPr>
      </w:pPr>
      <w:r w:rsidRPr="00CC0FA8">
        <w:rPr>
          <w:b w:val="0"/>
        </w:rPr>
        <w:t xml:space="preserve">IVQ = Internal validity related question; EVQ = External validity related question </w:t>
      </w:r>
    </w:p>
    <w:p w14:paraId="6F218255" w14:textId="77777777" w:rsidR="00FC60A4" w:rsidRPr="003F3A57" w:rsidRDefault="00FC60A4" w:rsidP="00FC60A4">
      <w:pPr>
        <w:spacing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4234"/>
      </w:tblGrid>
      <w:tr w:rsidR="00FC60A4" w:rsidRPr="00CC0FA8" w14:paraId="037A23A2" w14:textId="77777777" w:rsidTr="00511B19">
        <w:tc>
          <w:tcPr>
            <w:tcW w:w="4428" w:type="dxa"/>
          </w:tcPr>
          <w:p w14:paraId="7391DE47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2"/>
                <w:szCs w:val="22"/>
                <w:lang w:eastAsia="en-GB"/>
              </w:rPr>
            </w:pPr>
            <w:r w:rsidRPr="00CC0FA8">
              <w:rPr>
                <w:b/>
                <w:bCs/>
                <w:sz w:val="22"/>
                <w:szCs w:val="22"/>
                <w:lang w:eastAsia="en-GB"/>
              </w:rPr>
              <w:t>Downs and Black</w:t>
            </w:r>
          </w:p>
        </w:tc>
        <w:tc>
          <w:tcPr>
            <w:tcW w:w="4428" w:type="dxa"/>
          </w:tcPr>
          <w:p w14:paraId="3E093D1C" w14:textId="77777777" w:rsidR="00FC60A4" w:rsidRPr="00CC0FA8" w:rsidRDefault="00FC60A4" w:rsidP="00511B19">
            <w:pPr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 w:rsidRPr="00CC0FA8">
              <w:rPr>
                <w:b/>
                <w:sz w:val="22"/>
                <w:szCs w:val="22"/>
                <w:lang w:eastAsia="en-GB"/>
              </w:rPr>
              <w:t>United States Preventative Services Task Force</w:t>
            </w:r>
            <w:r w:rsidRPr="00CC0FA8"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FC60A4" w:rsidRPr="00CC0FA8" w14:paraId="76586C98" w14:textId="77777777" w:rsidTr="00511B19">
        <w:tc>
          <w:tcPr>
            <w:tcW w:w="8856" w:type="dxa"/>
            <w:gridSpan w:val="2"/>
          </w:tcPr>
          <w:p w14:paraId="7FB5A3C3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Reporting</w:t>
            </w:r>
          </w:p>
        </w:tc>
      </w:tr>
      <w:tr w:rsidR="00FC60A4" w:rsidRPr="00CC0FA8" w14:paraId="7113E43F" w14:textId="77777777" w:rsidTr="00511B19">
        <w:trPr>
          <w:trHeight w:val="611"/>
        </w:trPr>
        <w:tc>
          <w:tcPr>
            <w:tcW w:w="4428" w:type="dxa"/>
          </w:tcPr>
          <w:p w14:paraId="394AEDB1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Is the hypothesis/aim/objective of the study clearly described?</w:t>
            </w:r>
          </w:p>
        </w:tc>
        <w:tc>
          <w:tcPr>
            <w:tcW w:w="4428" w:type="dxa"/>
          </w:tcPr>
          <w:p w14:paraId="0A8D7D7D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  <w:tr w:rsidR="00FC60A4" w:rsidRPr="00CC0FA8" w14:paraId="40855C5C" w14:textId="77777777" w:rsidTr="00511B19">
        <w:tc>
          <w:tcPr>
            <w:tcW w:w="4428" w:type="dxa"/>
          </w:tcPr>
          <w:p w14:paraId="23283BCD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2.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Are the main outcomes to be measured clearly described in the Introduction or Methods section?</w:t>
            </w:r>
          </w:p>
        </w:tc>
        <w:tc>
          <w:tcPr>
            <w:tcW w:w="4428" w:type="dxa"/>
          </w:tcPr>
          <w:p w14:paraId="598AE523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  <w:tr w:rsidR="00FC60A4" w:rsidRPr="00CC0FA8" w14:paraId="3E1B3E45" w14:textId="77777777" w:rsidTr="00511B19">
        <w:tc>
          <w:tcPr>
            <w:tcW w:w="4428" w:type="dxa"/>
          </w:tcPr>
          <w:p w14:paraId="57351DCC" w14:textId="77777777" w:rsidR="00FC60A4" w:rsidRPr="00CC0FA8" w:rsidRDefault="00FC60A4" w:rsidP="001040F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3.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Are the characteristics of the patients included in the study clearly described?</w:t>
            </w:r>
          </w:p>
        </w:tc>
        <w:tc>
          <w:tcPr>
            <w:tcW w:w="4428" w:type="dxa"/>
          </w:tcPr>
          <w:p w14:paraId="2BC4F5ED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(EVQ2)</w:t>
            </w:r>
            <w:r w:rsidRPr="00CC0FA8">
              <w:rPr>
                <w:i/>
                <w:sz w:val="22"/>
                <w:szCs w:val="22"/>
              </w:rPr>
              <w:t xml:space="preserve"> Similarities of the populations studied (demographics, ethnicity, gender, clinical presentation)</w:t>
            </w:r>
          </w:p>
        </w:tc>
      </w:tr>
      <w:tr w:rsidR="00FC60A4" w:rsidRPr="00CC0FA8" w14:paraId="50B8FDE1" w14:textId="77777777" w:rsidTr="00511B19">
        <w:tc>
          <w:tcPr>
            <w:tcW w:w="4428" w:type="dxa"/>
          </w:tcPr>
          <w:p w14:paraId="3630A73F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4.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 xml:space="preserve">Are the interventions of interest clearly described? </w:t>
            </w:r>
          </w:p>
        </w:tc>
        <w:tc>
          <w:tcPr>
            <w:tcW w:w="4428" w:type="dxa"/>
          </w:tcPr>
          <w:p w14:paraId="038CEEFC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 xml:space="preserve">(IVQ5) </w:t>
            </w:r>
            <w:r w:rsidRPr="00CC0FA8">
              <w:rPr>
                <w:i/>
                <w:sz w:val="22"/>
                <w:szCs w:val="22"/>
                <w:lang w:eastAsia="en-GB"/>
              </w:rPr>
              <w:t>Clear definition of interventions</w:t>
            </w:r>
          </w:p>
        </w:tc>
      </w:tr>
      <w:tr w:rsidR="00FC60A4" w:rsidRPr="00CC0FA8" w14:paraId="6CFB0A56" w14:textId="77777777" w:rsidTr="00511B19">
        <w:tc>
          <w:tcPr>
            <w:tcW w:w="4428" w:type="dxa"/>
          </w:tcPr>
          <w:p w14:paraId="63F093C0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5.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 xml:space="preserve">Are the distributions of principal confounders in each group of subjects to be compared clearly described? </w:t>
            </w:r>
          </w:p>
        </w:tc>
        <w:tc>
          <w:tcPr>
            <w:tcW w:w="4428" w:type="dxa"/>
          </w:tcPr>
          <w:p w14:paraId="1F6125FC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(IVQ1)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Initial assembly of comparable groups: For RCTs: adequate randomization including concealment and whether potential confounders were distributed equally among groups. For cohort studies: consideration of potential confounders with either restriction or measurement for adjustment in the analysis; consideration of inception cohorts</w:t>
            </w:r>
          </w:p>
        </w:tc>
      </w:tr>
      <w:tr w:rsidR="00FC60A4" w:rsidRPr="00CC0FA8" w14:paraId="67D1F0A8" w14:textId="77777777" w:rsidTr="00511B19">
        <w:tc>
          <w:tcPr>
            <w:tcW w:w="4428" w:type="dxa"/>
          </w:tcPr>
          <w:p w14:paraId="75C8849E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6.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 xml:space="preserve">Are the main findings of the study clearly described? </w:t>
            </w:r>
          </w:p>
        </w:tc>
        <w:tc>
          <w:tcPr>
            <w:tcW w:w="4428" w:type="dxa"/>
          </w:tcPr>
          <w:p w14:paraId="28949983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  <w:tr w:rsidR="00FC60A4" w:rsidRPr="00CC0FA8" w14:paraId="3662A7DA" w14:textId="77777777" w:rsidTr="00511B19">
        <w:tc>
          <w:tcPr>
            <w:tcW w:w="4428" w:type="dxa"/>
          </w:tcPr>
          <w:p w14:paraId="7C0A5477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7.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 xml:space="preserve">Does the study provide estimates of the random variability in the data for the main outcomes? </w:t>
            </w:r>
          </w:p>
        </w:tc>
        <w:tc>
          <w:tcPr>
            <w:tcW w:w="4428" w:type="dxa"/>
          </w:tcPr>
          <w:p w14:paraId="3357479A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  <w:tr w:rsidR="00FC60A4" w:rsidRPr="00CC0FA8" w14:paraId="56C411B4" w14:textId="77777777" w:rsidTr="00511B19">
        <w:tc>
          <w:tcPr>
            <w:tcW w:w="4428" w:type="dxa"/>
          </w:tcPr>
          <w:p w14:paraId="01CE25EC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8.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 xml:space="preserve">Have all important adverse events that may be a consequence of the intervention been reported? </w:t>
            </w:r>
          </w:p>
        </w:tc>
        <w:tc>
          <w:tcPr>
            <w:tcW w:w="4428" w:type="dxa"/>
          </w:tcPr>
          <w:p w14:paraId="5C918C66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i/>
                <w:sz w:val="22"/>
                <w:szCs w:val="22"/>
              </w:rPr>
              <w:t>Considered at later stage of assessment using US system **</w:t>
            </w:r>
          </w:p>
        </w:tc>
      </w:tr>
      <w:tr w:rsidR="00FC60A4" w:rsidRPr="00CC0FA8" w14:paraId="7426BD66" w14:textId="77777777" w:rsidTr="00511B19">
        <w:tc>
          <w:tcPr>
            <w:tcW w:w="4428" w:type="dxa"/>
          </w:tcPr>
          <w:p w14:paraId="3AE7FF68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9.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Have the characteristics of patients lost to follow-up been described?</w:t>
            </w:r>
          </w:p>
        </w:tc>
        <w:tc>
          <w:tcPr>
            <w:tcW w:w="4428" w:type="dxa"/>
          </w:tcPr>
          <w:p w14:paraId="713E0A86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(IVQ2)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Maintenance of comparable groups (includes attrition, crossovers, adherence, contamination</w:t>
            </w:r>
          </w:p>
        </w:tc>
      </w:tr>
      <w:tr w:rsidR="00FC60A4" w:rsidRPr="00CC0FA8" w14:paraId="2994534F" w14:textId="77777777" w:rsidTr="00511B19">
        <w:tc>
          <w:tcPr>
            <w:tcW w:w="4428" w:type="dxa"/>
          </w:tcPr>
          <w:p w14:paraId="0D3CE2AD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10.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Have actual probability values been reported (e.g. 0.035 rather than &lt;0.05) for the main outcomes except where the probability value is less than 0.001?</w:t>
            </w:r>
          </w:p>
        </w:tc>
        <w:tc>
          <w:tcPr>
            <w:tcW w:w="4428" w:type="dxa"/>
          </w:tcPr>
          <w:p w14:paraId="73D0BA9F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  <w:tr w:rsidR="00FC60A4" w:rsidRPr="00CC0FA8" w14:paraId="2E71B7C6" w14:textId="77777777" w:rsidTr="00511B19">
        <w:tc>
          <w:tcPr>
            <w:tcW w:w="8856" w:type="dxa"/>
            <w:gridSpan w:val="2"/>
          </w:tcPr>
          <w:p w14:paraId="3A4CC6C1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b/>
                <w:i/>
                <w:iCs/>
                <w:sz w:val="22"/>
                <w:szCs w:val="22"/>
              </w:rPr>
              <w:t>External validity</w:t>
            </w:r>
          </w:p>
        </w:tc>
      </w:tr>
      <w:tr w:rsidR="00FC60A4" w:rsidRPr="00CC0FA8" w14:paraId="7D4C59B4" w14:textId="77777777" w:rsidTr="00511B19">
        <w:tc>
          <w:tcPr>
            <w:tcW w:w="4428" w:type="dxa"/>
          </w:tcPr>
          <w:p w14:paraId="5BA402B7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>No direct comparison</w:t>
            </w:r>
          </w:p>
        </w:tc>
        <w:tc>
          <w:tcPr>
            <w:tcW w:w="4428" w:type="dxa"/>
          </w:tcPr>
          <w:p w14:paraId="3E0913E0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(EVQ1)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biologic plausibility</w:t>
            </w:r>
          </w:p>
        </w:tc>
      </w:tr>
      <w:tr w:rsidR="00FC60A4" w:rsidRPr="00CC0FA8" w14:paraId="1E7B6327" w14:textId="77777777" w:rsidTr="00511B19">
        <w:tc>
          <w:tcPr>
            <w:tcW w:w="4428" w:type="dxa"/>
          </w:tcPr>
          <w:p w14:paraId="751A4CB8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11.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4428" w:type="dxa"/>
            <w:vMerge w:val="restart"/>
          </w:tcPr>
          <w:p w14:paraId="0CFE1247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(EVQ2)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similarities of the populations studied and primary care patients (in terms of risk factor profile, demographics, ethnicity, gender, clinical presentation, and similar factors)</w:t>
            </w:r>
          </w:p>
          <w:p w14:paraId="0A0FE2C5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C60A4" w:rsidRPr="00CC0FA8" w14:paraId="029ECE6A" w14:textId="77777777" w:rsidTr="00511B19">
        <w:tc>
          <w:tcPr>
            <w:tcW w:w="4428" w:type="dxa"/>
          </w:tcPr>
          <w:p w14:paraId="7E97A2DC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12.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4428" w:type="dxa"/>
            <w:vMerge/>
          </w:tcPr>
          <w:p w14:paraId="1A4FCE01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C60A4" w:rsidRPr="00CC0FA8" w14:paraId="3ECB1513" w14:textId="77777777" w:rsidTr="00511B19">
        <w:tc>
          <w:tcPr>
            <w:tcW w:w="4428" w:type="dxa"/>
          </w:tcPr>
          <w:p w14:paraId="21616804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>No direct comparison</w:t>
            </w:r>
          </w:p>
        </w:tc>
        <w:tc>
          <w:tcPr>
            <w:tcW w:w="4428" w:type="dxa"/>
          </w:tcPr>
          <w:p w14:paraId="30E01B14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 xml:space="preserve">(EVQ3) 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similarities of the test or intervention studied to those that would be routinely available or feasible in typical </w:t>
            </w:r>
            <w:r w:rsidRPr="00CC0FA8">
              <w:rPr>
                <w:i/>
                <w:sz w:val="22"/>
                <w:szCs w:val="22"/>
                <w:lang w:eastAsia="en-GB"/>
              </w:rPr>
              <w:lastRenderedPageBreak/>
              <w:t>practice</w:t>
            </w:r>
          </w:p>
          <w:p w14:paraId="207B8C89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</w:p>
        </w:tc>
      </w:tr>
      <w:tr w:rsidR="00FC60A4" w:rsidRPr="00CC0FA8" w14:paraId="49A43C6E" w14:textId="77777777" w:rsidTr="00511B19">
        <w:tc>
          <w:tcPr>
            <w:tcW w:w="4428" w:type="dxa"/>
          </w:tcPr>
          <w:p w14:paraId="0FF44150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lastRenderedPageBreak/>
              <w:t>13.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4428" w:type="dxa"/>
          </w:tcPr>
          <w:p w14:paraId="287A5183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(EVQ4)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clinical or social environmental circumstances in the studies that could modify the results from those expected in a primary care setting</w:t>
            </w:r>
          </w:p>
          <w:p w14:paraId="7795D1F3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FC60A4" w:rsidRPr="00CC0FA8" w14:paraId="26F278A9" w14:textId="77777777" w:rsidTr="00511B19">
        <w:tc>
          <w:tcPr>
            <w:tcW w:w="8856" w:type="dxa"/>
            <w:gridSpan w:val="2"/>
          </w:tcPr>
          <w:p w14:paraId="3CAF2A31" w14:textId="77777777" w:rsidR="00FC60A4" w:rsidRPr="00CC0FA8" w:rsidRDefault="00FC60A4" w:rsidP="00511B19">
            <w:pPr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0FA8">
              <w:rPr>
                <w:b/>
                <w:i/>
                <w:iCs/>
                <w:sz w:val="22"/>
                <w:szCs w:val="22"/>
              </w:rPr>
              <w:t>Internal validity – bias</w:t>
            </w:r>
          </w:p>
        </w:tc>
      </w:tr>
      <w:tr w:rsidR="00FC60A4" w:rsidRPr="00CC0FA8" w14:paraId="5B64114F" w14:textId="77777777" w:rsidTr="00511B19">
        <w:tc>
          <w:tcPr>
            <w:tcW w:w="4428" w:type="dxa"/>
          </w:tcPr>
          <w:p w14:paraId="3F0BC396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14.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 xml:space="preserve">Was an attempt made to blind study subjects to the intervention they have </w:t>
            </w:r>
            <w:proofErr w:type="gramStart"/>
            <w:r w:rsidRPr="00CC0FA8">
              <w:rPr>
                <w:i/>
                <w:iCs/>
                <w:sz w:val="22"/>
                <w:szCs w:val="22"/>
              </w:rPr>
              <w:t>received ?</w:t>
            </w:r>
            <w:proofErr w:type="gramEnd"/>
          </w:p>
        </w:tc>
        <w:tc>
          <w:tcPr>
            <w:tcW w:w="4428" w:type="dxa"/>
            <w:vMerge w:val="restart"/>
          </w:tcPr>
          <w:p w14:paraId="415B2350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(EVQ4)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Measurements: equal, reliable, and valid (includes masking of outcome assessment)</w:t>
            </w:r>
          </w:p>
          <w:p w14:paraId="60669B63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</w:p>
        </w:tc>
      </w:tr>
      <w:tr w:rsidR="00FC60A4" w:rsidRPr="00CC0FA8" w14:paraId="189D87B6" w14:textId="77777777" w:rsidTr="00511B19">
        <w:tc>
          <w:tcPr>
            <w:tcW w:w="4428" w:type="dxa"/>
          </w:tcPr>
          <w:p w14:paraId="28F8F691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15.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Was an attempt made to blind those measuring the main outcomes of the intervention?</w:t>
            </w:r>
          </w:p>
        </w:tc>
        <w:tc>
          <w:tcPr>
            <w:tcW w:w="4428" w:type="dxa"/>
            <w:vMerge/>
          </w:tcPr>
          <w:p w14:paraId="7217DD9B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C60A4" w:rsidRPr="00CC0FA8" w14:paraId="0FF01A8F" w14:textId="77777777" w:rsidTr="00511B19">
        <w:tc>
          <w:tcPr>
            <w:tcW w:w="4428" w:type="dxa"/>
          </w:tcPr>
          <w:p w14:paraId="6E6C0318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16.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If any of the results of the study were based on “data dredging”, was this made clear?</w:t>
            </w:r>
          </w:p>
        </w:tc>
        <w:tc>
          <w:tcPr>
            <w:tcW w:w="4428" w:type="dxa"/>
          </w:tcPr>
          <w:p w14:paraId="40BF8F7A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  <w:tr w:rsidR="00FC60A4" w:rsidRPr="00CC0FA8" w14:paraId="00A73C01" w14:textId="77777777" w:rsidTr="00511B19">
        <w:tc>
          <w:tcPr>
            <w:tcW w:w="4428" w:type="dxa"/>
          </w:tcPr>
          <w:p w14:paraId="09378E42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17.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 xml:space="preserve">In trials and cohort studies, do the analyses adjust for different lengths of follow-up of patients, or in case-control studies, is the time period between the intervention and outcome the same for cases and </w:t>
            </w:r>
            <w:proofErr w:type="gramStart"/>
            <w:r w:rsidRPr="00CC0FA8">
              <w:rPr>
                <w:i/>
                <w:iCs/>
                <w:sz w:val="22"/>
                <w:szCs w:val="22"/>
              </w:rPr>
              <w:t>controls ?</w:t>
            </w:r>
            <w:proofErr w:type="gramEnd"/>
          </w:p>
        </w:tc>
        <w:tc>
          <w:tcPr>
            <w:tcW w:w="4428" w:type="dxa"/>
          </w:tcPr>
          <w:p w14:paraId="33593732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>No direct comparison</w:t>
            </w:r>
          </w:p>
        </w:tc>
      </w:tr>
      <w:tr w:rsidR="00FC60A4" w:rsidRPr="00CC0FA8" w14:paraId="13997FE0" w14:textId="77777777" w:rsidTr="00511B19">
        <w:tc>
          <w:tcPr>
            <w:tcW w:w="4428" w:type="dxa"/>
          </w:tcPr>
          <w:p w14:paraId="2AB5A6BD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18.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Were the statistical tests used to assess the main outcomes appropriate?</w:t>
            </w:r>
          </w:p>
        </w:tc>
        <w:tc>
          <w:tcPr>
            <w:tcW w:w="4428" w:type="dxa"/>
          </w:tcPr>
          <w:p w14:paraId="15CA793B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  <w:tr w:rsidR="00FC60A4" w:rsidRPr="00CC0FA8" w14:paraId="3B7F9B0D" w14:textId="77777777" w:rsidTr="00511B19">
        <w:tc>
          <w:tcPr>
            <w:tcW w:w="4428" w:type="dxa"/>
          </w:tcPr>
          <w:p w14:paraId="02CB6F63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19.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Was compliance with the intervention/s reliable?</w:t>
            </w:r>
          </w:p>
        </w:tc>
        <w:tc>
          <w:tcPr>
            <w:tcW w:w="4428" w:type="dxa"/>
          </w:tcPr>
          <w:p w14:paraId="517CCADF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 xml:space="preserve">(IVQ2) </w:t>
            </w:r>
            <w:r w:rsidRPr="00CC0FA8">
              <w:rPr>
                <w:i/>
                <w:sz w:val="22"/>
                <w:szCs w:val="22"/>
                <w:lang w:eastAsia="en-GB"/>
              </w:rPr>
              <w:t>Maintenance of comparable groups (includes attrition, crossovers, adherence, contamination)</w:t>
            </w:r>
          </w:p>
        </w:tc>
      </w:tr>
      <w:tr w:rsidR="00FC60A4" w:rsidRPr="00CC0FA8" w14:paraId="378E3D69" w14:textId="77777777" w:rsidTr="00511B19">
        <w:tc>
          <w:tcPr>
            <w:tcW w:w="4428" w:type="dxa"/>
          </w:tcPr>
          <w:p w14:paraId="296C2634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20.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Were the main outcome measures used accurate (valid and reliable)?</w:t>
            </w:r>
          </w:p>
        </w:tc>
        <w:tc>
          <w:tcPr>
            <w:tcW w:w="4428" w:type="dxa"/>
          </w:tcPr>
          <w:p w14:paraId="3502629F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(IVQ4)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Measurements: equal, reliable, and valid (includes masking of outcome assessment) </w:t>
            </w:r>
            <w:r w:rsidRPr="00CC0FA8">
              <w:rPr>
                <w:b/>
                <w:i/>
                <w:sz w:val="22"/>
                <w:szCs w:val="22"/>
                <w:lang w:eastAsia="en-GB"/>
              </w:rPr>
              <w:t>(IVQ6)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All important outcomes considered </w:t>
            </w:r>
          </w:p>
        </w:tc>
      </w:tr>
      <w:tr w:rsidR="00FC60A4" w:rsidRPr="00CC0FA8" w14:paraId="0F485609" w14:textId="77777777" w:rsidTr="00511B19">
        <w:tc>
          <w:tcPr>
            <w:tcW w:w="4428" w:type="dxa"/>
          </w:tcPr>
          <w:p w14:paraId="66D6C234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21.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4428" w:type="dxa"/>
          </w:tcPr>
          <w:p w14:paraId="57E535A8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  <w:tr w:rsidR="00FC60A4" w:rsidRPr="00CC0FA8" w14:paraId="1701CB4D" w14:textId="77777777" w:rsidTr="00511B19">
        <w:tc>
          <w:tcPr>
            <w:tcW w:w="8856" w:type="dxa"/>
            <w:gridSpan w:val="2"/>
          </w:tcPr>
          <w:p w14:paraId="65194F3D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iCs/>
                <w:sz w:val="22"/>
                <w:szCs w:val="22"/>
              </w:rPr>
              <w:t>Internal validity - confounding (selection bias)</w:t>
            </w:r>
          </w:p>
        </w:tc>
      </w:tr>
      <w:tr w:rsidR="00FC60A4" w:rsidRPr="00CC0FA8" w14:paraId="041FA7C6" w14:textId="77777777" w:rsidTr="00511B19">
        <w:tc>
          <w:tcPr>
            <w:tcW w:w="4428" w:type="dxa"/>
          </w:tcPr>
          <w:p w14:paraId="3AE11147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22</w:t>
            </w:r>
            <w:r w:rsidRPr="00CC0FA8">
              <w:rPr>
                <w:i/>
                <w:sz w:val="22"/>
                <w:szCs w:val="22"/>
              </w:rPr>
              <w:t xml:space="preserve">. </w:t>
            </w:r>
            <w:r w:rsidRPr="00CC0FA8">
              <w:rPr>
                <w:i/>
                <w:iCs/>
                <w:sz w:val="22"/>
                <w:szCs w:val="22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4428" w:type="dxa"/>
          </w:tcPr>
          <w:p w14:paraId="6760B57F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  <w:tr w:rsidR="00FC60A4" w:rsidRPr="00CC0FA8" w14:paraId="0140C777" w14:textId="77777777" w:rsidTr="00511B19">
        <w:tc>
          <w:tcPr>
            <w:tcW w:w="4428" w:type="dxa"/>
          </w:tcPr>
          <w:p w14:paraId="4D741A37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23.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Were study subjects randomised to intervention groups?</w:t>
            </w:r>
          </w:p>
        </w:tc>
        <w:tc>
          <w:tcPr>
            <w:tcW w:w="4428" w:type="dxa"/>
          </w:tcPr>
          <w:p w14:paraId="7A1E8E2A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(IVQ1)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Initial assembly of comparable groups: For RCTs: adequate randomization including concealment and whether potential confounders were distributed equally among groups. For cohort studies: consideration of potential confounders with either restriction or measurement for adjustment in the analysis; consideration of inception cohorts </w:t>
            </w:r>
          </w:p>
        </w:tc>
      </w:tr>
      <w:tr w:rsidR="00FC60A4" w:rsidRPr="00CC0FA8" w14:paraId="4078292E" w14:textId="77777777" w:rsidTr="00511B19">
        <w:tc>
          <w:tcPr>
            <w:tcW w:w="4428" w:type="dxa"/>
          </w:tcPr>
          <w:p w14:paraId="2D30CA6B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24.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Was the randomised intervention assignment concealed from both patients and health care staff until recruitment was complete and irrevocable?</w:t>
            </w:r>
          </w:p>
        </w:tc>
        <w:tc>
          <w:tcPr>
            <w:tcW w:w="4428" w:type="dxa"/>
          </w:tcPr>
          <w:p w14:paraId="43D22877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(IVQ1)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Initial assembly of comparable groups: For RCTs: adequate randomization including concealment and whether potential confounders were distributed equally among groups. For cohort studies: consideration of </w:t>
            </w:r>
            <w:r w:rsidRPr="00CC0FA8">
              <w:rPr>
                <w:i/>
                <w:sz w:val="22"/>
                <w:szCs w:val="22"/>
                <w:lang w:eastAsia="en-GB"/>
              </w:rPr>
              <w:lastRenderedPageBreak/>
              <w:t xml:space="preserve">potential confounders with either restriction or measurement for adjustment in the analysis; consideration of inception cohorts. </w:t>
            </w:r>
          </w:p>
          <w:p w14:paraId="7067280B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i/>
                <w:sz w:val="22"/>
                <w:szCs w:val="22"/>
                <w:lang w:eastAsia="en-GB"/>
              </w:rPr>
              <w:t xml:space="preserve"> </w:t>
            </w:r>
            <w:r w:rsidRPr="00CC0FA8">
              <w:rPr>
                <w:b/>
                <w:i/>
                <w:sz w:val="22"/>
                <w:szCs w:val="22"/>
                <w:lang w:eastAsia="en-GB"/>
              </w:rPr>
              <w:t>(IVQ4)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Measurements: equal, reliable, and valid (includes masking of outcome assessment) </w:t>
            </w:r>
          </w:p>
        </w:tc>
      </w:tr>
      <w:tr w:rsidR="00FC60A4" w:rsidRPr="00CC0FA8" w14:paraId="17ADFD03" w14:textId="77777777" w:rsidTr="00511B19">
        <w:tc>
          <w:tcPr>
            <w:tcW w:w="4428" w:type="dxa"/>
          </w:tcPr>
          <w:p w14:paraId="5CD094DD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lastRenderedPageBreak/>
              <w:t>25.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Was there adequate adjustment for confounding in the analyses from which the main findings were drawn?</w:t>
            </w:r>
          </w:p>
        </w:tc>
        <w:tc>
          <w:tcPr>
            <w:tcW w:w="4428" w:type="dxa"/>
          </w:tcPr>
          <w:p w14:paraId="48EBC33E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(IVQ7)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Analysis: adjustment for potential confounders for cohort studies, or intention-to-treat analysis for RCTs </w:t>
            </w:r>
          </w:p>
        </w:tc>
      </w:tr>
      <w:tr w:rsidR="00FC60A4" w:rsidRPr="00CC0FA8" w14:paraId="597372BE" w14:textId="77777777" w:rsidTr="00511B19">
        <w:tc>
          <w:tcPr>
            <w:tcW w:w="4428" w:type="dxa"/>
          </w:tcPr>
          <w:p w14:paraId="08D02D9E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26.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Were losses of patients to follow-up taken into account?</w:t>
            </w:r>
          </w:p>
        </w:tc>
        <w:tc>
          <w:tcPr>
            <w:tcW w:w="4428" w:type="dxa"/>
          </w:tcPr>
          <w:p w14:paraId="3572AB7D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>(IVQ2)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 Maintenance of comparable groups (includes attrition, crossovers, adherence, contamination)</w:t>
            </w:r>
          </w:p>
          <w:p w14:paraId="0B29B0E2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2"/>
                <w:szCs w:val="22"/>
                <w:lang w:eastAsia="en-GB"/>
              </w:rPr>
            </w:pPr>
            <w:r w:rsidRPr="00CC0FA8">
              <w:rPr>
                <w:b/>
                <w:i/>
                <w:sz w:val="22"/>
                <w:szCs w:val="22"/>
                <w:lang w:eastAsia="en-GB"/>
              </w:rPr>
              <w:t xml:space="preserve">(IVQ3) </w:t>
            </w:r>
            <w:r w:rsidRPr="00CC0FA8">
              <w:rPr>
                <w:i/>
                <w:sz w:val="22"/>
                <w:szCs w:val="22"/>
                <w:lang w:eastAsia="en-GB"/>
              </w:rPr>
              <w:t xml:space="preserve">Important differential loss to follow-up or overall high loss to follow-up </w:t>
            </w:r>
          </w:p>
        </w:tc>
      </w:tr>
      <w:tr w:rsidR="00FC60A4" w:rsidRPr="00CC0FA8" w14:paraId="1F25A7BA" w14:textId="77777777" w:rsidTr="00511B19">
        <w:tc>
          <w:tcPr>
            <w:tcW w:w="8856" w:type="dxa"/>
            <w:gridSpan w:val="2"/>
          </w:tcPr>
          <w:p w14:paraId="3D05B60B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Power</w:t>
            </w:r>
          </w:p>
        </w:tc>
      </w:tr>
      <w:tr w:rsidR="00FC60A4" w:rsidRPr="00CC0FA8" w14:paraId="27F3DB8D" w14:textId="77777777" w:rsidTr="00511B19">
        <w:tc>
          <w:tcPr>
            <w:tcW w:w="4428" w:type="dxa"/>
          </w:tcPr>
          <w:p w14:paraId="02A05B59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b/>
                <w:i/>
                <w:sz w:val="22"/>
                <w:szCs w:val="22"/>
              </w:rPr>
              <w:t>27.</w:t>
            </w:r>
            <w:r w:rsidRPr="00CC0FA8">
              <w:rPr>
                <w:i/>
                <w:sz w:val="22"/>
                <w:szCs w:val="22"/>
              </w:rPr>
              <w:t xml:space="preserve"> </w:t>
            </w:r>
            <w:r w:rsidRPr="00CC0FA8">
              <w:rPr>
                <w:i/>
                <w:iCs/>
                <w:sz w:val="22"/>
                <w:szCs w:val="22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4428" w:type="dxa"/>
          </w:tcPr>
          <w:p w14:paraId="5CDD1177" w14:textId="77777777" w:rsidR="00FC60A4" w:rsidRPr="00CC0FA8" w:rsidRDefault="00FC60A4" w:rsidP="00511B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CC0FA8">
              <w:rPr>
                <w:i/>
                <w:iCs/>
                <w:sz w:val="22"/>
                <w:szCs w:val="22"/>
              </w:rPr>
              <w:t xml:space="preserve">No direct comparison </w:t>
            </w:r>
          </w:p>
        </w:tc>
      </w:tr>
    </w:tbl>
    <w:p w14:paraId="513A681E" w14:textId="77777777" w:rsidR="00FC60A4" w:rsidRPr="003F3A57" w:rsidRDefault="00FC60A4" w:rsidP="00FC60A4">
      <w:pPr>
        <w:spacing w:line="240" w:lineRule="auto"/>
        <w:jc w:val="both"/>
      </w:pPr>
      <w:r w:rsidRPr="003F3A57">
        <w:t xml:space="preserve">** The USPSTF system consists of a number of strata of which quality assessment is the first step. Adverse events are considered as part of a later stage where the reported and potential harms associated with the intervention in question are considered. </w:t>
      </w:r>
    </w:p>
    <w:p w14:paraId="48B93412" w14:textId="77777777" w:rsidR="00FC60A4" w:rsidRDefault="00FC60A4" w:rsidP="00FC60A4"/>
    <w:p w14:paraId="040F62F8" w14:textId="77777777" w:rsidR="00FC60A4" w:rsidRDefault="00FC60A4" w:rsidP="00FC60A4">
      <w:pPr>
        <w:rPr>
          <w:b/>
        </w:rPr>
      </w:pPr>
    </w:p>
    <w:p w14:paraId="5D54820F" w14:textId="77777777" w:rsidR="00FC60A4" w:rsidRDefault="00FC60A4" w:rsidP="00FC60A4">
      <w:pPr>
        <w:rPr>
          <w:b/>
        </w:rPr>
      </w:pPr>
    </w:p>
    <w:p w14:paraId="0E0E5B9C" w14:textId="77777777" w:rsidR="00FC60A4" w:rsidRDefault="00FC60A4" w:rsidP="00FC60A4">
      <w:pPr>
        <w:rPr>
          <w:b/>
        </w:rPr>
      </w:pPr>
    </w:p>
    <w:p w14:paraId="57DD2133" w14:textId="77777777" w:rsidR="00FC60A4" w:rsidRDefault="00FC60A4" w:rsidP="00FC60A4">
      <w:pPr>
        <w:rPr>
          <w:b/>
        </w:rPr>
      </w:pPr>
    </w:p>
    <w:p w14:paraId="594F7DD6" w14:textId="77777777" w:rsidR="00FC60A4" w:rsidRDefault="00FC60A4" w:rsidP="00FC60A4">
      <w:pPr>
        <w:rPr>
          <w:b/>
        </w:rPr>
      </w:pPr>
    </w:p>
    <w:p w14:paraId="599B728D" w14:textId="77777777" w:rsidR="00FC60A4" w:rsidRDefault="00FC60A4" w:rsidP="00FC60A4">
      <w:pPr>
        <w:rPr>
          <w:b/>
        </w:rPr>
      </w:pPr>
    </w:p>
    <w:p w14:paraId="3B867612" w14:textId="77777777" w:rsidR="00FC60A4" w:rsidRDefault="00FC60A4" w:rsidP="00FC60A4">
      <w:pPr>
        <w:rPr>
          <w:b/>
        </w:rPr>
      </w:pPr>
    </w:p>
    <w:p w14:paraId="306C6B21" w14:textId="77777777" w:rsidR="00FC60A4" w:rsidRDefault="00FC60A4" w:rsidP="00FC60A4">
      <w:pPr>
        <w:rPr>
          <w:b/>
        </w:rPr>
      </w:pPr>
    </w:p>
    <w:p w14:paraId="4A569B9E" w14:textId="77777777" w:rsidR="00FC60A4" w:rsidRDefault="00FC60A4" w:rsidP="00FC60A4">
      <w:pPr>
        <w:rPr>
          <w:b/>
        </w:rPr>
      </w:pPr>
    </w:p>
    <w:p w14:paraId="779CD2F0" w14:textId="77777777" w:rsidR="00FC60A4" w:rsidRDefault="00FC60A4" w:rsidP="00FC60A4">
      <w:pPr>
        <w:rPr>
          <w:b/>
        </w:rPr>
      </w:pPr>
    </w:p>
    <w:p w14:paraId="56553985" w14:textId="77777777" w:rsidR="00FC60A4" w:rsidRDefault="00FC60A4" w:rsidP="00FC60A4">
      <w:pPr>
        <w:rPr>
          <w:b/>
        </w:rPr>
      </w:pPr>
    </w:p>
    <w:p w14:paraId="1E8C98BB" w14:textId="77777777" w:rsidR="00FC60A4" w:rsidRDefault="00FC60A4" w:rsidP="00FC60A4">
      <w:pPr>
        <w:rPr>
          <w:b/>
        </w:rPr>
      </w:pPr>
    </w:p>
    <w:p w14:paraId="12CC099D" w14:textId="77777777" w:rsidR="00FC60A4" w:rsidRDefault="00FC60A4" w:rsidP="00FC60A4">
      <w:pPr>
        <w:rPr>
          <w:b/>
        </w:rPr>
      </w:pPr>
    </w:p>
    <w:p w14:paraId="3899910B" w14:textId="77777777" w:rsidR="0013624D" w:rsidRDefault="0013624D"/>
    <w:sectPr w:rsidR="0013624D" w:rsidSect="00FC60A4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CD025" w14:textId="77777777" w:rsidR="003859F4" w:rsidRDefault="003859F4">
      <w:pPr>
        <w:spacing w:line="240" w:lineRule="auto"/>
      </w:pPr>
      <w:r>
        <w:separator/>
      </w:r>
    </w:p>
  </w:endnote>
  <w:endnote w:type="continuationSeparator" w:id="0">
    <w:p w14:paraId="0A3F4DFA" w14:textId="77777777" w:rsidR="003859F4" w:rsidRDefault="00385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8F8ED" w14:textId="77777777" w:rsidR="00B1400B" w:rsidRDefault="00783B26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DA0D0C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91566" w14:textId="77777777" w:rsidR="003859F4" w:rsidRDefault="003859F4">
      <w:pPr>
        <w:spacing w:line="240" w:lineRule="auto"/>
      </w:pPr>
      <w:r>
        <w:separator/>
      </w:r>
    </w:p>
  </w:footnote>
  <w:footnote w:type="continuationSeparator" w:id="0">
    <w:p w14:paraId="443E12B2" w14:textId="77777777" w:rsidR="003859F4" w:rsidRDefault="003859F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0A4"/>
    <w:rsid w:val="000E7362"/>
    <w:rsid w:val="001040F3"/>
    <w:rsid w:val="0013624D"/>
    <w:rsid w:val="00157441"/>
    <w:rsid w:val="00217435"/>
    <w:rsid w:val="003859F4"/>
    <w:rsid w:val="003F3EBF"/>
    <w:rsid w:val="006234E0"/>
    <w:rsid w:val="00783B26"/>
    <w:rsid w:val="008867C3"/>
    <w:rsid w:val="00A2617B"/>
    <w:rsid w:val="00AC2EF5"/>
    <w:rsid w:val="00B1400B"/>
    <w:rsid w:val="00D52BBB"/>
    <w:rsid w:val="00DA0D0C"/>
    <w:rsid w:val="00F7202C"/>
    <w:rsid w:val="00FC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93038"/>
  <w15:docId w15:val="{BC254BA7-B2B8-499D-BD45-98A22713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0A4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C60A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C60A4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C60A4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60A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C60A4"/>
    <w:rPr>
      <w:rFonts w:ascii="Arial" w:eastAsia="Times New Roman" w:hAnsi="Arial" w:cs="Arial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rsid w:val="00FC6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FC60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FC60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0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0A4"/>
    <w:rPr>
      <w:rFonts w:ascii="Tahoma" w:eastAsia="Times New Roman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C6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Medicine, Dentistry and Biomedical Sciences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Saeedeh Abbasi</cp:lastModifiedBy>
  <cp:revision>5</cp:revision>
  <dcterms:created xsi:type="dcterms:W3CDTF">2015-03-05T13:05:00Z</dcterms:created>
  <dcterms:modified xsi:type="dcterms:W3CDTF">2024-09-01T12:57:00Z</dcterms:modified>
</cp:coreProperties>
</file>