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223FE">
      <w:pPr>
        <w:pStyle w:val="8"/>
        <w:keepNext w:val="0"/>
        <w:keepLines w:val="0"/>
        <w:widowControl/>
        <w:suppressLineNumbers w:val="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Effects of </w:t>
      </w:r>
      <w:r>
        <w:rPr>
          <w:rFonts w:hint="eastAsia" w:ascii="Times New Roman" w:hAnsi="Times New Roman" w:cs="Times New Roman"/>
          <w:b/>
          <w:bCs/>
          <w:sz w:val="24"/>
          <w:szCs w:val="24"/>
          <w:lang w:val="en-US" w:eastAsia="zh-CN"/>
        </w:rPr>
        <w:t>A</w:t>
      </w:r>
      <w:r>
        <w:rPr>
          <w:rFonts w:hint="default" w:ascii="Times New Roman" w:hAnsi="Times New Roman" w:cs="Times New Roman"/>
          <w:b/>
          <w:bCs/>
          <w:sz w:val="24"/>
          <w:szCs w:val="24"/>
        </w:rPr>
        <w:t xml:space="preserve">erobic </w:t>
      </w:r>
      <w:r>
        <w:rPr>
          <w:rFonts w:hint="eastAsia" w:ascii="Times New Roman" w:hAnsi="Times New Roman" w:cs="Times New Roman"/>
          <w:b/>
          <w:bCs/>
          <w:sz w:val="24"/>
          <w:szCs w:val="24"/>
          <w:lang w:val="en-US" w:eastAsia="zh-CN"/>
        </w:rPr>
        <w:t>C</w:t>
      </w:r>
      <w:r>
        <w:rPr>
          <w:rFonts w:hint="default" w:ascii="Times New Roman" w:hAnsi="Times New Roman" w:cs="Times New Roman"/>
          <w:b/>
          <w:bCs/>
          <w:sz w:val="24"/>
          <w:szCs w:val="24"/>
        </w:rPr>
        <w:t xml:space="preserve">ombined with </w:t>
      </w:r>
      <w:r>
        <w:rPr>
          <w:rFonts w:hint="eastAsia" w:ascii="Times New Roman" w:hAnsi="Times New Roman" w:cs="Times New Roman"/>
          <w:b/>
          <w:bCs/>
          <w:sz w:val="24"/>
          <w:szCs w:val="24"/>
          <w:lang w:val="en-US" w:eastAsia="zh-CN"/>
        </w:rPr>
        <w:t>R</w:t>
      </w:r>
      <w:r>
        <w:rPr>
          <w:rFonts w:hint="default" w:ascii="Times New Roman" w:hAnsi="Times New Roman" w:cs="Times New Roman"/>
          <w:b/>
          <w:bCs/>
          <w:sz w:val="24"/>
          <w:szCs w:val="24"/>
        </w:rPr>
        <w:t xml:space="preserve">esistance </w:t>
      </w:r>
      <w:r>
        <w:rPr>
          <w:rFonts w:hint="eastAsia" w:ascii="Times New Roman" w:hAnsi="Times New Roman" w:cs="Times New Roman"/>
          <w:b/>
          <w:bCs/>
          <w:sz w:val="24"/>
          <w:szCs w:val="24"/>
          <w:lang w:val="en-US" w:eastAsia="zh-CN"/>
        </w:rPr>
        <w:t>T</w:t>
      </w:r>
      <w:r>
        <w:rPr>
          <w:rFonts w:hint="default" w:ascii="Times New Roman" w:hAnsi="Times New Roman" w:cs="Times New Roman"/>
          <w:b/>
          <w:bCs/>
          <w:sz w:val="24"/>
          <w:szCs w:val="24"/>
        </w:rPr>
        <w:t xml:space="preserve">raining on </w:t>
      </w:r>
      <w:r>
        <w:rPr>
          <w:rFonts w:hint="eastAsia" w:ascii="Times New Roman" w:hAnsi="Times New Roman" w:cs="Times New Roman"/>
          <w:b/>
          <w:bCs/>
          <w:sz w:val="24"/>
          <w:szCs w:val="24"/>
          <w:lang w:val="en-US" w:eastAsia="zh-CN"/>
        </w:rPr>
        <w:t>C</w:t>
      </w:r>
      <w:r>
        <w:rPr>
          <w:rFonts w:hint="default" w:ascii="Times New Roman" w:hAnsi="Times New Roman" w:cs="Times New Roman"/>
          <w:b/>
          <w:bCs/>
          <w:sz w:val="24"/>
          <w:szCs w:val="24"/>
        </w:rPr>
        <w:t xml:space="preserve">ardiopulmonary </w:t>
      </w:r>
      <w:r>
        <w:rPr>
          <w:rFonts w:hint="eastAsia" w:ascii="Times New Roman" w:hAnsi="Times New Roman" w:cs="Times New Roman"/>
          <w:b/>
          <w:bCs/>
          <w:sz w:val="24"/>
          <w:szCs w:val="24"/>
          <w:lang w:val="en-US" w:eastAsia="zh-CN"/>
        </w:rPr>
        <w:t>F</w:t>
      </w:r>
      <w:r>
        <w:rPr>
          <w:rFonts w:hint="default" w:ascii="Times New Roman" w:hAnsi="Times New Roman" w:cs="Times New Roman"/>
          <w:b/>
          <w:bCs/>
          <w:sz w:val="24"/>
          <w:szCs w:val="24"/>
        </w:rPr>
        <w:t xml:space="preserve">unction in </w:t>
      </w:r>
      <w:r>
        <w:rPr>
          <w:rFonts w:hint="eastAsia" w:ascii="Times New Roman" w:hAnsi="Times New Roman" w:cs="Times New Roman"/>
          <w:b/>
          <w:bCs/>
          <w:sz w:val="24"/>
          <w:szCs w:val="24"/>
          <w:lang w:val="en-US" w:eastAsia="zh-CN"/>
        </w:rPr>
        <w:t>P</w:t>
      </w:r>
      <w:r>
        <w:rPr>
          <w:rFonts w:hint="default" w:ascii="Times New Roman" w:hAnsi="Times New Roman" w:cs="Times New Roman"/>
          <w:b/>
          <w:bCs/>
          <w:sz w:val="24"/>
          <w:szCs w:val="24"/>
        </w:rPr>
        <w:t xml:space="preserve">atients with coronary heart disease: A Bayesian Meta-Analysis Based on </w:t>
      </w:r>
      <w:r>
        <w:rPr>
          <w:rFonts w:hint="eastAsia" w:ascii="Times New Roman" w:hAnsi="Times New Roman" w:cs="Times New Roman"/>
          <w:b/>
          <w:bCs/>
          <w:sz w:val="24"/>
          <w:szCs w:val="24"/>
          <w:lang w:val="en-US" w:eastAsia="zh-CN"/>
        </w:rPr>
        <w:t>Dose-Response</w:t>
      </w:r>
      <w:r>
        <w:rPr>
          <w:rFonts w:hint="default"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Baseline Status</w:t>
      </w:r>
      <w:r>
        <w:rPr>
          <w:rFonts w:hint="default" w:ascii="Times New Roman" w:hAnsi="Times New Roman" w:cs="Times New Roman"/>
          <w:b/>
          <w:bCs/>
          <w:sz w:val="24"/>
          <w:szCs w:val="24"/>
        </w:rPr>
        <w:t>, and Other Moderators</w:t>
      </w:r>
    </w:p>
    <w:p w14:paraId="05585FAB">
      <w:pPr>
        <w:pStyle w:val="8"/>
        <w:keepNext w:val="0"/>
        <w:keepLines w:val="0"/>
        <w:widowControl/>
        <w:suppressLineNumbers w:val="0"/>
        <w:jc w:val="both"/>
        <w:rPr>
          <w:rFonts w:hint="default" w:ascii="Times New Roman" w:hAnsi="Times New Roman" w:cs="Times New Roman"/>
          <w:b/>
          <w:bCs/>
          <w:sz w:val="24"/>
          <w:szCs w:val="24"/>
        </w:rPr>
      </w:pPr>
    </w:p>
    <w:sdt>
      <w:sdtPr>
        <w:rPr>
          <w:rFonts w:hint="default" w:ascii="Times New Roman" w:hAnsi="Times New Roman" w:eastAsia="宋体" w:cs="Times New Roman"/>
          <w:b/>
          <w:bCs/>
          <w:kern w:val="2"/>
          <w:sz w:val="21"/>
          <w:szCs w:val="24"/>
          <w:lang w:val="en-US" w:eastAsia="zh-CN" w:bidi="ar-SA"/>
        </w:rPr>
        <w:id w:val="147463946"/>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01DCCAA">
          <w:pPr>
            <w:spacing w:before="0" w:beforeLines="0" w:after="0" w:afterLines="0" w:line="240" w:lineRule="auto"/>
            <w:ind w:left="0" w:leftChars="0" w:right="0" w:rightChars="0" w:firstLine="0" w:firstLineChars="0"/>
            <w:jc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eastAsia="宋体" w:cs="Times New Roman"/>
              <w:b/>
              <w:bCs/>
              <w:kern w:val="2"/>
              <w:sz w:val="21"/>
              <w:szCs w:val="24"/>
              <w:lang w:val="en-US" w:eastAsia="zh-CN" w:bidi="ar-SA"/>
            </w:rPr>
            <w:t>S</w:t>
          </w:r>
          <w:r>
            <w:rPr>
              <w:rFonts w:hint="default" w:ascii="Times New Roman" w:hAnsi="Times New Roman" w:cs="Times New Roman"/>
              <w:b/>
              <w:bCs/>
              <w:sz w:val="24"/>
              <w:szCs w:val="24"/>
            </w:rPr>
            <w:t>upplementary file</w:t>
          </w:r>
          <w:r>
            <w:rPr>
              <w:rFonts w:hint="default" w:ascii="Times New Roman" w:hAnsi="Times New Roman" w:cs="Times New Roman"/>
              <w:b/>
              <w:bCs/>
              <w:sz w:val="24"/>
              <w:szCs w:val="24"/>
              <w:lang w:val="en-US" w:eastAsia="zh-CN"/>
            </w:rPr>
            <w:t>s</w:t>
          </w:r>
        </w:p>
        <w:p w14:paraId="736879A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7C1159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E44146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430212D">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052B24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BC8DE2C">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
              <w:bCs/>
              <w:sz w:val="32"/>
              <w:szCs w:val="32"/>
            </w:rPr>
            <w:fldChar w:fldCharType="begin"/>
          </w:r>
          <w:r>
            <w:rPr>
              <w:rFonts w:hint="default" w:ascii="Times New Roman" w:hAnsi="Times New Roman" w:cs="Times New Roman"/>
              <w:b/>
              <w:bCs/>
              <w:sz w:val="32"/>
              <w:szCs w:val="32"/>
            </w:rPr>
            <w:instrText xml:space="preserve">TOC \o "1-3" \h \u </w:instrText>
          </w:r>
          <w:r>
            <w:rPr>
              <w:rFonts w:hint="default" w:ascii="Times New Roman" w:hAnsi="Times New Roman" w:cs="Times New Roman"/>
              <w:b/>
              <w:bCs/>
              <w:sz w:val="32"/>
              <w:szCs w:val="32"/>
            </w:rPr>
            <w:fldChar w:fldCharType="separate"/>
          </w: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_Toc13099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Supplementary file 1</w:t>
          </w:r>
          <w:r>
            <w:rPr>
              <w:rFonts w:hint="default" w:ascii="Times New Roman" w:hAnsi="Times New Roman" w:cs="Times New Roman"/>
              <w:sz w:val="24"/>
              <w:szCs w:val="32"/>
              <w:lang w:val="en-US" w:eastAsia="zh-CN"/>
            </w:rPr>
            <w:t>: Search strategy</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_Toc13099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3277C128">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_Toc15542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2: Risk of Bias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_Toc15542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3</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377D56AB">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_Toc26725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3: Publication bias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_Toc26725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5</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706D5FE2">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_Toc13931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4: Convergence and posterior distributions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_Toc13931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6</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67DF2953">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_Toc21727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5: Model robustness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_Toc21727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8</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7BD54903">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_Toc29816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6: Weekly dose-response predicted</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_Toc29816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9</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3C0F6AB2">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_Toc25044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7: Dose-response relationship for different weeks.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_Toc25044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10</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44165009">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_Toc31164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8: Included reference</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_Toc31164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11</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284E5784">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_Toc1212 </w:instrText>
          </w:r>
          <w:r>
            <w:rPr>
              <w:rFonts w:hint="default" w:ascii="Times New Roman" w:hAnsi="Times New Roman" w:cs="Times New Roman"/>
              <w:bCs/>
              <w:sz w:val="24"/>
              <w:szCs w:val="32"/>
            </w:rPr>
            <w:fldChar w:fldCharType="separate"/>
          </w:r>
          <w:r>
            <w:rPr>
              <w:rFonts w:hint="default" w:ascii="Times New Roman" w:hAnsi="Times New Roman" w:cs="Times New Roman"/>
              <w:sz w:val="24"/>
              <w:szCs w:val="32"/>
            </w:rPr>
            <w:t xml:space="preserve">Supplementary file </w:t>
          </w:r>
          <w:r>
            <w:rPr>
              <w:rFonts w:hint="default" w:ascii="Times New Roman" w:hAnsi="Times New Roman" w:cs="Times New Roman"/>
              <w:sz w:val="24"/>
              <w:szCs w:val="32"/>
              <w:lang w:val="en-US" w:eastAsia="zh-CN"/>
            </w:rPr>
            <w:t>9: Excluded studies list (new)</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_Toc1212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13</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62DC835E">
          <w:pPr>
            <w:pStyle w:val="7"/>
            <w:tabs>
              <w:tab w:val="right" w:leader="dot" w:pos="8306"/>
            </w:tabs>
            <w:rPr>
              <w:rFonts w:hint="default" w:ascii="Times New Roman" w:hAnsi="Times New Roman" w:cs="Times New Roman"/>
              <w:sz w:val="24"/>
              <w:szCs w:val="32"/>
            </w:rPr>
          </w:pPr>
          <w:r>
            <w:rPr>
              <w:rFonts w:hint="default" w:ascii="Times New Roman" w:hAnsi="Times New Roman" w:cs="Times New Roman"/>
              <w:bCs/>
              <w:sz w:val="24"/>
              <w:szCs w:val="32"/>
            </w:rPr>
            <w:fldChar w:fldCharType="begin"/>
          </w:r>
          <w:r>
            <w:rPr>
              <w:rFonts w:hint="default" w:ascii="Times New Roman" w:hAnsi="Times New Roman" w:cs="Times New Roman"/>
              <w:bCs/>
              <w:sz w:val="24"/>
              <w:szCs w:val="32"/>
            </w:rPr>
            <w:instrText xml:space="preserve"> HYPERLINK \l _Toc21377 </w:instrText>
          </w:r>
          <w:r>
            <w:rPr>
              <w:rFonts w:hint="default" w:ascii="Times New Roman" w:hAnsi="Times New Roman" w:cs="Times New Roman"/>
              <w:bCs/>
              <w:sz w:val="24"/>
              <w:szCs w:val="32"/>
            </w:rPr>
            <w:fldChar w:fldCharType="separate"/>
          </w:r>
          <w:r>
            <w:rPr>
              <w:rFonts w:hint="default" w:ascii="Times New Roman" w:hAnsi="Times New Roman" w:eastAsia="宋体" w:cs="Times New Roman"/>
              <w:sz w:val="24"/>
              <w:szCs w:val="32"/>
            </w:rPr>
            <w:t>Supplementary File 1</w:t>
          </w:r>
          <w:r>
            <w:rPr>
              <w:rFonts w:hint="default" w:ascii="Times New Roman" w:hAnsi="Times New Roman" w:eastAsia="宋体" w:cs="Times New Roman"/>
              <w:sz w:val="24"/>
              <w:szCs w:val="32"/>
              <w:lang w:val="en-US" w:eastAsia="zh-CN"/>
            </w:rPr>
            <w:t>0</w:t>
          </w:r>
          <w:r>
            <w:rPr>
              <w:rFonts w:hint="default" w:ascii="Times New Roman" w:hAnsi="Times New Roman" w:eastAsia="宋体" w:cs="Times New Roman"/>
              <w:sz w:val="24"/>
              <w:szCs w:val="32"/>
            </w:rPr>
            <w:t>: Justification of Assigned MET Values for Included Studies</w:t>
          </w:r>
          <w:r>
            <w:rPr>
              <w:rFonts w:hint="default" w:ascii="Times New Roman" w:hAnsi="Times New Roman" w:cs="Times New Roman"/>
              <w:sz w:val="24"/>
              <w:szCs w:val="32"/>
            </w:rPr>
            <w:tab/>
          </w:r>
          <w:r>
            <w:rPr>
              <w:rFonts w:hint="default" w:ascii="Times New Roman" w:hAnsi="Times New Roman" w:cs="Times New Roman"/>
              <w:sz w:val="24"/>
              <w:szCs w:val="32"/>
            </w:rPr>
            <w:fldChar w:fldCharType="begin"/>
          </w:r>
          <w:r>
            <w:rPr>
              <w:rFonts w:hint="default" w:ascii="Times New Roman" w:hAnsi="Times New Roman" w:cs="Times New Roman"/>
              <w:sz w:val="24"/>
              <w:szCs w:val="32"/>
            </w:rPr>
            <w:instrText xml:space="preserve"> PAGEREF _Toc21377 \h </w:instrText>
          </w:r>
          <w:r>
            <w:rPr>
              <w:rFonts w:hint="default" w:ascii="Times New Roman" w:hAnsi="Times New Roman" w:cs="Times New Roman"/>
              <w:sz w:val="24"/>
              <w:szCs w:val="32"/>
            </w:rPr>
            <w:fldChar w:fldCharType="separate"/>
          </w:r>
          <w:r>
            <w:rPr>
              <w:rFonts w:hint="default" w:ascii="Times New Roman" w:hAnsi="Times New Roman" w:cs="Times New Roman"/>
              <w:sz w:val="24"/>
              <w:szCs w:val="32"/>
            </w:rPr>
            <w:t>15</w:t>
          </w:r>
          <w:r>
            <w:rPr>
              <w:rFonts w:hint="default" w:ascii="Times New Roman" w:hAnsi="Times New Roman" w:cs="Times New Roman"/>
              <w:sz w:val="24"/>
              <w:szCs w:val="32"/>
            </w:rPr>
            <w:fldChar w:fldCharType="end"/>
          </w:r>
          <w:r>
            <w:rPr>
              <w:rFonts w:hint="default" w:ascii="Times New Roman" w:hAnsi="Times New Roman" w:cs="Times New Roman"/>
              <w:bCs/>
              <w:sz w:val="24"/>
              <w:szCs w:val="32"/>
            </w:rPr>
            <w:fldChar w:fldCharType="end"/>
          </w:r>
        </w:p>
        <w:p w14:paraId="09C73E16">
          <w:r>
            <w:rPr>
              <w:rFonts w:hint="default" w:ascii="Times New Roman" w:hAnsi="Times New Roman" w:cs="Times New Roman"/>
              <w:bCs/>
              <w:sz w:val="24"/>
              <w:szCs w:val="32"/>
            </w:rPr>
            <w:fldChar w:fldCharType="end"/>
          </w:r>
        </w:p>
      </w:sdtContent>
    </w:sdt>
    <w:p w14:paraId="5F1178A9"/>
    <w:p w14:paraId="4AB76C84">
      <w:pPr>
        <w:pStyle w:val="2"/>
        <w:bidi w:val="0"/>
        <w:rPr>
          <w:rFonts w:hint="default"/>
        </w:rPr>
        <w:sectPr>
          <w:pgSz w:w="11906" w:h="16838"/>
          <w:pgMar w:top="1440" w:right="1800" w:bottom="1440" w:left="1800" w:header="851" w:footer="992" w:gutter="0"/>
          <w:cols w:space="425" w:num="1"/>
          <w:docGrid w:type="lines" w:linePitch="312" w:charSpace="0"/>
        </w:sectPr>
      </w:pPr>
    </w:p>
    <w:p w14:paraId="782C89F8">
      <w:pPr>
        <w:pStyle w:val="2"/>
        <w:bidi w:val="0"/>
        <w:rPr>
          <w:rFonts w:hint="default"/>
          <w:lang w:val="en-US" w:eastAsia="zh-CN"/>
        </w:rPr>
      </w:pPr>
      <w:bookmarkStart w:id="0" w:name="_Toc13099"/>
      <w:r>
        <w:rPr>
          <w:rFonts w:hint="default"/>
        </w:rPr>
        <w:t>Supplementary file 1</w:t>
      </w:r>
      <w:r>
        <w:rPr>
          <w:rFonts w:hint="default"/>
          <w:lang w:val="en-US" w:eastAsia="zh-CN"/>
        </w:rPr>
        <w:t>: Search strategy</w:t>
      </w:r>
      <w:bookmarkEnd w:id="0"/>
    </w:p>
    <w:p w14:paraId="3810CBA4">
      <w:pPr>
        <w:bidi w:val="0"/>
        <w:rPr>
          <w:rFonts w:hint="default" w:ascii="Times New Roman" w:hAnsi="Times New Roman" w:cs="Times New Roman"/>
          <w:color w:val="212121"/>
          <w:sz w:val="24"/>
          <w:szCs w:val="24"/>
          <w:shd w:val="clear" w:color="auto" w:fill="FFFFFF"/>
          <w:lang w:val="en-US" w:eastAsia="zh-CN"/>
        </w:rPr>
      </w:pPr>
      <w:bookmarkStart w:id="1" w:name="_Toc32246"/>
      <w:r>
        <w:rPr>
          <w:rFonts w:hint="default" w:ascii="Times New Roman" w:hAnsi="Times New Roman" w:cs="Times New Roman"/>
          <w:b/>
          <w:bCs/>
          <w:sz w:val="24"/>
          <w:szCs w:val="24"/>
          <w:lang w:val="en-US"/>
        </w:rPr>
        <w:t>PubMed</w:t>
      </w:r>
      <w:bookmarkEnd w:id="1"/>
    </w:p>
    <w:p w14:paraId="390F742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("Coronary Artery Disease"[Mesh] OR "Coronary Disease"[tiab] OR "Coronary Heart Disease"[tiab] OR "Ischemic Heart Disease"[tiab] OR "Myocardial Infarction"[Mesh] OR "myocardial infarction"[tiab] OR "cardiac rehabilitation"[Mesh] OR "cardiac rehabilitation"[tiab] OR "post-cardiac event"[tiab])</w:t>
      </w:r>
    </w:p>
    <w:p w14:paraId="507514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AND</w:t>
      </w:r>
    </w:p>
    <w:p w14:paraId="66296E3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("Exercise Therapy"[Mesh] OR "Resistance Training"[Mesh] OR "Aerobic Exercise"[</w:t>
      </w:r>
      <w:r>
        <w:rPr>
          <w:rFonts w:hint="eastAsia" w:ascii="Times New Roman" w:hAnsi="Times New Roman" w:cs="Times New Roman"/>
          <w:color w:val="212121"/>
          <w:sz w:val="24"/>
          <w:szCs w:val="24"/>
          <w:shd w:val="clear" w:color="auto" w:fill="FFFFFF"/>
          <w:lang w:val="en-US" w:eastAsia="zh-CN"/>
        </w:rPr>
        <w:t>tiab</w:t>
      </w:r>
      <w:r>
        <w:rPr>
          <w:rFonts w:hint="default" w:ascii="Times New Roman" w:hAnsi="Times New Roman" w:cs="Times New Roman"/>
          <w:color w:val="212121"/>
          <w:sz w:val="24"/>
          <w:szCs w:val="24"/>
          <w:shd w:val="clear" w:color="auto" w:fill="FFFFFF"/>
          <w:lang w:val="en-US" w:eastAsia="zh-CN"/>
        </w:rPr>
        <w:t>] OR "resistance training"[tiab] OR "strength training"[tiab] OR "aerobic exercise"[tiab] OR "combined training"[tiab] OR "concurrent training"[tiab] OR (aerobic[tiab] AND resistance[tiab]) OR (aerobic[tiab] AND strength[tiab]))</w:t>
      </w:r>
    </w:p>
    <w:p w14:paraId="62912AE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AND</w:t>
      </w:r>
    </w:p>
    <w:p w14:paraId="793762F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("Oxygen Consumption"[Mesh] OR "VO2max"[tiab] OR "VO2 max"[tiab] OR "VO2peak"[tiab] OR "VO2 peak"[tiab] OR "peak oxygen uptake"[tiab] OR "peak VO2"[tiab] OR "maximal oxygen uptake"[tiab] OR "cardiorespiratory fitness"[tiab] OR "aerobic capacity"[tiab] OR CRF[tiab])</w:t>
      </w:r>
    </w:p>
    <w:p w14:paraId="2AA3370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AND</w:t>
      </w:r>
    </w:p>
    <w:p w14:paraId="0B8C92C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212121"/>
          <w:sz w:val="24"/>
          <w:szCs w:val="24"/>
          <w:shd w:val="clear" w:color="auto" w:fill="FFFFFF"/>
          <w:lang w:val="en-US" w:eastAsia="zh-CN"/>
        </w:rPr>
      </w:pPr>
      <w:r>
        <w:rPr>
          <w:rFonts w:hint="default" w:ascii="Times New Roman" w:hAnsi="Times New Roman" w:cs="Times New Roman"/>
          <w:color w:val="212121"/>
          <w:sz w:val="24"/>
          <w:szCs w:val="24"/>
          <w:shd w:val="clear" w:color="auto" w:fill="FFFFFF"/>
          <w:lang w:val="en-US" w:eastAsia="zh-CN"/>
        </w:rPr>
        <w:t xml:space="preserve">  (random*[tiab] AND control*[tiab] AND trial*[tiab])</w:t>
      </w:r>
    </w:p>
    <w:p w14:paraId="553CA78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rPr>
      </w:pPr>
    </w:p>
    <w:p w14:paraId="250A00E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default" w:ascii="Times New Roman" w:hAnsi="Times New Roman" w:cs="Times New Roman"/>
          <w:b/>
          <w:bCs/>
          <w:sz w:val="24"/>
          <w:szCs w:val="24"/>
          <w:lang w:val="en-US" w:eastAsia="zh-CN"/>
        </w:rPr>
      </w:pPr>
      <w:bookmarkStart w:id="2" w:name="_Toc29791"/>
      <w:bookmarkStart w:id="3" w:name="_Toc30678"/>
      <w:r>
        <w:rPr>
          <w:rFonts w:hint="default" w:ascii="Times New Roman" w:hAnsi="Times New Roman" w:cs="Times New Roman"/>
          <w:b/>
          <w:bCs/>
          <w:sz w:val="24"/>
          <w:szCs w:val="24"/>
          <w:lang w:val="en-US" w:eastAsia="zh-CN"/>
        </w:rPr>
        <w:t>EMBASE</w:t>
      </w:r>
      <w:bookmarkEnd w:id="2"/>
      <w:bookmarkEnd w:id="3"/>
    </w:p>
    <w:p w14:paraId="3FBE0D91">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bookmarkStart w:id="4" w:name="OLE_LINK1"/>
      <w:r>
        <w:rPr>
          <w:rFonts w:hint="default" w:ascii="Times New Roman" w:hAnsi="Times New Roman" w:cs="Times New Roman"/>
          <w:sz w:val="24"/>
          <w:szCs w:val="24"/>
          <w:lang w:val="en-US" w:eastAsia="zh-CN"/>
        </w:rPr>
        <w:t>('coronary artery disease'/exp OR 'coronary disease':ti,ab OR 'coronary heart disease':ti,ab OR 'ischemic heart disease':ti,ab OR 'myocardial infarction'/exp OR 'myocardial infarction':ti,ab OR 'cardiac rehabilitation'/exp OR 'cardiac rehabilitation':ti,ab OR 'post cardiac event':ti,ab)</w:t>
      </w:r>
    </w:p>
    <w:p w14:paraId="05D1D165">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6A776487">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('exercise therapy'/exp OR 'resistance training'/exp OR 'aerobic exercise':ti,ab OR 'resistance training':ti,ab OR 'strength training':ti,ab OR 'aerobic exercise':ti,ab OR 'combined training':ti,ab OR 'concurrent training':ti,ab OR (aerobic:ti,ab AND resistance:ti,ab) OR (aerobic:ti,ab AND strength:ti,ab))</w:t>
      </w:r>
    </w:p>
    <w:p w14:paraId="46AA603C">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6DC012CF">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('oxygen consumption'/exp OR vo2max:ti,ab OR 'vo2 max':ti,ab OR vo2peak:ti,ab OR 'vo2 peak':ti,ab OR 'peak oxygen uptake':ti,ab OR 'peak vo2':ti,ab OR 'maximal oxygen uptake':ti,ab OR 'cardiorespiratory fitness':ti,ab OR 'aerobic capacity':ti,ab OR crf:ti,ab)</w:t>
      </w:r>
    </w:p>
    <w:p w14:paraId="5FA64B97">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77874A66">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(random*:ti,ab AND control*:ti,ab AND trial*:ti,ab)</w:t>
      </w:r>
    </w:p>
    <w:p w14:paraId="7EB3615D">
      <w:pPr>
        <w:keepNext w:val="0"/>
        <w:keepLines w:val="0"/>
        <w:suppressLineNumbers w:val="0"/>
        <w:spacing w:before="0" w:beforeAutospacing="0" w:after="0" w:afterAutospacing="0"/>
        <w:ind w:left="0" w:right="0"/>
        <w:rPr>
          <w:rFonts w:hint="default" w:ascii="Times New Roman" w:hAnsi="Times New Roman" w:cs="Times New Roman"/>
          <w:b/>
          <w:bCs/>
          <w:sz w:val="24"/>
          <w:szCs w:val="24"/>
        </w:rPr>
      </w:pPr>
    </w:p>
    <w:p w14:paraId="58348703">
      <w:pPr>
        <w:keepNext w:val="0"/>
        <w:keepLines w:val="0"/>
        <w:suppressLineNumbers w:val="0"/>
        <w:spacing w:before="0" w:beforeAutospacing="0" w:after="0" w:afterAutospacing="0"/>
        <w:ind w:left="0" w:right="0"/>
        <w:outlineLvl w:val="0"/>
        <w:rPr>
          <w:rFonts w:hint="default" w:ascii="Times New Roman" w:hAnsi="Times New Roman" w:cs="Times New Roman" w:eastAsiaTheme="minorEastAsia"/>
          <w:b/>
          <w:bCs/>
          <w:sz w:val="24"/>
          <w:szCs w:val="24"/>
          <w:lang w:eastAsia="zh-CN"/>
        </w:rPr>
      </w:pPr>
      <w:bookmarkStart w:id="5" w:name="_Toc29780"/>
      <w:bookmarkStart w:id="6" w:name="_Toc26702"/>
      <w:r>
        <w:rPr>
          <w:rFonts w:hint="default" w:ascii="Times New Roman" w:hAnsi="Times New Roman" w:cs="Times New Roman"/>
          <w:b/>
          <w:bCs/>
          <w:sz w:val="24"/>
          <w:szCs w:val="24"/>
        </w:rPr>
        <w:t>Cochrane Library</w:t>
      </w:r>
      <w:bookmarkEnd w:id="5"/>
      <w:bookmarkEnd w:id="6"/>
    </w:p>
    <w:bookmarkEnd w:id="4"/>
    <w:p w14:paraId="1B6D9F8F">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(MeSH descriptor:[Coronary Artery Disease] explode all trees OR MeSH descriptor:[Myocardial Infarction] explode all trees OR MeSH descriptor:[Cardiac Rehabilitation] explode all trees OR (coronary disease OR coronary heart disease OR ischemic heart disease OR myocardial infarction OR cardiac rehabilitation OR post-cardiac event):ti,ab,kw)</w:t>
      </w:r>
    </w:p>
    <w:p w14:paraId="53576379">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52B19D84">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(MeSH descriptor:[Exercise Therapy] explode all trees OR (resistance training OR strength training OR aerobic exercise OR combined training OR concurrent training OR (aerobic NEXT resistance) OR (aerobic NEXT strength)):ti,ab,kw)</w:t>
      </w:r>
    </w:p>
    <w:p w14:paraId="531373CF">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3EE5DDBB">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(MeSH descriptor:[Oxygen Consumption] explode all trees OR (VO2max OR "VO2 max" OR VO2peak OR "VO2 peak" OR "peak oxygen uptake" OR "peak VO2" OR "maximal oxygen uptake" OR "cardiorespiratory fitness" OR "aerobic capacity" OR CRF):ti,ab,kw)</w:t>
      </w:r>
    </w:p>
    <w:p w14:paraId="26DA0A4D">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AND</w:t>
      </w:r>
    </w:p>
    <w:p w14:paraId="39DD1387">
      <w:pPr>
        <w:keepNext w:val="0"/>
        <w:keepLines w:val="0"/>
        <w:suppressLineNumbers w:val="0"/>
        <w:spacing w:before="0" w:beforeAutospacing="0" w:after="0" w:afterAutospacing="0"/>
        <w:ind w:left="0" w:right="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(random* NEAR/2 control* NEAR/2 trial*):ti,ab,kw)</w:t>
      </w:r>
    </w:p>
    <w:p w14:paraId="252EFA1B">
      <w:pPr>
        <w:keepNext w:val="0"/>
        <w:keepLines w:val="0"/>
        <w:suppressLineNumbers w:val="0"/>
        <w:spacing w:before="0" w:beforeAutospacing="0" w:after="0" w:afterAutospacing="0"/>
        <w:ind w:left="0" w:right="0"/>
        <w:rPr>
          <w:rFonts w:hint="default" w:ascii="Times New Roman" w:hAnsi="Times New Roman" w:cs="Times New Roman"/>
          <w:b/>
          <w:bCs/>
          <w:sz w:val="24"/>
          <w:szCs w:val="24"/>
        </w:rPr>
      </w:pPr>
    </w:p>
    <w:p w14:paraId="73F90E1D">
      <w:pPr>
        <w:keepNext w:val="0"/>
        <w:keepLines w:val="0"/>
        <w:suppressLineNumbers w:val="0"/>
        <w:spacing w:before="0" w:beforeAutospacing="0" w:after="0" w:afterAutospacing="0"/>
        <w:ind w:left="0" w:right="0"/>
        <w:outlineLvl w:val="0"/>
        <w:rPr>
          <w:rFonts w:hint="default" w:ascii="Times New Roman" w:hAnsi="Times New Roman" w:cs="Times New Roman" w:eastAsiaTheme="minorEastAsia"/>
          <w:b/>
          <w:bCs/>
          <w:sz w:val="24"/>
          <w:szCs w:val="24"/>
          <w:lang w:eastAsia="zh-CN"/>
        </w:rPr>
      </w:pPr>
      <w:bookmarkStart w:id="7" w:name="_Toc29291"/>
      <w:bookmarkStart w:id="8" w:name="_Toc88"/>
      <w:r>
        <w:rPr>
          <w:rFonts w:hint="default" w:ascii="Times New Roman" w:hAnsi="Times New Roman" w:cs="Times New Roman"/>
          <w:b/>
          <w:bCs/>
          <w:sz w:val="24"/>
          <w:szCs w:val="24"/>
        </w:rPr>
        <w:t>Web of Science</w:t>
      </w:r>
      <w:bookmarkEnd w:id="7"/>
      <w:bookmarkEnd w:id="8"/>
    </w:p>
    <w:p w14:paraId="34055DE4">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TS=(("coronary artery disease" OR "coronary disease" OR "coronary heart disease" OR "ischemic heart disease" OR "myocardial infarction" OR "cardiac rehabilitation" OR "post cardiac event")</w:t>
      </w:r>
    </w:p>
    <w:p w14:paraId="34E997F7">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AND</w:t>
      </w:r>
    </w:p>
    <w:p w14:paraId="0457241D">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("resistance training" OR "strength training" OR "aerobic exercise" OR "combined training" OR "concurrent training" OR ("aerobic" NEAR/2 "resistance") OR ("aerobic" NEAR/2 "strength"))</w:t>
      </w:r>
    </w:p>
    <w:p w14:paraId="70583262">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AND</w:t>
      </w:r>
    </w:p>
    <w:p w14:paraId="341CA794">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("VO2max" OR "VO2 max" OR "VO2peak" OR "VO2 peak" OR "peak oxygen uptake" OR "peak VO2" OR "maximal oxygen uptake" OR "cardiorespiratory fitness" OR "aerobic capacity" OR "oxygen consumption" OR CRF)</w:t>
      </w:r>
    </w:p>
    <w:p w14:paraId="19DA035D">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AND</w:t>
      </w:r>
    </w:p>
    <w:p w14:paraId="45E8520C">
      <w:pP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(random* NEAR/2 control* NEAR/2 trial*))</w:t>
      </w:r>
    </w:p>
    <w:p w14:paraId="5208BE67">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4C84337A">
      <w:pPr>
        <w:rPr>
          <w:rFonts w:hint="default" w:ascii="Times New Roman" w:hAnsi="Times New Roman" w:cs="Times New Roman"/>
          <w:sz w:val="24"/>
          <w:szCs w:val="24"/>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393FF1B9">
      <w:pPr>
        <w:pStyle w:val="2"/>
        <w:bidi w:val="0"/>
        <w:rPr>
          <w:rFonts w:hint="default"/>
          <w:lang w:val="en-US" w:eastAsia="zh-CN"/>
        </w:rPr>
      </w:pPr>
      <w:bookmarkStart w:id="9" w:name="_Toc15542"/>
      <w:r>
        <w:rPr>
          <w:rFonts w:hint="default"/>
        </w:rPr>
        <w:t xml:space="preserve">Supplementary file </w:t>
      </w:r>
      <w:r>
        <w:rPr>
          <w:rFonts w:hint="eastAsia"/>
          <w:lang w:val="en-US" w:eastAsia="zh-CN"/>
        </w:rPr>
        <w:t>2</w:t>
      </w:r>
      <w:r>
        <w:rPr>
          <w:rFonts w:hint="default"/>
          <w:lang w:val="en-US" w:eastAsia="zh-CN"/>
        </w:rPr>
        <w:t>: Risk of Bias</w:t>
      </w:r>
      <w:bookmarkEnd w:id="9"/>
    </w:p>
    <w:tbl>
      <w:tblPr>
        <w:tblStyle w:val="9"/>
        <w:tblW w:w="0" w:type="auto"/>
        <w:jc w:val="center"/>
        <w:tblLayout w:type="autofit"/>
        <w:tblCellMar>
          <w:top w:w="0" w:type="dxa"/>
          <w:left w:w="60" w:type="dxa"/>
          <w:bottom w:w="0" w:type="dxa"/>
          <w:right w:w="60" w:type="dxa"/>
        </w:tblCellMar>
      </w:tblPr>
      <w:tblGrid>
        <w:gridCol w:w="1280"/>
        <w:gridCol w:w="854"/>
        <w:gridCol w:w="999"/>
        <w:gridCol w:w="932"/>
        <w:gridCol w:w="797"/>
        <w:gridCol w:w="894"/>
        <w:gridCol w:w="903"/>
        <w:gridCol w:w="758"/>
        <w:gridCol w:w="671"/>
        <w:gridCol w:w="672"/>
      </w:tblGrid>
      <w:tr w14:paraId="6666411F">
        <w:tblPrEx>
          <w:tblCellMar>
            <w:top w:w="0" w:type="dxa"/>
            <w:left w:w="60" w:type="dxa"/>
            <w:bottom w:w="0" w:type="dxa"/>
            <w:right w:w="60" w:type="dxa"/>
          </w:tblCellMar>
        </w:tblPrEx>
        <w:trPr>
          <w:cantSplit/>
          <w:tblHeader/>
          <w:jc w:val="center"/>
        </w:trPr>
        <w:tc>
          <w:tcPr>
            <w:tcBorders>
              <w:top w:val="single" w:color="000000" w:sz="16" w:space="0"/>
              <w:left w:val="single" w:color="D3D3D3" w:sz="0" w:space="0"/>
              <w:bottom w:val="single" w:color="000000" w:sz="16" w:space="0"/>
            </w:tcBorders>
          </w:tcPr>
          <w:p w14:paraId="187FF20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Author, Year</w:t>
            </w:r>
          </w:p>
        </w:tc>
        <w:tc>
          <w:tcPr>
            <w:tcBorders>
              <w:top w:val="single" w:color="000000" w:sz="16" w:space="0"/>
              <w:bottom w:val="single" w:color="000000" w:sz="16" w:space="0"/>
            </w:tcBorders>
          </w:tcPr>
          <w:p w14:paraId="0017A5D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Sequence generation</w:t>
            </w:r>
          </w:p>
        </w:tc>
        <w:tc>
          <w:tcPr>
            <w:tcBorders>
              <w:top w:val="single" w:color="000000" w:sz="16" w:space="0"/>
              <w:bottom w:val="single" w:color="000000" w:sz="16" w:space="0"/>
            </w:tcBorders>
          </w:tcPr>
          <w:p w14:paraId="455ADFD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Allocation concealment</w:t>
            </w:r>
          </w:p>
        </w:tc>
        <w:tc>
          <w:tcPr>
            <w:tcBorders>
              <w:top w:val="single" w:color="000000" w:sz="16" w:space="0"/>
              <w:bottom w:val="single" w:color="000000" w:sz="16" w:space="0"/>
            </w:tcBorders>
          </w:tcPr>
          <w:p w14:paraId="72FB787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Blinding participants</w:t>
            </w:r>
          </w:p>
        </w:tc>
        <w:tc>
          <w:tcPr>
            <w:tcBorders>
              <w:top w:val="single" w:color="000000" w:sz="16" w:space="0"/>
              <w:bottom w:val="single" w:color="000000" w:sz="16" w:space="0"/>
            </w:tcBorders>
          </w:tcPr>
          <w:p w14:paraId="3AF0F6E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Blinding personnel</w:t>
            </w:r>
          </w:p>
        </w:tc>
        <w:tc>
          <w:tcPr>
            <w:tcBorders>
              <w:top w:val="single" w:color="000000" w:sz="16" w:space="0"/>
              <w:bottom w:val="single" w:color="000000" w:sz="16" w:space="0"/>
            </w:tcBorders>
          </w:tcPr>
          <w:p w14:paraId="3C32085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Blinding outcome assessment</w:t>
            </w:r>
          </w:p>
        </w:tc>
        <w:tc>
          <w:tcPr>
            <w:tcBorders>
              <w:top w:val="single" w:color="000000" w:sz="16" w:space="0"/>
              <w:bottom w:val="single" w:color="000000" w:sz="16" w:space="0"/>
            </w:tcBorders>
          </w:tcPr>
          <w:p w14:paraId="028F7F8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Incomplete outcome</w:t>
            </w:r>
          </w:p>
        </w:tc>
        <w:tc>
          <w:tcPr>
            <w:tcBorders>
              <w:top w:val="single" w:color="000000" w:sz="16" w:space="0"/>
              <w:bottom w:val="single" w:color="000000" w:sz="16" w:space="0"/>
            </w:tcBorders>
          </w:tcPr>
          <w:p w14:paraId="2DB1BAD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Selective reporting</w:t>
            </w:r>
          </w:p>
        </w:tc>
        <w:tc>
          <w:tcPr>
            <w:tcBorders>
              <w:top w:val="single" w:color="000000" w:sz="16" w:space="0"/>
              <w:bottom w:val="single" w:color="000000" w:sz="16" w:space="0"/>
            </w:tcBorders>
          </w:tcPr>
          <w:p w14:paraId="23E50A6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Other bias</w:t>
            </w:r>
          </w:p>
        </w:tc>
        <w:tc>
          <w:tcPr>
            <w:tcBorders>
              <w:top w:val="single" w:color="000000" w:sz="16" w:space="0"/>
              <w:bottom w:val="single" w:color="000000" w:sz="16" w:space="0"/>
              <w:right w:val="single" w:color="D3D3D3" w:sz="0" w:space="0"/>
            </w:tcBorders>
          </w:tcPr>
          <w:p w14:paraId="6D215E8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Overall bias</w:t>
            </w:r>
          </w:p>
        </w:tc>
      </w:tr>
      <w:tr w14:paraId="19219EB2">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003F966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Anna 2021</w:t>
            </w:r>
          </w:p>
        </w:tc>
        <w:tc>
          <w:tcPr>
            <w:tcBorders>
              <w:top w:val="single" w:color="D3D3D3" w:sz="0" w:space="0"/>
              <w:left w:val="single" w:color="D3D3D3" w:sz="0" w:space="0"/>
              <w:bottom w:val="single" w:color="D3D3D3" w:sz="0" w:space="0"/>
              <w:right w:val="single" w:color="D3D3D3" w:sz="0" w:space="0"/>
            </w:tcBorders>
            <w:shd w:val="clear" w:color="auto" w:fill="FFFFFF"/>
          </w:tcPr>
          <w:p w14:paraId="147575C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953650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0629C8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DEB045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09BCAE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7C43722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22F5443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FA0287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59C272B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63B00272">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594918A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Eriko 2004</w:t>
            </w:r>
          </w:p>
        </w:tc>
        <w:tc>
          <w:tcPr>
            <w:tcBorders>
              <w:top w:val="single" w:color="D3D3D3" w:sz="0" w:space="0"/>
              <w:left w:val="single" w:color="D3D3D3" w:sz="0" w:space="0"/>
              <w:bottom w:val="single" w:color="D3D3D3" w:sz="0" w:space="0"/>
              <w:right w:val="single" w:color="D3D3D3" w:sz="0" w:space="0"/>
            </w:tcBorders>
            <w:shd w:val="clear" w:color="auto" w:fill="FFFFFF"/>
          </w:tcPr>
          <w:p w14:paraId="6C9BD91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D961FC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17ACFD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C2F2EE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2DDC403">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08A2FC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278E770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456F6D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D3D3D3" w:sz="0" w:space="0"/>
              <w:right w:val="single" w:color="D3D3D3" w:sz="0" w:space="0"/>
            </w:tcBorders>
            <w:shd w:val="clear" w:color="auto" w:fill="FFFFFF"/>
          </w:tcPr>
          <w:p w14:paraId="74D1FD2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14FB8539">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6B21B2B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Fontes-Carvalho 2015</w:t>
            </w:r>
          </w:p>
        </w:tc>
        <w:tc>
          <w:tcPr>
            <w:tcBorders>
              <w:top w:val="single" w:color="D3D3D3" w:sz="0" w:space="0"/>
              <w:left w:val="single" w:color="D3D3D3" w:sz="0" w:space="0"/>
              <w:bottom w:val="single" w:color="D3D3D3" w:sz="0" w:space="0"/>
              <w:right w:val="single" w:color="D3D3D3" w:sz="0" w:space="0"/>
            </w:tcBorders>
            <w:shd w:val="clear" w:color="auto" w:fill="FFFFFF"/>
          </w:tcPr>
          <w:p w14:paraId="7DD0812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A2AFB8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EAA810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1FDA2A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776C006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B33F68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613101B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38F3B65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2A07025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1ED577DB">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6D59A9D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Konstantinos 2005</w:t>
            </w:r>
          </w:p>
        </w:tc>
        <w:tc>
          <w:tcPr>
            <w:tcBorders>
              <w:top w:val="single" w:color="D3D3D3" w:sz="0" w:space="0"/>
              <w:left w:val="single" w:color="D3D3D3" w:sz="0" w:space="0"/>
              <w:bottom w:val="single" w:color="D3D3D3" w:sz="0" w:space="0"/>
              <w:right w:val="single" w:color="D3D3D3" w:sz="0" w:space="0"/>
            </w:tcBorders>
            <w:shd w:val="clear" w:color="auto" w:fill="FFFFFF"/>
          </w:tcPr>
          <w:p w14:paraId="1E21C5B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825384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14A77D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E389B3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3B4BA65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65A5C8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07EAAB1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1C0B7A7">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378546E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1AAFA6E3">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57C1E10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Lehti 2020</w:t>
            </w:r>
          </w:p>
        </w:tc>
        <w:tc>
          <w:tcPr>
            <w:tcBorders>
              <w:top w:val="single" w:color="D3D3D3" w:sz="0" w:space="0"/>
              <w:left w:val="single" w:color="D3D3D3" w:sz="0" w:space="0"/>
              <w:bottom w:val="single" w:color="D3D3D3" w:sz="0" w:space="0"/>
              <w:right w:val="single" w:color="D3D3D3" w:sz="0" w:space="0"/>
            </w:tcBorders>
            <w:shd w:val="clear" w:color="auto" w:fill="FFFFFF"/>
          </w:tcPr>
          <w:p w14:paraId="408DD06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F2B906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73910A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7F9A87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A77273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612C1A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4250CA0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79EEC1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2AE1FCD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r>
      <w:tr w14:paraId="5C931F56">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443FEC43">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Liang 2019</w:t>
            </w:r>
          </w:p>
        </w:tc>
        <w:tc>
          <w:tcPr>
            <w:tcBorders>
              <w:top w:val="single" w:color="D3D3D3" w:sz="0" w:space="0"/>
              <w:left w:val="single" w:color="D3D3D3" w:sz="0" w:space="0"/>
              <w:bottom w:val="single" w:color="D3D3D3" w:sz="0" w:space="0"/>
              <w:right w:val="single" w:color="D3D3D3" w:sz="0" w:space="0"/>
            </w:tcBorders>
            <w:shd w:val="clear" w:color="auto" w:fill="FFFFFF"/>
          </w:tcPr>
          <w:p w14:paraId="553F2E5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BEEB22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765965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8973DC7">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7B1755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84EA7F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5BC1817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C2B852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D3D3D3" w:sz="0" w:space="0"/>
              <w:right w:val="single" w:color="D3D3D3" w:sz="0" w:space="0"/>
            </w:tcBorders>
            <w:shd w:val="clear" w:color="auto" w:fill="FFFFFF"/>
          </w:tcPr>
          <w:p w14:paraId="7F91676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3C4A6022">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76B9C85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Lukas-Daniel 2019</w:t>
            </w:r>
          </w:p>
        </w:tc>
        <w:tc>
          <w:tcPr>
            <w:tcBorders>
              <w:top w:val="single" w:color="D3D3D3" w:sz="0" w:space="0"/>
              <w:left w:val="single" w:color="D3D3D3" w:sz="0" w:space="0"/>
              <w:bottom w:val="single" w:color="D3D3D3" w:sz="0" w:space="0"/>
              <w:right w:val="single" w:color="D3D3D3" w:sz="0" w:space="0"/>
            </w:tcBorders>
            <w:shd w:val="clear" w:color="auto" w:fill="FFFFFF"/>
          </w:tcPr>
          <w:p w14:paraId="66B735D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6BCA96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56E4DC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D70FD9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7586E173">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3B284F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3502ECF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0A496C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5F0598B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43D36E4D">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7D81734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Savvas 2003</w:t>
            </w:r>
          </w:p>
        </w:tc>
        <w:tc>
          <w:tcPr>
            <w:tcBorders>
              <w:top w:val="single" w:color="D3D3D3" w:sz="0" w:space="0"/>
              <w:left w:val="single" w:color="D3D3D3" w:sz="0" w:space="0"/>
              <w:bottom w:val="single" w:color="D3D3D3" w:sz="0" w:space="0"/>
              <w:right w:val="single" w:color="D3D3D3" w:sz="0" w:space="0"/>
            </w:tcBorders>
            <w:shd w:val="clear" w:color="auto" w:fill="FFFFFF"/>
          </w:tcPr>
          <w:p w14:paraId="7EA590C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F3BFC7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D9CA577">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33CEAA2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EB03EB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AE119A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7B1A3C7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322A82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133922B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6E0C20A0">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23DD2A1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Tofas 2021</w:t>
            </w:r>
          </w:p>
        </w:tc>
        <w:tc>
          <w:tcPr>
            <w:tcBorders>
              <w:top w:val="single" w:color="D3D3D3" w:sz="0" w:space="0"/>
              <w:left w:val="single" w:color="D3D3D3" w:sz="0" w:space="0"/>
              <w:bottom w:val="single" w:color="D3D3D3" w:sz="0" w:space="0"/>
              <w:right w:val="single" w:color="D3D3D3" w:sz="0" w:space="0"/>
            </w:tcBorders>
            <w:shd w:val="clear" w:color="auto" w:fill="FFFFFF"/>
          </w:tcPr>
          <w:p w14:paraId="52D5E2F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78CD0AC">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498654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7413CB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7DFF664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C32269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31207B2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19FA782">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D3D3D3" w:sz="0" w:space="0"/>
              <w:right w:val="single" w:color="D3D3D3" w:sz="0" w:space="0"/>
            </w:tcBorders>
            <w:shd w:val="clear" w:color="auto" w:fill="FFFFFF"/>
          </w:tcPr>
          <w:p w14:paraId="53E680A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7F76A04C">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1B1403D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Vona 2009</w:t>
            </w:r>
          </w:p>
        </w:tc>
        <w:tc>
          <w:tcPr>
            <w:tcBorders>
              <w:top w:val="single" w:color="D3D3D3" w:sz="0" w:space="0"/>
              <w:left w:val="single" w:color="D3D3D3" w:sz="0" w:space="0"/>
              <w:bottom w:val="single" w:color="D3D3D3" w:sz="0" w:space="0"/>
              <w:right w:val="single" w:color="D3D3D3" w:sz="0" w:space="0"/>
            </w:tcBorders>
            <w:shd w:val="clear" w:color="auto" w:fill="FFFFFF"/>
          </w:tcPr>
          <w:p w14:paraId="1102573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1B4E269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5304395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6B87E85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22E559E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4ABEB4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79BA2BB7">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C3005C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D3D3D3" w:sz="0" w:space="0"/>
              <w:right w:val="single" w:color="D3D3D3" w:sz="0" w:space="0"/>
            </w:tcBorders>
            <w:shd w:val="clear" w:color="auto" w:fill="FFFFFF"/>
          </w:tcPr>
          <w:p w14:paraId="070ADF48">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2AF6BDF2">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D3D3D3" w:sz="0" w:space="0"/>
              <w:right w:val="single" w:color="D3D3D3" w:sz="0" w:space="0"/>
            </w:tcBorders>
            <w:shd w:val="clear" w:color="auto" w:fill="FFFFFF"/>
          </w:tcPr>
          <w:p w14:paraId="37268EB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Yamazaki1999</w:t>
            </w:r>
          </w:p>
        </w:tc>
        <w:tc>
          <w:tcPr>
            <w:tcBorders>
              <w:top w:val="single" w:color="D3D3D3" w:sz="0" w:space="0"/>
              <w:left w:val="single" w:color="D3D3D3" w:sz="0" w:space="0"/>
              <w:bottom w:val="single" w:color="D3D3D3" w:sz="0" w:space="0"/>
              <w:right w:val="single" w:color="D3D3D3" w:sz="0" w:space="0"/>
            </w:tcBorders>
            <w:shd w:val="clear" w:color="auto" w:fill="FFFFFF"/>
          </w:tcPr>
          <w:p w14:paraId="2E58F70B">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784E0B2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9B0A6E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38D8D62D">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4C63F415">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3FA03D0A">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w:t>
            </w:r>
          </w:p>
        </w:tc>
        <w:tc>
          <w:tcPr>
            <w:tcBorders>
              <w:top w:val="single" w:color="D3D3D3" w:sz="0" w:space="0"/>
              <w:left w:val="single" w:color="D3D3D3" w:sz="0" w:space="0"/>
              <w:bottom w:val="single" w:color="D3D3D3" w:sz="0" w:space="0"/>
              <w:right w:val="single" w:color="D3D3D3" w:sz="0" w:space="0"/>
            </w:tcBorders>
            <w:shd w:val="clear" w:color="auto" w:fill="FFFFFF"/>
          </w:tcPr>
          <w:p w14:paraId="7095838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D3D3D3" w:sz="0" w:space="0"/>
              <w:right w:val="single" w:color="D3D3D3" w:sz="0" w:space="0"/>
            </w:tcBorders>
            <w:shd w:val="clear" w:color="auto" w:fill="FFFFFF"/>
          </w:tcPr>
          <w:p w14:paraId="05A8766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D3D3D3" w:sz="0" w:space="0"/>
              <w:right w:val="single" w:color="D3D3D3" w:sz="0" w:space="0"/>
            </w:tcBorders>
            <w:shd w:val="clear" w:color="auto" w:fill="FFFFFF"/>
          </w:tcPr>
          <w:p w14:paraId="108EC44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r w14:paraId="2FAF5DE2">
        <w:tblPrEx>
          <w:tblCellMar>
            <w:top w:w="0" w:type="dxa"/>
            <w:left w:w="60" w:type="dxa"/>
            <w:bottom w:w="0" w:type="dxa"/>
            <w:right w:w="60" w:type="dxa"/>
          </w:tblCellMar>
        </w:tblPrEx>
        <w:trPr>
          <w:cantSplit/>
          <w:jc w:val="center"/>
        </w:trPr>
        <w:tc>
          <w:tcPr>
            <w:tcBorders>
              <w:top w:val="single" w:color="D3D3D3" w:sz="0" w:space="0"/>
              <w:left w:val="single" w:color="D3D3D3" w:sz="0" w:space="0"/>
              <w:bottom w:val="single" w:color="auto" w:sz="4" w:space="0"/>
              <w:right w:val="single" w:color="D3D3D3" w:sz="0" w:space="0"/>
            </w:tcBorders>
            <w:shd w:val="clear" w:color="auto" w:fill="FFFFFF"/>
          </w:tcPr>
          <w:p w14:paraId="7E4DA26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Jennifer 2003</w:t>
            </w:r>
          </w:p>
        </w:tc>
        <w:tc>
          <w:tcPr>
            <w:tcBorders>
              <w:top w:val="single" w:color="D3D3D3" w:sz="0" w:space="0"/>
              <w:left w:val="single" w:color="D3D3D3" w:sz="0" w:space="0"/>
              <w:bottom w:val="single" w:color="auto" w:sz="4" w:space="0"/>
              <w:right w:val="single" w:color="D3D3D3" w:sz="0" w:space="0"/>
            </w:tcBorders>
            <w:shd w:val="clear" w:color="auto" w:fill="FFFFFF"/>
          </w:tcPr>
          <w:p w14:paraId="5A66589E">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auto" w:sz="4" w:space="0"/>
              <w:right w:val="single" w:color="D3D3D3" w:sz="0" w:space="0"/>
            </w:tcBorders>
            <w:shd w:val="clear" w:color="auto" w:fill="FFFFFF"/>
          </w:tcPr>
          <w:p w14:paraId="7276E201">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Low risk</w:t>
            </w:r>
          </w:p>
        </w:tc>
        <w:tc>
          <w:tcPr>
            <w:tcBorders>
              <w:top w:val="single" w:color="D3D3D3" w:sz="0" w:space="0"/>
              <w:left w:val="single" w:color="D3D3D3" w:sz="0" w:space="0"/>
              <w:bottom w:val="single" w:color="auto" w:sz="4" w:space="0"/>
              <w:right w:val="single" w:color="D3D3D3" w:sz="0" w:space="0"/>
            </w:tcBorders>
            <w:shd w:val="clear" w:color="auto" w:fill="FFFFFF"/>
          </w:tcPr>
          <w:p w14:paraId="7E357A7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auto" w:sz="4" w:space="0"/>
              <w:right w:val="single" w:color="D3D3D3" w:sz="0" w:space="0"/>
            </w:tcBorders>
            <w:shd w:val="clear" w:color="auto" w:fill="FFFFFF"/>
          </w:tcPr>
          <w:p w14:paraId="48961FF0">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 risk</w:t>
            </w:r>
          </w:p>
        </w:tc>
        <w:tc>
          <w:tcPr>
            <w:tcBorders>
              <w:top w:val="single" w:color="D3D3D3" w:sz="0" w:space="0"/>
              <w:left w:val="single" w:color="D3D3D3" w:sz="0" w:space="0"/>
              <w:bottom w:val="single" w:color="auto" w:sz="4" w:space="0"/>
              <w:right w:val="single" w:color="D3D3D3" w:sz="0" w:space="0"/>
            </w:tcBorders>
            <w:shd w:val="clear" w:color="auto" w:fill="FFFFFF"/>
          </w:tcPr>
          <w:p w14:paraId="24F01624">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auto" w:sz="4" w:space="0"/>
              <w:right w:val="single" w:color="D3D3D3" w:sz="0" w:space="0"/>
            </w:tcBorders>
            <w:shd w:val="clear" w:color="auto" w:fill="FFFFFF"/>
          </w:tcPr>
          <w:p w14:paraId="003A22D9">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c>
          <w:tcPr>
            <w:tcBorders>
              <w:top w:val="single" w:color="D3D3D3" w:sz="0" w:space="0"/>
              <w:left w:val="single" w:color="D3D3D3" w:sz="0" w:space="0"/>
              <w:bottom w:val="single" w:color="auto" w:sz="4" w:space="0"/>
              <w:right w:val="single" w:color="D3D3D3" w:sz="0" w:space="0"/>
            </w:tcBorders>
            <w:shd w:val="clear" w:color="auto" w:fill="FFFFFF"/>
          </w:tcPr>
          <w:p w14:paraId="4143E6A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 risk</w:t>
            </w:r>
          </w:p>
        </w:tc>
        <w:tc>
          <w:tcPr>
            <w:tcBorders>
              <w:top w:val="single" w:color="D3D3D3" w:sz="0" w:space="0"/>
              <w:left w:val="single" w:color="D3D3D3" w:sz="0" w:space="0"/>
              <w:bottom w:val="single" w:color="auto" w:sz="4" w:space="0"/>
              <w:right w:val="single" w:color="D3D3D3" w:sz="0" w:space="0"/>
            </w:tcBorders>
            <w:shd w:val="clear" w:color="auto" w:fill="FFFFFF"/>
          </w:tcPr>
          <w:p w14:paraId="7673639F">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Unclear</w:t>
            </w:r>
          </w:p>
        </w:tc>
        <w:tc>
          <w:tcPr>
            <w:tcBorders>
              <w:top w:val="single" w:color="D3D3D3" w:sz="0" w:space="0"/>
              <w:left w:val="single" w:color="D3D3D3" w:sz="0" w:space="0"/>
              <w:bottom w:val="single" w:color="auto" w:sz="4" w:space="0"/>
              <w:right w:val="single" w:color="D3D3D3" w:sz="0" w:space="0"/>
            </w:tcBorders>
            <w:shd w:val="clear" w:color="auto" w:fill="FFFFFF"/>
          </w:tcPr>
          <w:p w14:paraId="434EA696">
            <w:pPr>
              <w:keepNext/>
              <w:spacing w:before="0" w:after="60"/>
              <w:jc w:val="center"/>
              <w:rPr>
                <w:rFonts w:hint="default" w:ascii="Times New Roman" w:hAnsi="Times New Roman" w:cs="Times New Roman"/>
                <w:sz w:val="24"/>
                <w:szCs w:val="24"/>
              </w:rPr>
            </w:pPr>
            <w:r>
              <w:rPr>
                <w:rFonts w:hint="default" w:ascii="Times New Roman" w:hAnsi="Times New Roman" w:cs="Times New Roman"/>
                <w:sz w:val="24"/>
                <w:szCs w:val="24"/>
              </w:rPr>
              <w:t>High</w:t>
            </w:r>
          </w:p>
        </w:tc>
      </w:tr>
    </w:tbl>
    <w:p w14:paraId="48D0786B">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3AB2AB58">
      <w:pPr>
        <w:rPr>
          <w:rFonts w:hint="default" w:ascii="Times New Roman" w:hAnsi="Times New Roman" w:cs="Times New Roman"/>
          <w:sz w:val="24"/>
          <w:szCs w:val="24"/>
          <w:lang w:val="en-US" w:eastAsia="zh-CN"/>
        </w:rPr>
        <w:sectPr>
          <w:pgSz w:w="12240" w:h="15840"/>
          <w:pgMar w:top="1440" w:right="1800" w:bottom="1440" w:left="1800" w:header="720" w:footer="720" w:gutter="0"/>
          <w:pgNumType w:fmt="decimal"/>
          <w:cols w:space="0" w:num="1"/>
          <w:rtlGutter w:val="0"/>
          <w:docGrid w:linePitch="0" w:charSpace="0"/>
        </w:sectPr>
      </w:pPr>
    </w:p>
    <w:p w14:paraId="115B64CD">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8229600" cy="3291840"/>
            <wp:effectExtent l="0" t="0" r="0" b="0"/>
            <wp:docPr id="1" name="图片 1" descr="rob_summary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ob_summary_00"/>
                    <pic:cNvPicPr>
                      <a:picLocks noChangeAspect="1"/>
                    </pic:cNvPicPr>
                  </pic:nvPicPr>
                  <pic:blipFill>
                    <a:blip r:embed="rId5"/>
                    <a:stretch>
                      <a:fillRect/>
                    </a:stretch>
                  </pic:blipFill>
                  <pic:spPr>
                    <a:xfrm>
                      <a:off x="0" y="0"/>
                      <a:ext cx="8229600" cy="3291840"/>
                    </a:xfrm>
                    <a:prstGeom prst="rect">
                      <a:avLst/>
                    </a:prstGeom>
                  </pic:spPr>
                </pic:pic>
              </a:graphicData>
            </a:graphic>
          </wp:inline>
        </w:drawing>
      </w:r>
    </w:p>
    <w:p w14:paraId="0F5567AA">
      <w:pPr>
        <w:jc w:val="center"/>
        <w:outlineLvl w:val="0"/>
        <w:rPr>
          <w:rFonts w:hint="default" w:ascii="Times New Roman" w:hAnsi="Times New Roman" w:cs="Times New Roman"/>
          <w:b/>
          <w:bCs/>
          <w:sz w:val="24"/>
          <w:szCs w:val="24"/>
          <w:lang w:val="en-US" w:eastAsia="zh-CN"/>
        </w:rPr>
      </w:pPr>
      <w:bookmarkStart w:id="10" w:name="_Toc25812"/>
      <w:bookmarkStart w:id="11" w:name="_Toc29282"/>
      <w:r>
        <w:rPr>
          <w:rFonts w:hint="default" w:ascii="Times New Roman" w:hAnsi="Times New Roman" w:cs="Times New Roman"/>
          <w:b/>
          <w:bCs/>
          <w:sz w:val="24"/>
          <w:szCs w:val="24"/>
          <w:lang w:val="en-US" w:eastAsia="zh-CN"/>
        </w:rPr>
        <w:t>Figure S1. Risk of Bias</w:t>
      </w:r>
      <w:bookmarkEnd w:id="10"/>
      <w:bookmarkEnd w:id="11"/>
    </w:p>
    <w:p w14:paraId="78CED978">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br w:type="page"/>
      </w:r>
    </w:p>
    <w:p w14:paraId="0FB117C0">
      <w:pPr>
        <w:rPr>
          <w:rFonts w:hint="default" w:ascii="Times New Roman" w:hAnsi="Times New Roman" w:cs="Times New Roman"/>
          <w:sz w:val="24"/>
          <w:szCs w:val="24"/>
        </w:rPr>
        <w:sectPr>
          <w:pgSz w:w="15840" w:h="12240" w:orient="landscape"/>
          <w:pgMar w:top="1803" w:right="1440" w:bottom="1803" w:left="1440" w:header="720" w:footer="720" w:gutter="0"/>
          <w:pgNumType w:fmt="decimal"/>
          <w:cols w:space="0" w:num="1"/>
          <w:rtlGutter w:val="0"/>
          <w:docGrid w:linePitch="0" w:charSpace="0"/>
        </w:sectPr>
      </w:pPr>
    </w:p>
    <w:p w14:paraId="2EE2F230">
      <w:pPr>
        <w:pStyle w:val="2"/>
        <w:bidi w:val="0"/>
        <w:rPr>
          <w:rFonts w:hint="default"/>
          <w:lang w:val="en-US" w:eastAsia="zh-CN"/>
        </w:rPr>
      </w:pPr>
      <w:bookmarkStart w:id="12" w:name="_Toc26725"/>
      <w:r>
        <w:rPr>
          <w:rFonts w:hint="default"/>
        </w:rPr>
        <w:t xml:space="preserve">Supplementary file </w:t>
      </w:r>
      <w:r>
        <w:rPr>
          <w:rFonts w:hint="eastAsia"/>
          <w:lang w:val="en-US" w:eastAsia="zh-CN"/>
        </w:rPr>
        <w:t>3</w:t>
      </w:r>
      <w:r>
        <w:rPr>
          <w:rFonts w:hint="default"/>
          <w:lang w:val="en-US" w:eastAsia="zh-CN"/>
        </w:rPr>
        <w:t>: Publication bias</w:t>
      </w:r>
      <w:bookmarkEnd w:id="12"/>
    </w:p>
    <w:p w14:paraId="396C5773">
      <w:pPr>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278120" cy="5480685"/>
            <wp:effectExtent l="0" t="0" r="10160" b="5715"/>
            <wp:docPr id="2" name="图片 2" descr="漏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漏斗图_00"/>
                    <pic:cNvPicPr>
                      <a:picLocks noChangeAspect="1"/>
                    </pic:cNvPicPr>
                  </pic:nvPicPr>
                  <pic:blipFill>
                    <a:blip r:embed="rId6"/>
                    <a:stretch>
                      <a:fillRect/>
                    </a:stretch>
                  </pic:blipFill>
                  <pic:spPr>
                    <a:xfrm>
                      <a:off x="0" y="0"/>
                      <a:ext cx="5278120" cy="5480685"/>
                    </a:xfrm>
                    <a:prstGeom prst="rect">
                      <a:avLst/>
                    </a:prstGeom>
                  </pic:spPr>
                </pic:pic>
              </a:graphicData>
            </a:graphic>
          </wp:inline>
        </w:drawing>
      </w:r>
    </w:p>
    <w:p w14:paraId="25F0DA2F">
      <w:pPr>
        <w:jc w:val="center"/>
        <w:outlineLvl w:val="0"/>
        <w:rPr>
          <w:rFonts w:hint="default" w:ascii="Times New Roman" w:hAnsi="Times New Roman" w:cs="Times New Roman"/>
          <w:b/>
          <w:bCs/>
          <w:sz w:val="24"/>
          <w:szCs w:val="24"/>
          <w:lang w:val="en-US" w:eastAsia="zh-CN"/>
        </w:rPr>
      </w:pPr>
      <w:bookmarkStart w:id="13" w:name="_Toc821"/>
      <w:bookmarkStart w:id="14" w:name="_Toc24564"/>
      <w:r>
        <w:rPr>
          <w:rFonts w:hint="default" w:ascii="Times New Roman" w:hAnsi="Times New Roman" w:cs="Times New Roman"/>
          <w:b/>
          <w:bCs/>
          <w:sz w:val="24"/>
          <w:szCs w:val="24"/>
          <w:lang w:val="en-US" w:eastAsia="zh-CN"/>
        </w:rPr>
        <w:t>Figure S2. Funnel plot</w:t>
      </w:r>
      <w:bookmarkEnd w:id="13"/>
      <w:bookmarkEnd w:id="14"/>
    </w:p>
    <w:p w14:paraId="35D2229A">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br w:type="page"/>
      </w:r>
    </w:p>
    <w:p w14:paraId="29CDA095">
      <w:pPr>
        <w:pStyle w:val="2"/>
        <w:bidi w:val="0"/>
        <w:rPr>
          <w:rFonts w:hint="default"/>
          <w:lang w:val="en-US" w:eastAsia="zh-CN"/>
        </w:rPr>
      </w:pPr>
      <w:bookmarkStart w:id="15" w:name="_Toc13931"/>
      <w:r>
        <w:rPr>
          <w:rFonts w:hint="default"/>
        </w:rPr>
        <w:t xml:space="preserve">Supplementary file </w:t>
      </w:r>
      <w:r>
        <w:rPr>
          <w:rFonts w:hint="eastAsia"/>
          <w:lang w:val="en-US" w:eastAsia="zh-CN"/>
        </w:rPr>
        <w:t>4</w:t>
      </w:r>
      <w:r>
        <w:rPr>
          <w:rFonts w:hint="default"/>
          <w:lang w:val="en-US" w:eastAsia="zh-CN"/>
        </w:rPr>
        <w:t>: Convergence and posterior distributions</w:t>
      </w:r>
      <w:bookmarkEnd w:id="15"/>
      <w:r>
        <w:rPr>
          <w:rFonts w:hint="default"/>
          <w:lang w:val="en-US" w:eastAsia="zh-CN"/>
        </w:rPr>
        <w:t xml:space="preserve"> </w:t>
      </w:r>
    </w:p>
    <w:p w14:paraId="2F5056E3">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3201035" cy="3324225"/>
            <wp:effectExtent l="0" t="0" r="14605" b="13335"/>
            <wp:docPr id="3" name="图片 3" descr="收敛性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收敛性_00"/>
                    <pic:cNvPicPr>
                      <a:picLocks noChangeAspect="1"/>
                    </pic:cNvPicPr>
                  </pic:nvPicPr>
                  <pic:blipFill>
                    <a:blip r:embed="rId7"/>
                    <a:stretch>
                      <a:fillRect/>
                    </a:stretch>
                  </pic:blipFill>
                  <pic:spPr>
                    <a:xfrm>
                      <a:off x="0" y="0"/>
                      <a:ext cx="3201035" cy="3324225"/>
                    </a:xfrm>
                    <a:prstGeom prst="rect">
                      <a:avLst/>
                    </a:prstGeom>
                  </pic:spPr>
                </pic:pic>
              </a:graphicData>
            </a:graphic>
          </wp:inline>
        </w:drawing>
      </w:r>
    </w:p>
    <w:p w14:paraId="30276DF1">
      <w:pPr>
        <w:jc w:val="center"/>
        <w:outlineLvl w:val="0"/>
        <w:rPr>
          <w:rFonts w:hint="default" w:ascii="Times New Roman" w:hAnsi="Times New Roman" w:cs="Times New Roman"/>
          <w:b/>
          <w:bCs/>
          <w:sz w:val="24"/>
          <w:szCs w:val="24"/>
          <w:lang w:val="en-US" w:eastAsia="zh-CN"/>
        </w:rPr>
      </w:pPr>
      <w:bookmarkStart w:id="16" w:name="_Toc13003"/>
      <w:bookmarkStart w:id="17" w:name="_Toc25418"/>
      <w:r>
        <w:rPr>
          <w:rFonts w:hint="default" w:ascii="Times New Roman" w:hAnsi="Times New Roman" w:cs="Times New Roman"/>
          <w:b/>
          <w:bCs/>
          <w:sz w:val="24"/>
          <w:szCs w:val="24"/>
          <w:lang w:val="en-US" w:eastAsia="zh-CN"/>
        </w:rPr>
        <w:t>Figure S3. Convergence</w:t>
      </w:r>
      <w:bookmarkEnd w:id="16"/>
      <w:bookmarkEnd w:id="17"/>
    </w:p>
    <w:p w14:paraId="66E0A40A">
      <w:pPr>
        <w:jc w:val="center"/>
        <w:rPr>
          <w:rFonts w:hint="default" w:ascii="Times New Roman" w:hAnsi="Times New Roman" w:cs="Times New Roman"/>
          <w:b/>
          <w:bCs/>
          <w:sz w:val="24"/>
          <w:szCs w:val="24"/>
          <w:lang w:val="en-US" w:eastAsia="zh-CN"/>
        </w:rPr>
      </w:pPr>
    </w:p>
    <w:p w14:paraId="278125E5">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3073400" cy="3192145"/>
            <wp:effectExtent l="0" t="0" r="5080" b="8255"/>
            <wp:docPr id="4" name="图片 4" descr="后验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后验1_00"/>
                    <pic:cNvPicPr>
                      <a:picLocks noChangeAspect="1"/>
                    </pic:cNvPicPr>
                  </pic:nvPicPr>
                  <pic:blipFill>
                    <a:blip r:embed="rId8"/>
                    <a:stretch>
                      <a:fillRect/>
                    </a:stretch>
                  </pic:blipFill>
                  <pic:spPr>
                    <a:xfrm>
                      <a:off x="0" y="0"/>
                      <a:ext cx="3073400" cy="3192145"/>
                    </a:xfrm>
                    <a:prstGeom prst="rect">
                      <a:avLst/>
                    </a:prstGeom>
                  </pic:spPr>
                </pic:pic>
              </a:graphicData>
            </a:graphic>
          </wp:inline>
        </w:drawing>
      </w:r>
    </w:p>
    <w:p w14:paraId="536C89BB">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 S4. Posterior distribution of the result</w:t>
      </w:r>
    </w:p>
    <w:p w14:paraId="2DF36E86">
      <w:pPr>
        <w:jc w:val="center"/>
        <w:rPr>
          <w:rFonts w:hint="default" w:ascii="Times New Roman" w:hAnsi="Times New Roman" w:cs="Times New Roman"/>
          <w:b/>
          <w:bCs/>
          <w:sz w:val="24"/>
          <w:szCs w:val="24"/>
          <w:lang w:val="en-US" w:eastAsia="zh-CN"/>
        </w:rPr>
      </w:pPr>
    </w:p>
    <w:p w14:paraId="61F14BC5">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3277870" cy="3404235"/>
            <wp:effectExtent l="0" t="0" r="13970" b="9525"/>
            <wp:docPr id="5" name="图片 5" descr="后验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后验2_00"/>
                    <pic:cNvPicPr>
                      <a:picLocks noChangeAspect="1"/>
                    </pic:cNvPicPr>
                  </pic:nvPicPr>
                  <pic:blipFill>
                    <a:blip r:embed="rId9"/>
                    <a:stretch>
                      <a:fillRect/>
                    </a:stretch>
                  </pic:blipFill>
                  <pic:spPr>
                    <a:xfrm>
                      <a:off x="0" y="0"/>
                      <a:ext cx="3277870" cy="3404235"/>
                    </a:xfrm>
                    <a:prstGeom prst="rect">
                      <a:avLst/>
                    </a:prstGeom>
                  </pic:spPr>
                </pic:pic>
              </a:graphicData>
            </a:graphic>
          </wp:inline>
        </w:drawing>
      </w:r>
    </w:p>
    <w:p w14:paraId="4FD21F3D">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 S5. Posterior distribution of heterogeneity</w:t>
      </w:r>
    </w:p>
    <w:p w14:paraId="1EDDEAD5">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br w:type="page"/>
      </w:r>
    </w:p>
    <w:p w14:paraId="07DAD7EB">
      <w:pPr>
        <w:pStyle w:val="2"/>
        <w:bidi w:val="0"/>
        <w:rPr>
          <w:rFonts w:hint="default"/>
          <w:lang w:val="en-US" w:eastAsia="zh-CN"/>
        </w:rPr>
      </w:pPr>
      <w:bookmarkStart w:id="18" w:name="_Toc21727"/>
      <w:r>
        <w:rPr>
          <w:rFonts w:hint="default"/>
        </w:rPr>
        <w:t xml:space="preserve">Supplementary file </w:t>
      </w:r>
      <w:r>
        <w:rPr>
          <w:rFonts w:hint="eastAsia"/>
          <w:lang w:val="en-US" w:eastAsia="zh-CN"/>
        </w:rPr>
        <w:t>5</w:t>
      </w:r>
      <w:r>
        <w:rPr>
          <w:rFonts w:hint="default"/>
          <w:lang w:val="en-US" w:eastAsia="zh-CN"/>
        </w:rPr>
        <w:t>: Model robustness</w:t>
      </w:r>
      <w:bookmarkEnd w:id="18"/>
    </w:p>
    <w:p w14:paraId="401C5B92">
      <w:pPr>
        <w:jc w:val="center"/>
        <w:rPr>
          <w:rFonts w:hint="default" w:ascii="Times New Roman" w:hAnsi="Times New Roman" w:cs="Times New Roman"/>
          <w:b/>
          <w:bCs/>
          <w:sz w:val="24"/>
          <w:szCs w:val="24"/>
          <w:lang w:val="en-US" w:eastAsia="zh-CN"/>
        </w:rPr>
      </w:pPr>
    </w:p>
    <w:p w14:paraId="6CF180CA">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480685" cy="5278120"/>
            <wp:effectExtent l="0" t="0" r="6985" b="6985"/>
            <wp:docPr id="6" name="图片 6" descr="模型稳健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模型稳健_00"/>
                    <pic:cNvPicPr>
                      <a:picLocks noChangeAspect="1"/>
                    </pic:cNvPicPr>
                  </pic:nvPicPr>
                  <pic:blipFill>
                    <a:blip r:embed="rId10"/>
                    <a:stretch>
                      <a:fillRect/>
                    </a:stretch>
                  </pic:blipFill>
                  <pic:spPr>
                    <a:xfrm>
                      <a:off x="0" y="0"/>
                      <a:ext cx="5480685" cy="5278120"/>
                    </a:xfrm>
                    <a:prstGeom prst="rect">
                      <a:avLst/>
                    </a:prstGeom>
                  </pic:spPr>
                </pic:pic>
              </a:graphicData>
            </a:graphic>
          </wp:inline>
        </w:drawing>
      </w:r>
    </w:p>
    <w:p w14:paraId="3F152E6E">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 S6. R</w:t>
      </w:r>
      <w:r>
        <w:rPr>
          <w:rFonts w:hint="default" w:ascii="Times New Roman" w:hAnsi="Times New Roman" w:cs="Times New Roman"/>
          <w:b/>
          <w:bCs/>
          <w:sz w:val="24"/>
          <w:szCs w:val="24"/>
          <w:vertAlign w:val="superscript"/>
          <w:lang w:val="en-US" w:eastAsia="zh-CN"/>
        </w:rPr>
        <w:t>2</w:t>
      </w:r>
      <w:r>
        <w:rPr>
          <w:rFonts w:hint="default" w:ascii="Times New Roman" w:hAnsi="Times New Roman" w:cs="Times New Roman"/>
          <w:b/>
          <w:bCs/>
          <w:sz w:val="24"/>
          <w:szCs w:val="24"/>
          <w:lang w:val="en-US" w:eastAsia="zh-CN"/>
        </w:rPr>
        <w:t xml:space="preserve"> distribution for different models</w:t>
      </w:r>
    </w:p>
    <w:p w14:paraId="768FDBDD">
      <w:pPr>
        <w:jc w:val="center"/>
        <w:rPr>
          <w:rFonts w:hint="default" w:ascii="Times New Roman" w:hAnsi="Times New Roman" w:cs="Times New Roman"/>
          <w:b/>
          <w:bCs/>
          <w:sz w:val="24"/>
          <w:szCs w:val="24"/>
          <w:lang w:val="en-US" w:eastAsia="zh-CN"/>
        </w:rPr>
      </w:pPr>
    </w:p>
    <w:p w14:paraId="06B9F90B">
      <w:pPr>
        <w:jc w:val="center"/>
        <w:rPr>
          <w:rFonts w:hint="default" w:ascii="Times New Roman" w:hAnsi="Times New Roman" w:cs="Times New Roman"/>
          <w:b/>
          <w:bCs/>
          <w:sz w:val="24"/>
          <w:szCs w:val="24"/>
          <w:lang w:val="en-US" w:eastAsia="zh-CN"/>
        </w:rPr>
      </w:pPr>
    </w:p>
    <w:p w14:paraId="3BDA1875">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br w:type="page"/>
      </w:r>
    </w:p>
    <w:p w14:paraId="67481B33">
      <w:pPr>
        <w:pStyle w:val="2"/>
        <w:bidi w:val="0"/>
        <w:rPr>
          <w:rFonts w:hint="default"/>
          <w:lang w:val="en-US" w:eastAsia="zh-CN"/>
        </w:rPr>
      </w:pPr>
      <w:bookmarkStart w:id="19" w:name="_Toc29816"/>
      <w:r>
        <w:rPr>
          <w:rFonts w:hint="default"/>
        </w:rPr>
        <w:t xml:space="preserve">Supplementary file </w:t>
      </w:r>
      <w:r>
        <w:rPr>
          <w:rFonts w:hint="eastAsia"/>
          <w:lang w:val="en-US" w:eastAsia="zh-CN"/>
        </w:rPr>
        <w:t>6</w:t>
      </w:r>
      <w:r>
        <w:rPr>
          <w:rFonts w:hint="default"/>
          <w:lang w:val="en-US" w:eastAsia="zh-CN"/>
        </w:rPr>
        <w:t>: Weekly dose-response predicted</w:t>
      </w:r>
      <w:bookmarkEnd w:id="19"/>
    </w:p>
    <w:tbl>
      <w:tblPr>
        <w:tblStyle w:val="9"/>
        <w:tblW w:w="4861"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96"/>
        <w:gridCol w:w="996"/>
        <w:gridCol w:w="996"/>
        <w:gridCol w:w="1076"/>
        <w:gridCol w:w="996"/>
      </w:tblGrid>
      <w:tr w14:paraId="245E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972" w:type="dxa"/>
            <w:shd w:val="clear" w:color="auto" w:fill="auto"/>
            <w:noWrap/>
            <w:vAlign w:val="bottom"/>
          </w:tcPr>
          <w:p w14:paraId="356161C0">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weekly_dose</w:t>
            </w:r>
          </w:p>
        </w:tc>
        <w:tc>
          <w:tcPr>
            <w:tcW w:w="972" w:type="dxa"/>
            <w:shd w:val="clear" w:color="auto" w:fill="auto"/>
            <w:noWrap/>
            <w:vAlign w:val="bottom"/>
          </w:tcPr>
          <w:p w14:paraId="5750B105">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pred</w:t>
            </w:r>
          </w:p>
        </w:tc>
        <w:tc>
          <w:tcPr>
            <w:tcW w:w="972" w:type="dxa"/>
            <w:shd w:val="clear" w:color="auto" w:fill="auto"/>
            <w:noWrap/>
            <w:vAlign w:val="bottom"/>
          </w:tcPr>
          <w:p w14:paraId="60B95FEE">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se</w:t>
            </w:r>
          </w:p>
        </w:tc>
        <w:tc>
          <w:tcPr>
            <w:tcW w:w="972" w:type="dxa"/>
            <w:shd w:val="clear" w:color="auto" w:fill="auto"/>
            <w:noWrap/>
            <w:vAlign w:val="bottom"/>
          </w:tcPr>
          <w:p w14:paraId="711ED395">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lower</w:t>
            </w:r>
          </w:p>
        </w:tc>
        <w:tc>
          <w:tcPr>
            <w:tcW w:w="972" w:type="dxa"/>
            <w:shd w:val="clear" w:color="auto" w:fill="auto"/>
            <w:noWrap/>
            <w:vAlign w:val="bottom"/>
          </w:tcPr>
          <w:p w14:paraId="356B502D">
            <w:pPr>
              <w:keepNext w:val="0"/>
              <w:keepLines w:val="0"/>
              <w:widowControl/>
              <w:suppressLineNumbers w:val="0"/>
              <w:jc w:val="center"/>
              <w:textAlignment w:val="bottom"/>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upper</w:t>
            </w:r>
          </w:p>
        </w:tc>
      </w:tr>
      <w:tr w14:paraId="43E1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27F9447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0" w:type="auto"/>
            <w:shd w:val="clear" w:color="auto" w:fill="auto"/>
            <w:noWrap/>
            <w:vAlign w:val="bottom"/>
          </w:tcPr>
          <w:p w14:paraId="24E6B9C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1.57095</w:t>
            </w:r>
          </w:p>
        </w:tc>
        <w:tc>
          <w:tcPr>
            <w:tcW w:w="0" w:type="auto"/>
            <w:shd w:val="clear" w:color="auto" w:fill="auto"/>
            <w:noWrap/>
            <w:vAlign w:val="bottom"/>
          </w:tcPr>
          <w:p w14:paraId="714ED4D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2.64997</w:t>
            </w:r>
          </w:p>
        </w:tc>
        <w:tc>
          <w:tcPr>
            <w:tcW w:w="0" w:type="auto"/>
            <w:shd w:val="clear" w:color="auto" w:fill="auto"/>
            <w:noWrap/>
            <w:vAlign w:val="bottom"/>
          </w:tcPr>
          <w:p w14:paraId="2659F6C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-2.78787</w:t>
            </w:r>
          </w:p>
        </w:tc>
        <w:tc>
          <w:tcPr>
            <w:tcW w:w="0" w:type="auto"/>
            <w:shd w:val="clear" w:color="auto" w:fill="auto"/>
            <w:noWrap/>
            <w:vAlign w:val="bottom"/>
          </w:tcPr>
          <w:p w14:paraId="272E42A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5.92976</w:t>
            </w:r>
          </w:p>
        </w:tc>
      </w:tr>
      <w:tr w14:paraId="7721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61D096C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0" w:type="auto"/>
            <w:shd w:val="clear" w:color="auto" w:fill="auto"/>
            <w:noWrap/>
            <w:vAlign w:val="bottom"/>
          </w:tcPr>
          <w:p w14:paraId="570E7C1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1.6053</w:t>
            </w:r>
          </w:p>
        </w:tc>
        <w:tc>
          <w:tcPr>
            <w:tcW w:w="0" w:type="auto"/>
            <w:shd w:val="clear" w:color="auto" w:fill="auto"/>
            <w:noWrap/>
            <w:vAlign w:val="bottom"/>
          </w:tcPr>
          <w:p w14:paraId="657494A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2.39105</w:t>
            </w:r>
          </w:p>
        </w:tc>
        <w:tc>
          <w:tcPr>
            <w:tcW w:w="0" w:type="auto"/>
            <w:shd w:val="clear" w:color="auto" w:fill="auto"/>
            <w:noWrap/>
            <w:vAlign w:val="bottom"/>
          </w:tcPr>
          <w:p w14:paraId="5DCE27B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-2.32763</w:t>
            </w:r>
          </w:p>
        </w:tc>
        <w:tc>
          <w:tcPr>
            <w:tcW w:w="0" w:type="auto"/>
            <w:shd w:val="clear" w:color="auto" w:fill="auto"/>
            <w:noWrap/>
            <w:vAlign w:val="bottom"/>
          </w:tcPr>
          <w:p w14:paraId="633BD28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5.53823</w:t>
            </w:r>
          </w:p>
        </w:tc>
      </w:tr>
      <w:tr w14:paraId="28FB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49D73AC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0" w:type="auto"/>
            <w:shd w:val="clear" w:color="auto" w:fill="auto"/>
            <w:noWrap/>
            <w:vAlign w:val="bottom"/>
          </w:tcPr>
          <w:p w14:paraId="0594810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1.64035</w:t>
            </w:r>
          </w:p>
        </w:tc>
        <w:tc>
          <w:tcPr>
            <w:tcW w:w="0" w:type="auto"/>
            <w:shd w:val="clear" w:color="auto" w:fill="auto"/>
            <w:noWrap/>
            <w:vAlign w:val="bottom"/>
          </w:tcPr>
          <w:p w14:paraId="139AC14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2.1368</w:t>
            </w:r>
          </w:p>
        </w:tc>
        <w:tc>
          <w:tcPr>
            <w:tcW w:w="0" w:type="auto"/>
            <w:shd w:val="clear" w:color="auto" w:fill="auto"/>
            <w:noWrap/>
            <w:vAlign w:val="bottom"/>
          </w:tcPr>
          <w:p w14:paraId="6A93E3F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-1.87437</w:t>
            </w:r>
          </w:p>
        </w:tc>
        <w:tc>
          <w:tcPr>
            <w:tcW w:w="0" w:type="auto"/>
            <w:shd w:val="clear" w:color="auto" w:fill="auto"/>
            <w:noWrap/>
            <w:vAlign w:val="bottom"/>
          </w:tcPr>
          <w:p w14:paraId="0B6C04C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5.15508</w:t>
            </w:r>
          </w:p>
        </w:tc>
      </w:tr>
      <w:tr w14:paraId="18E2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6BEF6E3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0" w:type="auto"/>
            <w:shd w:val="clear" w:color="auto" w:fill="auto"/>
            <w:noWrap/>
            <w:vAlign w:val="bottom"/>
          </w:tcPr>
          <w:p w14:paraId="3DADB68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1.67682</w:t>
            </w:r>
          </w:p>
        </w:tc>
        <w:tc>
          <w:tcPr>
            <w:tcW w:w="0" w:type="auto"/>
            <w:shd w:val="clear" w:color="auto" w:fill="auto"/>
            <w:noWrap/>
            <w:vAlign w:val="bottom"/>
          </w:tcPr>
          <w:p w14:paraId="6C9171A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1.89022</w:t>
            </w:r>
          </w:p>
        </w:tc>
        <w:tc>
          <w:tcPr>
            <w:tcW w:w="0" w:type="auto"/>
            <w:shd w:val="clear" w:color="auto" w:fill="auto"/>
            <w:noWrap/>
            <w:vAlign w:val="bottom"/>
          </w:tcPr>
          <w:p w14:paraId="7AA8E31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-1.43232</w:t>
            </w:r>
          </w:p>
        </w:tc>
        <w:tc>
          <w:tcPr>
            <w:tcW w:w="0" w:type="auto"/>
            <w:shd w:val="clear" w:color="auto" w:fill="auto"/>
            <w:noWrap/>
            <w:vAlign w:val="bottom"/>
          </w:tcPr>
          <w:p w14:paraId="0D662A3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4.78595</w:t>
            </w:r>
          </w:p>
        </w:tc>
      </w:tr>
      <w:tr w14:paraId="4FB0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436E2AB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0" w:type="auto"/>
            <w:shd w:val="clear" w:color="auto" w:fill="auto"/>
            <w:noWrap/>
            <w:vAlign w:val="bottom"/>
          </w:tcPr>
          <w:p w14:paraId="2A3889E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1.71539</w:t>
            </w:r>
          </w:p>
        </w:tc>
        <w:tc>
          <w:tcPr>
            <w:tcW w:w="0" w:type="auto"/>
            <w:shd w:val="clear" w:color="auto" w:fill="auto"/>
            <w:noWrap/>
            <w:vAlign w:val="bottom"/>
          </w:tcPr>
          <w:p w14:paraId="059A61D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1.65439</w:t>
            </w:r>
          </w:p>
        </w:tc>
        <w:tc>
          <w:tcPr>
            <w:tcW w:w="0" w:type="auto"/>
            <w:shd w:val="clear" w:color="auto" w:fill="auto"/>
            <w:noWrap/>
            <w:vAlign w:val="bottom"/>
          </w:tcPr>
          <w:p w14:paraId="585BD71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-1.00583</w:t>
            </w:r>
          </w:p>
        </w:tc>
        <w:tc>
          <w:tcPr>
            <w:tcW w:w="0" w:type="auto"/>
            <w:shd w:val="clear" w:color="auto" w:fill="auto"/>
            <w:noWrap/>
            <w:vAlign w:val="bottom"/>
          </w:tcPr>
          <w:p w14:paraId="755C8BC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4.43661</w:t>
            </w:r>
          </w:p>
        </w:tc>
      </w:tr>
      <w:tr w14:paraId="624A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207BFAA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p>
        </w:tc>
        <w:tc>
          <w:tcPr>
            <w:tcW w:w="0" w:type="auto"/>
            <w:shd w:val="clear" w:color="auto" w:fill="auto"/>
            <w:noWrap/>
            <w:vAlign w:val="bottom"/>
          </w:tcPr>
          <w:p w14:paraId="7E68BDA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1.75678</w:t>
            </w:r>
          </w:p>
        </w:tc>
        <w:tc>
          <w:tcPr>
            <w:tcW w:w="0" w:type="auto"/>
            <w:shd w:val="clear" w:color="auto" w:fill="auto"/>
            <w:noWrap/>
            <w:vAlign w:val="bottom"/>
          </w:tcPr>
          <w:p w14:paraId="444E9E1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1.43249</w:t>
            </w:r>
          </w:p>
        </w:tc>
        <w:tc>
          <w:tcPr>
            <w:tcW w:w="0" w:type="auto"/>
            <w:shd w:val="clear" w:color="auto" w:fill="auto"/>
            <w:noWrap/>
            <w:vAlign w:val="bottom"/>
          </w:tcPr>
          <w:p w14:paraId="6F9CBC3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-0.59945</w:t>
            </w:r>
          </w:p>
        </w:tc>
        <w:tc>
          <w:tcPr>
            <w:tcW w:w="0" w:type="auto"/>
            <w:shd w:val="clear" w:color="auto" w:fill="auto"/>
            <w:noWrap/>
            <w:vAlign w:val="bottom"/>
          </w:tcPr>
          <w:p w14:paraId="732AD3E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4.113</w:t>
            </w:r>
          </w:p>
        </w:tc>
      </w:tr>
      <w:tr w14:paraId="3C98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7056D93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p>
        </w:tc>
        <w:tc>
          <w:tcPr>
            <w:tcW w:w="0" w:type="auto"/>
            <w:shd w:val="clear" w:color="auto" w:fill="auto"/>
            <w:noWrap/>
            <w:vAlign w:val="bottom"/>
          </w:tcPr>
          <w:p w14:paraId="03FE3F3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1.80168</w:t>
            </w:r>
          </w:p>
        </w:tc>
        <w:tc>
          <w:tcPr>
            <w:tcW w:w="0" w:type="auto"/>
            <w:shd w:val="clear" w:color="auto" w:fill="auto"/>
            <w:noWrap/>
            <w:vAlign w:val="bottom"/>
          </w:tcPr>
          <w:p w14:paraId="54644C6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1.22779</w:t>
            </w:r>
          </w:p>
        </w:tc>
        <w:tc>
          <w:tcPr>
            <w:tcW w:w="0" w:type="auto"/>
            <w:shd w:val="clear" w:color="auto" w:fill="auto"/>
            <w:noWrap/>
            <w:vAlign w:val="bottom"/>
          </w:tcPr>
          <w:p w14:paraId="3E2E5A4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-0.21786</w:t>
            </w:r>
          </w:p>
        </w:tc>
        <w:tc>
          <w:tcPr>
            <w:tcW w:w="0" w:type="auto"/>
            <w:shd w:val="clear" w:color="auto" w:fill="auto"/>
            <w:noWrap/>
            <w:vAlign w:val="bottom"/>
          </w:tcPr>
          <w:p w14:paraId="604D2AB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3.82122</w:t>
            </w:r>
          </w:p>
        </w:tc>
      </w:tr>
      <w:tr w14:paraId="6ECA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621C14A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w:t>
            </w:r>
          </w:p>
        </w:tc>
        <w:tc>
          <w:tcPr>
            <w:tcW w:w="0" w:type="auto"/>
            <w:shd w:val="clear" w:color="auto" w:fill="auto"/>
            <w:noWrap/>
            <w:vAlign w:val="bottom"/>
          </w:tcPr>
          <w:p w14:paraId="784099D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1.8508</w:t>
            </w:r>
          </w:p>
        </w:tc>
        <w:tc>
          <w:tcPr>
            <w:tcW w:w="0" w:type="auto"/>
            <w:shd w:val="clear" w:color="auto" w:fill="auto"/>
            <w:noWrap/>
            <w:vAlign w:val="bottom"/>
          </w:tcPr>
          <w:p w14:paraId="40226DA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1.04364</w:t>
            </w:r>
          </w:p>
        </w:tc>
        <w:tc>
          <w:tcPr>
            <w:tcW w:w="0" w:type="auto"/>
            <w:shd w:val="clear" w:color="auto" w:fill="auto"/>
            <w:noWrap/>
            <w:vAlign w:val="bottom"/>
          </w:tcPr>
          <w:p w14:paraId="633BC98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0.13417</w:t>
            </w:r>
          </w:p>
        </w:tc>
        <w:tc>
          <w:tcPr>
            <w:tcW w:w="0" w:type="auto"/>
            <w:shd w:val="clear" w:color="auto" w:fill="auto"/>
            <w:noWrap/>
            <w:vAlign w:val="bottom"/>
          </w:tcPr>
          <w:p w14:paraId="0C3700F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3.56743</w:t>
            </w:r>
          </w:p>
        </w:tc>
      </w:tr>
      <w:tr w14:paraId="4953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65C000B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0" w:type="auto"/>
            <w:shd w:val="clear" w:color="auto" w:fill="auto"/>
            <w:noWrap/>
            <w:vAlign w:val="bottom"/>
          </w:tcPr>
          <w:p w14:paraId="3595529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1.90485</w:t>
            </w:r>
          </w:p>
        </w:tc>
        <w:tc>
          <w:tcPr>
            <w:tcW w:w="0" w:type="auto"/>
            <w:shd w:val="clear" w:color="auto" w:fill="auto"/>
            <w:noWrap/>
            <w:vAlign w:val="bottom"/>
          </w:tcPr>
          <w:p w14:paraId="5EDF0F7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0.88323</w:t>
            </w:r>
          </w:p>
        </w:tc>
        <w:tc>
          <w:tcPr>
            <w:tcW w:w="0" w:type="auto"/>
            <w:shd w:val="clear" w:color="auto" w:fill="auto"/>
            <w:noWrap/>
            <w:vAlign w:val="bottom"/>
          </w:tcPr>
          <w:p w14:paraId="3351BCC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0.45207</w:t>
            </w:r>
          </w:p>
        </w:tc>
        <w:tc>
          <w:tcPr>
            <w:tcW w:w="0" w:type="auto"/>
            <w:shd w:val="clear" w:color="auto" w:fill="auto"/>
            <w:noWrap/>
            <w:vAlign w:val="bottom"/>
          </w:tcPr>
          <w:p w14:paraId="37D153F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3.35763</w:t>
            </w:r>
          </w:p>
        </w:tc>
      </w:tr>
      <w:tr w14:paraId="526E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7A74453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w:t>
            </w:r>
          </w:p>
        </w:tc>
        <w:tc>
          <w:tcPr>
            <w:tcW w:w="0" w:type="auto"/>
            <w:shd w:val="clear" w:color="auto" w:fill="auto"/>
            <w:noWrap/>
            <w:vAlign w:val="bottom"/>
          </w:tcPr>
          <w:p w14:paraId="3FE0250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1.96452</w:t>
            </w:r>
          </w:p>
        </w:tc>
        <w:tc>
          <w:tcPr>
            <w:tcW w:w="0" w:type="auto"/>
            <w:shd w:val="clear" w:color="auto" w:fill="auto"/>
            <w:noWrap/>
            <w:vAlign w:val="bottom"/>
          </w:tcPr>
          <w:p w14:paraId="5AB3665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0.74929</w:t>
            </w:r>
          </w:p>
        </w:tc>
        <w:tc>
          <w:tcPr>
            <w:tcW w:w="0" w:type="auto"/>
            <w:shd w:val="clear" w:color="auto" w:fill="auto"/>
            <w:noWrap/>
            <w:vAlign w:val="bottom"/>
          </w:tcPr>
          <w:p w14:paraId="3EB7734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0.73204</w:t>
            </w:r>
          </w:p>
        </w:tc>
        <w:tc>
          <w:tcPr>
            <w:tcW w:w="0" w:type="auto"/>
            <w:shd w:val="clear" w:color="auto" w:fill="auto"/>
            <w:noWrap/>
            <w:vAlign w:val="bottom"/>
          </w:tcPr>
          <w:p w14:paraId="6A30289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3.19699</w:t>
            </w:r>
          </w:p>
        </w:tc>
      </w:tr>
      <w:tr w14:paraId="25D1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63F20D1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p>
        </w:tc>
        <w:tc>
          <w:tcPr>
            <w:tcW w:w="0" w:type="auto"/>
            <w:shd w:val="clear" w:color="auto" w:fill="auto"/>
            <w:noWrap/>
            <w:vAlign w:val="bottom"/>
          </w:tcPr>
          <w:p w14:paraId="15F6C67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2.03052</w:t>
            </w:r>
          </w:p>
        </w:tc>
        <w:tc>
          <w:tcPr>
            <w:tcW w:w="0" w:type="auto"/>
            <w:shd w:val="clear" w:color="auto" w:fill="auto"/>
            <w:noWrap/>
            <w:vAlign w:val="bottom"/>
          </w:tcPr>
          <w:p w14:paraId="5300868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0.64331</w:t>
            </w:r>
          </w:p>
        </w:tc>
        <w:tc>
          <w:tcPr>
            <w:tcW w:w="0" w:type="auto"/>
            <w:shd w:val="clear" w:color="auto" w:fill="auto"/>
            <w:noWrap/>
            <w:vAlign w:val="bottom"/>
          </w:tcPr>
          <w:p w14:paraId="7013195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0.97237</w:t>
            </w:r>
          </w:p>
        </w:tc>
        <w:tc>
          <w:tcPr>
            <w:tcW w:w="0" w:type="auto"/>
            <w:shd w:val="clear" w:color="auto" w:fill="auto"/>
            <w:noWrap/>
            <w:vAlign w:val="bottom"/>
          </w:tcPr>
          <w:p w14:paraId="47004DD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3.08867</w:t>
            </w:r>
          </w:p>
        </w:tc>
      </w:tr>
      <w:tr w14:paraId="6DA0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2547776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w:t>
            </w:r>
          </w:p>
        </w:tc>
        <w:tc>
          <w:tcPr>
            <w:tcW w:w="0" w:type="auto"/>
            <w:shd w:val="clear" w:color="auto" w:fill="auto"/>
            <w:noWrap/>
            <w:vAlign w:val="bottom"/>
          </w:tcPr>
          <w:p w14:paraId="3FAEBE5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2.10349</w:t>
            </w:r>
          </w:p>
        </w:tc>
        <w:tc>
          <w:tcPr>
            <w:tcW w:w="0" w:type="auto"/>
            <w:shd w:val="clear" w:color="auto" w:fill="auto"/>
            <w:noWrap/>
            <w:vAlign w:val="bottom"/>
          </w:tcPr>
          <w:p w14:paraId="1E7B3D1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0.56454</w:t>
            </w:r>
          </w:p>
        </w:tc>
        <w:tc>
          <w:tcPr>
            <w:tcW w:w="0" w:type="auto"/>
            <w:shd w:val="clear" w:color="auto" w:fill="auto"/>
            <w:noWrap/>
            <w:vAlign w:val="bottom"/>
          </w:tcPr>
          <w:p w14:paraId="14A9992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1.1749</w:t>
            </w:r>
          </w:p>
        </w:tc>
        <w:tc>
          <w:tcPr>
            <w:tcW w:w="0" w:type="auto"/>
            <w:shd w:val="clear" w:color="auto" w:fill="auto"/>
            <w:noWrap/>
            <w:vAlign w:val="bottom"/>
          </w:tcPr>
          <w:p w14:paraId="6C77A8A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3.03207</w:t>
            </w:r>
          </w:p>
        </w:tc>
      </w:tr>
      <w:tr w14:paraId="3F55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5DDD8A0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w:t>
            </w:r>
          </w:p>
        </w:tc>
        <w:tc>
          <w:tcPr>
            <w:tcW w:w="0" w:type="auto"/>
            <w:shd w:val="clear" w:color="auto" w:fill="auto"/>
            <w:noWrap/>
            <w:vAlign w:val="bottom"/>
          </w:tcPr>
          <w:p w14:paraId="785C01A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2.18387</w:t>
            </w:r>
          </w:p>
        </w:tc>
        <w:tc>
          <w:tcPr>
            <w:tcW w:w="0" w:type="auto"/>
            <w:shd w:val="clear" w:color="auto" w:fill="auto"/>
            <w:noWrap/>
            <w:vAlign w:val="bottom"/>
          </w:tcPr>
          <w:p w14:paraId="45750C5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0.50981</w:t>
            </w:r>
          </w:p>
        </w:tc>
        <w:tc>
          <w:tcPr>
            <w:tcW w:w="0" w:type="auto"/>
            <w:shd w:val="clear" w:color="auto" w:fill="auto"/>
            <w:noWrap/>
            <w:vAlign w:val="bottom"/>
          </w:tcPr>
          <w:p w14:paraId="0267072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1.34531</w:t>
            </w:r>
          </w:p>
        </w:tc>
        <w:tc>
          <w:tcPr>
            <w:tcW w:w="0" w:type="auto"/>
            <w:shd w:val="clear" w:color="auto" w:fill="auto"/>
            <w:noWrap/>
            <w:vAlign w:val="bottom"/>
          </w:tcPr>
          <w:p w14:paraId="1278485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3.02242</w:t>
            </w:r>
          </w:p>
        </w:tc>
      </w:tr>
      <w:tr w14:paraId="3CA9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5A93AB0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w:t>
            </w:r>
          </w:p>
        </w:tc>
        <w:tc>
          <w:tcPr>
            <w:tcW w:w="0" w:type="auto"/>
            <w:shd w:val="clear" w:color="auto" w:fill="auto"/>
            <w:noWrap/>
            <w:vAlign w:val="bottom"/>
          </w:tcPr>
          <w:p w14:paraId="230367D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2.27189</w:t>
            </w:r>
          </w:p>
        </w:tc>
        <w:tc>
          <w:tcPr>
            <w:tcW w:w="0" w:type="auto"/>
            <w:shd w:val="clear" w:color="auto" w:fill="auto"/>
            <w:noWrap/>
            <w:vAlign w:val="bottom"/>
          </w:tcPr>
          <w:p w14:paraId="5B31931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0.47454</w:t>
            </w:r>
          </w:p>
        </w:tc>
        <w:tc>
          <w:tcPr>
            <w:tcW w:w="0" w:type="auto"/>
            <w:shd w:val="clear" w:color="auto" w:fill="auto"/>
            <w:noWrap/>
            <w:vAlign w:val="bottom"/>
          </w:tcPr>
          <w:p w14:paraId="127C491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1.49134</w:t>
            </w:r>
          </w:p>
        </w:tc>
        <w:tc>
          <w:tcPr>
            <w:tcW w:w="0" w:type="auto"/>
            <w:shd w:val="clear" w:color="auto" w:fill="auto"/>
            <w:noWrap/>
            <w:vAlign w:val="bottom"/>
          </w:tcPr>
          <w:p w14:paraId="7DBDCC7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3.05244</w:t>
            </w:r>
          </w:p>
        </w:tc>
      </w:tr>
      <w:tr w14:paraId="31AA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4ADD6F6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w:t>
            </w:r>
          </w:p>
        </w:tc>
        <w:tc>
          <w:tcPr>
            <w:tcW w:w="0" w:type="auto"/>
            <w:shd w:val="clear" w:color="auto" w:fill="auto"/>
            <w:noWrap/>
            <w:vAlign w:val="bottom"/>
          </w:tcPr>
          <w:p w14:paraId="3F9F2B1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2.36758</w:t>
            </w:r>
          </w:p>
        </w:tc>
        <w:tc>
          <w:tcPr>
            <w:tcW w:w="0" w:type="auto"/>
            <w:shd w:val="clear" w:color="auto" w:fill="auto"/>
            <w:noWrap/>
            <w:vAlign w:val="bottom"/>
          </w:tcPr>
          <w:p w14:paraId="228900E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0.45387</w:t>
            </w:r>
          </w:p>
        </w:tc>
        <w:tc>
          <w:tcPr>
            <w:tcW w:w="0" w:type="auto"/>
            <w:shd w:val="clear" w:color="auto" w:fill="auto"/>
            <w:noWrap/>
            <w:vAlign w:val="bottom"/>
          </w:tcPr>
          <w:p w14:paraId="52E3640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1.62103</w:t>
            </w:r>
          </w:p>
        </w:tc>
        <w:tc>
          <w:tcPr>
            <w:tcW w:w="0" w:type="auto"/>
            <w:shd w:val="clear" w:color="auto" w:fill="auto"/>
            <w:noWrap/>
            <w:vAlign w:val="bottom"/>
          </w:tcPr>
          <w:p w14:paraId="1468315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3.11412</w:t>
            </w:r>
          </w:p>
        </w:tc>
      </w:tr>
      <w:tr w14:paraId="775B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2790EBC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750</w:t>
            </w:r>
          </w:p>
        </w:tc>
        <w:tc>
          <w:tcPr>
            <w:tcW w:w="0" w:type="auto"/>
            <w:shd w:val="clear" w:color="auto" w:fill="auto"/>
            <w:noWrap/>
            <w:vAlign w:val="bottom"/>
          </w:tcPr>
          <w:p w14:paraId="6AA321E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2.47089</w:t>
            </w:r>
          </w:p>
        </w:tc>
        <w:tc>
          <w:tcPr>
            <w:tcW w:w="0" w:type="auto"/>
            <w:shd w:val="clear" w:color="auto" w:fill="auto"/>
            <w:noWrap/>
            <w:vAlign w:val="bottom"/>
          </w:tcPr>
          <w:p w14:paraId="76BB2C0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0.44303</w:t>
            </w:r>
          </w:p>
        </w:tc>
        <w:tc>
          <w:tcPr>
            <w:tcW w:w="0" w:type="auto"/>
            <w:shd w:val="clear" w:color="auto" w:fill="auto"/>
            <w:noWrap/>
            <w:vAlign w:val="bottom"/>
          </w:tcPr>
          <w:p w14:paraId="76AFAE5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1.74218</w:t>
            </w:r>
          </w:p>
        </w:tc>
        <w:tc>
          <w:tcPr>
            <w:tcW w:w="0" w:type="auto"/>
            <w:shd w:val="clear" w:color="auto" w:fill="auto"/>
            <w:noWrap/>
            <w:vAlign w:val="bottom"/>
          </w:tcPr>
          <w:p w14:paraId="18602FB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3.19961</w:t>
            </w:r>
          </w:p>
        </w:tc>
      </w:tr>
      <w:tr w14:paraId="1950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3DC45E9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w:t>
            </w:r>
          </w:p>
        </w:tc>
        <w:tc>
          <w:tcPr>
            <w:tcW w:w="0" w:type="auto"/>
            <w:shd w:val="clear" w:color="auto" w:fill="auto"/>
            <w:noWrap/>
            <w:vAlign w:val="bottom"/>
          </w:tcPr>
          <w:p w14:paraId="4486034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2.58167</w:t>
            </w:r>
          </w:p>
        </w:tc>
        <w:tc>
          <w:tcPr>
            <w:tcW w:w="0" w:type="auto"/>
            <w:shd w:val="clear" w:color="auto" w:fill="auto"/>
            <w:noWrap/>
            <w:vAlign w:val="bottom"/>
          </w:tcPr>
          <w:p w14:paraId="5D05B77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0.43767</w:t>
            </w:r>
          </w:p>
        </w:tc>
        <w:tc>
          <w:tcPr>
            <w:tcW w:w="0" w:type="auto"/>
            <w:shd w:val="clear" w:color="auto" w:fill="auto"/>
            <w:noWrap/>
            <w:vAlign w:val="bottom"/>
          </w:tcPr>
          <w:p w14:paraId="545D1A8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1.86177</w:t>
            </w:r>
          </w:p>
        </w:tc>
        <w:tc>
          <w:tcPr>
            <w:tcW w:w="0" w:type="auto"/>
            <w:shd w:val="clear" w:color="auto" w:fill="auto"/>
            <w:noWrap/>
            <w:vAlign w:val="bottom"/>
          </w:tcPr>
          <w:p w14:paraId="1232A30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3.30158</w:t>
            </w:r>
          </w:p>
        </w:tc>
      </w:tr>
      <w:tr w14:paraId="5036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23287B6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850</w:t>
            </w:r>
          </w:p>
        </w:tc>
        <w:tc>
          <w:tcPr>
            <w:tcW w:w="0" w:type="auto"/>
            <w:shd w:val="clear" w:color="auto" w:fill="auto"/>
            <w:noWrap/>
            <w:vAlign w:val="bottom"/>
          </w:tcPr>
          <w:p w14:paraId="3746DDC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2.69948</w:t>
            </w:r>
          </w:p>
        </w:tc>
        <w:tc>
          <w:tcPr>
            <w:tcW w:w="0" w:type="auto"/>
            <w:shd w:val="clear" w:color="auto" w:fill="auto"/>
            <w:noWrap/>
            <w:vAlign w:val="bottom"/>
          </w:tcPr>
          <w:p w14:paraId="43388B8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0.43428</w:t>
            </w:r>
          </w:p>
        </w:tc>
        <w:tc>
          <w:tcPr>
            <w:tcW w:w="0" w:type="auto"/>
            <w:shd w:val="clear" w:color="auto" w:fill="auto"/>
            <w:noWrap/>
            <w:vAlign w:val="bottom"/>
          </w:tcPr>
          <w:p w14:paraId="069A578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1.98515</w:t>
            </w:r>
          </w:p>
        </w:tc>
        <w:tc>
          <w:tcPr>
            <w:tcW w:w="0" w:type="auto"/>
            <w:shd w:val="clear" w:color="auto" w:fill="auto"/>
            <w:noWrap/>
            <w:vAlign w:val="bottom"/>
          </w:tcPr>
          <w:p w14:paraId="13E766F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3.41382</w:t>
            </w:r>
          </w:p>
        </w:tc>
      </w:tr>
      <w:tr w14:paraId="1EB9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671824C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900</w:t>
            </w:r>
          </w:p>
        </w:tc>
        <w:tc>
          <w:tcPr>
            <w:tcW w:w="0" w:type="auto"/>
            <w:shd w:val="clear" w:color="auto" w:fill="auto"/>
            <w:noWrap/>
            <w:vAlign w:val="bottom"/>
          </w:tcPr>
          <w:p w14:paraId="197824A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2.82383</w:t>
            </w:r>
          </w:p>
        </w:tc>
        <w:tc>
          <w:tcPr>
            <w:tcW w:w="0" w:type="auto"/>
            <w:shd w:val="clear" w:color="auto" w:fill="auto"/>
            <w:noWrap/>
            <w:vAlign w:val="bottom"/>
          </w:tcPr>
          <w:p w14:paraId="17FE49C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0.43026</w:t>
            </w:r>
          </w:p>
        </w:tc>
        <w:tc>
          <w:tcPr>
            <w:tcW w:w="0" w:type="auto"/>
            <w:shd w:val="clear" w:color="auto" w:fill="auto"/>
            <w:noWrap/>
            <w:vAlign w:val="bottom"/>
          </w:tcPr>
          <w:p w14:paraId="39B4DD2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2.11611</w:t>
            </w:r>
          </w:p>
        </w:tc>
        <w:tc>
          <w:tcPr>
            <w:tcW w:w="0" w:type="auto"/>
            <w:shd w:val="clear" w:color="auto" w:fill="auto"/>
            <w:noWrap/>
            <w:vAlign w:val="bottom"/>
          </w:tcPr>
          <w:p w14:paraId="500F299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3.53155</w:t>
            </w:r>
          </w:p>
        </w:tc>
      </w:tr>
      <w:tr w14:paraId="6F90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0EC6BF4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950</w:t>
            </w:r>
          </w:p>
        </w:tc>
        <w:tc>
          <w:tcPr>
            <w:tcW w:w="0" w:type="auto"/>
            <w:shd w:val="clear" w:color="auto" w:fill="auto"/>
            <w:noWrap/>
            <w:vAlign w:val="bottom"/>
          </w:tcPr>
          <w:p w14:paraId="43F9EE4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2.95412</w:t>
            </w:r>
          </w:p>
        </w:tc>
        <w:tc>
          <w:tcPr>
            <w:tcW w:w="0" w:type="auto"/>
            <w:shd w:val="clear" w:color="auto" w:fill="auto"/>
            <w:noWrap/>
            <w:vAlign w:val="bottom"/>
          </w:tcPr>
          <w:p w14:paraId="6FC87DD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0.42417</w:t>
            </w:r>
          </w:p>
        </w:tc>
        <w:tc>
          <w:tcPr>
            <w:tcW w:w="0" w:type="auto"/>
            <w:shd w:val="clear" w:color="auto" w:fill="auto"/>
            <w:noWrap/>
            <w:vAlign w:val="bottom"/>
          </w:tcPr>
          <w:p w14:paraId="03D4EBA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2.25642</w:t>
            </w:r>
          </w:p>
        </w:tc>
        <w:tc>
          <w:tcPr>
            <w:tcW w:w="0" w:type="auto"/>
            <w:shd w:val="clear" w:color="auto" w:fill="auto"/>
            <w:noWrap/>
            <w:vAlign w:val="bottom"/>
          </w:tcPr>
          <w:p w14:paraId="780A83A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3.65182</w:t>
            </w:r>
          </w:p>
        </w:tc>
      </w:tr>
      <w:tr w14:paraId="1A83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03CC067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0" w:type="auto"/>
            <w:shd w:val="clear" w:color="auto" w:fill="auto"/>
            <w:noWrap/>
            <w:vAlign w:val="bottom"/>
          </w:tcPr>
          <w:p w14:paraId="0BBC047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3.08974</w:t>
            </w:r>
          </w:p>
        </w:tc>
        <w:tc>
          <w:tcPr>
            <w:tcW w:w="0" w:type="auto"/>
            <w:shd w:val="clear" w:color="auto" w:fill="auto"/>
            <w:noWrap/>
            <w:vAlign w:val="bottom"/>
          </w:tcPr>
          <w:p w14:paraId="451731F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0.41575</w:t>
            </w:r>
          </w:p>
        </w:tc>
        <w:tc>
          <w:tcPr>
            <w:tcW w:w="0" w:type="auto"/>
            <w:shd w:val="clear" w:color="auto" w:fill="auto"/>
            <w:noWrap/>
            <w:vAlign w:val="bottom"/>
          </w:tcPr>
          <w:p w14:paraId="626C2CA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2.40589</w:t>
            </w:r>
          </w:p>
        </w:tc>
        <w:tc>
          <w:tcPr>
            <w:tcW w:w="0" w:type="auto"/>
            <w:shd w:val="clear" w:color="auto" w:fill="auto"/>
            <w:noWrap/>
            <w:vAlign w:val="bottom"/>
          </w:tcPr>
          <w:p w14:paraId="5B077E8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3.77359</w:t>
            </w:r>
          </w:p>
        </w:tc>
      </w:tr>
      <w:tr w14:paraId="7607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566267C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w:t>
            </w:r>
          </w:p>
        </w:tc>
        <w:tc>
          <w:tcPr>
            <w:tcW w:w="0" w:type="auto"/>
            <w:shd w:val="clear" w:color="auto" w:fill="auto"/>
            <w:noWrap/>
            <w:vAlign w:val="bottom"/>
          </w:tcPr>
          <w:p w14:paraId="124C43B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3.23003</w:t>
            </w:r>
          </w:p>
        </w:tc>
        <w:tc>
          <w:tcPr>
            <w:tcW w:w="0" w:type="auto"/>
            <w:shd w:val="clear" w:color="auto" w:fill="auto"/>
            <w:noWrap/>
            <w:vAlign w:val="bottom"/>
          </w:tcPr>
          <w:p w14:paraId="2B36D66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0.40644</w:t>
            </w:r>
          </w:p>
        </w:tc>
        <w:tc>
          <w:tcPr>
            <w:tcW w:w="0" w:type="auto"/>
            <w:shd w:val="clear" w:color="auto" w:fill="auto"/>
            <w:noWrap/>
            <w:vAlign w:val="bottom"/>
          </w:tcPr>
          <w:p w14:paraId="2EE2D8E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2.56151</w:t>
            </w:r>
          </w:p>
        </w:tc>
        <w:tc>
          <w:tcPr>
            <w:tcW w:w="0" w:type="auto"/>
            <w:shd w:val="clear" w:color="auto" w:fill="auto"/>
            <w:noWrap/>
            <w:vAlign w:val="bottom"/>
          </w:tcPr>
          <w:p w14:paraId="0C01D64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3.89856</w:t>
            </w:r>
          </w:p>
        </w:tc>
      </w:tr>
      <w:tr w14:paraId="7823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741668B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w:t>
            </w:r>
          </w:p>
        </w:tc>
        <w:tc>
          <w:tcPr>
            <w:tcW w:w="0" w:type="auto"/>
            <w:shd w:val="clear" w:color="auto" w:fill="auto"/>
            <w:noWrap/>
            <w:vAlign w:val="bottom"/>
          </w:tcPr>
          <w:p w14:paraId="4FF7353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3.37428</w:t>
            </w:r>
          </w:p>
        </w:tc>
        <w:tc>
          <w:tcPr>
            <w:tcW w:w="0" w:type="auto"/>
            <w:shd w:val="clear" w:color="auto" w:fill="auto"/>
            <w:noWrap/>
            <w:vAlign w:val="bottom"/>
          </w:tcPr>
          <w:p w14:paraId="76A3CE9E">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0.39927</w:t>
            </w:r>
          </w:p>
        </w:tc>
        <w:tc>
          <w:tcPr>
            <w:tcW w:w="0" w:type="auto"/>
            <w:shd w:val="clear" w:color="auto" w:fill="auto"/>
            <w:noWrap/>
            <w:vAlign w:val="bottom"/>
          </w:tcPr>
          <w:p w14:paraId="5F59B5A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2.71755</w:t>
            </w:r>
          </w:p>
        </w:tc>
        <w:tc>
          <w:tcPr>
            <w:tcW w:w="0" w:type="auto"/>
            <w:shd w:val="clear" w:color="auto" w:fill="auto"/>
            <w:noWrap/>
            <w:vAlign w:val="bottom"/>
          </w:tcPr>
          <w:p w14:paraId="643972E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4.03102</w:t>
            </w:r>
          </w:p>
        </w:tc>
      </w:tr>
      <w:tr w14:paraId="6DFF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18A17B0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1150</w:t>
            </w:r>
          </w:p>
        </w:tc>
        <w:tc>
          <w:tcPr>
            <w:tcW w:w="0" w:type="auto"/>
            <w:shd w:val="clear" w:color="auto" w:fill="auto"/>
            <w:noWrap/>
            <w:vAlign w:val="bottom"/>
          </w:tcPr>
          <w:p w14:paraId="16AC4E1C">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3.5218</w:t>
            </w:r>
          </w:p>
        </w:tc>
        <w:tc>
          <w:tcPr>
            <w:tcW w:w="0" w:type="auto"/>
            <w:shd w:val="clear" w:color="auto" w:fill="auto"/>
            <w:noWrap/>
            <w:vAlign w:val="bottom"/>
          </w:tcPr>
          <w:p w14:paraId="614E069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0.39868</w:t>
            </w:r>
          </w:p>
        </w:tc>
        <w:tc>
          <w:tcPr>
            <w:tcW w:w="0" w:type="auto"/>
            <w:shd w:val="clear" w:color="auto" w:fill="auto"/>
            <w:noWrap/>
            <w:vAlign w:val="bottom"/>
          </w:tcPr>
          <w:p w14:paraId="3426DC2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2.86602</w:t>
            </w:r>
          </w:p>
        </w:tc>
        <w:tc>
          <w:tcPr>
            <w:tcW w:w="0" w:type="auto"/>
            <w:shd w:val="clear" w:color="auto" w:fill="auto"/>
            <w:noWrap/>
            <w:vAlign w:val="bottom"/>
          </w:tcPr>
          <w:p w14:paraId="63FCDD0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4.17757</w:t>
            </w:r>
          </w:p>
        </w:tc>
      </w:tr>
      <w:tr w14:paraId="75DE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50C2E53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0" w:type="auto"/>
            <w:shd w:val="clear" w:color="auto" w:fill="auto"/>
            <w:noWrap/>
            <w:vAlign w:val="bottom"/>
          </w:tcPr>
          <w:p w14:paraId="79A9A7B3">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3.67187</w:t>
            </w:r>
          </w:p>
        </w:tc>
        <w:tc>
          <w:tcPr>
            <w:tcW w:w="0" w:type="auto"/>
            <w:shd w:val="clear" w:color="auto" w:fill="auto"/>
            <w:noWrap/>
            <w:vAlign w:val="bottom"/>
          </w:tcPr>
          <w:p w14:paraId="337A7DA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0.40953</w:t>
            </w:r>
          </w:p>
        </w:tc>
        <w:tc>
          <w:tcPr>
            <w:tcW w:w="0" w:type="auto"/>
            <w:shd w:val="clear" w:color="auto" w:fill="auto"/>
            <w:noWrap/>
            <w:vAlign w:val="bottom"/>
          </w:tcPr>
          <w:p w14:paraId="5F35030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2.99825</w:t>
            </w:r>
          </w:p>
        </w:tc>
        <w:tc>
          <w:tcPr>
            <w:tcW w:w="0" w:type="auto"/>
            <w:shd w:val="clear" w:color="auto" w:fill="auto"/>
            <w:noWrap/>
            <w:vAlign w:val="bottom"/>
          </w:tcPr>
          <w:p w14:paraId="0C6FE37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4.34548</w:t>
            </w:r>
          </w:p>
        </w:tc>
      </w:tr>
      <w:tr w14:paraId="2A22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5726433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w:t>
            </w:r>
          </w:p>
        </w:tc>
        <w:tc>
          <w:tcPr>
            <w:tcW w:w="0" w:type="auto"/>
            <w:shd w:val="clear" w:color="auto" w:fill="auto"/>
            <w:noWrap/>
            <w:vAlign w:val="bottom"/>
          </w:tcPr>
          <w:p w14:paraId="20CDCA3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3.8238</w:t>
            </w:r>
          </w:p>
        </w:tc>
        <w:tc>
          <w:tcPr>
            <w:tcW w:w="0" w:type="auto"/>
            <w:shd w:val="clear" w:color="auto" w:fill="auto"/>
            <w:noWrap/>
            <w:vAlign w:val="bottom"/>
          </w:tcPr>
          <w:p w14:paraId="6278EEB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0.43516</w:t>
            </w:r>
          </w:p>
        </w:tc>
        <w:tc>
          <w:tcPr>
            <w:tcW w:w="0" w:type="auto"/>
            <w:shd w:val="clear" w:color="auto" w:fill="auto"/>
            <w:noWrap/>
            <w:vAlign w:val="bottom"/>
          </w:tcPr>
          <w:p w14:paraId="4F065E0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3.10803</w:t>
            </w:r>
          </w:p>
        </w:tc>
        <w:tc>
          <w:tcPr>
            <w:tcW w:w="0" w:type="auto"/>
            <w:shd w:val="clear" w:color="auto" w:fill="auto"/>
            <w:noWrap/>
            <w:vAlign w:val="bottom"/>
          </w:tcPr>
          <w:p w14:paraId="26DD11E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4.53957</w:t>
            </w:r>
          </w:p>
        </w:tc>
      </w:tr>
      <w:tr w14:paraId="6BEE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431E07E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1300</w:t>
            </w:r>
          </w:p>
        </w:tc>
        <w:tc>
          <w:tcPr>
            <w:tcW w:w="0" w:type="auto"/>
            <w:shd w:val="clear" w:color="auto" w:fill="auto"/>
            <w:noWrap/>
            <w:vAlign w:val="bottom"/>
          </w:tcPr>
          <w:p w14:paraId="60C8BBF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3.97702</w:t>
            </w:r>
          </w:p>
        </w:tc>
        <w:tc>
          <w:tcPr>
            <w:tcW w:w="0" w:type="auto"/>
            <w:shd w:val="clear" w:color="auto" w:fill="auto"/>
            <w:noWrap/>
            <w:vAlign w:val="bottom"/>
          </w:tcPr>
          <w:p w14:paraId="6C29D8E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0.47624</w:t>
            </w:r>
          </w:p>
        </w:tc>
        <w:tc>
          <w:tcPr>
            <w:tcW w:w="0" w:type="auto"/>
            <w:shd w:val="clear" w:color="auto" w:fill="auto"/>
            <w:noWrap/>
            <w:vAlign w:val="bottom"/>
          </w:tcPr>
          <w:p w14:paraId="08D7F075">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3.19368</w:t>
            </w:r>
          </w:p>
        </w:tc>
        <w:tc>
          <w:tcPr>
            <w:tcW w:w="0" w:type="auto"/>
            <w:shd w:val="clear" w:color="auto" w:fill="auto"/>
            <w:noWrap/>
            <w:vAlign w:val="bottom"/>
          </w:tcPr>
          <w:p w14:paraId="4B648C6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4.76037</w:t>
            </w:r>
          </w:p>
        </w:tc>
      </w:tr>
      <w:tr w14:paraId="1715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21EB0069">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1350</w:t>
            </w:r>
          </w:p>
        </w:tc>
        <w:tc>
          <w:tcPr>
            <w:tcW w:w="0" w:type="auto"/>
            <w:shd w:val="clear" w:color="auto" w:fill="auto"/>
            <w:noWrap/>
            <w:vAlign w:val="bottom"/>
          </w:tcPr>
          <w:p w14:paraId="3D4C0A0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4.13097</w:t>
            </w:r>
          </w:p>
        </w:tc>
        <w:tc>
          <w:tcPr>
            <w:tcW w:w="0" w:type="auto"/>
            <w:shd w:val="clear" w:color="auto" w:fill="auto"/>
            <w:noWrap/>
            <w:vAlign w:val="bottom"/>
          </w:tcPr>
          <w:p w14:paraId="4C7CE4B2">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0.53082</w:t>
            </w:r>
          </w:p>
        </w:tc>
        <w:tc>
          <w:tcPr>
            <w:tcW w:w="0" w:type="auto"/>
            <w:shd w:val="clear" w:color="auto" w:fill="auto"/>
            <w:noWrap/>
            <w:vAlign w:val="bottom"/>
          </w:tcPr>
          <w:p w14:paraId="02BA5FC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3.25785</w:t>
            </w:r>
          </w:p>
        </w:tc>
        <w:tc>
          <w:tcPr>
            <w:tcW w:w="0" w:type="auto"/>
            <w:shd w:val="clear" w:color="auto" w:fill="auto"/>
            <w:noWrap/>
            <w:vAlign w:val="bottom"/>
          </w:tcPr>
          <w:p w14:paraId="393B54B0">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5.00409</w:t>
            </w:r>
          </w:p>
        </w:tc>
      </w:tr>
      <w:tr w14:paraId="1BED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357CCB7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0" w:type="auto"/>
            <w:shd w:val="clear" w:color="auto" w:fill="auto"/>
            <w:noWrap/>
            <w:vAlign w:val="bottom"/>
          </w:tcPr>
          <w:p w14:paraId="699D55B7">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4.28512</w:t>
            </w:r>
          </w:p>
        </w:tc>
        <w:tc>
          <w:tcPr>
            <w:tcW w:w="0" w:type="auto"/>
            <w:shd w:val="clear" w:color="auto" w:fill="auto"/>
            <w:noWrap/>
            <w:vAlign w:val="bottom"/>
          </w:tcPr>
          <w:p w14:paraId="7A6C022A">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0.59548</w:t>
            </w:r>
          </w:p>
        </w:tc>
        <w:tc>
          <w:tcPr>
            <w:tcW w:w="0" w:type="auto"/>
            <w:shd w:val="clear" w:color="auto" w:fill="auto"/>
            <w:noWrap/>
            <w:vAlign w:val="bottom"/>
          </w:tcPr>
          <w:p w14:paraId="13F01084">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3.30564</w:t>
            </w:r>
          </w:p>
        </w:tc>
        <w:tc>
          <w:tcPr>
            <w:tcW w:w="0" w:type="auto"/>
            <w:shd w:val="clear" w:color="auto" w:fill="auto"/>
            <w:noWrap/>
            <w:vAlign w:val="bottom"/>
          </w:tcPr>
          <w:p w14:paraId="1A5FEE68">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5.26459</w:t>
            </w:r>
          </w:p>
        </w:tc>
      </w:tr>
      <w:tr w14:paraId="65C9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shd w:val="clear" w:color="auto" w:fill="auto"/>
            <w:noWrap/>
            <w:vAlign w:val="bottom"/>
          </w:tcPr>
          <w:p w14:paraId="6A4C596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1450</w:t>
            </w:r>
          </w:p>
        </w:tc>
        <w:tc>
          <w:tcPr>
            <w:tcW w:w="0" w:type="auto"/>
            <w:shd w:val="clear" w:color="auto" w:fill="auto"/>
            <w:noWrap/>
            <w:vAlign w:val="bottom"/>
          </w:tcPr>
          <w:p w14:paraId="6637103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4.43927</w:t>
            </w:r>
          </w:p>
        </w:tc>
        <w:tc>
          <w:tcPr>
            <w:tcW w:w="0" w:type="auto"/>
            <w:shd w:val="clear" w:color="auto" w:fill="auto"/>
            <w:noWrap/>
            <w:vAlign w:val="bottom"/>
          </w:tcPr>
          <w:p w14:paraId="3AB1EB7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0.66717</w:t>
            </w:r>
          </w:p>
        </w:tc>
        <w:tc>
          <w:tcPr>
            <w:tcW w:w="0" w:type="auto"/>
            <w:shd w:val="clear" w:color="auto" w:fill="auto"/>
            <w:noWrap/>
            <w:vAlign w:val="bottom"/>
          </w:tcPr>
          <w:p w14:paraId="4C41356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3.34187</w:t>
            </w:r>
          </w:p>
        </w:tc>
        <w:tc>
          <w:tcPr>
            <w:tcW w:w="0" w:type="auto"/>
            <w:shd w:val="clear" w:color="auto" w:fill="auto"/>
            <w:noWrap/>
            <w:vAlign w:val="bottom"/>
          </w:tcPr>
          <w:p w14:paraId="0C4F69FD">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5.53667</w:t>
            </w:r>
          </w:p>
        </w:tc>
      </w:tr>
      <w:tr w14:paraId="3864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noWrap/>
            <w:vAlign w:val="bottom"/>
          </w:tcPr>
          <w:p w14:paraId="3E1A62A6">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w:t>
            </w:r>
          </w:p>
        </w:tc>
        <w:tc>
          <w:tcPr>
            <w:tcW w:w="0" w:type="auto"/>
            <w:shd w:val="clear" w:color="auto" w:fill="auto"/>
            <w:noWrap/>
            <w:vAlign w:val="bottom"/>
          </w:tcPr>
          <w:p w14:paraId="32178D8F">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4.59342</w:t>
            </w:r>
          </w:p>
        </w:tc>
        <w:tc>
          <w:tcPr>
            <w:tcW w:w="0" w:type="auto"/>
            <w:shd w:val="clear" w:color="auto" w:fill="auto"/>
            <w:noWrap/>
            <w:vAlign w:val="bottom"/>
          </w:tcPr>
          <w:p w14:paraId="03B3AC3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0.74386</w:t>
            </w:r>
          </w:p>
        </w:tc>
        <w:tc>
          <w:tcPr>
            <w:tcW w:w="0" w:type="auto"/>
            <w:shd w:val="clear" w:color="auto" w:fill="auto"/>
            <w:noWrap/>
            <w:vAlign w:val="bottom"/>
          </w:tcPr>
          <w:p w14:paraId="76D2E79B">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3.36988</w:t>
            </w:r>
          </w:p>
        </w:tc>
        <w:tc>
          <w:tcPr>
            <w:tcW w:w="0" w:type="auto"/>
            <w:shd w:val="clear" w:color="auto" w:fill="auto"/>
            <w:noWrap/>
            <w:vAlign w:val="bottom"/>
          </w:tcPr>
          <w:p w14:paraId="11833811">
            <w:pPr>
              <w:keepNext w:val="0"/>
              <w:keepLines w:val="0"/>
              <w:widowControl/>
              <w:suppressLineNumbers w:val="0"/>
              <w:jc w:val="righ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5.81696</w:t>
            </w:r>
          </w:p>
        </w:tc>
      </w:tr>
    </w:tbl>
    <w:p w14:paraId="1B55C6C7">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6BDBEE8C">
      <w:pPr>
        <w:pStyle w:val="2"/>
        <w:bidi w:val="0"/>
        <w:rPr>
          <w:rFonts w:hint="default"/>
          <w:lang w:val="en-US" w:eastAsia="zh-CN"/>
        </w:rPr>
      </w:pPr>
      <w:bookmarkStart w:id="20" w:name="_Toc25044"/>
      <w:r>
        <w:rPr>
          <w:rFonts w:hint="default"/>
        </w:rPr>
        <w:t xml:space="preserve">Supplementary file </w:t>
      </w:r>
      <w:r>
        <w:rPr>
          <w:rFonts w:hint="eastAsia"/>
          <w:lang w:val="en-US" w:eastAsia="zh-CN"/>
        </w:rPr>
        <w:t>7</w:t>
      </w:r>
      <w:r>
        <w:rPr>
          <w:rFonts w:hint="default"/>
          <w:lang w:val="en-US" w:eastAsia="zh-CN"/>
        </w:rPr>
        <w:t>: Dose-response relationship for different weeks.</w:t>
      </w:r>
      <w:bookmarkEnd w:id="20"/>
    </w:p>
    <w:p w14:paraId="3DE4EF1C">
      <w:pPr>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480685" cy="2750820"/>
            <wp:effectExtent l="0" t="0" r="5715" b="7620"/>
            <wp:docPr id="7" name="图片 7" descr="不同周数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不同周数_00"/>
                    <pic:cNvPicPr>
                      <a:picLocks noChangeAspect="1"/>
                    </pic:cNvPicPr>
                  </pic:nvPicPr>
                  <pic:blipFill>
                    <a:blip r:embed="rId11"/>
                    <a:stretch>
                      <a:fillRect/>
                    </a:stretch>
                  </pic:blipFill>
                  <pic:spPr>
                    <a:xfrm>
                      <a:off x="0" y="0"/>
                      <a:ext cx="5480685" cy="2750820"/>
                    </a:xfrm>
                    <a:prstGeom prst="rect">
                      <a:avLst/>
                    </a:prstGeom>
                  </pic:spPr>
                </pic:pic>
              </a:graphicData>
            </a:graphic>
          </wp:inline>
        </w:drawing>
      </w:r>
    </w:p>
    <w:p w14:paraId="585E02C2">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 S7. Dose-response relationship for different weeks.</w:t>
      </w:r>
    </w:p>
    <w:p w14:paraId="546A5E3F">
      <w:pPr>
        <w:jc w:val="both"/>
        <w:rPr>
          <w:rFonts w:hint="default" w:ascii="Times New Roman" w:hAnsi="Times New Roman" w:cs="Times New Roman"/>
          <w:sz w:val="24"/>
          <w:szCs w:val="24"/>
          <w:lang w:val="en-US" w:eastAsia="zh-CN"/>
        </w:rPr>
      </w:pPr>
    </w:p>
    <w:p w14:paraId="15142AD1">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4F3AB4BA">
      <w:pPr>
        <w:pStyle w:val="2"/>
        <w:bidi w:val="0"/>
        <w:rPr>
          <w:rFonts w:hint="default"/>
          <w:lang w:val="en-US" w:eastAsia="zh-CN"/>
        </w:rPr>
      </w:pPr>
      <w:bookmarkStart w:id="21" w:name="_Toc31164"/>
      <w:r>
        <w:rPr>
          <w:rFonts w:hint="default"/>
        </w:rPr>
        <w:t xml:space="preserve">Supplementary file </w:t>
      </w:r>
      <w:r>
        <w:rPr>
          <w:rFonts w:hint="eastAsia"/>
          <w:lang w:val="en-US" w:eastAsia="zh-CN"/>
        </w:rPr>
        <w:t>8</w:t>
      </w:r>
      <w:r>
        <w:rPr>
          <w:rFonts w:hint="default"/>
          <w:lang w:val="en-US" w:eastAsia="zh-CN"/>
        </w:rPr>
        <w:t>: Included reference</w:t>
      </w:r>
      <w:bookmarkEnd w:id="21"/>
    </w:p>
    <w:p w14:paraId="280C4115">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Fontes-Carvalho R, Azevedo AI, Sampaio F, et al. The Effect of Exercise Training on Diastolic and Systolic Function After Acute Myocardial Infarction: A Randomized Study. Medicine 2015;94(36):e1450. doi: 10.1097/md.0000000000001450 [published Online First: 2015/09/12]</w:t>
      </w:r>
    </w:p>
    <w:p w14:paraId="4EE872C7">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Lehti M, Valkeinen H, Sipilä S, et al. Effects of aerobic and strength training on aerobic capacity, muscle strength, and gene expression of lymphomonocytes in patients with stable CAD. American journal of translational research 2020;12(8):4582-93. [published Online First: 2020/09/12]</w:t>
      </w:r>
    </w:p>
    <w:p w14:paraId="0F75FC7F">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Tofas T, Fatouros IG, Draganidis D, et al. Effects of Cardiovascular, Resistance and Combined Exercise Training on Cardiovascular, Performance and Blood Redox Parameters in Coronary Artery Disease Patients: An 8-Month Training-Detraining Randomized Intervention. Antioxidants (Basel, Switzerland) 2021;10(3) doi: 10.3390/antiox10030409 [published Online First: 2021/04/04]</w:t>
      </w:r>
    </w:p>
    <w:p w14:paraId="0BB071AB">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Scheer A, Shah A, Ito Ramos de Oliveira B, et al. Twelve weeks of water-based circuit training exercise improves fitness, body fat and leg strength in people with stable coronary heart disease: a randomised trial. Journal of physiotherapy 2021;67(4):284-90. doi: 10.1016/j.jphys.2021.08.012 [published Online First: 2021/09/15]</w:t>
      </w:r>
    </w:p>
    <w:p w14:paraId="2F761833">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Liang C, Gao C, Zhang J, et al. Traditional Chinese medicine training for cardiac rehabilitation: a randomized comparison with aerobic and resistance training. Coronary artery disease 2019;30(5):360-66. doi: 10.1097/mca.0000000000000734 [published Online First: 2019/05/21]</w:t>
      </w:r>
    </w:p>
    <w:p w14:paraId="115E48A5">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Tokmakidis SP, Volaklis KA. Training and detraining effects of a combined-strength and aerobic exercise program on blood lipids in patients with coronary artery disease. Journal of cardiopulmonary rehabilitation 2003;23(3):193-200. doi: 10.1097/00008483-200305000-00006 [published Online First: 2003/06/05]</w:t>
      </w:r>
    </w:p>
    <w:p w14:paraId="07A510A7">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Trachsel LD, Nigam A, Fortier A, et al. Moderate-intensity continuous exercise is superior to high-intensity interval training in the proportion of VO(2peak) responders after ACS. Revista espanola de cardiologia (English ed) 2020;73(9):725-33. doi: 10.1016/j.rec.2019.09.013 [published Online First: 2019/12/16]</w:t>
      </w:r>
    </w:p>
    <w:p w14:paraId="764147B5">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Volaklis KA, Douda HT, Kokkinos PF, et al. Physiological alterations to detraining following prolonged combined strength and aerobic training in cardiac patients. European journal of cardiovascular prevention and rehabilitation : official journal of the European Society of Cardiology, Working Groups on Epidemiology &amp; Prevention and Cardiac Rehabilitation and Exercise Physiology 2006;13(3):375-80. doi: 10.1097/01.hjr.0000198922.42437.39 [published Online First: 2006/08/24]</w:t>
      </w:r>
    </w:p>
    <w:p w14:paraId="4C3CC20B">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Vona M, Codeluppi GM, Iannino T, et al. Effects of different types of exercise training followed by detraining on endothelium-dependent dilation in patients with recent myocardial infarction. Circulation 2009;119(12):1601-8. doi: 10.1161/circulationaha.108.821736 [published Online First: 2009/03/18]</w:t>
      </w:r>
    </w:p>
    <w:p w14:paraId="7DB051EA">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Walsh JH, Bilsborough W, Maiorana A, et al. Exercise training improves conduit vessel function in patients with coronary artery disease. Journal of applied physiology (Bethesda, Md : 1985) 2003;95(1):20-5. doi: 10.1152/japplphysiol.00012.2003 [published Online First: 2003/06/10]</w:t>
      </w:r>
    </w:p>
    <w:p w14:paraId="1143A591">
      <w:pPr>
        <w:numPr>
          <w:ilvl w:val="0"/>
          <w:numId w:val="1"/>
        </w:num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H Y. Leg strength and weight training in elderly patients with myocardial infarction. Japanese Journal of Physical Fitness and Sports Medicine 1999;48:559-68.</w:t>
      </w:r>
    </w:p>
    <w:p w14:paraId="1400CA20">
      <w:pPr>
        <w:numPr>
          <w:ilvl w:val="0"/>
          <w:numId w:val="1"/>
        </w:numPr>
        <w:rPr>
          <w:rFonts w:hint="default" w:ascii="Times New Roman" w:hAnsi="Times New Roman" w:cs="Times New Roman"/>
          <w:sz w:val="24"/>
          <w:szCs w:val="24"/>
          <w:lang w:val="en-US" w:eastAsia="zh-CN"/>
        </w:rPr>
      </w:pPr>
      <w:bookmarkStart w:id="23" w:name="_GoBack"/>
      <w:bookmarkEnd w:id="23"/>
      <w:r>
        <w:rPr>
          <w:rFonts w:hint="default" w:ascii="Times New Roman" w:hAnsi="Times New Roman" w:cs="Times New Roman"/>
          <w:sz w:val="24"/>
          <w:szCs w:val="24"/>
          <w:lang w:val="en-US" w:eastAsia="zh-CN"/>
        </w:rPr>
        <w:t>Seki E, Watanabe Y, Shimada K, et al. Effects of a phase III cardiac rehabilitation program on physical status and lipid profiles in elderly patients with coronary artery disease: Juntendo Cardiac Rehabilitation Program (J-CARP). Circulation journal : official journal of the Japanese Circulation Society 2008;72(8):1230-4. doi: 10.1253/circj.72.1230 [published Online First: 2008/07/26]</w:t>
      </w:r>
    </w:p>
    <w:p w14:paraId="12000498">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2EDC7221">
      <w:pPr>
        <w:rPr>
          <w:rFonts w:hint="default" w:ascii="Times New Roman" w:hAnsi="Times New Roman" w:cs="Times New Roman"/>
          <w:sz w:val="24"/>
          <w:szCs w:val="24"/>
          <w:lang w:val="en-US" w:eastAsia="zh-CN"/>
        </w:rPr>
      </w:pPr>
    </w:p>
    <w:p w14:paraId="22A53F03">
      <w:pPr>
        <w:pStyle w:val="2"/>
        <w:bidi w:val="0"/>
        <w:rPr>
          <w:rFonts w:hint="eastAsia"/>
          <w:lang w:val="en-US" w:eastAsia="zh-CN"/>
        </w:rPr>
      </w:pPr>
      <w:bookmarkStart w:id="22" w:name="_Toc1212"/>
      <w:r>
        <w:rPr>
          <w:rFonts w:hint="default"/>
        </w:rPr>
        <w:t xml:space="preserve">Supplementary file </w:t>
      </w:r>
      <w:r>
        <w:rPr>
          <w:rFonts w:hint="eastAsia"/>
          <w:lang w:val="en-US" w:eastAsia="zh-CN"/>
        </w:rPr>
        <w:t>9</w:t>
      </w:r>
      <w:r>
        <w:rPr>
          <w:rFonts w:hint="default"/>
          <w:lang w:val="en-US" w:eastAsia="zh-CN"/>
        </w:rPr>
        <w:t xml:space="preserve">: </w:t>
      </w:r>
      <w:r>
        <w:rPr>
          <w:rFonts w:hint="eastAsia"/>
          <w:lang w:val="en-US" w:eastAsia="zh-CN"/>
        </w:rPr>
        <w:t>Ex</w:t>
      </w:r>
      <w:r>
        <w:rPr>
          <w:rFonts w:hint="default"/>
          <w:lang w:val="en-US" w:eastAsia="zh-CN"/>
        </w:rPr>
        <w:t xml:space="preserve">cluded </w:t>
      </w:r>
      <w:r>
        <w:rPr>
          <w:rFonts w:hint="eastAsia"/>
          <w:lang w:val="en-US" w:eastAsia="zh-CN"/>
        </w:rPr>
        <w:t>studies list (new)</w:t>
      </w:r>
      <w:bookmarkEnd w:id="22"/>
    </w:p>
    <w:tbl>
      <w:tblPr>
        <w:tblStyle w:val="9"/>
        <w:tblW w:w="10408" w:type="dxa"/>
        <w:tblInd w:w="-8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1"/>
        <w:gridCol w:w="1448"/>
        <w:gridCol w:w="3099"/>
        <w:gridCol w:w="1869"/>
        <w:gridCol w:w="3451"/>
      </w:tblGrid>
      <w:tr w14:paraId="06AE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top"/>
          </w:tcPr>
          <w:p w14:paraId="284E00D1">
            <w:pPr>
              <w:keepNext w:val="0"/>
              <w:keepLines w:val="0"/>
              <w:widowControl/>
              <w:suppressLineNumbers w:val="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w:t>
            </w:r>
          </w:p>
        </w:tc>
        <w:tc>
          <w:tcPr>
            <w:tcW w:w="1448" w:type="dxa"/>
            <w:shd w:val="clear" w:color="auto" w:fill="auto"/>
            <w:noWrap/>
            <w:vAlign w:val="top"/>
          </w:tcPr>
          <w:p w14:paraId="2EDF6880">
            <w:pPr>
              <w:keepNext w:val="0"/>
              <w:keepLines w:val="0"/>
              <w:widowControl/>
              <w:suppressLineNumbers w:val="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Study (First author &amp; Year)</w:t>
            </w:r>
          </w:p>
        </w:tc>
        <w:tc>
          <w:tcPr>
            <w:tcW w:w="3099" w:type="dxa"/>
            <w:shd w:val="clear" w:color="auto" w:fill="auto"/>
            <w:noWrap/>
            <w:vAlign w:val="top"/>
          </w:tcPr>
          <w:p w14:paraId="01D5BDE6">
            <w:pPr>
              <w:keepNext w:val="0"/>
              <w:keepLines w:val="0"/>
              <w:widowControl/>
              <w:suppressLineNumbers w:val="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Full RCT Title</w:t>
            </w:r>
          </w:p>
        </w:tc>
        <w:tc>
          <w:tcPr>
            <w:tcW w:w="1869" w:type="dxa"/>
            <w:shd w:val="clear" w:color="auto" w:fill="auto"/>
            <w:noWrap/>
            <w:vAlign w:val="top"/>
          </w:tcPr>
          <w:p w14:paraId="473EB63E">
            <w:pPr>
              <w:keepNext w:val="0"/>
              <w:keepLines w:val="0"/>
              <w:widowControl/>
              <w:suppressLineNumbers w:val="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Sample/Population</w:t>
            </w:r>
          </w:p>
        </w:tc>
        <w:tc>
          <w:tcPr>
            <w:tcW w:w="3451" w:type="dxa"/>
            <w:shd w:val="clear" w:color="auto" w:fill="auto"/>
            <w:noWrap/>
            <w:vAlign w:val="top"/>
          </w:tcPr>
          <w:p w14:paraId="31A7D75A">
            <w:pPr>
              <w:keepNext w:val="0"/>
              <w:keepLines w:val="0"/>
              <w:widowControl/>
              <w:suppressLineNumbers w:val="0"/>
              <w:jc w:val="center"/>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Key Reason(s) for Exclusion*</w:t>
            </w:r>
          </w:p>
        </w:tc>
      </w:tr>
      <w:tr w14:paraId="2E10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12DAF542">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448" w:type="dxa"/>
            <w:shd w:val="clear" w:color="auto" w:fill="auto"/>
            <w:noWrap/>
            <w:vAlign w:val="bottom"/>
          </w:tcPr>
          <w:p w14:paraId="0E1D224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Kobashigawa 1999</w:t>
            </w:r>
          </w:p>
        </w:tc>
        <w:tc>
          <w:tcPr>
            <w:tcW w:w="3099" w:type="dxa"/>
            <w:shd w:val="clear" w:color="auto" w:fill="auto"/>
            <w:noWrap/>
            <w:vAlign w:val="bottom"/>
          </w:tcPr>
          <w:p w14:paraId="588E90B3">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A controlled trial of exercise rehabilitation after heart transplantation </w:t>
            </w:r>
          </w:p>
        </w:tc>
        <w:tc>
          <w:tcPr>
            <w:tcW w:w="1869" w:type="dxa"/>
            <w:shd w:val="clear" w:color="auto" w:fill="auto"/>
            <w:noWrap/>
            <w:vAlign w:val="bottom"/>
          </w:tcPr>
          <w:p w14:paraId="368F48F0">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27 recent 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transplant</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recipients</w:t>
            </w:r>
          </w:p>
        </w:tc>
        <w:tc>
          <w:tcPr>
            <w:tcW w:w="3451" w:type="dxa"/>
            <w:shd w:val="clear" w:color="auto" w:fill="auto"/>
            <w:noWrap/>
            <w:vAlign w:val="bottom"/>
          </w:tcPr>
          <w:p w14:paraId="28AFF0B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 stable CHD; transplant physiology not comparable</w:t>
            </w:r>
          </w:p>
        </w:tc>
      </w:tr>
      <w:tr w14:paraId="3E33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5BAE561F">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448" w:type="dxa"/>
            <w:shd w:val="clear" w:color="auto" w:fill="auto"/>
            <w:noWrap/>
            <w:vAlign w:val="bottom"/>
          </w:tcPr>
          <w:p w14:paraId="3C8C6CA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Rydwik 2010</w:t>
            </w:r>
          </w:p>
        </w:tc>
        <w:tc>
          <w:tcPr>
            <w:tcW w:w="3099" w:type="dxa"/>
            <w:shd w:val="clear" w:color="auto" w:fill="auto"/>
            <w:noWrap/>
            <w:vAlign w:val="bottom"/>
          </w:tcPr>
          <w:p w14:paraId="672ED3CB">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Effects of physical training on aerobic capacity in frail elderly people (75+ years)… </w:t>
            </w:r>
          </w:p>
        </w:tc>
        <w:tc>
          <w:tcPr>
            <w:tcW w:w="1869" w:type="dxa"/>
            <w:shd w:val="clear" w:color="auto" w:fill="auto"/>
            <w:noWrap/>
            <w:vAlign w:val="bottom"/>
          </w:tcPr>
          <w:p w14:paraId="759459D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96 community</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dwelling frail older adults</w:t>
            </w:r>
          </w:p>
        </w:tc>
        <w:tc>
          <w:tcPr>
            <w:tcW w:w="3451" w:type="dxa"/>
            <w:shd w:val="clear" w:color="auto" w:fill="auto"/>
            <w:noWrap/>
            <w:vAlign w:val="bottom"/>
          </w:tcPr>
          <w:p w14:paraId="550AE2D1">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not CHD; outcome VO₂ reported without usable SDs</w:t>
            </w:r>
          </w:p>
        </w:tc>
      </w:tr>
      <w:tr w14:paraId="3F6A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3AE78743">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448" w:type="dxa"/>
            <w:shd w:val="clear" w:color="auto" w:fill="auto"/>
            <w:noWrap/>
            <w:vAlign w:val="bottom"/>
          </w:tcPr>
          <w:p w14:paraId="1F2018E1">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Sibilitz 2016</w:t>
            </w:r>
          </w:p>
        </w:tc>
        <w:tc>
          <w:tcPr>
            <w:tcW w:w="3099" w:type="dxa"/>
            <w:shd w:val="clear" w:color="auto" w:fill="auto"/>
            <w:noWrap/>
            <w:vAlign w:val="bottom"/>
          </w:tcPr>
          <w:p w14:paraId="5FFD784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Cardiac rehabilitation increases physical capacity but not mental health after heart valve surgery: a randomised clinical trial </w:t>
            </w:r>
          </w:p>
        </w:tc>
        <w:tc>
          <w:tcPr>
            <w:tcW w:w="1869" w:type="dxa"/>
            <w:shd w:val="clear" w:color="auto" w:fill="auto"/>
            <w:noWrap/>
            <w:vAlign w:val="bottom"/>
          </w:tcPr>
          <w:p w14:paraId="3ED7100C">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147 post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valve surgery patients</w:t>
            </w:r>
          </w:p>
        </w:tc>
        <w:tc>
          <w:tcPr>
            <w:tcW w:w="3451" w:type="dxa"/>
            <w:shd w:val="clear" w:color="auto" w:fill="auto"/>
            <w:noWrap/>
            <w:vAlign w:val="bottom"/>
          </w:tcPr>
          <w:p w14:paraId="041E9D5D">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not CHD; VO₂peak given without SD</w:t>
            </w:r>
          </w:p>
        </w:tc>
      </w:tr>
      <w:tr w14:paraId="31A0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0B287DA5">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448" w:type="dxa"/>
            <w:shd w:val="clear" w:color="auto" w:fill="auto"/>
            <w:noWrap/>
            <w:vAlign w:val="bottom"/>
          </w:tcPr>
          <w:p w14:paraId="0B7444B8">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Mandic 2009</w:t>
            </w:r>
          </w:p>
        </w:tc>
        <w:tc>
          <w:tcPr>
            <w:tcW w:w="3099" w:type="dxa"/>
            <w:shd w:val="clear" w:color="auto" w:fill="auto"/>
            <w:noWrap/>
            <w:vAlign w:val="bottom"/>
          </w:tcPr>
          <w:p w14:paraId="219F753C">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Effects of aerobic or aerobic + resistance training on cardiorespiratory and skeletal muscle function in heart failure </w:t>
            </w:r>
          </w:p>
        </w:tc>
        <w:tc>
          <w:tcPr>
            <w:tcW w:w="1869" w:type="dxa"/>
            <w:shd w:val="clear" w:color="auto" w:fill="auto"/>
            <w:noWrap/>
            <w:vAlign w:val="bottom"/>
          </w:tcPr>
          <w:p w14:paraId="5E43E8AB">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42 chronic 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failure (mixed aetiology)</w:t>
            </w:r>
          </w:p>
        </w:tc>
        <w:tc>
          <w:tcPr>
            <w:tcW w:w="3451" w:type="dxa"/>
            <w:shd w:val="clear" w:color="auto" w:fill="auto"/>
            <w:noWrap/>
            <w:vAlign w:val="bottom"/>
          </w:tcPr>
          <w:p w14:paraId="516CD87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 stable CHD (HF cohort)</w:t>
            </w:r>
          </w:p>
        </w:tc>
      </w:tr>
      <w:tr w14:paraId="6B58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50B9710F">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448" w:type="dxa"/>
            <w:shd w:val="clear" w:color="auto" w:fill="auto"/>
            <w:noWrap/>
            <w:vAlign w:val="bottom"/>
          </w:tcPr>
          <w:p w14:paraId="76248283">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Avila 2019</w:t>
            </w:r>
          </w:p>
        </w:tc>
        <w:tc>
          <w:tcPr>
            <w:tcW w:w="3099" w:type="dxa"/>
            <w:shd w:val="clear" w:color="auto" w:fill="auto"/>
            <w:noWrap/>
            <w:vAlign w:val="bottom"/>
          </w:tcPr>
          <w:p w14:paraId="7B65215C">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Home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based exercise with tele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monitoring guidance in patients with coronary artery disease: does it improve long</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term physical fitness? </w:t>
            </w:r>
          </w:p>
        </w:tc>
        <w:tc>
          <w:tcPr>
            <w:tcW w:w="1869" w:type="dxa"/>
            <w:shd w:val="clear" w:color="auto" w:fill="auto"/>
            <w:noWrap/>
            <w:vAlign w:val="bottom"/>
          </w:tcPr>
          <w:p w14:paraId="39BCAD9A">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90 post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phase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II CAD</w:t>
            </w:r>
          </w:p>
        </w:tc>
        <w:tc>
          <w:tcPr>
            <w:tcW w:w="3451" w:type="dxa"/>
            <w:shd w:val="clear" w:color="auto" w:fill="auto"/>
            <w:noWrap/>
            <w:vAlign w:val="bottom"/>
          </w:tcPr>
          <w:p w14:paraId="69B8830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Intervention = endurance only; lacks resistance component</w:t>
            </w:r>
          </w:p>
        </w:tc>
      </w:tr>
      <w:tr w14:paraId="41BA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1DE61325">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448" w:type="dxa"/>
            <w:shd w:val="clear" w:color="auto" w:fill="auto"/>
            <w:noWrap/>
            <w:vAlign w:val="bottom"/>
          </w:tcPr>
          <w:p w14:paraId="13EC9A8F">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Arthur 2007</w:t>
            </w:r>
          </w:p>
        </w:tc>
        <w:tc>
          <w:tcPr>
            <w:tcW w:w="3099" w:type="dxa"/>
            <w:shd w:val="clear" w:color="auto" w:fill="auto"/>
            <w:noWrap/>
            <w:vAlign w:val="bottom"/>
          </w:tcPr>
          <w:p w14:paraId="1436C2F6">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Effect of aerobic vs combined aerobic</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strength training on 1year post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CR outcomes in women after a cardiac event </w:t>
            </w:r>
          </w:p>
        </w:tc>
        <w:tc>
          <w:tcPr>
            <w:tcW w:w="1869" w:type="dxa"/>
            <w:shd w:val="clear" w:color="auto" w:fill="auto"/>
            <w:noWrap/>
            <w:vAlign w:val="bottom"/>
          </w:tcPr>
          <w:p w14:paraId="3D1296D3">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92 women after MI/CABG</w:t>
            </w:r>
          </w:p>
        </w:tc>
        <w:tc>
          <w:tcPr>
            <w:tcW w:w="3451" w:type="dxa"/>
            <w:shd w:val="clear" w:color="auto" w:fill="auto"/>
            <w:noWrap/>
            <w:vAlign w:val="bottom"/>
          </w:tcPr>
          <w:p w14:paraId="21DDBBEA">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Control group received structured aerobic training (active comparator)</w:t>
            </w:r>
          </w:p>
        </w:tc>
      </w:tr>
      <w:tr w14:paraId="3C5E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511BA4FD">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448" w:type="dxa"/>
            <w:shd w:val="clear" w:color="auto" w:fill="auto"/>
            <w:noWrap/>
            <w:vAlign w:val="bottom"/>
          </w:tcPr>
          <w:p w14:paraId="2B9411AD">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Cui 2012</w:t>
            </w:r>
          </w:p>
        </w:tc>
        <w:tc>
          <w:tcPr>
            <w:tcW w:w="3099" w:type="dxa"/>
            <w:shd w:val="clear" w:color="auto" w:fill="auto"/>
            <w:noWrap/>
            <w:vAlign w:val="bottom"/>
          </w:tcPr>
          <w:p w14:paraId="553EED7C">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Rehabilitation training improves exercise tolerance after percutaneous coronary intervention</w:t>
            </w:r>
          </w:p>
        </w:tc>
        <w:tc>
          <w:tcPr>
            <w:tcW w:w="1869" w:type="dxa"/>
            <w:shd w:val="clear" w:color="auto" w:fill="auto"/>
            <w:noWrap/>
            <w:vAlign w:val="bottom"/>
          </w:tcPr>
          <w:p w14:paraId="4BBE26CD">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57 recent PCI patients</w:t>
            </w:r>
          </w:p>
        </w:tc>
        <w:tc>
          <w:tcPr>
            <w:tcW w:w="3451" w:type="dxa"/>
            <w:shd w:val="clear" w:color="auto" w:fill="auto"/>
            <w:noWrap/>
            <w:vAlign w:val="bottom"/>
          </w:tcPr>
          <w:p w14:paraId="2217CF2E">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Intervention aerobiconly; no resistance training</w:t>
            </w:r>
          </w:p>
        </w:tc>
      </w:tr>
      <w:tr w14:paraId="2645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34E57A07">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448" w:type="dxa"/>
            <w:shd w:val="clear" w:color="auto" w:fill="auto"/>
            <w:noWrap/>
            <w:vAlign w:val="bottom"/>
          </w:tcPr>
          <w:p w14:paraId="41DFB12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Lundgren 2023</w:t>
            </w:r>
          </w:p>
        </w:tc>
        <w:tc>
          <w:tcPr>
            <w:tcW w:w="3099" w:type="dxa"/>
            <w:shd w:val="clear" w:color="auto" w:fill="auto"/>
            <w:noWrap/>
            <w:vAlign w:val="bottom"/>
          </w:tcPr>
          <w:p w14:paraId="68794166">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Feasibility of tele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rehabilitation for heart failure patients inaccessible for outpatient rehabilitation</w:t>
            </w:r>
          </w:p>
        </w:tc>
        <w:tc>
          <w:tcPr>
            <w:tcW w:w="1869" w:type="dxa"/>
            <w:shd w:val="clear" w:color="auto" w:fill="auto"/>
            <w:noWrap/>
            <w:vAlign w:val="bottom"/>
          </w:tcPr>
          <w:p w14:paraId="3AEC9D8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61 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failure (HFrEF/HFpEF mix)</w:t>
            </w:r>
          </w:p>
        </w:tc>
        <w:tc>
          <w:tcPr>
            <w:tcW w:w="3451" w:type="dxa"/>
            <w:shd w:val="clear" w:color="auto" w:fill="auto"/>
            <w:noWrap/>
            <w:vAlign w:val="bottom"/>
          </w:tcPr>
          <w:p w14:paraId="4BE372BE">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not CHD; resistance component minimal</w:t>
            </w:r>
          </w:p>
        </w:tc>
      </w:tr>
      <w:tr w14:paraId="4D56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77529BEA">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448" w:type="dxa"/>
            <w:shd w:val="clear" w:color="auto" w:fill="auto"/>
            <w:noWrap/>
            <w:vAlign w:val="bottom"/>
          </w:tcPr>
          <w:p w14:paraId="571E6481">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Lundgren 2025</w:t>
            </w:r>
          </w:p>
        </w:tc>
        <w:tc>
          <w:tcPr>
            <w:tcW w:w="3099" w:type="dxa"/>
            <w:shd w:val="clear" w:color="auto" w:fill="auto"/>
            <w:noWrap/>
            <w:vAlign w:val="bottom"/>
          </w:tcPr>
          <w:p w14:paraId="2D7C826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Exercise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based tele</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 xml:space="preserve">rehabilitation for heart failure patients declining outpatient rehabilitation – a randomized controlled trial </w:t>
            </w:r>
          </w:p>
        </w:tc>
        <w:tc>
          <w:tcPr>
            <w:tcW w:w="1869" w:type="dxa"/>
            <w:shd w:val="clear" w:color="auto" w:fill="auto"/>
            <w:noWrap/>
            <w:vAlign w:val="bottom"/>
          </w:tcPr>
          <w:p w14:paraId="28B00FD2">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61 CHF (same cohort, extended followup)</w:t>
            </w:r>
          </w:p>
        </w:tc>
        <w:tc>
          <w:tcPr>
            <w:tcW w:w="3451" w:type="dxa"/>
            <w:shd w:val="clear" w:color="auto" w:fill="auto"/>
            <w:noWrap/>
            <w:vAlign w:val="bottom"/>
          </w:tcPr>
          <w:p w14:paraId="3F116AEA">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Same as above + VO₂ data modelestimated only</w:t>
            </w:r>
          </w:p>
        </w:tc>
      </w:tr>
      <w:tr w14:paraId="2386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07999D11">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448" w:type="dxa"/>
            <w:shd w:val="clear" w:color="auto" w:fill="auto"/>
            <w:noWrap/>
            <w:vAlign w:val="bottom"/>
          </w:tcPr>
          <w:p w14:paraId="597A7BF1">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Okati Aliabad 2014</w:t>
            </w:r>
          </w:p>
        </w:tc>
        <w:tc>
          <w:tcPr>
            <w:tcW w:w="3099" w:type="dxa"/>
            <w:shd w:val="clear" w:color="auto" w:fill="auto"/>
            <w:noWrap/>
            <w:vAlign w:val="bottom"/>
          </w:tcPr>
          <w:p w14:paraId="3794216F">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Maintenance of physical activity and exercise capacity after rehabilitation in coronary heart disease: a randomized controlled trial </w:t>
            </w:r>
          </w:p>
        </w:tc>
        <w:tc>
          <w:tcPr>
            <w:tcW w:w="1869" w:type="dxa"/>
            <w:shd w:val="clear" w:color="auto" w:fill="auto"/>
            <w:noWrap/>
            <w:vAlign w:val="bottom"/>
          </w:tcPr>
          <w:p w14:paraId="449FC136">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96 stable CHD</w:t>
            </w:r>
          </w:p>
        </w:tc>
        <w:tc>
          <w:tcPr>
            <w:tcW w:w="3451" w:type="dxa"/>
            <w:shd w:val="clear" w:color="auto" w:fill="auto"/>
            <w:noWrap/>
            <w:vAlign w:val="bottom"/>
          </w:tcPr>
          <w:p w14:paraId="5AC03EAB">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Both arms prescribed identical exercise; difference only in behaviour counselling (active comparator)</w:t>
            </w:r>
          </w:p>
        </w:tc>
      </w:tr>
      <w:tr w14:paraId="6D78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0069A50A">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448" w:type="dxa"/>
            <w:shd w:val="clear" w:color="auto" w:fill="auto"/>
            <w:noWrap/>
            <w:vAlign w:val="bottom"/>
          </w:tcPr>
          <w:p w14:paraId="3D7D511A">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Khadanga 2021</w:t>
            </w:r>
          </w:p>
        </w:tc>
        <w:tc>
          <w:tcPr>
            <w:tcW w:w="3099" w:type="dxa"/>
            <w:shd w:val="clear" w:color="auto" w:fill="auto"/>
            <w:noWrap/>
            <w:vAlign w:val="bottom"/>
          </w:tcPr>
          <w:p w14:paraId="0F516F3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Optimizing Training Response for Women in Cardiac Rehabilitation: a Randomized Clinical Trial </w:t>
            </w:r>
          </w:p>
        </w:tc>
        <w:tc>
          <w:tcPr>
            <w:tcW w:w="1869" w:type="dxa"/>
            <w:shd w:val="clear" w:color="auto" w:fill="auto"/>
            <w:noWrap/>
            <w:vAlign w:val="bottom"/>
          </w:tcPr>
          <w:p w14:paraId="0A75B2D6">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56 women in CR</w:t>
            </w:r>
          </w:p>
        </w:tc>
        <w:tc>
          <w:tcPr>
            <w:tcW w:w="3451" w:type="dxa"/>
            <w:shd w:val="clear" w:color="auto" w:fill="auto"/>
            <w:noWrap/>
            <w:vAlign w:val="bottom"/>
          </w:tcPr>
          <w:p w14:paraId="4F963C04">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Control received moderate continuous training + moderate RT (active)</w:t>
            </w:r>
          </w:p>
        </w:tc>
      </w:tr>
      <w:tr w14:paraId="5E26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4872FB12">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448" w:type="dxa"/>
            <w:shd w:val="clear" w:color="auto" w:fill="auto"/>
            <w:noWrap/>
            <w:vAlign w:val="bottom"/>
          </w:tcPr>
          <w:p w14:paraId="12516FEE">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Rasmussen 2022</w:t>
            </w:r>
          </w:p>
        </w:tc>
        <w:tc>
          <w:tcPr>
            <w:tcW w:w="3099" w:type="dxa"/>
            <w:shd w:val="clear" w:color="auto" w:fill="auto"/>
            <w:noWrap/>
            <w:vAlign w:val="bottom"/>
          </w:tcPr>
          <w:p w14:paraId="2CB88433">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Comprehensive cardiac rehabilitation for patients following infective endocarditis: results of the randomized Copen</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IE trial</w:t>
            </w:r>
          </w:p>
        </w:tc>
        <w:tc>
          <w:tcPr>
            <w:tcW w:w="1869" w:type="dxa"/>
            <w:shd w:val="clear" w:color="auto" w:fill="auto"/>
            <w:noWrap/>
            <w:vAlign w:val="bottom"/>
          </w:tcPr>
          <w:p w14:paraId="03E560C2">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117 post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infective endocarditis</w:t>
            </w:r>
          </w:p>
        </w:tc>
        <w:tc>
          <w:tcPr>
            <w:tcW w:w="3451" w:type="dxa"/>
            <w:shd w:val="clear" w:color="auto" w:fill="auto"/>
            <w:noWrap/>
            <w:vAlign w:val="bottom"/>
          </w:tcPr>
          <w:p w14:paraId="2EB18A1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not CHD; VO₂peak reported without SD</w:t>
            </w:r>
          </w:p>
        </w:tc>
      </w:tr>
      <w:tr w14:paraId="1215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63C9BFCE">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448" w:type="dxa"/>
            <w:shd w:val="clear" w:color="auto" w:fill="auto"/>
            <w:noWrap/>
            <w:vAlign w:val="bottom"/>
          </w:tcPr>
          <w:p w14:paraId="64DB8DA3">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Zanini 2019</w:t>
            </w:r>
          </w:p>
        </w:tc>
        <w:tc>
          <w:tcPr>
            <w:tcW w:w="3099" w:type="dxa"/>
            <w:shd w:val="clear" w:color="auto" w:fill="auto"/>
            <w:noWrap/>
            <w:vAlign w:val="bottom"/>
          </w:tcPr>
          <w:p w14:paraId="4EB7531A">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Effects of different rehabilitation protocols in inpatient cardiac rehabilitation after coronary artery bypass graft surgery: a randomized clinical trial</w:t>
            </w:r>
          </w:p>
        </w:tc>
        <w:tc>
          <w:tcPr>
            <w:tcW w:w="1869" w:type="dxa"/>
            <w:shd w:val="clear" w:color="auto" w:fill="auto"/>
            <w:noWrap/>
            <w:vAlign w:val="bottom"/>
          </w:tcPr>
          <w:p w14:paraId="19AE50BE">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40 immediate post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CABG (≤6 days)</w:t>
            </w:r>
          </w:p>
        </w:tc>
        <w:tc>
          <w:tcPr>
            <w:tcW w:w="3451" w:type="dxa"/>
            <w:shd w:val="clear" w:color="auto" w:fill="auto"/>
            <w:noWrap/>
            <w:vAlign w:val="bottom"/>
          </w:tcPr>
          <w:p w14:paraId="0EFD9B6B">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Intervention &lt; 4 weeks, phaseI only; resistance training not systematic</w:t>
            </w:r>
          </w:p>
        </w:tc>
      </w:tr>
      <w:tr w14:paraId="7116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 w:hRule="atLeast"/>
        </w:trPr>
        <w:tc>
          <w:tcPr>
            <w:tcW w:w="541" w:type="dxa"/>
            <w:shd w:val="clear" w:color="auto" w:fill="auto"/>
            <w:noWrap/>
            <w:vAlign w:val="bottom"/>
          </w:tcPr>
          <w:p w14:paraId="1192D6B2">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448" w:type="dxa"/>
            <w:shd w:val="clear" w:color="auto" w:fill="auto"/>
            <w:noWrap/>
            <w:vAlign w:val="bottom"/>
          </w:tcPr>
          <w:p w14:paraId="2DE41737">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Namanja 2024</w:t>
            </w:r>
          </w:p>
        </w:tc>
        <w:tc>
          <w:tcPr>
            <w:tcW w:w="3099" w:type="dxa"/>
            <w:shd w:val="clear" w:color="auto" w:fill="auto"/>
            <w:noWrap/>
            <w:vAlign w:val="bottom"/>
          </w:tcPr>
          <w:p w14:paraId="618277C5">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Delivering effective, comprehensive, multi</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exercise component cardiac rehabilitation for chronic heart</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failure patients… QECHCR randomized study, Malawi</w:t>
            </w:r>
          </w:p>
        </w:tc>
        <w:tc>
          <w:tcPr>
            <w:tcW w:w="1869" w:type="dxa"/>
            <w:shd w:val="clear" w:color="auto" w:fill="auto"/>
            <w:noWrap/>
            <w:vAlign w:val="bottom"/>
          </w:tcPr>
          <w:p w14:paraId="7E6FA0D7">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 = 60 HFpEF</w:t>
            </w:r>
            <w:r>
              <w:rPr>
                <w:rFonts w:hint="eastAsia"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dominant CHF</w:t>
            </w:r>
          </w:p>
        </w:tc>
        <w:tc>
          <w:tcPr>
            <w:tcW w:w="3451" w:type="dxa"/>
            <w:shd w:val="clear" w:color="auto" w:fill="auto"/>
            <w:noWrap/>
            <w:vAlign w:val="bottom"/>
          </w:tcPr>
          <w:p w14:paraId="6D82D77C">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Population not CHD (HF cohort)</w:t>
            </w:r>
          </w:p>
        </w:tc>
      </w:tr>
    </w:tbl>
    <w:p w14:paraId="79A15FC5">
      <w:pPr>
        <w:rPr>
          <w:rFonts w:hint="default" w:ascii="Times New Roman" w:hAnsi="Times New Roman" w:cs="Times New Roman"/>
          <w:sz w:val="22"/>
          <w:szCs w:val="22"/>
        </w:rPr>
      </w:pPr>
      <w:r>
        <w:rPr>
          <w:rFonts w:hint="default" w:ascii="Times New Roman" w:hAnsi="Times New Roman" w:cs="Times New Roman"/>
          <w:i/>
          <w:iCs/>
          <w:sz w:val="21"/>
          <w:szCs w:val="24"/>
        </w:rPr>
        <w:t>Abbreviations: CABG = coronary artery bypass graft; CAD = coronary artery disease; CHD = coronary heart disease; CHF = chronic heart failure; CR = cardiac rehabilitation; HF = heart failure; HFpEF = heart failure with preserved ejection fraction; HFrEF = heart failure with reduced ejection fraction; IE = infective endocarditis; MI = myocardial infarction; PCI = percutaneous coronary intervention; QECH‑CR = Queen Elizabeth Central Hospital cardiac‑rehabilitation programme; RCT = randomized controlled trial; RT = resistance training; SD = standard deviation; VO₂ peak = peak oxygen uptake (maximal aerobic capacity).</w:t>
      </w:r>
    </w:p>
    <w:p w14:paraId="7888003F">
      <w:pPr>
        <w:pStyle w:val="8"/>
        <w:keepNext w:val="0"/>
        <w:keepLines w:val="0"/>
        <w:widowControl/>
        <w:suppressLineNumbers w:val="0"/>
        <w:rPr>
          <w:rStyle w:val="11"/>
          <w:rFonts w:hint="default" w:ascii="Times New Roman" w:hAnsi="Times New Roman" w:cs="Times New Roman"/>
          <w:sz w:val="22"/>
          <w:szCs w:val="22"/>
        </w:rPr>
      </w:pPr>
      <w:r>
        <w:rPr>
          <w:rFonts w:hint="default" w:ascii="Times New Roman" w:hAnsi="Times New Roman" w:cs="Times New Roman"/>
          <w:sz w:val="22"/>
          <w:szCs w:val="22"/>
        </w:rPr>
        <w:t>* All trials failed ≥ 1 pre</w:t>
      </w:r>
      <w:r>
        <w:rPr>
          <w:rFonts w:hint="default" w:ascii="Times New Roman" w:hAnsi="Times New Roman" w:cs="Times New Roman"/>
          <w:sz w:val="22"/>
          <w:szCs w:val="22"/>
        </w:rPr>
        <w:noBreakHyphen/>
      </w:r>
      <w:r>
        <w:rPr>
          <w:rFonts w:hint="default" w:ascii="Times New Roman" w:hAnsi="Times New Roman" w:cs="Times New Roman"/>
          <w:sz w:val="22"/>
          <w:szCs w:val="22"/>
        </w:rPr>
        <w:t>specified inclusion criterion for meta</w:t>
      </w:r>
      <w:r>
        <w:rPr>
          <w:rFonts w:hint="default" w:ascii="Times New Roman" w:hAnsi="Times New Roman" w:cs="Times New Roman"/>
          <w:sz w:val="22"/>
          <w:szCs w:val="22"/>
        </w:rPr>
        <w:noBreakHyphen/>
      </w:r>
      <w:r>
        <w:rPr>
          <w:rFonts w:hint="default" w:ascii="Times New Roman" w:hAnsi="Times New Roman" w:cs="Times New Roman"/>
          <w:sz w:val="22"/>
          <w:szCs w:val="22"/>
        </w:rPr>
        <w:t xml:space="preserve">analysis: </w:t>
      </w:r>
      <w:r>
        <w:rPr>
          <w:rStyle w:val="11"/>
          <w:rFonts w:hint="default" w:ascii="Times New Roman" w:hAnsi="Times New Roman" w:cs="Times New Roman"/>
          <w:sz w:val="22"/>
          <w:szCs w:val="22"/>
        </w:rPr>
        <w:t>Population = adult stable coronary heart disease; ≥ 4 wk combined aerobic + resistance training; inert/usual</w:t>
      </w:r>
      <w:r>
        <w:rPr>
          <w:rStyle w:val="11"/>
          <w:rFonts w:hint="default" w:ascii="Times New Roman" w:hAnsi="Times New Roman" w:cs="Times New Roman"/>
          <w:sz w:val="22"/>
          <w:szCs w:val="22"/>
        </w:rPr>
        <w:noBreakHyphen/>
      </w:r>
      <w:r>
        <w:rPr>
          <w:rStyle w:val="11"/>
          <w:rFonts w:hint="default" w:ascii="Times New Roman" w:hAnsi="Times New Roman" w:cs="Times New Roman"/>
          <w:sz w:val="22"/>
          <w:szCs w:val="22"/>
        </w:rPr>
        <w:t>care control; VO₂ mean ± SD available.</w:t>
      </w:r>
    </w:p>
    <w:p w14:paraId="40533595">
      <w:pPr>
        <w:rPr>
          <w:rFonts w:hint="default"/>
          <w:lang w:val="en-US" w:eastAsia="zh-CN"/>
        </w:rPr>
      </w:pPr>
    </w:p>
    <w:p w14:paraId="7E912327">
      <w:pPr>
        <w:rPr>
          <w:rFonts w:hint="default"/>
          <w:lang w:val="en-US" w:eastAsia="zh-CN"/>
        </w:rPr>
      </w:pPr>
    </w:p>
    <w:p w14:paraId="4176AF50">
      <w:pPr>
        <w:jc w:val="both"/>
        <w:rPr>
          <w:rFonts w:hint="default" w:ascii="Times New Roman" w:hAnsi="Times New Roman" w:cs="Times New Roman"/>
          <w:sz w:val="24"/>
          <w:szCs w:val="24"/>
          <w:lang w:val="en-US" w:eastAsia="zh-CN"/>
        </w:rPr>
      </w:pPr>
    </w:p>
    <w:p w14:paraId="26FB0D07">
      <w:pPr>
        <w:jc w:val="both"/>
        <w:rPr>
          <w:rFonts w:hint="default" w:ascii="Times New Roman" w:hAnsi="Times New Roman" w:cs="Times New Roman"/>
          <w:sz w:val="24"/>
          <w:szCs w:val="24"/>
          <w:lang w:val="en-US" w:eastAsia="zh-CN"/>
        </w:rPr>
      </w:pPr>
    </w:p>
    <w:p>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fldChar w:fldCharType="begin"/>
      </w:r>
      <w:r>
        <w:rPr>
          <w:rFonts w:hint="eastAsia" w:ascii="Times New Roman" w:hAnsi="Times New Roman" w:cs="Times New Roman"/>
          <w:sz w:val="24"/>
          <w:szCs w:val="24"/>
          <w:lang w:val="en-US" w:eastAsia="zh-CN"/>
        </w:rPr>
        <w:instrText xml:space="preserve"> ADDIN EN.REFLIST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fldChar w:fldCharType="end"/>
      </w:r>
    </w:p>
    <w:tbl>
      <w:tblPr>
        <w:tblStyle w:val="9"/>
        <w:tblW w:w="9705" w:type="dxa"/>
        <w:tblInd w:w="-6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73"/>
        <w:gridCol w:w="1869"/>
        <w:gridCol w:w="1750"/>
        <w:gridCol w:w="1043"/>
        <w:gridCol w:w="3570"/>
      </w:tblGrid>
      <w:tr w14:paraId="2092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4C801C64">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Study</w:t>
            </w:r>
          </w:p>
        </w:tc>
        <w:tc>
          <w:tcPr>
            <w:tcW w:w="1869" w:type="dxa"/>
            <w:shd w:val="clear" w:color="auto" w:fill="auto"/>
            <w:noWrap/>
            <w:vAlign w:val="bottom"/>
          </w:tcPr>
          <w:p w14:paraId="4C172947">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Summary of Intervention Protocol</w:t>
            </w:r>
          </w:p>
        </w:tc>
        <w:tc>
          <w:tcPr>
            <w:tcW w:w="1750" w:type="dxa"/>
            <w:shd w:val="clear" w:color="auto" w:fill="auto"/>
            <w:noWrap/>
            <w:vAlign w:val="bottom"/>
          </w:tcPr>
          <w:p w14:paraId="3A454A8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Matched Compendium Activity (Code)</w:t>
            </w:r>
          </w:p>
        </w:tc>
        <w:tc>
          <w:tcPr>
            <w:tcW w:w="1043" w:type="dxa"/>
            <w:shd w:val="clear" w:color="auto" w:fill="auto"/>
            <w:noWrap/>
            <w:vAlign w:val="bottom"/>
          </w:tcPr>
          <w:p w14:paraId="614485BF">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Assigned MET Value</w:t>
            </w:r>
          </w:p>
        </w:tc>
        <w:tc>
          <w:tcPr>
            <w:tcW w:w="3570" w:type="dxa"/>
            <w:shd w:val="clear" w:color="auto" w:fill="auto"/>
            <w:noWrap/>
            <w:vAlign w:val="bottom"/>
          </w:tcPr>
          <w:p w14:paraId="7C218EA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Justification</w:t>
            </w:r>
          </w:p>
        </w:tc>
      </w:tr>
      <w:tr w14:paraId="789A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069D5ED3">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Anna 2021</w:t>
            </w:r>
          </w:p>
        </w:tc>
        <w:tc>
          <w:tcPr>
            <w:tcW w:w="1869" w:type="dxa"/>
            <w:shd w:val="clear" w:color="auto" w:fill="auto"/>
            <w:noWrap/>
            <w:vAlign w:val="bottom"/>
          </w:tcPr>
          <w:p w14:paraId="71F65A3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Gym-based circuit training (GEX) with matched aerobic (treadmill / cycle) and machine-resistance stations at ~50–60 % 1-RM.</w:t>
            </w:r>
          </w:p>
        </w:tc>
        <w:tc>
          <w:tcPr>
            <w:tcW w:w="1750" w:type="dxa"/>
            <w:shd w:val="clear" w:color="auto" w:fill="auto"/>
            <w:noWrap/>
            <w:vAlign w:val="bottom"/>
          </w:tcPr>
          <w:p w14:paraId="43E3111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Circuit training, moderate effort (02035) </w:t>
            </w:r>
          </w:p>
        </w:tc>
        <w:tc>
          <w:tcPr>
            <w:tcW w:w="1043" w:type="dxa"/>
            <w:shd w:val="clear" w:color="auto" w:fill="auto"/>
            <w:noWrap/>
            <w:vAlign w:val="bottom"/>
          </w:tcPr>
          <w:p w14:paraId="5D14DDE6">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570" w:type="dxa"/>
            <w:shd w:val="clear" w:color="auto" w:fill="auto"/>
            <w:noWrap/>
            <w:vAlign w:val="bottom"/>
          </w:tcPr>
          <w:p w14:paraId="5C77C54F">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intervention is explicitly described as "Gym-based circuit training." This protocol, combining aerobic and moderate-intensity resistance stations, is best represented by the Compendium entry for 'Circuit training, moderate effort' (Code: 02035), which is assigned a value of 5.0 METs. </w:t>
            </w:r>
          </w:p>
        </w:tc>
      </w:tr>
      <w:tr w14:paraId="4AB9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6213208B">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Eriko 2008</w:t>
            </w:r>
          </w:p>
        </w:tc>
        <w:tc>
          <w:tcPr>
            <w:tcW w:w="1869" w:type="dxa"/>
            <w:shd w:val="clear" w:color="auto" w:fill="auto"/>
            <w:noWrap/>
            <w:vAlign w:val="bottom"/>
          </w:tcPr>
          <w:p w14:paraId="21DC67DE">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Weekly centre-based session with 20–60 min continuous aerobic exercise (walking, cycling, jogging) at Borg 12–13, interspersed with light body-weight isotonic moves (sit-ups, squats).</w:t>
            </w:r>
          </w:p>
        </w:tc>
        <w:tc>
          <w:tcPr>
            <w:tcW w:w="1750" w:type="dxa"/>
            <w:shd w:val="clear" w:color="auto" w:fill="auto"/>
            <w:noWrap/>
            <w:vAlign w:val="bottom"/>
          </w:tcPr>
          <w:p w14:paraId="6929EE21">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Video, exercise workouts, TV conditioning programs (e.g., cardio-resistance training), moderate (02143) </w:t>
            </w:r>
          </w:p>
        </w:tc>
        <w:tc>
          <w:tcPr>
            <w:tcW w:w="1043" w:type="dxa"/>
            <w:shd w:val="clear" w:color="auto" w:fill="auto"/>
            <w:noWrap/>
            <w:vAlign w:val="bottom"/>
          </w:tcPr>
          <w:p w14:paraId="5DA519F1">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258CE172">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program combines moderate-intensity aerobic exercise (Borg 12–13) with light calisthenics. This mixed modality is well-matched with the Compendium entry 'Video, exercise workouts, TV conditioning programs (e.g., cardio-resistance training), moderate' (Code: 02143), which at 4.0 METs accurately reflects the overall intensity of this combined program. </w:t>
            </w:r>
          </w:p>
        </w:tc>
      </w:tr>
      <w:tr w14:paraId="4FCC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10C36A2F">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Fontes-Carvalho 2015</w:t>
            </w:r>
          </w:p>
        </w:tc>
        <w:tc>
          <w:tcPr>
            <w:tcW w:w="1869" w:type="dxa"/>
            <w:shd w:val="clear" w:color="auto" w:fill="auto"/>
            <w:noWrap/>
            <w:vAlign w:val="bottom"/>
          </w:tcPr>
          <w:p w14:paraId="3819647F">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Supervised endurance (cycling → treadmill) &amp; resistance training; target HR 70–85 % of peak HR.</w:t>
            </w:r>
          </w:p>
        </w:tc>
        <w:tc>
          <w:tcPr>
            <w:tcW w:w="1750" w:type="dxa"/>
            <w:shd w:val="clear" w:color="auto" w:fill="auto"/>
            <w:noWrap/>
            <w:vAlign w:val="bottom"/>
          </w:tcPr>
          <w:p w14:paraId="0E44DBB8">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Resistance (weight lifting - free weight, nautilus or universal-type), power lifting or body building, vigorous effort (02050) </w:t>
            </w:r>
          </w:p>
        </w:tc>
        <w:tc>
          <w:tcPr>
            <w:tcW w:w="1043" w:type="dxa"/>
            <w:shd w:val="clear" w:color="auto" w:fill="auto"/>
            <w:noWrap/>
            <w:vAlign w:val="bottom"/>
          </w:tcPr>
          <w:p w14:paraId="291C1CFA">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3570" w:type="dxa"/>
            <w:shd w:val="clear" w:color="auto" w:fill="auto"/>
            <w:noWrap/>
            <w:vAlign w:val="bottom"/>
          </w:tcPr>
          <w:p w14:paraId="34DD6ED4">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intervention involved vigorous endurance training (target 70–85% peak HR) combined with resistance exercises. This specified intensity aligns with the Compendium entry for 'Resistance (weight lifting...), vigorous effort' (Code: 02050) , and 'Bicycling, stationary, 90-100 watts, moderate to vigorous' (Code: 01220), both of which are valued at 6.0 METs. </w:t>
            </w:r>
          </w:p>
        </w:tc>
      </w:tr>
      <w:tr w14:paraId="4CD2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73" w:type="dxa"/>
            <w:shd w:val="clear" w:color="auto" w:fill="auto"/>
            <w:noWrap/>
            <w:vAlign w:val="bottom"/>
          </w:tcPr>
          <w:p w14:paraId="7079915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Konstantinos 2005</w:t>
            </w:r>
          </w:p>
        </w:tc>
        <w:tc>
          <w:tcPr>
            <w:tcW w:w="1869" w:type="dxa"/>
            <w:shd w:val="clear" w:color="auto" w:fill="auto"/>
            <w:noWrap/>
            <w:vAlign w:val="bottom"/>
          </w:tcPr>
          <w:p w14:paraId="7570E5AE">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Aerobic (treadmill/cycle; 60–85% HRmax) + 8-station machine/free-weight circuit (~60% 1-RM).</w:t>
            </w:r>
          </w:p>
        </w:tc>
        <w:tc>
          <w:tcPr>
            <w:tcW w:w="1750" w:type="dxa"/>
            <w:shd w:val="clear" w:color="auto" w:fill="auto"/>
            <w:noWrap/>
            <w:vAlign w:val="bottom"/>
          </w:tcPr>
          <w:p w14:paraId="6A16CB5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Video, exercise workouts, TV conditioning programs (e.g., cardio-resistance training), moderate (02143) </w:t>
            </w:r>
          </w:p>
        </w:tc>
        <w:tc>
          <w:tcPr>
            <w:tcW w:w="1043" w:type="dxa"/>
            <w:shd w:val="clear" w:color="auto" w:fill="auto"/>
            <w:noWrap/>
            <w:vAlign w:val="bottom"/>
          </w:tcPr>
          <w:p w14:paraId="70E67DAD">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79133815">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protocol combined aerobic training (progressing from moderate to vigorous) with a moderate-intensity strength circuit (~60% 1-RM). The overall program intensity is best represented as moderate. The assigned value of 4.0 METs precisely matches the Compendium entry for 'Video, exercise workouts, TV conditioning programs (e.g., cardio-resistance training), moderate' (Code: 02143). </w:t>
            </w:r>
          </w:p>
        </w:tc>
      </w:tr>
      <w:tr w14:paraId="74A8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65CCA237">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Lehti 2020</w:t>
            </w:r>
          </w:p>
        </w:tc>
        <w:tc>
          <w:tcPr>
            <w:tcW w:w="1869" w:type="dxa"/>
            <w:shd w:val="clear" w:color="auto" w:fill="auto"/>
            <w:noWrap/>
            <w:vAlign w:val="bottom"/>
          </w:tcPr>
          <w:p w14:paraId="1DB2337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Mixed Interval-type Aerobic + Strength Training (MIAST): cycle-ergometer intervals at 50–85 % HRR; leg-press &amp; functional lower-body exercises at 50–70 % 1RM.</w:t>
            </w:r>
          </w:p>
        </w:tc>
        <w:tc>
          <w:tcPr>
            <w:tcW w:w="1750" w:type="dxa"/>
            <w:shd w:val="clear" w:color="auto" w:fill="auto"/>
            <w:noWrap/>
            <w:vAlign w:val="bottom"/>
          </w:tcPr>
          <w:p w14:paraId="64A412F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Bicycling, stationary, 90-100 watts, moderate to vigorous (01220) </w:t>
            </w:r>
          </w:p>
        </w:tc>
        <w:tc>
          <w:tcPr>
            <w:tcW w:w="1043" w:type="dxa"/>
            <w:shd w:val="clear" w:color="auto" w:fill="auto"/>
            <w:noWrap/>
            <w:vAlign w:val="bottom"/>
          </w:tcPr>
          <w:p w14:paraId="064A624D">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3570" w:type="dxa"/>
            <w:shd w:val="clear" w:color="auto" w:fill="auto"/>
            <w:noWrap/>
            <w:vAlign w:val="bottom"/>
          </w:tcPr>
          <w:p w14:paraId="1F95E25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arm of the study included interval cycling reaching vigorous intensities (up to 85% HRR) plus resistance training. This protocol aligns well with the Compendium entry 'Bicycling, stationary, 90-100 watts, moderate to vigorous' (Code: 01220), which is valued at 6.0 METs. </w:t>
            </w:r>
          </w:p>
        </w:tc>
      </w:tr>
      <w:tr w14:paraId="0DEC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4636FD62">
            <w:pPr>
              <w:rPr>
                <w:rFonts w:hint="default" w:ascii="Times New Roman" w:hAnsi="Times New Roman" w:cs="Times New Roman"/>
                <w:i w:val="0"/>
                <w:iCs w:val="0"/>
                <w:color w:val="000000"/>
                <w:sz w:val="20"/>
                <w:szCs w:val="20"/>
                <w:u w:val="none"/>
              </w:rPr>
            </w:pPr>
          </w:p>
        </w:tc>
        <w:tc>
          <w:tcPr>
            <w:tcW w:w="1869" w:type="dxa"/>
            <w:shd w:val="clear" w:color="auto" w:fill="auto"/>
            <w:noWrap/>
            <w:vAlign w:val="bottom"/>
          </w:tcPr>
          <w:p w14:paraId="1ECDC675">
            <w:pPr>
              <w:rPr>
                <w:rFonts w:hint="default" w:ascii="Times New Roman" w:hAnsi="Times New Roman" w:cs="Times New Roman"/>
                <w:i w:val="0"/>
                <w:iCs w:val="0"/>
                <w:color w:val="000000"/>
                <w:sz w:val="20"/>
                <w:szCs w:val="20"/>
                <w:u w:val="none"/>
              </w:rPr>
            </w:pPr>
          </w:p>
        </w:tc>
        <w:tc>
          <w:tcPr>
            <w:tcW w:w="1750" w:type="dxa"/>
            <w:shd w:val="clear" w:color="auto" w:fill="auto"/>
            <w:noWrap/>
            <w:vAlign w:val="bottom"/>
          </w:tcPr>
          <w:p w14:paraId="6A5BF7EF">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Bicycling, stationary, 50 watts, light effort (01214) </w:t>
            </w:r>
          </w:p>
        </w:tc>
        <w:tc>
          <w:tcPr>
            <w:tcW w:w="1043" w:type="dxa"/>
            <w:shd w:val="clear" w:color="auto" w:fill="auto"/>
            <w:noWrap/>
            <w:vAlign w:val="bottom"/>
          </w:tcPr>
          <w:p w14:paraId="3F8F6B2B">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59443FA4">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lower-intensity arm of the study is represented by a MET value of 4.0. This aligns with the Compendium entry for 'Bicycling, stationary, 50 watts, light effort' (Code: 01214), reflecting the less strenuous end of the prescribed 50-85% HRR range. </w:t>
            </w:r>
          </w:p>
        </w:tc>
      </w:tr>
      <w:tr w14:paraId="5D99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0F5CCF6B">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Liang 2019</w:t>
            </w:r>
          </w:p>
        </w:tc>
        <w:tc>
          <w:tcPr>
            <w:tcW w:w="1869" w:type="dxa"/>
            <w:shd w:val="clear" w:color="auto" w:fill="auto"/>
            <w:noWrap/>
            <w:vAlign w:val="bottom"/>
          </w:tcPr>
          <w:p w14:paraId="2FD58E7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Aerobic + Resistance Training (ART).</w:t>
            </w:r>
          </w:p>
        </w:tc>
        <w:tc>
          <w:tcPr>
            <w:tcW w:w="1750" w:type="dxa"/>
            <w:shd w:val="clear" w:color="auto" w:fill="auto"/>
            <w:noWrap/>
            <w:vAlign w:val="bottom"/>
          </w:tcPr>
          <w:p w14:paraId="4B5F490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Circuit training, moderate effort (02035) </w:t>
            </w:r>
          </w:p>
        </w:tc>
        <w:tc>
          <w:tcPr>
            <w:tcW w:w="1043" w:type="dxa"/>
            <w:shd w:val="clear" w:color="auto" w:fill="auto"/>
            <w:noWrap/>
            <w:vAlign w:val="bottom"/>
          </w:tcPr>
          <w:p w14:paraId="704D8536">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570" w:type="dxa"/>
            <w:shd w:val="clear" w:color="auto" w:fill="auto"/>
            <w:noWrap/>
            <w:vAlign w:val="bottom"/>
          </w:tcPr>
          <w:p w14:paraId="172A893E">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intervention is described as a general 'Aerobic + Resistance Training (ART)' program. This type of combined modality, assumed to be at a standard moderate intensity, is best matched to 'Circuit training, moderate effort' (Code: 02035) from the Compendium, which is assigned a value of 5.0 METs. </w:t>
            </w:r>
          </w:p>
        </w:tc>
      </w:tr>
      <w:tr w14:paraId="04ED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20DF77C3">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Lukas-Daniel 2019</w:t>
            </w:r>
          </w:p>
        </w:tc>
        <w:tc>
          <w:tcPr>
            <w:tcW w:w="1869" w:type="dxa"/>
            <w:shd w:val="clear" w:color="auto" w:fill="auto"/>
            <w:noWrap/>
            <w:vAlign w:val="bottom"/>
          </w:tcPr>
          <w:p w14:paraId="7B912F2E">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Iso-caloric cycle ergometer protocol followed by ~20 min of circuit resistance training.</w:t>
            </w:r>
          </w:p>
        </w:tc>
        <w:tc>
          <w:tcPr>
            <w:tcW w:w="1750" w:type="dxa"/>
            <w:shd w:val="clear" w:color="auto" w:fill="auto"/>
            <w:noWrap/>
            <w:vAlign w:val="bottom"/>
          </w:tcPr>
          <w:p w14:paraId="1CADEFB4">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Bicycling, stationary, 126-150 watts (01228) </w:t>
            </w:r>
          </w:p>
        </w:tc>
        <w:tc>
          <w:tcPr>
            <w:tcW w:w="1043" w:type="dxa"/>
            <w:shd w:val="clear" w:color="auto" w:fill="auto"/>
            <w:noWrap/>
            <w:vAlign w:val="bottom"/>
          </w:tcPr>
          <w:p w14:paraId="47D5BAD0">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3570" w:type="dxa"/>
            <w:shd w:val="clear" w:color="auto" w:fill="auto"/>
            <w:noWrap/>
            <w:vAlign w:val="bottom"/>
          </w:tcPr>
          <w:p w14:paraId="321D4C34">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higher-intensity intervention arm's value of 8.0 METs corresponds precisely with 'Bicycling, stationary, 126-150 watts' (Code: 01228), reflecting a vigorous aerobic component which was the session's primary element. </w:t>
            </w:r>
          </w:p>
        </w:tc>
      </w:tr>
      <w:tr w14:paraId="68A9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19F9ABA8">
            <w:pPr>
              <w:rPr>
                <w:rFonts w:hint="default" w:ascii="Times New Roman" w:hAnsi="Times New Roman" w:cs="Times New Roman"/>
                <w:i w:val="0"/>
                <w:iCs w:val="0"/>
                <w:color w:val="000000"/>
                <w:sz w:val="20"/>
                <w:szCs w:val="20"/>
                <w:u w:val="none"/>
              </w:rPr>
            </w:pPr>
          </w:p>
        </w:tc>
        <w:tc>
          <w:tcPr>
            <w:tcW w:w="1869" w:type="dxa"/>
            <w:shd w:val="clear" w:color="auto" w:fill="auto"/>
            <w:noWrap/>
            <w:vAlign w:val="bottom"/>
          </w:tcPr>
          <w:p w14:paraId="4A61E4DF">
            <w:pPr>
              <w:rPr>
                <w:rFonts w:hint="default" w:ascii="Times New Roman" w:hAnsi="Times New Roman" w:cs="Times New Roman"/>
                <w:i w:val="0"/>
                <w:iCs w:val="0"/>
                <w:color w:val="000000"/>
                <w:sz w:val="20"/>
                <w:szCs w:val="20"/>
                <w:u w:val="none"/>
              </w:rPr>
            </w:pPr>
          </w:p>
        </w:tc>
        <w:tc>
          <w:tcPr>
            <w:tcW w:w="1750" w:type="dxa"/>
            <w:shd w:val="clear" w:color="auto" w:fill="auto"/>
            <w:noWrap/>
            <w:vAlign w:val="bottom"/>
          </w:tcPr>
          <w:p w14:paraId="28117FD6">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Bicycling, stationary, 90-100 watts, moderate to vigorous (01220) </w:t>
            </w:r>
          </w:p>
        </w:tc>
        <w:tc>
          <w:tcPr>
            <w:tcW w:w="1043" w:type="dxa"/>
            <w:shd w:val="clear" w:color="auto" w:fill="auto"/>
            <w:noWrap/>
            <w:vAlign w:val="bottom"/>
          </w:tcPr>
          <w:p w14:paraId="4C38CD52">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3570" w:type="dxa"/>
            <w:shd w:val="clear" w:color="auto" w:fill="auto"/>
            <w:noWrap/>
            <w:vAlign w:val="bottom"/>
          </w:tcPr>
          <w:p w14:paraId="4477D53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lower-intensity arm utilized a moderate cycling protocol plus circuit training. This aligns perfectly with the Compendium entry 'Bicycling, stationary, 90-100 watts, moderate to vigorous' (Code: 01220), which is assigned a value of 6.0 METs. </w:t>
            </w:r>
          </w:p>
        </w:tc>
      </w:tr>
      <w:tr w14:paraId="03B0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20599B42">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Savvas 2003</w:t>
            </w:r>
          </w:p>
        </w:tc>
        <w:tc>
          <w:tcPr>
            <w:tcW w:w="1869" w:type="dxa"/>
            <w:shd w:val="clear" w:color="auto" w:fill="auto"/>
            <w:noWrap/>
            <w:vAlign w:val="bottom"/>
          </w:tcPr>
          <w:p w14:paraId="0EF8AA8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Aerobic (treadmill/cycle at 60–85% HRmax) + 8-station strength circuit (~60% 1-RM).</w:t>
            </w:r>
          </w:p>
        </w:tc>
        <w:tc>
          <w:tcPr>
            <w:tcW w:w="1750" w:type="dxa"/>
            <w:shd w:val="clear" w:color="auto" w:fill="auto"/>
            <w:noWrap/>
            <w:vAlign w:val="bottom"/>
          </w:tcPr>
          <w:p w14:paraId="5424E7A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Circuit training, moderate effort (02035) </w:t>
            </w:r>
          </w:p>
        </w:tc>
        <w:tc>
          <w:tcPr>
            <w:tcW w:w="1043" w:type="dxa"/>
            <w:shd w:val="clear" w:color="auto" w:fill="auto"/>
            <w:noWrap/>
            <w:vAlign w:val="bottom"/>
          </w:tcPr>
          <w:p w14:paraId="52973809">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570" w:type="dxa"/>
            <w:shd w:val="clear" w:color="auto" w:fill="auto"/>
            <w:noWrap/>
            <w:vAlign w:val="bottom"/>
          </w:tcPr>
          <w:p w14:paraId="1D116171">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program is a quintessential combined aerobic and strength circuit. This protocol is best categorized under the Compendium entry 'Circuit training, moderate effort' (Code: 02035), which is valued at 5.0 METs, reflecting the overall demand of the session. </w:t>
            </w:r>
          </w:p>
        </w:tc>
      </w:tr>
      <w:tr w14:paraId="200E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648E1053">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Tofas 2021</w:t>
            </w:r>
          </w:p>
        </w:tc>
        <w:tc>
          <w:tcPr>
            <w:tcW w:w="1869" w:type="dxa"/>
            <w:shd w:val="clear" w:color="auto" w:fill="auto"/>
            <w:noWrap/>
            <w:vAlign w:val="bottom"/>
          </w:tcPr>
          <w:p w14:paraId="2C760399">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Two 10 min aerobic intervals (60–75% HRmax) followed by one set of resistance exercises (~60% 1-RM).</w:t>
            </w:r>
          </w:p>
        </w:tc>
        <w:tc>
          <w:tcPr>
            <w:tcW w:w="1750" w:type="dxa"/>
            <w:shd w:val="clear" w:color="auto" w:fill="auto"/>
            <w:noWrap/>
            <w:vAlign w:val="bottom"/>
          </w:tcPr>
          <w:p w14:paraId="2C48FE23">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Video, exercise workouts, TV conditioning programs (e.g., cardio-resistance training), moderate (02143) </w:t>
            </w:r>
          </w:p>
        </w:tc>
        <w:tc>
          <w:tcPr>
            <w:tcW w:w="1043" w:type="dxa"/>
            <w:shd w:val="clear" w:color="auto" w:fill="auto"/>
            <w:noWrap/>
            <w:vAlign w:val="bottom"/>
          </w:tcPr>
          <w:p w14:paraId="3C2FE2EF">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5998F49C">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intervention combined moderate-intensity aerobic intervals with moderate-intensity resistance training. The program is best classified as a moderate-effort, mixed-modality session. The assigned value of 4.0 METs is justified by the Compendium entry 'Video, exercise workouts, TV conditioning programs (e.g., cardio-resistance training), moderate' (Code: 02143). </w:t>
            </w:r>
          </w:p>
        </w:tc>
      </w:tr>
      <w:tr w14:paraId="7FFD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473" w:type="dxa"/>
            <w:shd w:val="clear" w:color="auto" w:fill="auto"/>
            <w:noWrap/>
            <w:vAlign w:val="bottom"/>
          </w:tcPr>
          <w:p w14:paraId="62485F59">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Vona 2009</w:t>
            </w:r>
          </w:p>
        </w:tc>
        <w:tc>
          <w:tcPr>
            <w:tcW w:w="1869" w:type="dxa"/>
            <w:shd w:val="clear" w:color="auto" w:fill="auto"/>
            <w:noWrap/>
            <w:vAlign w:val="bottom"/>
          </w:tcPr>
          <w:p w14:paraId="5566259E">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Combined Training – same weekly dose (2 aerobic + 2 resistance sessions).</w:t>
            </w:r>
          </w:p>
        </w:tc>
        <w:tc>
          <w:tcPr>
            <w:tcW w:w="1750" w:type="dxa"/>
            <w:shd w:val="clear" w:color="auto" w:fill="auto"/>
            <w:noWrap/>
            <w:vAlign w:val="bottom"/>
          </w:tcPr>
          <w:p w14:paraId="3234689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Circuit training, moderate effort (02035) </w:t>
            </w:r>
          </w:p>
        </w:tc>
        <w:tc>
          <w:tcPr>
            <w:tcW w:w="1043" w:type="dxa"/>
            <w:shd w:val="clear" w:color="auto" w:fill="auto"/>
            <w:noWrap/>
            <w:vAlign w:val="bottom"/>
          </w:tcPr>
          <w:p w14:paraId="02098D22">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570" w:type="dxa"/>
            <w:shd w:val="clear" w:color="auto" w:fill="auto"/>
            <w:noWrap/>
            <w:vAlign w:val="bottom"/>
          </w:tcPr>
          <w:p w14:paraId="373E1B59">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study describes a 'Combined Training' program. With no further intensity details, this is assumed to be of standard moderate intensity. The protocol is best represented by 'Circuit training, moderate effort' (Code: 02035) from the Compendium, which carries a value of 5.0 METs. </w:t>
            </w:r>
          </w:p>
        </w:tc>
      </w:tr>
      <w:tr w14:paraId="58CF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73" w:type="dxa"/>
            <w:shd w:val="clear" w:color="auto" w:fill="auto"/>
            <w:noWrap/>
            <w:vAlign w:val="bottom"/>
          </w:tcPr>
          <w:p w14:paraId="47FCD5C7">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Yamazaki 1999</w:t>
            </w:r>
          </w:p>
        </w:tc>
        <w:tc>
          <w:tcPr>
            <w:tcW w:w="1869" w:type="dxa"/>
            <w:shd w:val="clear" w:color="auto" w:fill="auto"/>
            <w:noWrap/>
            <w:vAlign w:val="bottom"/>
          </w:tcPr>
          <w:p w14:paraId="28712396">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For ≥65-yr post-MI patients: Knee-extensor resistance training (60% 1-RM) + aerobic exercise at anaerobic-threshold heart-rate.</w:t>
            </w:r>
          </w:p>
        </w:tc>
        <w:tc>
          <w:tcPr>
            <w:tcW w:w="1750" w:type="dxa"/>
            <w:shd w:val="clear" w:color="auto" w:fill="auto"/>
            <w:noWrap/>
            <w:vAlign w:val="bottom"/>
          </w:tcPr>
          <w:p w14:paraId="3B4F3179">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Video, exercise workouts, TV conditioning programs (e.g., cardio-resistance training), moderate (02143) </w:t>
            </w:r>
          </w:p>
        </w:tc>
        <w:tc>
          <w:tcPr>
            <w:tcW w:w="1043" w:type="dxa"/>
            <w:shd w:val="clear" w:color="auto" w:fill="auto"/>
            <w:noWrap/>
            <w:vAlign w:val="bottom"/>
          </w:tcPr>
          <w:p w14:paraId="2B20737C">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2F36187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This program for an older, clinical population combined moderate-intensity resistance and aerobic work. This moderate, mixed-modality approach is accurately reflected by the Compendium entry 'Video, exercise workouts, TV conditioning programs (e.g., cardio-resistance training), moderate' (Code: 02143), valued at 4.0 METs. </w:t>
            </w:r>
          </w:p>
        </w:tc>
      </w:tr>
      <w:tr w14:paraId="7BA9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73" w:type="dxa"/>
            <w:shd w:val="clear" w:color="auto" w:fill="auto"/>
            <w:noWrap/>
            <w:vAlign w:val="bottom"/>
          </w:tcPr>
          <w:p w14:paraId="0A7808F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Jennifer 2003</w:t>
            </w:r>
          </w:p>
        </w:tc>
        <w:tc>
          <w:tcPr>
            <w:tcW w:w="1869" w:type="dxa"/>
            <w:shd w:val="clear" w:color="auto" w:fill="auto"/>
            <w:noWrap/>
            <w:vAlign w:val="bottom"/>
          </w:tcPr>
          <w:p w14:paraId="1265407A">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Combined Aerobic + Resistance “circuit” training: resistance machines (55→65% 1-RM) alternated with cycling stations (70→85% HRpeak).</w:t>
            </w:r>
          </w:p>
        </w:tc>
        <w:tc>
          <w:tcPr>
            <w:tcW w:w="1750" w:type="dxa"/>
            <w:shd w:val="clear" w:color="auto" w:fill="auto"/>
            <w:noWrap/>
            <w:vAlign w:val="bottom"/>
          </w:tcPr>
          <w:p w14:paraId="2EC716B1">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Video, exercise workouts, TV conditioning programs (e.g., cardio-resistance training), moderate (02143) </w:t>
            </w:r>
          </w:p>
        </w:tc>
        <w:tc>
          <w:tcPr>
            <w:tcW w:w="1043" w:type="dxa"/>
            <w:shd w:val="clear" w:color="auto" w:fill="auto"/>
            <w:noWrap/>
            <w:vAlign w:val="bottom"/>
          </w:tcPr>
          <w:p w14:paraId="76CA12BB">
            <w:pPr>
              <w:keepNext w:val="0"/>
              <w:keepLines w:val="0"/>
              <w:widowControl/>
              <w:suppressLineNumbers w:val="0"/>
              <w:jc w:val="righ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570" w:type="dxa"/>
            <w:shd w:val="clear" w:color="auto" w:fill="auto"/>
            <w:noWrap/>
            <w:vAlign w:val="bottom"/>
          </w:tcPr>
          <w:p w14:paraId="25B06820">
            <w:pPr>
              <w:keepNext w:val="0"/>
              <w:keepLines w:val="0"/>
              <w:widowControl/>
              <w:suppressLineNumbers w:val="0"/>
              <w:jc w:val="left"/>
              <w:textAlignment w:val="bottom"/>
              <w:rPr>
                <w:rFonts w:hint="default" w:ascii="Times New Roman" w:hAnsi="Times New Roman"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The intervention is a circuit combining moderate-intensity resistance with vigorous aerobic intervals. The assigned value of 4.0 METs likely reflects the average intensity of the entire session, accounting for the alternating nature and rest periods inherent in a circuit format. This overall moderate intensity is best matched with a general code for mixed-modality exercise, such as 'Video, exercise workouts... moderate' (Code: 02143). </w:t>
            </w:r>
          </w:p>
        </w:tc>
      </w:tr>
    </w:tbl>
    <w:p w14:paraId="116E7C84">
      <w:pPr>
        <w:jc w:val="both"/>
        <w:rPr>
          <w:rFonts w:hint="default" w:ascii="Times New Roman" w:hAnsi="Times New Roman" w:cs="Times New Roman"/>
          <w:sz w:val="24"/>
          <w:szCs w:val="24"/>
          <w:lang w:val="en-US" w:eastAsia="zh-CN"/>
        </w:rPr>
      </w:pPr>
    </w:p>
    <w:sectPr>
      <w:pgSz w:w="12240" w:h="15840"/>
      <w:pgMar w:top="1440" w:right="1803" w:bottom="1440" w:left="1803" w:header="720" w:footer="72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5D81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30E89">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6730E89">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52B83"/>
    <w:multiLevelType w:val="singleLevel"/>
    <w:tmpl w:val="24D52B8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f99r5sev0ptmes0wc59sxut2zatw0z0tx0&quot;&gt;My EndNote Library&lt;record-ids&gt;&lt;item&gt;13113&lt;/item&gt;&lt;/record-ids&gt;&lt;/item&gt;&lt;/Libraries&gt;"/>
  </w:docVars>
  <w:rsids>
    <w:rsidRoot w:val="00000000"/>
    <w:rsid w:val="03A72764"/>
    <w:rsid w:val="0B4E65CD"/>
    <w:rsid w:val="0C073B04"/>
    <w:rsid w:val="0D1A0357"/>
    <w:rsid w:val="10775C0C"/>
    <w:rsid w:val="11EB7C4B"/>
    <w:rsid w:val="1D915C62"/>
    <w:rsid w:val="1FF06C45"/>
    <w:rsid w:val="3EF850B8"/>
    <w:rsid w:val="621B0488"/>
    <w:rsid w:val="6E8D4A01"/>
    <w:rsid w:val="6F396A3D"/>
    <w:rsid w:val="76786781"/>
    <w:rsid w:val="76BB5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9"/>
    <w:pPr>
      <w:outlineLvl w:val="0"/>
    </w:pPr>
    <w:rPr>
      <w:rFonts w:ascii="Times New Roman" w:hAnsi="Times New Roman" w:cs="Times New Roman"/>
      <w:b/>
      <w:bCs/>
      <w:sz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before="180" w:after="18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First Paragraph"/>
    <w:basedOn w:val="4"/>
    <w:next w:val="4"/>
    <w:qFormat/>
    <w:uiPriority w:val="0"/>
  </w:style>
  <w:style w:type="character" w:customStyle="1" w:styleId="13">
    <w:name w:val="标题 1 Char"/>
    <w:link w:val="2"/>
    <w:qFormat/>
    <w:uiPriority w:val="0"/>
    <w:rPr>
      <w:rFonts w:ascii="Times New Roman" w:hAnsi="Times New Roman" w:cs="Times New Roman"/>
      <w:b/>
      <w:bCs/>
      <w:sz w:val="24"/>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 w:type="paragraph" w:customStyle="1" w:styleId="16">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2072</Words>
  <Characters>13603</Characters>
  <Lines>0</Lines>
  <Paragraphs>0</Paragraphs>
  <TotalTime>7</TotalTime>
  <ScaleCrop>false</ScaleCrop>
  <LinksUpToDate>false</LinksUpToDate>
  <CharactersWithSpaces>15280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2025-02-18T01:57:00Z</dcterms:created>
  <dc:creator>86988</dc:creator>
  <cp:lastModifiedBy>Soul. Mate</cp:lastModifiedBy>
  <dcterms:modified xsi:type="dcterms:W3CDTF">2025-07-20T02:36:43Z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eyJoZGlkIjoiNTYwNjFiZWI3YzcwMWJjNGQzN2E1MWUxZWQwMGE0NTMiLCJ1c2VySWQiOiI0MDM5MzU1MTQifQ==</vt:lpwstr>
  </property>
  <property fmtid="{D5CDD505-2E9C-101B-9397-08002B2CF9AE}" pid="4" name="ICV">
    <vt:lpwstr>59893B56B7B347E59961D515032A9733_12</vt:lpwstr>
  </property>
</Properties>
</file>