
<file path=[Content_Types].xml><?xml version="1.0" encoding="utf-8"?>
<Types xmlns="http://schemas.openxmlformats.org/package/2006/content-types">
  <Default Extension="png" ContentType="image/png"/>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FA6C8E">
      <w:pPr>
        <w:pStyle w:val="11"/>
        <w:keepNext/>
        <w:spacing w:line="360" w:lineRule="auto"/>
        <w:jc w:val="both"/>
        <w:rPr>
          <w:rFonts w:hint="default" w:ascii="Times New Roman" w:hAnsi="Times New Roman" w:cs="Times New Roman"/>
          <w:sz w:val="22"/>
          <w:szCs w:val="22"/>
        </w:rPr>
      </w:pPr>
      <w:r>
        <w:rPr>
          <w:rFonts w:hint="default" w:ascii="Times New Roman" w:hAnsi="Times New Roman" w:cs="Times New Roman"/>
          <w:b/>
          <w:bCs/>
          <w:sz w:val="22"/>
          <w:szCs w:val="22"/>
        </w:rPr>
        <w:t>Table S</w:t>
      </w:r>
      <w:r>
        <w:rPr>
          <w:rFonts w:hint="default" w:ascii="Times New Roman" w:hAnsi="Times New Roman" w:cs="Times New Roman"/>
          <w:b/>
          <w:bCs/>
          <w:sz w:val="22"/>
          <w:szCs w:val="22"/>
        </w:rPr>
        <w:fldChar w:fldCharType="begin"/>
      </w:r>
      <w:r>
        <w:rPr>
          <w:rFonts w:hint="default" w:ascii="Times New Roman" w:hAnsi="Times New Roman" w:cs="Times New Roman"/>
          <w:b/>
          <w:bCs/>
          <w:sz w:val="22"/>
          <w:szCs w:val="22"/>
        </w:rPr>
        <w:instrText xml:space="preserve"> SEQ Table \* ARABIC </w:instrText>
      </w:r>
      <w:r>
        <w:rPr>
          <w:rFonts w:hint="default" w:ascii="Times New Roman" w:hAnsi="Times New Roman" w:cs="Times New Roman"/>
          <w:b/>
          <w:bCs/>
          <w:sz w:val="22"/>
          <w:szCs w:val="22"/>
        </w:rPr>
        <w:fldChar w:fldCharType="separate"/>
      </w:r>
      <w:r>
        <w:rPr>
          <w:rFonts w:hint="default" w:ascii="Times New Roman" w:hAnsi="Times New Roman" w:cs="Times New Roman"/>
          <w:b/>
          <w:bCs/>
          <w:sz w:val="22"/>
          <w:szCs w:val="22"/>
        </w:rPr>
        <w:t>1</w:t>
      </w:r>
      <w:r>
        <w:rPr>
          <w:rFonts w:hint="default" w:ascii="Times New Roman" w:hAnsi="Times New Roman" w:cs="Times New Roman"/>
          <w:b/>
          <w:bCs/>
          <w:sz w:val="22"/>
          <w:szCs w:val="22"/>
        </w:rPr>
        <w:fldChar w:fldCharType="end"/>
      </w:r>
      <w:r>
        <w:rPr>
          <w:rFonts w:hint="default" w:ascii="Times New Roman" w:hAnsi="Times New Roman" w:cs="Times New Roman"/>
          <w:b/>
          <w:bCs/>
          <w:sz w:val="22"/>
          <w:szCs w:val="22"/>
        </w:rPr>
        <w:t xml:space="preserve"> </w:t>
      </w:r>
      <w:r>
        <w:rPr>
          <w:rFonts w:hint="default" w:ascii="Times New Roman" w:hAnsi="Times New Roman" w:cs="Times New Roman"/>
          <w:sz w:val="22"/>
          <w:szCs w:val="22"/>
        </w:rPr>
        <w:t>Detailed search strategy for each database</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10306"/>
      </w:tblGrid>
      <w:tr w14:paraId="68ADE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62" w:type="dxa"/>
            <w:gridSpan w:val="2"/>
            <w:shd w:val="clear" w:color="auto" w:fill="E7E6E6" w:themeFill="background2"/>
          </w:tcPr>
          <w:p w14:paraId="74DD4BB2">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2"/>
                <w:szCs w:val="22"/>
              </w:rPr>
            </w:pPr>
            <w:r>
              <w:rPr>
                <w:rFonts w:hint="default" w:ascii="Times New Roman" w:hAnsi="Times New Roman" w:cs="Times New Roman"/>
                <w:sz w:val="22"/>
                <w:szCs w:val="22"/>
              </w:rPr>
              <w:t>Pubmed</w:t>
            </w:r>
          </w:p>
        </w:tc>
      </w:tr>
      <w:tr w14:paraId="4D297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6FB86D0B">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#1</w:t>
            </w:r>
          </w:p>
        </w:tc>
        <w:tc>
          <w:tcPr>
            <w:tcW w:w="10306" w:type="dxa"/>
          </w:tcPr>
          <w:p w14:paraId="113C30D1">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"athlet*"[Title/Abstract] OR "college athlet*"[Title/Abstract] OR "elite athlete*"[Title/Abstract] OR "professional athlet*"[Title/Abstract] OR "sportman"[Title/Abstract] OR "sportmen"[Title/Abstract] OR "sports playe*"[Title/Abstract] OR "sportsman"[Title/Abstract] OR "sportsmen"[Title/Abstract] OR "sportspeople"[Title/Abstract] OR "sportsperso*"[Title/Abstract] OR "sportsplayers"[Title/Abstract] OR "sportswoman"[Title/Abstract] OR "sportswomen"[Title/Abstract] OR "sportwomen"[Title/Abstract]</w:t>
            </w:r>
          </w:p>
        </w:tc>
      </w:tr>
      <w:tr w14:paraId="427C3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4A0B47C8">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#2</w:t>
            </w:r>
          </w:p>
        </w:tc>
        <w:tc>
          <w:tcPr>
            <w:tcW w:w="10306" w:type="dxa"/>
          </w:tcPr>
          <w:p w14:paraId="2DCD928F">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"athletes"[MeSH Terms]</w:t>
            </w:r>
          </w:p>
        </w:tc>
      </w:tr>
      <w:tr w14:paraId="4F352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3224948E">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#3</w:t>
            </w:r>
          </w:p>
        </w:tc>
        <w:tc>
          <w:tcPr>
            <w:tcW w:w="10306" w:type="dxa"/>
          </w:tcPr>
          <w:p w14:paraId="4063C97A">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"anti oxidant effec*"[Title/Abstract] OR "Antioxidant Activity"[Title/Abstract] OR "antioxidant agent"[Title/Abstract] OR "antioxidant effec*"[Title/Abstract] OR "antioxidant nutrient"[Title/Abstract] OR "antioxidation agent"[Title/Abstract] OR "antioxidative"[Title/Abstract] OR "antoxidant"[Title/Abstract] OR "endogenous antioxidan*"[Title/Abstract] OR "phenolic antioxidant"[Title/Abstract]</w:t>
            </w:r>
          </w:p>
        </w:tc>
      </w:tr>
      <w:tr w14:paraId="56F7A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455FDF3D">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#4</w:t>
            </w:r>
          </w:p>
        </w:tc>
        <w:tc>
          <w:tcPr>
            <w:tcW w:w="10306" w:type="dxa"/>
          </w:tcPr>
          <w:p w14:paraId="0A04031A">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"antioxidants"[MeSH Terms]</w:t>
            </w:r>
          </w:p>
        </w:tc>
      </w:tr>
      <w:tr w14:paraId="4397A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7669EACF">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#5</w:t>
            </w:r>
          </w:p>
        </w:tc>
        <w:tc>
          <w:tcPr>
            <w:tcW w:w="10306" w:type="dxa"/>
          </w:tcPr>
          <w:p w14:paraId="58620647">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"diet additive"[Title/Abstract] OR "diet supplement"[Title/Abstract] OR "dietary supplemen*"[Title/Abstract] OR "food supplemen*"[Title/Abstract] OR "herbal supplemen*"[Title/Abstract] OR "neutraceutica*"[Title/Abstract] OR "nutraceutica*"[Title/Abstract] OR "nutriceutica*"[Title/Abstract] OR "supplementary diet"[Title/Abstract]</w:t>
            </w:r>
          </w:p>
        </w:tc>
      </w:tr>
      <w:tr w14:paraId="1E4A2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2CFC3363">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#6</w:t>
            </w:r>
          </w:p>
        </w:tc>
        <w:tc>
          <w:tcPr>
            <w:tcW w:w="10306" w:type="dxa"/>
          </w:tcPr>
          <w:p w14:paraId="624C2592">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"dietary supplements"[MeSH Terms]</w:t>
            </w:r>
          </w:p>
        </w:tc>
      </w:tr>
      <w:tr w14:paraId="26D87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1E9087C4">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#7</w:t>
            </w:r>
          </w:p>
        </w:tc>
        <w:tc>
          <w:tcPr>
            <w:tcW w:w="10306" w:type="dxa"/>
          </w:tcPr>
          <w:p w14:paraId="29B52EFD">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(#1 OR #2) AND (#3 OR #4) AND (#5 OR #6)</w:t>
            </w:r>
          </w:p>
        </w:tc>
      </w:tr>
      <w:tr w14:paraId="6404E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584DDD3C">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#9</w:t>
            </w:r>
          </w:p>
        </w:tc>
        <w:tc>
          <w:tcPr>
            <w:tcW w:w="10306" w:type="dxa"/>
          </w:tcPr>
          <w:p w14:paraId="3E2D1ED7">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(#1 OR #2) AND (#3 OR #4) AND (#5 OR #6) AND "randomizedcontrolledtrial"[Filter]</w:t>
            </w:r>
          </w:p>
        </w:tc>
      </w:tr>
      <w:tr w14:paraId="1204D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62" w:type="dxa"/>
            <w:gridSpan w:val="2"/>
            <w:shd w:val="clear" w:color="auto" w:fill="E7E6E6" w:themeFill="background2"/>
          </w:tcPr>
          <w:p w14:paraId="7E4401C5">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2"/>
                <w:szCs w:val="22"/>
              </w:rPr>
            </w:pPr>
            <w:r>
              <w:rPr>
                <w:rFonts w:hint="default" w:ascii="Times New Roman" w:hAnsi="Times New Roman" w:cs="Times New Roman"/>
                <w:sz w:val="22"/>
                <w:szCs w:val="22"/>
              </w:rPr>
              <w:t>Scopus</w:t>
            </w:r>
          </w:p>
        </w:tc>
      </w:tr>
      <w:tr w14:paraId="21DCE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2C0B02F9">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#1</w:t>
            </w:r>
          </w:p>
        </w:tc>
        <w:tc>
          <w:tcPr>
            <w:tcW w:w="10306" w:type="dxa"/>
          </w:tcPr>
          <w:p w14:paraId="3D7DE592">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(ALL (athlet) OR TITLE-ABS-KEY (college AND athlet) OR TITLE-ABS-KEY (elite AND athlete) OR TITLE-ABS-KEY (professional AND athlet) OR TITLE-ABS-KEY (sportman) OR TITLE-ABS-KEY (sportmen) OR TITLE-ABS-KEY (sports AND playe) OR TITLE-ABS-KEY (sportsman) OR TITLE-ABS-KEY (sportsmen) OR TITLE-ABS-KEY (sportspeople) OR TITLE-ABS-KEY (sportsperso) OR TITLE-ABS-KEY (sportsplayers) OR TITLE-ABS-KEY (sportswoman) OR TITLE-ABS-KEY (sportswomen) OR TITLE-ABS-KEY (sportwomen))</w:t>
            </w:r>
          </w:p>
        </w:tc>
      </w:tr>
      <w:tr w14:paraId="3B249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3299F0B0">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#2</w:t>
            </w:r>
          </w:p>
        </w:tc>
        <w:tc>
          <w:tcPr>
            <w:tcW w:w="10306" w:type="dxa"/>
          </w:tcPr>
          <w:p w14:paraId="56B36488">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ALL (athletes)</w:t>
            </w:r>
          </w:p>
        </w:tc>
      </w:tr>
      <w:tr w14:paraId="0CC1D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050290C7">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#3</w:t>
            </w:r>
          </w:p>
        </w:tc>
        <w:tc>
          <w:tcPr>
            <w:tcW w:w="10306" w:type="dxa"/>
          </w:tcPr>
          <w:p w14:paraId="4E78D64B">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(TITLE-ABS-KEY ("anti oxidant effect") OR TITLE-ABS-KEY (antioxidant AND activity) OR TITLE-ABS-KEY (antioxidant AND agent) OR TITLE-ABS-KEY (antioxidant AND effect) OR TITLE-ABS-KEY ('antioxidant AND nutrient') OR TITLE-ABS-KEY ('antioxidation AND agent') OR TITLE-ABS-KEY ('antioxidation AND product') OR TITLE-ABS-KEY ('antioxidative') OR TITLE-ABS-KEY (antioxidant) OR TITLE-ABS-KEY ('endogenous AND antioxidan') OR TITLE-ABS-KEY ('phenolic AND antioxidant'))</w:t>
            </w:r>
          </w:p>
        </w:tc>
      </w:tr>
      <w:tr w14:paraId="1082F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036EBACA">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#4</w:t>
            </w:r>
          </w:p>
        </w:tc>
        <w:tc>
          <w:tcPr>
            <w:tcW w:w="10306" w:type="dxa"/>
          </w:tcPr>
          <w:p w14:paraId="4A0081DE">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ALL (antioxidants)</w:t>
            </w:r>
          </w:p>
        </w:tc>
      </w:tr>
      <w:tr w14:paraId="10BF3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0BE85CBB">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#5</w:t>
            </w:r>
          </w:p>
        </w:tc>
        <w:tc>
          <w:tcPr>
            <w:tcW w:w="10306" w:type="dxa"/>
          </w:tcPr>
          <w:p w14:paraId="6C3A3990">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(TITLE-ABS-KEY ('diet AND additive') OR TITLE-ABS-KEY ('diet AND supplement') OR TITLE-ABS-KEY ("dietary supplemen") OR TITLE-ABS-KEY ("food supplemen") OR TITLE-ABS-KEY (herbal AND supplemen) OR TITLE-ABS-KEY (neutraceutica) OR TITLE-ABS-KEY (nutraceutica) OR TITLE-ABS-KEY (nutriceutica) OR TITLE-ABS-KEY (supplementary AND diet))</w:t>
            </w:r>
          </w:p>
        </w:tc>
      </w:tr>
      <w:tr w14:paraId="7FC2D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136EB5FB">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#6</w:t>
            </w:r>
          </w:p>
        </w:tc>
        <w:tc>
          <w:tcPr>
            <w:tcW w:w="10306" w:type="dxa"/>
          </w:tcPr>
          <w:p w14:paraId="19482512">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ALL (dietary AND supplements)</w:t>
            </w:r>
          </w:p>
        </w:tc>
      </w:tr>
      <w:tr w14:paraId="599F9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6FC8513F">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#7</w:t>
            </w:r>
          </w:p>
        </w:tc>
        <w:tc>
          <w:tcPr>
            <w:tcW w:w="10306" w:type="dxa"/>
          </w:tcPr>
          <w:p w14:paraId="72E1C06A">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 ( ( ALL ( athlet ) OR TITLE-ABS-KEY ( college AND athlet ) OR TITLE-ABS-KEY ( elite AND athlete ) OR TITLE-ABS-KEY ( professional AND athlet ) OR TITLE-ABS-KEY ( sportman ) OR TITLE-ABS-KEY ( sportmen ) OR TITLE-ABS-KEY ( sports AND playe ) OR TITLE-ABS-KEY ( sportsman ) OR TITLE-ABS-KEY ( sportsmen ) OR TITLE-ABS-KEY ( sportspeople ) OR TITLE-ABS-KEY ( sportsperso ) OR TITLE-ABS-KEY ( sportsplayers ) OR TITLE-ABS-KEY ( sportswoman ) OR TITLE-ABS-KEY ( sportswomen ) OR TITLE-ABS-KEY ( sportwomen ) ) ) OR ( ALL ( athletes ) ) ) AND ( ( ( TITLE-ABS-KEY ( "anti oxidant effect" ) OR TITLE-ABS-KEY ( antioxidant AND activity ) OR TITLE-ABS-KEY ( antioxidant AND agent ) OR TITLE-ABS-KEY ( antioxidant AND effect ) OR TITLE-ABS-KEY ( 'antioxidant AND nutrient' ) OR TITLE-ABS-KEY ( 'antioxidation AND agent' ) OR TITLE-ABS-KEY ( 'antioxidation AND product' ) OR TITLE-ABS-KEY ( 'antioxidative' ) OR TITLE-ABS-KEY ( antoxidant ) OR TITLE-ABS-KEY ( 'endogenous AND antioxidan' ) OR TITLE-ABS-KEY ( 'phenolic AND antioxidant' ) ) ) OR ( ALL ( antioxidants ) ) ) AND ( ( ( TITLE-ABS-KEY ( 'diet AND additive' ) OR TITLE-ABS-KEY ( 'diet AND supplement' ) OR TITLE-ABS-KEY ( "dietary supplemen" ) OR TITLE-ABS-KEY ( "food supplemen" ) OR TITLE-ABS-KEY ( herbal AND supplemen ) OR TITLE-ABS-KEY ( neutraceutica ) OR TITLE-ABS-KEY ( nutraceutica ) OR TITLE-ABS-KEY ( nutriceutica ) OR TITLE-ABS-KEY ( supplementary AND diet ) ) ) OR ( ALL ( dietary AND supplements ) ) )</w:t>
            </w:r>
          </w:p>
        </w:tc>
      </w:tr>
      <w:tr w14:paraId="4B2BF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62" w:type="dxa"/>
            <w:gridSpan w:val="2"/>
            <w:shd w:val="clear" w:color="auto" w:fill="E7E6E6" w:themeFill="background2"/>
          </w:tcPr>
          <w:p w14:paraId="5028E026">
            <w:pPr>
              <w:keepNext w:val="0"/>
              <w:keepLines w:val="0"/>
              <w:suppressLineNumbers w:val="0"/>
              <w:spacing w:before="0" w:beforeAutospacing="0" w:after="0" w:afterAutospacing="0" w:line="360" w:lineRule="auto"/>
              <w:ind w:left="0" w:right="0"/>
              <w:jc w:val="center"/>
              <w:rPr>
                <w:rFonts w:hint="default" w:ascii="Times New Roman" w:hAnsi="Times New Roman" w:cs="Times New Roman"/>
                <w:sz w:val="22"/>
                <w:szCs w:val="22"/>
              </w:rPr>
            </w:pPr>
            <w:r>
              <w:rPr>
                <w:rFonts w:hint="default" w:ascii="Times New Roman" w:hAnsi="Times New Roman" w:cs="Times New Roman"/>
                <w:sz w:val="22"/>
                <w:szCs w:val="22"/>
              </w:rPr>
              <w:t>Web of Science (WOS)</w:t>
            </w:r>
          </w:p>
        </w:tc>
      </w:tr>
      <w:tr w14:paraId="44435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1B1B40EC">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#1</w:t>
            </w:r>
          </w:p>
        </w:tc>
        <w:tc>
          <w:tcPr>
            <w:tcW w:w="10306" w:type="dxa"/>
          </w:tcPr>
          <w:p w14:paraId="7F964E36">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(TI=(("Athlet*") OR ("College Athlet*") OR ("Elite Athlete*") OR ("Professional Athlet*") OR ("sportman") OR ("sportmen") OR ("sports playe*") OR ("sportsman") OR ("sportsmen") OR ("sportspeople") OR ("sportsperso*") OR ("sportsplayers") OR ("sportswoman") OR ("sportswomen") OR ("Sportwomen")) OR AB=(("Athlet*") OR ("College Athlet*") OR ("Elite Athlete*") OR ("Professional Athlet*") OR ("sportman") OR ("sportmen") OR ("sports playe*") OR ("sportsman") OR ("sportsmen") OR ("sportspeople") OR ("sportsperso*") OR ("sportsplayers") OR ("sportswoman") OR ("sportswomen") OR ("Sportwomen")) OR AK=(("Athlet*") OR ("College Athlet*") OR ("Elite Athlete*") OR ("Professional Athlet*") OR ("sportman") OR ("sportmen") OR ("sports playe*") OR ("sportsman") OR ("sportsmen") OR ("sportspeople") OR ("sportsperso*") OR ("sportsplayers") OR ("sportswoman") OR ("sportswomen") OR ("Sportwomen"))) AND (TI=(("Anti Oxidant Effec*") OR ("Antioxidant Activity") OR ("antioxidant agent") OR ("AntiOxidant Effec*") OR ("antioxidant nutrient") OR ("antioxidation agent") OR ("antioxidation product") OR ("antioxidative") OR ("antoxidant") OR ("Endogenous Antioxidan*") OR ("phenolic antioxidant")) OR AB=(("Anti Oxidant Effec*") OR ("Antioxidant Activity") OR ("antioxidant agent") OR ("AntiOxidant Effec*") OR ("antioxidant nutrient") OR ("antioxidation agent") OR ("antioxidation product") OR ("antioxidative") OR ("antoxidant") OR ("Endogenous Antioxidan*") OR ("phenolic antioxidant")) OR AK=(("Anti Oxidant Effec*") OR ("Antioxidant Activity") OR ("antioxidant agent") OR ("AntiOxidant Effec*") OR ("antioxidant nutrient") OR ("antioxidation agent") OR ("antioxidation product") OR ("antioxidative") OR ("antoxidant") OR ("Endogenous Antioxidan*") OR ("phenolic antioxidant"))) AND (TI=(("diet additive") OR ("diet supplement") OR ("Dietary Supplemen*") OR ("Food Supplemen*") OR ("Herbal Supplemen*") OR ("Neutraceutica*") OR ("Nutraceutica*") OR ("Nutriceutica*") OR ("supplementary diet")) OR AB=(("diet additive") OR ("diet supplement") OR ("Dietary Supplemen*") OR ("Food Supplemen*") OR ("Herbal Supplemen*") OR ("Neutraceutica*") OR ("Nutraceutica*") OR ("Nutriceutica*") OR ("supplementary diet")) OR AK=(("diet additive") OR ("diet supplement") OR ("Dietary Supplemen*") OR ("Food Supplemen*") OR ("Herbal Supplemen*") OR ("Neutraceutica*") OR ("Nutraceutica*") OR ("Nutriceutica*") OR ("supplementary diet"))) and Preprint Citation Index (Exclude – Database)</w:t>
            </w:r>
            <w:r>
              <w:rPr>
                <w:rFonts w:hint="default" w:ascii="Times New Roman" w:hAnsi="Times New Roman" w:eastAsia="宋体" w:cs="Times New Roman"/>
                <w:color w:val="000000"/>
                <w:kern w:val="0"/>
                <w:sz w:val="22"/>
                <w:szCs w:val="22"/>
                <w14:ligatures w14:val="none"/>
              </w:rPr>
              <w:tab/>
            </w:r>
            <w:r>
              <w:rPr>
                <w:rFonts w:hint="default" w:ascii="Times New Roman" w:hAnsi="Times New Roman" w:eastAsia="宋体" w:cs="Times New Roman"/>
                <w:color w:val="000000"/>
                <w:kern w:val="0"/>
                <w:sz w:val="22"/>
                <w:szCs w:val="22"/>
                <w14:ligatures w14:val="none"/>
              </w:rPr>
              <w:tab/>
            </w:r>
            <w:r>
              <w:rPr>
                <w:rFonts w:hint="default" w:ascii="Times New Roman" w:hAnsi="Times New Roman" w:eastAsia="宋体" w:cs="Times New Roman"/>
                <w:color w:val="000000"/>
                <w:kern w:val="0"/>
                <w:sz w:val="22"/>
                <w:szCs w:val="22"/>
                <w14:ligatures w14:val="none"/>
              </w:rPr>
              <w:tab/>
            </w:r>
          </w:p>
        </w:tc>
      </w:tr>
      <w:tr w14:paraId="2280A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62" w:type="dxa"/>
            <w:gridSpan w:val="2"/>
            <w:shd w:val="clear" w:color="auto" w:fill="E7E6E6" w:themeFill="background2"/>
          </w:tcPr>
          <w:p w14:paraId="501075B6">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Cochrane Library</w:t>
            </w:r>
          </w:p>
        </w:tc>
      </w:tr>
      <w:tr w14:paraId="7936D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1EA4257D">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#1</w:t>
            </w:r>
          </w:p>
        </w:tc>
        <w:tc>
          <w:tcPr>
            <w:tcW w:w="10306" w:type="dxa"/>
          </w:tcPr>
          <w:p w14:paraId="1A3EE07D">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('Athlet*' OR 'College Athlet*' OR 'Elite Athlete*' OR 'Professional Athlet*' OR 'sportman' OR 'sportmen' OR 'sports playe*' OR 'sportsman' OR 'sportsmen' OR 'sportspeople' OR 'sportsperso*' OR 'sportsplayers' OR 'sportswoman' OR 'sportswomen' OR 'sportwomen'):ti,ab,kw</w:t>
            </w:r>
          </w:p>
        </w:tc>
      </w:tr>
      <w:tr w14:paraId="44A70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480D3C3B">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#2</w:t>
            </w:r>
          </w:p>
        </w:tc>
        <w:tc>
          <w:tcPr>
            <w:tcW w:w="10306" w:type="dxa"/>
          </w:tcPr>
          <w:p w14:paraId="3ECC74BB">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"Athlete"</w:t>
            </w:r>
          </w:p>
        </w:tc>
      </w:tr>
      <w:tr w14:paraId="13CDD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56BE6F4C">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#3</w:t>
            </w:r>
          </w:p>
        </w:tc>
        <w:tc>
          <w:tcPr>
            <w:tcW w:w="10306" w:type="dxa"/>
          </w:tcPr>
          <w:p w14:paraId="62C0A6DA">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('Anti Oxidant Effec*' OR 'Antioxidant Activity' OR 'antioxidant agent' OR 'AntiOxidant Effec*' OR 'antioxidant nutrient' OR 'antioxidation agent' OR 'antioxidation product' OR 'antioxidative' OR 'antoxidant' OR 'Endogenous Antioxidan*' OR 'phenolic antioxidant'):ti,ab,kw</w:t>
            </w:r>
          </w:p>
        </w:tc>
      </w:tr>
      <w:tr w14:paraId="07640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5AB58B79">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#4</w:t>
            </w:r>
          </w:p>
        </w:tc>
        <w:tc>
          <w:tcPr>
            <w:tcW w:w="10306" w:type="dxa"/>
          </w:tcPr>
          <w:p w14:paraId="01B4927A">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"Antioxidants"</w:t>
            </w:r>
          </w:p>
        </w:tc>
      </w:tr>
      <w:tr w14:paraId="33909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24504880">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#5</w:t>
            </w:r>
          </w:p>
        </w:tc>
        <w:tc>
          <w:tcPr>
            <w:tcW w:w="10306" w:type="dxa"/>
          </w:tcPr>
          <w:p w14:paraId="36FA18A7">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('diet additive' OR 'diet supplement' OR 'Dietary Supplemen*' OR 'Food Supplemen*' OR 'Herbal Supplemen*' OR 'Neutraceutica*' OR 'Nutraceutica*' OR 'Nutriceutica*' OR 'supplementary diet'):ti,ab,kw</w:t>
            </w:r>
          </w:p>
        </w:tc>
      </w:tr>
      <w:tr w14:paraId="02979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4D2A9584">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#6</w:t>
            </w:r>
          </w:p>
        </w:tc>
        <w:tc>
          <w:tcPr>
            <w:tcW w:w="10306" w:type="dxa"/>
          </w:tcPr>
          <w:p w14:paraId="75B6D85E">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"Dietary Supplements"</w:t>
            </w:r>
          </w:p>
        </w:tc>
      </w:tr>
      <w:tr w14:paraId="5B483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0BCF7DED">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#7</w:t>
            </w:r>
          </w:p>
        </w:tc>
        <w:tc>
          <w:tcPr>
            <w:tcW w:w="10306" w:type="dxa"/>
          </w:tcPr>
          <w:p w14:paraId="321E9BB5">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(#1 OR #2) AND (#3 OR #4) AND (#5 OR #6)</w:t>
            </w:r>
          </w:p>
        </w:tc>
      </w:tr>
      <w:tr w14:paraId="7EEE1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62" w:type="dxa"/>
            <w:gridSpan w:val="2"/>
            <w:shd w:val="clear" w:color="auto" w:fill="E7E6E6" w:themeFill="background2"/>
          </w:tcPr>
          <w:p w14:paraId="03A8D488">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Embase</w:t>
            </w:r>
          </w:p>
        </w:tc>
      </w:tr>
      <w:tr w14:paraId="343D3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321C1775">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#1</w:t>
            </w:r>
          </w:p>
        </w:tc>
        <w:tc>
          <w:tcPr>
            <w:tcW w:w="10306" w:type="dxa"/>
          </w:tcPr>
          <w:p w14:paraId="7ABCB373">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'athlet*':ti,ab,kw OR 'college athlet*':ti,ab,kw OR 'elite athlete*':ti,ab,kw OR 'professional athlet*':ti,ab,kw OR 'sportman':ti,ab,kw OR 'sportmen':ti,ab,kw OR 'sports playe*':ti,ab,kw OR 'sportsman':ti,ab,kw OR 'sportsmen':ti,ab,kw OR 'sportspeople':ti,ab,kw OR 'sportsperso*':ti,ab,kw OR 'sportsplayers':ti,ab,kw OR 'sportswoman':ti,ab,kw OR 'sportswomen':ti,ab,kw OR 'sportwomen':ti,ab,kw</w:t>
            </w:r>
          </w:p>
        </w:tc>
      </w:tr>
      <w:tr w14:paraId="4D371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2C28958D">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#2</w:t>
            </w:r>
          </w:p>
        </w:tc>
        <w:tc>
          <w:tcPr>
            <w:tcW w:w="10306" w:type="dxa"/>
          </w:tcPr>
          <w:p w14:paraId="2BFE134C">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'athlete'/exp</w:t>
            </w:r>
          </w:p>
        </w:tc>
      </w:tr>
      <w:tr w14:paraId="4A913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54D2003A">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#3</w:t>
            </w:r>
          </w:p>
        </w:tc>
        <w:tc>
          <w:tcPr>
            <w:tcW w:w="10306" w:type="dxa"/>
          </w:tcPr>
          <w:p w14:paraId="175FA031">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'anti oxidant effec*':ti,ab,kw OR 'antioxidant activity':ti,ab,kw OR 'antioxidant agent':ti,ab,kw OR 'antioxidant effec*':ti,ab,kw OR 'antioxidant nutrient':ti,ab,kw OR 'antioxidation agent':ti,ab,kw OR 'antioxidation product':ti,ab,kw OR 'antioxidative':ti,ab,kw OR 'antoxidant':ti,ab,kw OR 'endogenous antioxidan*':ti,ab,kw OR 'phenolic antioxidant':ti,ab,kw</w:t>
            </w:r>
          </w:p>
        </w:tc>
      </w:tr>
      <w:tr w14:paraId="2A476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405B1BC4">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#4</w:t>
            </w:r>
          </w:p>
        </w:tc>
        <w:tc>
          <w:tcPr>
            <w:tcW w:w="10306" w:type="dxa"/>
          </w:tcPr>
          <w:p w14:paraId="0244F3BE">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'antioxidant'/exp</w:t>
            </w:r>
          </w:p>
        </w:tc>
      </w:tr>
      <w:tr w14:paraId="4EFAC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0FA2E425">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#5</w:t>
            </w:r>
          </w:p>
        </w:tc>
        <w:tc>
          <w:tcPr>
            <w:tcW w:w="10306" w:type="dxa"/>
          </w:tcPr>
          <w:p w14:paraId="77172BDD">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'diet additive':ti,ab,kw OR 'diet supplement':ti,ab,kw OR 'dietary supplemen*':ti,ab,kw OR 'food supplemen*':ti,ab,kw OR 'herbal supplemen*':ti,ab,kw OR 'neutraceutica*':ti,ab,kw OR 'nutraceutica*':ti,ab,kw OR 'nutriceutica*':ti,ab,kw OR 'supplementary diet':ti,ab,kw</w:t>
            </w:r>
          </w:p>
        </w:tc>
      </w:tr>
      <w:tr w14:paraId="0B25D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05D6A40E">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#6</w:t>
            </w:r>
          </w:p>
        </w:tc>
        <w:tc>
          <w:tcPr>
            <w:tcW w:w="10306" w:type="dxa"/>
          </w:tcPr>
          <w:p w14:paraId="16606596">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'dietary supplement'/exp</w:t>
            </w:r>
          </w:p>
        </w:tc>
      </w:tr>
      <w:tr w14:paraId="6ABEC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00229D0E">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#7</w:t>
            </w:r>
          </w:p>
        </w:tc>
        <w:tc>
          <w:tcPr>
            <w:tcW w:w="10306" w:type="dxa"/>
          </w:tcPr>
          <w:p w14:paraId="4AEFC0A8">
            <w:pPr>
              <w:keepNext w:val="0"/>
              <w:keepLines w:val="0"/>
              <w:widowControl/>
              <w:suppressLineNumbers w:val="0"/>
              <w:spacing w:before="0" w:beforeAutospacing="0" w:after="0" w:afterAutospacing="0" w:line="360" w:lineRule="auto"/>
              <w:ind w:left="0" w:right="0"/>
              <w:rPr>
                <w:rFonts w:hint="default" w:ascii="Times New Roman" w:hAnsi="Times New Roman" w:eastAsia="宋体" w:cs="Times New Roman"/>
                <w:color w:val="000000"/>
                <w:kern w:val="0"/>
                <w:sz w:val="22"/>
                <w:szCs w:val="22"/>
                <w14:ligatures w14:val="none"/>
              </w:rPr>
            </w:pPr>
            <w:r>
              <w:rPr>
                <w:rFonts w:hint="default" w:ascii="Times New Roman" w:hAnsi="Times New Roman" w:eastAsia="宋体" w:cs="Times New Roman"/>
                <w:color w:val="000000"/>
                <w:kern w:val="0"/>
                <w:sz w:val="22"/>
                <w:szCs w:val="22"/>
                <w14:ligatures w14:val="none"/>
              </w:rPr>
              <w:t>(#1 OR #2) AND (#3 OR #4) AND (#5 OR #6)</w:t>
            </w:r>
          </w:p>
        </w:tc>
      </w:tr>
    </w:tbl>
    <w:p w14:paraId="0A155DD7">
      <w:pPr>
        <w:widowControl/>
        <w:jc w:val="left"/>
        <w:rPr>
          <w:rFonts w:hint="default" w:ascii="Times New Roman" w:hAnsi="Times New Roman" w:cs="Times New Roman"/>
          <w:sz w:val="22"/>
          <w:szCs w:val="22"/>
        </w:rPr>
        <w:sectPr>
          <w:pgSz w:w="11906" w:h="16838"/>
          <w:pgMar w:top="567" w:right="567" w:bottom="567" w:left="567" w:header="851" w:footer="992" w:gutter="0"/>
          <w:cols w:space="425" w:num="1"/>
          <w:docGrid w:type="linesAndChars" w:linePitch="312" w:charSpace="0"/>
        </w:sectPr>
      </w:pPr>
    </w:p>
    <w:p w14:paraId="0D1E0A2F">
      <w:pPr>
        <w:pStyle w:val="11"/>
        <w:keepNext/>
        <w:jc w:val="both"/>
        <w:rPr>
          <w:rFonts w:hint="default" w:ascii="Times New Roman" w:hAnsi="Times New Roman" w:cs="Times New Roman"/>
          <w:sz w:val="22"/>
          <w:szCs w:val="22"/>
        </w:rPr>
      </w:pPr>
      <w:r>
        <w:rPr>
          <w:rFonts w:hint="default" w:ascii="Times New Roman" w:hAnsi="Times New Roman" w:cs="Times New Roman"/>
          <w:b/>
          <w:bCs/>
          <w:sz w:val="22"/>
          <w:szCs w:val="22"/>
        </w:rPr>
        <w:t xml:space="preserve">Table S2 </w:t>
      </w:r>
      <w:r>
        <w:rPr>
          <w:rFonts w:hint="default" w:ascii="Times New Roman" w:hAnsi="Times New Roman" w:cs="Times New Roman"/>
          <w:sz w:val="22"/>
          <w:szCs w:val="22"/>
        </w:rPr>
        <w:t xml:space="preserve">Basic characteristics of included studies. </w:t>
      </w:r>
    </w:p>
    <w:tbl>
      <w:tblPr>
        <w:tblStyle w:val="16"/>
        <w:tblW w:w="5000" w:type="pct"/>
        <w:tblInd w:w="0" w:type="dxa"/>
        <w:tblLayout w:type="autofit"/>
        <w:tblCellMar>
          <w:top w:w="0" w:type="dxa"/>
          <w:left w:w="108" w:type="dxa"/>
          <w:bottom w:w="0" w:type="dxa"/>
          <w:right w:w="108" w:type="dxa"/>
        </w:tblCellMar>
      </w:tblPr>
      <w:tblGrid>
        <w:gridCol w:w="1551"/>
        <w:gridCol w:w="2526"/>
        <w:gridCol w:w="2222"/>
        <w:gridCol w:w="1038"/>
        <w:gridCol w:w="1243"/>
        <w:gridCol w:w="1365"/>
        <w:gridCol w:w="1438"/>
        <w:gridCol w:w="1514"/>
        <w:gridCol w:w="2269"/>
        <w:gridCol w:w="1819"/>
        <w:gridCol w:w="3282"/>
        <w:gridCol w:w="1526"/>
        <w:gridCol w:w="1100"/>
      </w:tblGrid>
      <w:tr w14:paraId="102D33CD">
        <w:tblPrEx>
          <w:tblCellMar>
            <w:top w:w="0" w:type="dxa"/>
            <w:left w:w="108" w:type="dxa"/>
            <w:bottom w:w="0" w:type="dxa"/>
            <w:right w:w="108" w:type="dxa"/>
          </w:tblCellMar>
        </w:tblPrEx>
        <w:trPr>
          <w:trHeight w:val="20" w:hRule="atLeast"/>
        </w:trPr>
        <w:tc>
          <w:tcPr>
            <w:tcW w:w="338" w:type="pct"/>
            <w:tcBorders>
              <w:top w:val="single" w:color="auto" w:sz="8" w:space="0"/>
              <w:left w:val="nil"/>
              <w:bottom w:val="single" w:color="auto" w:sz="8" w:space="0"/>
              <w:right w:val="nil"/>
            </w:tcBorders>
            <w:shd w:val="clear" w:color="000000" w:fill="FFFFFF"/>
            <w:vAlign w:val="center"/>
          </w:tcPr>
          <w:p w14:paraId="1C2664F4">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等线" w:cs="Times New Roman"/>
                <w:b/>
                <w:bCs/>
                <w:color w:val="000000"/>
                <w:kern w:val="0"/>
                <w:sz w:val="22"/>
                <w:szCs w:val="22"/>
                <w14:ligatures w14:val="none"/>
              </w:rPr>
            </w:pPr>
            <w:bookmarkStart w:id="0" w:name="_Hlk199096958"/>
            <w:r>
              <w:rPr>
                <w:rFonts w:hint="default" w:ascii="Times New Roman" w:hAnsi="Times New Roman" w:eastAsia="等线" w:cs="Times New Roman"/>
                <w:b/>
                <w:bCs/>
                <w:color w:val="000000"/>
                <w:kern w:val="0"/>
                <w:sz w:val="22"/>
                <w:szCs w:val="22"/>
                <w14:ligatures w14:val="none"/>
              </w:rPr>
              <w:t>Author/Year</w:t>
            </w:r>
          </w:p>
        </w:tc>
        <w:tc>
          <w:tcPr>
            <w:tcW w:w="551" w:type="pct"/>
            <w:tcBorders>
              <w:top w:val="single" w:color="auto" w:sz="8" w:space="0"/>
              <w:left w:val="nil"/>
              <w:bottom w:val="single" w:color="auto" w:sz="8" w:space="0"/>
              <w:right w:val="nil"/>
            </w:tcBorders>
            <w:shd w:val="clear" w:color="000000" w:fill="FFFFFF"/>
            <w:vAlign w:val="center"/>
          </w:tcPr>
          <w:p w14:paraId="07FB9DAA">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等线" w:cs="Times New Roman"/>
                <w:b/>
                <w:bCs/>
                <w:color w:val="000000"/>
                <w:kern w:val="0"/>
                <w:sz w:val="22"/>
                <w:szCs w:val="22"/>
                <w14:ligatures w14:val="none"/>
              </w:rPr>
            </w:pPr>
            <w:r>
              <w:rPr>
                <w:rFonts w:hint="default" w:ascii="Times New Roman" w:hAnsi="Times New Roman" w:eastAsia="等线" w:cs="Times New Roman"/>
                <w:b/>
                <w:bCs/>
                <w:color w:val="000000"/>
                <w:kern w:val="0"/>
                <w:sz w:val="22"/>
                <w:szCs w:val="22"/>
                <w14:ligatures w14:val="none"/>
              </w:rPr>
              <w:t>Intervention Measures</w:t>
            </w:r>
          </w:p>
        </w:tc>
        <w:tc>
          <w:tcPr>
            <w:tcW w:w="485" w:type="pct"/>
            <w:tcBorders>
              <w:top w:val="single" w:color="auto" w:sz="8" w:space="0"/>
              <w:left w:val="nil"/>
              <w:bottom w:val="single" w:color="auto" w:sz="8" w:space="0"/>
              <w:right w:val="nil"/>
            </w:tcBorders>
            <w:shd w:val="clear" w:color="000000" w:fill="FFFFFF"/>
            <w:vAlign w:val="center"/>
          </w:tcPr>
          <w:p w14:paraId="5BD5E501">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等线" w:cs="Times New Roman"/>
                <w:b/>
                <w:bCs/>
                <w:color w:val="000000"/>
                <w:kern w:val="0"/>
                <w:sz w:val="22"/>
                <w:szCs w:val="22"/>
                <w14:ligatures w14:val="none"/>
              </w:rPr>
            </w:pPr>
            <w:r>
              <w:rPr>
                <w:rFonts w:hint="default" w:ascii="Times New Roman" w:hAnsi="Times New Roman" w:eastAsia="等线" w:cs="Times New Roman"/>
                <w:b/>
                <w:bCs/>
                <w:color w:val="000000"/>
                <w:kern w:val="0"/>
                <w:sz w:val="22"/>
                <w:szCs w:val="22"/>
                <w14:ligatures w14:val="none"/>
              </w:rPr>
              <w:t>Dose</w:t>
            </w:r>
          </w:p>
        </w:tc>
        <w:tc>
          <w:tcPr>
            <w:tcW w:w="226" w:type="pct"/>
            <w:tcBorders>
              <w:top w:val="single" w:color="auto" w:sz="8" w:space="0"/>
              <w:left w:val="nil"/>
              <w:bottom w:val="single" w:color="auto" w:sz="8" w:space="0"/>
              <w:right w:val="nil"/>
            </w:tcBorders>
            <w:shd w:val="clear" w:color="000000" w:fill="FFFFFF"/>
            <w:vAlign w:val="center"/>
          </w:tcPr>
          <w:p w14:paraId="5ADC3F00">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等线" w:cs="Times New Roman"/>
                <w:b/>
                <w:bCs/>
                <w:color w:val="000000"/>
                <w:kern w:val="0"/>
                <w:sz w:val="22"/>
                <w:szCs w:val="22"/>
                <w14:ligatures w14:val="none"/>
              </w:rPr>
            </w:pPr>
            <w:r>
              <w:rPr>
                <w:rFonts w:hint="default" w:ascii="Times New Roman" w:hAnsi="Times New Roman" w:eastAsia="等线" w:cs="Times New Roman"/>
                <w:b/>
                <w:bCs/>
                <w:color w:val="000000"/>
                <w:kern w:val="0"/>
                <w:sz w:val="22"/>
                <w:szCs w:val="22"/>
                <w14:ligatures w14:val="none"/>
              </w:rPr>
              <w:t>Region</w:t>
            </w:r>
          </w:p>
        </w:tc>
        <w:tc>
          <w:tcPr>
            <w:tcW w:w="271" w:type="pct"/>
            <w:tcBorders>
              <w:top w:val="single" w:color="auto" w:sz="8" w:space="0"/>
              <w:left w:val="nil"/>
              <w:bottom w:val="single" w:color="auto" w:sz="8" w:space="0"/>
              <w:right w:val="nil"/>
            </w:tcBorders>
            <w:shd w:val="clear" w:color="000000" w:fill="FFFFFF"/>
            <w:vAlign w:val="center"/>
          </w:tcPr>
          <w:p w14:paraId="4E69BE56">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等线" w:cs="Times New Roman"/>
                <w:b/>
                <w:bCs/>
                <w:color w:val="000000"/>
                <w:kern w:val="0"/>
                <w:sz w:val="22"/>
                <w:szCs w:val="22"/>
                <w14:ligatures w14:val="none"/>
              </w:rPr>
            </w:pPr>
            <w:r>
              <w:rPr>
                <w:rFonts w:hint="default" w:ascii="Times New Roman" w:hAnsi="Times New Roman" w:eastAsia="等线" w:cs="Times New Roman"/>
                <w:b/>
                <w:bCs/>
                <w:color w:val="000000"/>
                <w:kern w:val="0"/>
                <w:sz w:val="22"/>
                <w:szCs w:val="22"/>
                <w14:ligatures w14:val="none"/>
              </w:rPr>
              <w:t>Continents</w:t>
            </w:r>
          </w:p>
        </w:tc>
        <w:tc>
          <w:tcPr>
            <w:tcW w:w="298" w:type="pct"/>
            <w:tcBorders>
              <w:top w:val="single" w:color="auto" w:sz="8" w:space="0"/>
              <w:left w:val="nil"/>
              <w:bottom w:val="single" w:color="auto" w:sz="8" w:space="0"/>
              <w:right w:val="nil"/>
            </w:tcBorders>
            <w:shd w:val="clear" w:color="000000" w:fill="FFFFFF"/>
            <w:vAlign w:val="center"/>
          </w:tcPr>
          <w:p w14:paraId="49B7D331">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等线" w:cs="Times New Roman"/>
                <w:b/>
                <w:bCs/>
                <w:color w:val="000000"/>
                <w:kern w:val="0"/>
                <w:sz w:val="22"/>
                <w:szCs w:val="22"/>
                <w14:ligatures w14:val="none"/>
              </w:rPr>
            </w:pPr>
            <w:r>
              <w:rPr>
                <w:rFonts w:hint="default" w:ascii="Times New Roman" w:hAnsi="Times New Roman" w:eastAsia="等线" w:cs="Times New Roman"/>
                <w:b/>
                <w:bCs/>
                <w:color w:val="000000"/>
                <w:kern w:val="0"/>
                <w:sz w:val="22"/>
                <w:szCs w:val="22"/>
                <w14:ligatures w14:val="none"/>
              </w:rPr>
              <w:t>Number of Participants</w:t>
            </w:r>
          </w:p>
        </w:tc>
        <w:tc>
          <w:tcPr>
            <w:tcW w:w="314" w:type="pct"/>
            <w:tcBorders>
              <w:top w:val="single" w:color="auto" w:sz="8" w:space="0"/>
              <w:left w:val="nil"/>
              <w:bottom w:val="single" w:color="auto" w:sz="8" w:space="0"/>
              <w:right w:val="nil"/>
            </w:tcBorders>
            <w:shd w:val="clear" w:color="000000" w:fill="FFFFFF"/>
            <w:vAlign w:val="center"/>
          </w:tcPr>
          <w:p w14:paraId="2C2DD27F">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等线" w:cs="Times New Roman"/>
                <w:b/>
                <w:bCs/>
                <w:color w:val="000000"/>
                <w:kern w:val="0"/>
                <w:sz w:val="22"/>
                <w:szCs w:val="22"/>
                <w14:ligatures w14:val="none"/>
              </w:rPr>
            </w:pPr>
            <w:r>
              <w:rPr>
                <w:rFonts w:hint="default" w:ascii="Times New Roman" w:hAnsi="Times New Roman" w:eastAsia="等线" w:cs="Times New Roman"/>
                <w:b/>
                <w:bCs/>
                <w:color w:val="000000"/>
                <w:kern w:val="0"/>
                <w:sz w:val="22"/>
                <w:szCs w:val="22"/>
                <w14:ligatures w14:val="none"/>
              </w:rPr>
              <w:t>Male/Female</w:t>
            </w:r>
          </w:p>
        </w:tc>
        <w:tc>
          <w:tcPr>
            <w:tcW w:w="330" w:type="pct"/>
            <w:tcBorders>
              <w:top w:val="single" w:color="auto" w:sz="8" w:space="0"/>
              <w:left w:val="nil"/>
              <w:bottom w:val="single" w:color="auto" w:sz="8" w:space="0"/>
              <w:right w:val="nil"/>
            </w:tcBorders>
            <w:shd w:val="clear" w:color="000000" w:fill="FFFFFF"/>
            <w:vAlign w:val="center"/>
          </w:tcPr>
          <w:p w14:paraId="6292CE9A">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等线" w:cs="Times New Roman"/>
                <w:b/>
                <w:bCs/>
                <w:color w:val="000000"/>
                <w:kern w:val="0"/>
                <w:sz w:val="22"/>
                <w:szCs w:val="22"/>
                <w14:ligatures w14:val="none"/>
              </w:rPr>
            </w:pPr>
            <w:r>
              <w:rPr>
                <w:rFonts w:hint="default" w:ascii="Times New Roman" w:hAnsi="Times New Roman" w:eastAsia="等线" w:cs="Times New Roman"/>
                <w:b/>
                <w:bCs/>
                <w:color w:val="000000"/>
                <w:kern w:val="0"/>
                <w:sz w:val="22"/>
                <w:szCs w:val="22"/>
                <w14:ligatures w14:val="none"/>
              </w:rPr>
              <w:t>Athlete Type</w:t>
            </w:r>
          </w:p>
        </w:tc>
        <w:tc>
          <w:tcPr>
            <w:tcW w:w="495" w:type="pct"/>
            <w:tcBorders>
              <w:top w:val="single" w:color="auto" w:sz="8" w:space="0"/>
              <w:left w:val="nil"/>
              <w:bottom w:val="single" w:color="auto" w:sz="8" w:space="0"/>
              <w:right w:val="nil"/>
            </w:tcBorders>
            <w:shd w:val="clear" w:color="000000" w:fill="FFFFFF"/>
            <w:vAlign w:val="center"/>
          </w:tcPr>
          <w:p w14:paraId="350CE641">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等线" w:cs="Times New Roman"/>
                <w:b/>
                <w:bCs/>
                <w:color w:val="000000"/>
                <w:kern w:val="0"/>
                <w:sz w:val="22"/>
                <w:szCs w:val="22"/>
                <w14:ligatures w14:val="none"/>
              </w:rPr>
            </w:pPr>
            <w:r>
              <w:rPr>
                <w:rFonts w:hint="default" w:ascii="Times New Roman" w:hAnsi="Times New Roman" w:eastAsia="等线" w:cs="Times New Roman"/>
                <w:b/>
                <w:bCs/>
                <w:color w:val="000000"/>
                <w:kern w:val="0"/>
                <w:sz w:val="22"/>
                <w:szCs w:val="22"/>
                <w14:ligatures w14:val="none"/>
              </w:rPr>
              <w:t>Professional/Amateur</w:t>
            </w:r>
          </w:p>
        </w:tc>
        <w:tc>
          <w:tcPr>
            <w:tcW w:w="397" w:type="pct"/>
            <w:tcBorders>
              <w:top w:val="single" w:color="auto" w:sz="8" w:space="0"/>
              <w:left w:val="nil"/>
              <w:bottom w:val="single" w:color="auto" w:sz="8" w:space="0"/>
              <w:right w:val="nil"/>
            </w:tcBorders>
            <w:shd w:val="clear" w:color="000000" w:fill="FFFFFF"/>
            <w:vAlign w:val="center"/>
          </w:tcPr>
          <w:p w14:paraId="4AEA0C33">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等线" w:cs="Times New Roman"/>
                <w:b/>
                <w:bCs/>
                <w:color w:val="000000"/>
                <w:kern w:val="0"/>
                <w:sz w:val="22"/>
                <w:szCs w:val="22"/>
                <w14:ligatures w14:val="none"/>
              </w:rPr>
            </w:pPr>
            <w:r>
              <w:rPr>
                <w:rFonts w:hint="default" w:ascii="Times New Roman" w:hAnsi="Times New Roman" w:eastAsia="等线" w:cs="Times New Roman"/>
                <w:b/>
                <w:bCs/>
                <w:color w:val="000000"/>
                <w:kern w:val="0"/>
                <w:sz w:val="22"/>
                <w:szCs w:val="22"/>
                <w14:ligatures w14:val="none"/>
              </w:rPr>
              <w:t>Supplementation Duration</w:t>
            </w:r>
          </w:p>
        </w:tc>
        <w:tc>
          <w:tcPr>
            <w:tcW w:w="716" w:type="pct"/>
            <w:tcBorders>
              <w:top w:val="single" w:color="auto" w:sz="8" w:space="0"/>
              <w:left w:val="nil"/>
              <w:bottom w:val="single" w:color="auto" w:sz="8" w:space="0"/>
              <w:right w:val="nil"/>
            </w:tcBorders>
            <w:shd w:val="clear" w:color="000000" w:fill="FFFFFF"/>
            <w:vAlign w:val="center"/>
          </w:tcPr>
          <w:p w14:paraId="0FE2F066">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等线" w:cs="Times New Roman"/>
                <w:b/>
                <w:bCs/>
                <w:color w:val="000000"/>
                <w:kern w:val="0"/>
                <w:sz w:val="22"/>
                <w:szCs w:val="22"/>
                <w14:ligatures w14:val="none"/>
              </w:rPr>
            </w:pPr>
            <w:r>
              <w:rPr>
                <w:rFonts w:hint="default" w:ascii="Times New Roman" w:hAnsi="Times New Roman" w:eastAsia="等线" w:cs="Times New Roman"/>
                <w:b/>
                <w:bCs/>
                <w:color w:val="000000"/>
                <w:kern w:val="0"/>
                <w:sz w:val="22"/>
                <w:szCs w:val="22"/>
                <w14:ligatures w14:val="none"/>
              </w:rPr>
              <w:t>Average Age</w:t>
            </w:r>
          </w:p>
        </w:tc>
        <w:tc>
          <w:tcPr>
            <w:tcW w:w="333" w:type="pct"/>
            <w:tcBorders>
              <w:top w:val="single" w:color="auto" w:sz="8" w:space="0"/>
              <w:left w:val="nil"/>
              <w:bottom w:val="single" w:color="auto" w:sz="8" w:space="0"/>
              <w:right w:val="nil"/>
            </w:tcBorders>
            <w:shd w:val="clear" w:color="000000" w:fill="FFFFFF"/>
            <w:vAlign w:val="center"/>
          </w:tcPr>
          <w:p w14:paraId="51AF7380">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等线" w:cs="Times New Roman"/>
                <w:sz w:val="22"/>
                <w:szCs w:val="22"/>
              </w:rPr>
            </w:pPr>
            <w:r>
              <w:rPr>
                <w:rFonts w:hint="default" w:ascii="Times New Roman" w:hAnsi="Times New Roman" w:eastAsia="等线" w:cs="Times New Roman"/>
                <w:b/>
                <w:bCs/>
                <w:color w:val="000000"/>
                <w:kern w:val="0"/>
                <w:sz w:val="22"/>
                <w:szCs w:val="22"/>
                <w14:ligatures w14:val="none"/>
              </w:rPr>
              <w:t>Outcome</w:t>
            </w:r>
          </w:p>
        </w:tc>
        <w:tc>
          <w:tcPr>
            <w:tcW w:w="240" w:type="pct"/>
            <w:tcBorders>
              <w:top w:val="single" w:color="auto" w:sz="8" w:space="0"/>
              <w:left w:val="nil"/>
              <w:bottom w:val="single" w:color="auto" w:sz="8" w:space="0"/>
              <w:right w:val="nil"/>
            </w:tcBorders>
            <w:shd w:val="clear" w:color="auto" w:fill="auto"/>
            <w:vAlign w:val="center"/>
          </w:tcPr>
          <w:p w14:paraId="67AD1076">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等线" w:cs="Times New Roman"/>
                <w:b/>
                <w:bCs/>
                <w:color w:val="000000"/>
                <w:kern w:val="0"/>
                <w:sz w:val="22"/>
                <w:szCs w:val="22"/>
                <w14:ligatures w14:val="none"/>
              </w:rPr>
            </w:pPr>
            <w:r>
              <w:rPr>
                <w:rFonts w:hint="default" w:ascii="Times New Roman" w:hAnsi="Times New Roman" w:eastAsia="等线" w:cs="Times New Roman"/>
                <w:b/>
                <w:bCs/>
                <w:color w:val="000000"/>
                <w:kern w:val="0"/>
                <w:sz w:val="22"/>
                <w:szCs w:val="22"/>
                <w14:ligatures w14:val="none"/>
              </w:rPr>
              <w:t>Study design</w:t>
            </w:r>
          </w:p>
        </w:tc>
      </w:tr>
      <w:tr w14:paraId="483ADB77">
        <w:tblPrEx>
          <w:tblCellMar>
            <w:top w:w="0" w:type="dxa"/>
            <w:left w:w="108" w:type="dxa"/>
            <w:bottom w:w="0" w:type="dxa"/>
            <w:right w:w="108" w:type="dxa"/>
          </w:tblCellMar>
        </w:tblPrEx>
        <w:trPr>
          <w:trHeight w:val="20" w:hRule="atLeast"/>
        </w:trPr>
        <w:tc>
          <w:tcPr>
            <w:tcW w:w="338" w:type="pct"/>
            <w:tcBorders>
              <w:top w:val="single" w:color="auto" w:sz="8" w:space="0"/>
              <w:left w:val="nil"/>
              <w:bottom w:val="nil"/>
              <w:right w:val="nil"/>
            </w:tcBorders>
            <w:shd w:val="clear" w:color="000000" w:fill="FFFFFF"/>
            <w:vAlign w:val="center"/>
          </w:tcPr>
          <w:p w14:paraId="31290289">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Schröder 2000</w:t>
            </w:r>
          </w:p>
        </w:tc>
        <w:tc>
          <w:tcPr>
            <w:tcW w:w="551" w:type="pct"/>
            <w:tcBorders>
              <w:top w:val="single" w:color="auto" w:sz="8" w:space="0"/>
              <w:left w:val="nil"/>
              <w:bottom w:val="nil"/>
              <w:right w:val="nil"/>
            </w:tcBorders>
            <w:shd w:val="clear" w:color="000000" w:fill="FFFFFF"/>
            <w:vAlign w:val="center"/>
          </w:tcPr>
          <w:p w14:paraId="0D530B0E">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Vitamin C + Vitamin E + Beta-Carotene</w:t>
            </w:r>
          </w:p>
        </w:tc>
        <w:tc>
          <w:tcPr>
            <w:tcW w:w="485" w:type="pct"/>
            <w:tcBorders>
              <w:top w:val="single" w:color="auto" w:sz="8" w:space="0"/>
              <w:left w:val="nil"/>
              <w:bottom w:val="nil"/>
              <w:right w:val="nil"/>
            </w:tcBorders>
            <w:shd w:val="clear" w:color="000000" w:fill="FFFFFF"/>
          </w:tcPr>
          <w:p w14:paraId="3DB83F16">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Four times a day, 150mg of vitamin E+250mg of vitamin C+8mg of beta carotene each time (total dose: 600mg of E+1000mg of C+32mg of beta carotene/d), lasting for 32 days.</w:t>
            </w:r>
          </w:p>
        </w:tc>
        <w:tc>
          <w:tcPr>
            <w:tcW w:w="226" w:type="pct"/>
            <w:tcBorders>
              <w:top w:val="single" w:color="auto" w:sz="8" w:space="0"/>
              <w:left w:val="nil"/>
              <w:bottom w:val="nil"/>
              <w:right w:val="nil"/>
            </w:tcBorders>
            <w:shd w:val="clear" w:color="000000" w:fill="FFFFFF"/>
            <w:vAlign w:val="center"/>
          </w:tcPr>
          <w:p w14:paraId="45DBBDED">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Spain</w:t>
            </w:r>
          </w:p>
        </w:tc>
        <w:tc>
          <w:tcPr>
            <w:tcW w:w="271" w:type="pct"/>
            <w:tcBorders>
              <w:top w:val="single" w:color="auto" w:sz="8" w:space="0"/>
              <w:left w:val="nil"/>
              <w:bottom w:val="nil"/>
              <w:right w:val="nil"/>
            </w:tcBorders>
            <w:shd w:val="clear" w:color="000000" w:fill="FFFFFF"/>
            <w:vAlign w:val="center"/>
          </w:tcPr>
          <w:p w14:paraId="1A11FC86">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Europe</w:t>
            </w:r>
          </w:p>
        </w:tc>
        <w:tc>
          <w:tcPr>
            <w:tcW w:w="298" w:type="pct"/>
            <w:tcBorders>
              <w:top w:val="single" w:color="auto" w:sz="8" w:space="0"/>
              <w:left w:val="nil"/>
              <w:bottom w:val="nil"/>
              <w:right w:val="nil"/>
            </w:tcBorders>
            <w:shd w:val="clear" w:color="000000" w:fill="FFFFFF"/>
            <w:vAlign w:val="center"/>
          </w:tcPr>
          <w:p w14:paraId="3F1168D6">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16</w:t>
            </w:r>
          </w:p>
        </w:tc>
        <w:tc>
          <w:tcPr>
            <w:tcW w:w="314" w:type="pct"/>
            <w:tcBorders>
              <w:top w:val="single" w:color="auto" w:sz="8" w:space="0"/>
              <w:left w:val="nil"/>
              <w:bottom w:val="nil"/>
              <w:right w:val="nil"/>
            </w:tcBorders>
            <w:shd w:val="clear" w:color="000000" w:fill="FFFFFF"/>
            <w:vAlign w:val="center"/>
          </w:tcPr>
          <w:p w14:paraId="19EFB083">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16/0</w:t>
            </w:r>
          </w:p>
        </w:tc>
        <w:tc>
          <w:tcPr>
            <w:tcW w:w="330" w:type="pct"/>
            <w:tcBorders>
              <w:top w:val="single" w:color="auto" w:sz="8" w:space="0"/>
              <w:left w:val="nil"/>
              <w:bottom w:val="nil"/>
              <w:right w:val="nil"/>
            </w:tcBorders>
            <w:shd w:val="clear" w:color="000000" w:fill="FFFFFF"/>
            <w:vAlign w:val="center"/>
          </w:tcPr>
          <w:p w14:paraId="66819858">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Basketball player</w:t>
            </w:r>
          </w:p>
        </w:tc>
        <w:tc>
          <w:tcPr>
            <w:tcW w:w="495" w:type="pct"/>
            <w:tcBorders>
              <w:top w:val="single" w:color="auto" w:sz="8" w:space="0"/>
              <w:left w:val="nil"/>
              <w:bottom w:val="nil"/>
              <w:right w:val="nil"/>
            </w:tcBorders>
            <w:shd w:val="clear" w:color="000000" w:fill="FFFFFF"/>
            <w:vAlign w:val="center"/>
          </w:tcPr>
          <w:p w14:paraId="14BE4D33">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Professional</w:t>
            </w:r>
          </w:p>
        </w:tc>
        <w:tc>
          <w:tcPr>
            <w:tcW w:w="397" w:type="pct"/>
            <w:tcBorders>
              <w:top w:val="single" w:color="auto" w:sz="8" w:space="0"/>
              <w:left w:val="nil"/>
              <w:bottom w:val="nil"/>
              <w:right w:val="nil"/>
            </w:tcBorders>
            <w:shd w:val="clear" w:color="000000" w:fill="FFFFFF"/>
            <w:vAlign w:val="center"/>
          </w:tcPr>
          <w:p w14:paraId="63A46036">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32 days</w:t>
            </w:r>
          </w:p>
        </w:tc>
        <w:tc>
          <w:tcPr>
            <w:tcW w:w="716" w:type="pct"/>
            <w:tcBorders>
              <w:top w:val="single" w:color="auto" w:sz="8" w:space="0"/>
              <w:left w:val="nil"/>
              <w:bottom w:val="nil"/>
              <w:right w:val="nil"/>
            </w:tcBorders>
            <w:shd w:val="clear" w:color="000000" w:fill="FFFFFF"/>
            <w:vAlign w:val="center"/>
          </w:tcPr>
          <w:p w14:paraId="340BEAC8">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 xml:space="preserve">23.45 ± 3.56 </w:t>
            </w:r>
          </w:p>
        </w:tc>
        <w:tc>
          <w:tcPr>
            <w:tcW w:w="333" w:type="pct"/>
            <w:tcBorders>
              <w:top w:val="single" w:color="auto" w:sz="8" w:space="0"/>
              <w:left w:val="nil"/>
              <w:bottom w:val="nil"/>
              <w:right w:val="nil"/>
            </w:tcBorders>
            <w:shd w:val="clear" w:color="000000" w:fill="FFFFFF"/>
            <w:vAlign w:val="center"/>
          </w:tcPr>
          <w:p w14:paraId="32638270">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cs="Times New Roman"/>
                <w:sz w:val="22"/>
                <w:szCs w:val="22"/>
              </w:rPr>
              <w:t>①</w:t>
            </w:r>
          </w:p>
        </w:tc>
        <w:tc>
          <w:tcPr>
            <w:tcW w:w="240" w:type="pct"/>
            <w:tcBorders>
              <w:top w:val="single" w:color="auto" w:sz="8" w:space="0"/>
              <w:left w:val="nil"/>
              <w:bottom w:val="nil"/>
              <w:right w:val="nil"/>
            </w:tcBorders>
            <w:shd w:val="clear" w:color="auto" w:fill="auto"/>
            <w:vAlign w:val="center"/>
          </w:tcPr>
          <w:p w14:paraId="1D6DD7E5">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Parallel RCT</w:t>
            </w:r>
          </w:p>
        </w:tc>
      </w:tr>
      <w:tr w14:paraId="6807D4E0">
        <w:tblPrEx>
          <w:tblCellMar>
            <w:top w:w="0" w:type="dxa"/>
            <w:left w:w="108" w:type="dxa"/>
            <w:bottom w:w="0" w:type="dxa"/>
            <w:right w:w="108" w:type="dxa"/>
          </w:tblCellMar>
        </w:tblPrEx>
        <w:trPr>
          <w:trHeight w:val="20" w:hRule="atLeast"/>
        </w:trPr>
        <w:tc>
          <w:tcPr>
            <w:tcW w:w="338" w:type="pct"/>
            <w:tcBorders>
              <w:top w:val="nil"/>
              <w:left w:val="nil"/>
              <w:bottom w:val="nil"/>
              <w:right w:val="nil"/>
            </w:tcBorders>
            <w:shd w:val="clear" w:color="000000" w:fill="FFFFFF"/>
            <w:vAlign w:val="center"/>
          </w:tcPr>
          <w:p w14:paraId="57E2A638">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Pilaczynska-Szczesniak 2005</w:t>
            </w:r>
          </w:p>
        </w:tc>
        <w:tc>
          <w:tcPr>
            <w:tcW w:w="551" w:type="pct"/>
            <w:tcBorders>
              <w:top w:val="nil"/>
              <w:left w:val="nil"/>
              <w:bottom w:val="nil"/>
              <w:right w:val="nil"/>
            </w:tcBorders>
            <w:shd w:val="clear" w:color="000000" w:fill="FFFFFF"/>
            <w:vAlign w:val="center"/>
          </w:tcPr>
          <w:p w14:paraId="2D0FAA02">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Anthocyanins</w:t>
            </w:r>
          </w:p>
        </w:tc>
        <w:tc>
          <w:tcPr>
            <w:tcW w:w="485" w:type="pct"/>
            <w:tcBorders>
              <w:top w:val="nil"/>
              <w:left w:val="nil"/>
              <w:bottom w:val="nil"/>
              <w:right w:val="nil"/>
            </w:tcBorders>
            <w:shd w:val="clear" w:color="000000" w:fill="FFFFFF"/>
          </w:tcPr>
          <w:p w14:paraId="6F31DD90">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Total 150 mL/d, containing 23 mg/100 mL anthocyanin</w:t>
            </w:r>
          </w:p>
        </w:tc>
        <w:tc>
          <w:tcPr>
            <w:tcW w:w="226" w:type="pct"/>
            <w:tcBorders>
              <w:top w:val="nil"/>
              <w:left w:val="nil"/>
              <w:bottom w:val="nil"/>
              <w:right w:val="nil"/>
            </w:tcBorders>
            <w:shd w:val="clear" w:color="000000" w:fill="FFFFFF"/>
            <w:vAlign w:val="center"/>
          </w:tcPr>
          <w:p w14:paraId="4CF9DC47">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Poland</w:t>
            </w:r>
          </w:p>
        </w:tc>
        <w:tc>
          <w:tcPr>
            <w:tcW w:w="271" w:type="pct"/>
            <w:tcBorders>
              <w:top w:val="nil"/>
              <w:left w:val="nil"/>
              <w:bottom w:val="nil"/>
              <w:right w:val="nil"/>
            </w:tcBorders>
            <w:shd w:val="clear" w:color="000000" w:fill="FFFFFF"/>
            <w:vAlign w:val="center"/>
          </w:tcPr>
          <w:p w14:paraId="2884698F">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Europe</w:t>
            </w:r>
          </w:p>
        </w:tc>
        <w:tc>
          <w:tcPr>
            <w:tcW w:w="298" w:type="pct"/>
            <w:tcBorders>
              <w:top w:val="nil"/>
              <w:left w:val="nil"/>
              <w:bottom w:val="nil"/>
              <w:right w:val="nil"/>
            </w:tcBorders>
            <w:shd w:val="clear" w:color="000000" w:fill="FFFFFF"/>
            <w:vAlign w:val="center"/>
          </w:tcPr>
          <w:p w14:paraId="7AD25DA6">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19</w:t>
            </w:r>
          </w:p>
        </w:tc>
        <w:tc>
          <w:tcPr>
            <w:tcW w:w="314" w:type="pct"/>
            <w:tcBorders>
              <w:top w:val="nil"/>
              <w:left w:val="nil"/>
              <w:bottom w:val="nil"/>
              <w:right w:val="nil"/>
            </w:tcBorders>
            <w:shd w:val="clear" w:color="000000" w:fill="FFFFFF"/>
            <w:vAlign w:val="center"/>
          </w:tcPr>
          <w:p w14:paraId="735FAD2D">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19/0</w:t>
            </w:r>
          </w:p>
        </w:tc>
        <w:tc>
          <w:tcPr>
            <w:tcW w:w="330" w:type="pct"/>
            <w:tcBorders>
              <w:top w:val="nil"/>
              <w:left w:val="nil"/>
              <w:bottom w:val="nil"/>
              <w:right w:val="nil"/>
            </w:tcBorders>
            <w:shd w:val="clear" w:color="000000" w:fill="FFFFFF"/>
            <w:vAlign w:val="center"/>
          </w:tcPr>
          <w:p w14:paraId="298DE2AA">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Rower</w:t>
            </w:r>
          </w:p>
        </w:tc>
        <w:tc>
          <w:tcPr>
            <w:tcW w:w="495" w:type="pct"/>
            <w:tcBorders>
              <w:top w:val="nil"/>
              <w:left w:val="nil"/>
              <w:bottom w:val="nil"/>
              <w:right w:val="nil"/>
            </w:tcBorders>
            <w:shd w:val="clear" w:color="000000" w:fill="FFFFFF"/>
            <w:vAlign w:val="center"/>
          </w:tcPr>
          <w:p w14:paraId="433D54F2">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Professional</w:t>
            </w:r>
          </w:p>
        </w:tc>
        <w:tc>
          <w:tcPr>
            <w:tcW w:w="397" w:type="pct"/>
            <w:tcBorders>
              <w:top w:val="nil"/>
              <w:left w:val="nil"/>
              <w:bottom w:val="nil"/>
              <w:right w:val="nil"/>
            </w:tcBorders>
            <w:shd w:val="clear" w:color="000000" w:fill="FFFFFF"/>
            <w:vAlign w:val="center"/>
          </w:tcPr>
          <w:p w14:paraId="22F0A2CE">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28 days</w:t>
            </w:r>
          </w:p>
        </w:tc>
        <w:tc>
          <w:tcPr>
            <w:tcW w:w="716" w:type="pct"/>
            <w:tcBorders>
              <w:top w:val="nil"/>
              <w:left w:val="nil"/>
              <w:bottom w:val="nil"/>
              <w:right w:val="nil"/>
            </w:tcBorders>
            <w:shd w:val="clear" w:color="000000" w:fill="FFFFFF"/>
            <w:vAlign w:val="center"/>
          </w:tcPr>
          <w:p w14:paraId="04A278FA">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21 ± 0.8/</w:t>
            </w:r>
            <w:r>
              <w:rPr>
                <w:rFonts w:hint="default" w:ascii="Times New Roman" w:hAnsi="Times New Roman" w:cs="Times New Roman"/>
                <w:sz w:val="22"/>
                <w:szCs w:val="22"/>
              </w:rPr>
              <w:t xml:space="preserve"> </w:t>
            </w:r>
            <w:r>
              <w:rPr>
                <w:rFonts w:hint="default" w:ascii="Times New Roman" w:hAnsi="Times New Roman" w:eastAsia="等线" w:cs="Times New Roman"/>
                <w:color w:val="000000"/>
                <w:kern w:val="0"/>
                <w:sz w:val="22"/>
                <w:szCs w:val="22"/>
                <w14:ligatures w14:val="none"/>
              </w:rPr>
              <w:t>22 ± 1.7</w:t>
            </w:r>
          </w:p>
        </w:tc>
        <w:tc>
          <w:tcPr>
            <w:tcW w:w="333" w:type="pct"/>
            <w:tcBorders>
              <w:top w:val="nil"/>
              <w:left w:val="nil"/>
              <w:bottom w:val="nil"/>
              <w:right w:val="nil"/>
            </w:tcBorders>
            <w:shd w:val="clear" w:color="000000" w:fill="FFFFFF"/>
            <w:vAlign w:val="center"/>
          </w:tcPr>
          <w:p w14:paraId="402E4F86">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③④⑤⑨</w:t>
            </w:r>
          </w:p>
        </w:tc>
        <w:tc>
          <w:tcPr>
            <w:tcW w:w="240" w:type="pct"/>
            <w:tcBorders>
              <w:top w:val="nil"/>
              <w:left w:val="nil"/>
              <w:bottom w:val="nil"/>
              <w:right w:val="nil"/>
            </w:tcBorders>
            <w:shd w:val="clear" w:color="auto" w:fill="auto"/>
            <w:vAlign w:val="center"/>
          </w:tcPr>
          <w:p w14:paraId="263C69F1">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Parallel RCT</w:t>
            </w:r>
          </w:p>
        </w:tc>
      </w:tr>
      <w:tr w14:paraId="5BDDEDC6">
        <w:tblPrEx>
          <w:tblCellMar>
            <w:top w:w="0" w:type="dxa"/>
            <w:left w:w="108" w:type="dxa"/>
            <w:bottom w:w="0" w:type="dxa"/>
            <w:right w:w="108" w:type="dxa"/>
          </w:tblCellMar>
        </w:tblPrEx>
        <w:trPr>
          <w:trHeight w:val="20" w:hRule="atLeast"/>
        </w:trPr>
        <w:tc>
          <w:tcPr>
            <w:tcW w:w="338" w:type="pct"/>
            <w:tcBorders>
              <w:top w:val="nil"/>
              <w:left w:val="nil"/>
              <w:bottom w:val="nil"/>
              <w:right w:val="nil"/>
            </w:tcBorders>
            <w:shd w:val="clear" w:color="000000" w:fill="FFFFFF"/>
            <w:vAlign w:val="center"/>
          </w:tcPr>
          <w:p w14:paraId="0F7E8F36">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Tauler 2006</w:t>
            </w:r>
          </w:p>
        </w:tc>
        <w:tc>
          <w:tcPr>
            <w:tcW w:w="551" w:type="pct"/>
            <w:tcBorders>
              <w:top w:val="nil"/>
              <w:left w:val="nil"/>
              <w:bottom w:val="nil"/>
              <w:right w:val="nil"/>
            </w:tcBorders>
            <w:shd w:val="clear" w:color="000000" w:fill="FFFFFF"/>
            <w:vAlign w:val="center"/>
          </w:tcPr>
          <w:p w14:paraId="0548CB6F">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Vitamin C + Vitamin E + Beta-Carotene</w:t>
            </w:r>
          </w:p>
        </w:tc>
        <w:tc>
          <w:tcPr>
            <w:tcW w:w="485" w:type="pct"/>
            <w:tcBorders>
              <w:top w:val="nil"/>
              <w:left w:val="nil"/>
              <w:bottom w:val="nil"/>
              <w:right w:val="nil"/>
            </w:tcBorders>
            <w:shd w:val="clear" w:color="000000" w:fill="FFFFFF"/>
          </w:tcPr>
          <w:p w14:paraId="1AC3F998">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Take 2 capsules daily for 90 days (containing 250mg vitamin E+15mg β - carotene), and add 2 500mg vitamin C capsules for the last 15 days (total dose: 500mg E+30mg β - carotene+1g C/d).</w:t>
            </w:r>
          </w:p>
        </w:tc>
        <w:tc>
          <w:tcPr>
            <w:tcW w:w="226" w:type="pct"/>
            <w:tcBorders>
              <w:top w:val="nil"/>
              <w:left w:val="nil"/>
              <w:bottom w:val="nil"/>
              <w:right w:val="nil"/>
            </w:tcBorders>
            <w:shd w:val="clear" w:color="000000" w:fill="FFFFFF"/>
            <w:vAlign w:val="center"/>
          </w:tcPr>
          <w:p w14:paraId="54B1195F">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Spain</w:t>
            </w:r>
          </w:p>
        </w:tc>
        <w:tc>
          <w:tcPr>
            <w:tcW w:w="271" w:type="pct"/>
            <w:tcBorders>
              <w:top w:val="nil"/>
              <w:left w:val="nil"/>
              <w:bottom w:val="nil"/>
              <w:right w:val="nil"/>
            </w:tcBorders>
            <w:shd w:val="clear" w:color="000000" w:fill="FFFFFF"/>
            <w:vAlign w:val="center"/>
          </w:tcPr>
          <w:p w14:paraId="29272642">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Europe</w:t>
            </w:r>
          </w:p>
        </w:tc>
        <w:tc>
          <w:tcPr>
            <w:tcW w:w="298" w:type="pct"/>
            <w:tcBorders>
              <w:top w:val="nil"/>
              <w:left w:val="nil"/>
              <w:bottom w:val="nil"/>
              <w:right w:val="nil"/>
            </w:tcBorders>
            <w:shd w:val="clear" w:color="000000" w:fill="FFFFFF"/>
            <w:vAlign w:val="center"/>
          </w:tcPr>
          <w:p w14:paraId="5DF37629">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15</w:t>
            </w:r>
          </w:p>
        </w:tc>
        <w:tc>
          <w:tcPr>
            <w:tcW w:w="314" w:type="pct"/>
            <w:tcBorders>
              <w:top w:val="nil"/>
              <w:left w:val="nil"/>
              <w:bottom w:val="nil"/>
              <w:right w:val="nil"/>
            </w:tcBorders>
            <w:shd w:val="clear" w:color="000000" w:fill="FFFFFF"/>
            <w:vAlign w:val="center"/>
          </w:tcPr>
          <w:p w14:paraId="6008E7F9">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15/0</w:t>
            </w:r>
          </w:p>
        </w:tc>
        <w:tc>
          <w:tcPr>
            <w:tcW w:w="330" w:type="pct"/>
            <w:tcBorders>
              <w:top w:val="nil"/>
              <w:left w:val="nil"/>
              <w:bottom w:val="nil"/>
              <w:right w:val="nil"/>
            </w:tcBorders>
            <w:shd w:val="clear" w:color="000000" w:fill="FFFFFF"/>
            <w:vAlign w:val="center"/>
          </w:tcPr>
          <w:p w14:paraId="4146B415">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3 cyclists, 12 triathletes</w:t>
            </w:r>
          </w:p>
        </w:tc>
        <w:tc>
          <w:tcPr>
            <w:tcW w:w="495" w:type="pct"/>
            <w:tcBorders>
              <w:top w:val="nil"/>
              <w:left w:val="nil"/>
              <w:bottom w:val="nil"/>
              <w:right w:val="nil"/>
            </w:tcBorders>
            <w:shd w:val="clear" w:color="000000" w:fill="FFFFFF"/>
            <w:vAlign w:val="center"/>
          </w:tcPr>
          <w:p w14:paraId="507769B0">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Amateur</w:t>
            </w:r>
          </w:p>
        </w:tc>
        <w:tc>
          <w:tcPr>
            <w:tcW w:w="397" w:type="pct"/>
            <w:tcBorders>
              <w:top w:val="nil"/>
              <w:left w:val="nil"/>
              <w:bottom w:val="nil"/>
              <w:right w:val="nil"/>
            </w:tcBorders>
            <w:shd w:val="clear" w:color="000000" w:fill="FFFFFF"/>
            <w:vAlign w:val="center"/>
          </w:tcPr>
          <w:p w14:paraId="101E5989">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105 days</w:t>
            </w:r>
          </w:p>
        </w:tc>
        <w:tc>
          <w:tcPr>
            <w:tcW w:w="716" w:type="pct"/>
            <w:tcBorders>
              <w:top w:val="nil"/>
              <w:left w:val="nil"/>
              <w:bottom w:val="nil"/>
              <w:right w:val="nil"/>
            </w:tcBorders>
            <w:shd w:val="clear" w:color="000000" w:fill="FFFFFF"/>
            <w:vAlign w:val="center"/>
          </w:tcPr>
          <w:p w14:paraId="775D9304">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23.3±2.0</w:t>
            </w:r>
          </w:p>
        </w:tc>
        <w:tc>
          <w:tcPr>
            <w:tcW w:w="333" w:type="pct"/>
            <w:tcBorders>
              <w:top w:val="nil"/>
              <w:left w:val="nil"/>
              <w:bottom w:val="nil"/>
              <w:right w:val="nil"/>
            </w:tcBorders>
            <w:shd w:val="clear" w:color="000000" w:fill="FFFFFF"/>
            <w:vAlign w:val="center"/>
          </w:tcPr>
          <w:p w14:paraId="5EB88162">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③④</w:t>
            </w:r>
          </w:p>
        </w:tc>
        <w:tc>
          <w:tcPr>
            <w:tcW w:w="240" w:type="pct"/>
            <w:tcBorders>
              <w:top w:val="nil"/>
              <w:left w:val="nil"/>
              <w:bottom w:val="nil"/>
              <w:right w:val="nil"/>
            </w:tcBorders>
            <w:shd w:val="clear" w:color="auto" w:fill="auto"/>
            <w:vAlign w:val="center"/>
          </w:tcPr>
          <w:p w14:paraId="355247B6">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Parallel RCT</w:t>
            </w:r>
          </w:p>
        </w:tc>
      </w:tr>
      <w:tr w14:paraId="0A9AB856">
        <w:tblPrEx>
          <w:tblCellMar>
            <w:top w:w="0" w:type="dxa"/>
            <w:left w:w="108" w:type="dxa"/>
            <w:bottom w:w="0" w:type="dxa"/>
            <w:right w:w="108" w:type="dxa"/>
          </w:tblCellMar>
        </w:tblPrEx>
        <w:trPr>
          <w:trHeight w:val="20" w:hRule="atLeast"/>
        </w:trPr>
        <w:tc>
          <w:tcPr>
            <w:tcW w:w="338" w:type="pct"/>
            <w:tcBorders>
              <w:top w:val="nil"/>
              <w:left w:val="nil"/>
              <w:bottom w:val="nil"/>
              <w:right w:val="nil"/>
            </w:tcBorders>
            <w:shd w:val="clear" w:color="000000" w:fill="FFFFFF"/>
            <w:vAlign w:val="center"/>
          </w:tcPr>
          <w:p w14:paraId="596158D6">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Aguilo 2007</w:t>
            </w:r>
          </w:p>
        </w:tc>
        <w:tc>
          <w:tcPr>
            <w:tcW w:w="551" w:type="pct"/>
            <w:tcBorders>
              <w:top w:val="nil"/>
              <w:left w:val="nil"/>
              <w:bottom w:val="nil"/>
              <w:right w:val="nil"/>
            </w:tcBorders>
            <w:shd w:val="clear" w:color="000000" w:fill="FFFFFF"/>
            <w:vAlign w:val="center"/>
          </w:tcPr>
          <w:p w14:paraId="0699EF80">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Vitamin E + Beta-Carotene</w:t>
            </w:r>
          </w:p>
        </w:tc>
        <w:tc>
          <w:tcPr>
            <w:tcW w:w="485" w:type="pct"/>
            <w:tcBorders>
              <w:top w:val="nil"/>
              <w:left w:val="nil"/>
              <w:bottom w:val="nil"/>
              <w:right w:val="nil"/>
            </w:tcBorders>
            <w:shd w:val="clear" w:color="000000" w:fill="FFFFFF"/>
          </w:tcPr>
          <w:p w14:paraId="5A85A83D">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Each capsule contains 250 mg of vitamin E and 15 mg of beta-carotene</w:t>
            </w:r>
          </w:p>
        </w:tc>
        <w:tc>
          <w:tcPr>
            <w:tcW w:w="226" w:type="pct"/>
            <w:tcBorders>
              <w:top w:val="nil"/>
              <w:left w:val="nil"/>
              <w:bottom w:val="nil"/>
              <w:right w:val="nil"/>
            </w:tcBorders>
            <w:shd w:val="clear" w:color="000000" w:fill="FFFFFF"/>
            <w:vAlign w:val="center"/>
          </w:tcPr>
          <w:p w14:paraId="5494027A">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Spain</w:t>
            </w:r>
          </w:p>
        </w:tc>
        <w:tc>
          <w:tcPr>
            <w:tcW w:w="271" w:type="pct"/>
            <w:tcBorders>
              <w:top w:val="nil"/>
              <w:left w:val="nil"/>
              <w:bottom w:val="nil"/>
              <w:right w:val="nil"/>
            </w:tcBorders>
            <w:shd w:val="clear" w:color="000000" w:fill="FFFFFF"/>
            <w:vAlign w:val="center"/>
          </w:tcPr>
          <w:p w14:paraId="4D2FE5C0">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Europe</w:t>
            </w:r>
          </w:p>
        </w:tc>
        <w:tc>
          <w:tcPr>
            <w:tcW w:w="298" w:type="pct"/>
            <w:tcBorders>
              <w:top w:val="nil"/>
              <w:left w:val="nil"/>
              <w:bottom w:val="nil"/>
              <w:right w:val="nil"/>
            </w:tcBorders>
            <w:shd w:val="clear" w:color="000000" w:fill="FFFFFF"/>
            <w:vAlign w:val="center"/>
          </w:tcPr>
          <w:p w14:paraId="418DD203">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15</w:t>
            </w:r>
          </w:p>
        </w:tc>
        <w:tc>
          <w:tcPr>
            <w:tcW w:w="314" w:type="pct"/>
            <w:tcBorders>
              <w:top w:val="nil"/>
              <w:left w:val="nil"/>
              <w:bottom w:val="nil"/>
              <w:right w:val="nil"/>
            </w:tcBorders>
            <w:shd w:val="clear" w:color="000000" w:fill="FFFFFF"/>
            <w:vAlign w:val="center"/>
          </w:tcPr>
          <w:p w14:paraId="78BEA011">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15/0</w:t>
            </w:r>
          </w:p>
        </w:tc>
        <w:tc>
          <w:tcPr>
            <w:tcW w:w="330" w:type="pct"/>
            <w:tcBorders>
              <w:top w:val="nil"/>
              <w:left w:val="nil"/>
              <w:bottom w:val="nil"/>
              <w:right w:val="nil"/>
            </w:tcBorders>
            <w:shd w:val="clear" w:color="000000" w:fill="FFFFFF"/>
            <w:vAlign w:val="center"/>
          </w:tcPr>
          <w:p w14:paraId="440FAA5B">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3 cyclists, 12 athletes participating in the running and cycling biathlon</w:t>
            </w:r>
          </w:p>
        </w:tc>
        <w:tc>
          <w:tcPr>
            <w:tcW w:w="495" w:type="pct"/>
            <w:tcBorders>
              <w:top w:val="nil"/>
              <w:left w:val="nil"/>
              <w:bottom w:val="nil"/>
              <w:right w:val="nil"/>
            </w:tcBorders>
            <w:shd w:val="clear" w:color="000000" w:fill="FFFFFF"/>
            <w:vAlign w:val="center"/>
          </w:tcPr>
          <w:p w14:paraId="28073A67">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Amateur</w:t>
            </w:r>
          </w:p>
        </w:tc>
        <w:tc>
          <w:tcPr>
            <w:tcW w:w="397" w:type="pct"/>
            <w:tcBorders>
              <w:top w:val="nil"/>
              <w:left w:val="nil"/>
              <w:bottom w:val="nil"/>
              <w:right w:val="nil"/>
            </w:tcBorders>
            <w:shd w:val="clear" w:color="000000" w:fill="FFFFFF"/>
            <w:vAlign w:val="center"/>
          </w:tcPr>
          <w:p w14:paraId="385856FD">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90 days</w:t>
            </w:r>
          </w:p>
        </w:tc>
        <w:tc>
          <w:tcPr>
            <w:tcW w:w="716" w:type="pct"/>
            <w:tcBorders>
              <w:top w:val="nil"/>
              <w:left w:val="nil"/>
              <w:bottom w:val="nil"/>
              <w:right w:val="nil"/>
            </w:tcBorders>
            <w:shd w:val="clear" w:color="000000" w:fill="FFFFFF"/>
            <w:vAlign w:val="center"/>
          </w:tcPr>
          <w:p w14:paraId="300DEC05">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23.7±1.7/25.3±1.7</w:t>
            </w:r>
          </w:p>
        </w:tc>
        <w:tc>
          <w:tcPr>
            <w:tcW w:w="333" w:type="pct"/>
            <w:tcBorders>
              <w:top w:val="nil"/>
              <w:left w:val="nil"/>
              <w:bottom w:val="nil"/>
              <w:right w:val="nil"/>
            </w:tcBorders>
            <w:shd w:val="clear" w:color="000000" w:fill="FFFFFF"/>
            <w:vAlign w:val="center"/>
          </w:tcPr>
          <w:p w14:paraId="212459EE">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⑤</w:t>
            </w:r>
          </w:p>
        </w:tc>
        <w:tc>
          <w:tcPr>
            <w:tcW w:w="240" w:type="pct"/>
            <w:tcBorders>
              <w:top w:val="nil"/>
              <w:left w:val="nil"/>
              <w:bottom w:val="nil"/>
              <w:right w:val="nil"/>
            </w:tcBorders>
            <w:shd w:val="clear" w:color="auto" w:fill="auto"/>
            <w:vAlign w:val="center"/>
          </w:tcPr>
          <w:p w14:paraId="7ECBB40E">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Parallel RCT</w:t>
            </w:r>
          </w:p>
        </w:tc>
      </w:tr>
      <w:tr w14:paraId="0F388C4D">
        <w:tblPrEx>
          <w:tblCellMar>
            <w:top w:w="0" w:type="dxa"/>
            <w:left w:w="108" w:type="dxa"/>
            <w:bottom w:w="0" w:type="dxa"/>
            <w:right w:w="108" w:type="dxa"/>
          </w:tblCellMar>
        </w:tblPrEx>
        <w:trPr>
          <w:trHeight w:val="20" w:hRule="atLeast"/>
        </w:trPr>
        <w:tc>
          <w:tcPr>
            <w:tcW w:w="338" w:type="pct"/>
            <w:tcBorders>
              <w:top w:val="nil"/>
              <w:left w:val="nil"/>
              <w:bottom w:val="nil"/>
              <w:right w:val="nil"/>
            </w:tcBorders>
            <w:shd w:val="clear" w:color="000000" w:fill="FFFFFF"/>
            <w:vAlign w:val="center"/>
          </w:tcPr>
          <w:p w14:paraId="17F2770A">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Tauler 2008</w:t>
            </w:r>
          </w:p>
        </w:tc>
        <w:tc>
          <w:tcPr>
            <w:tcW w:w="551" w:type="pct"/>
            <w:tcBorders>
              <w:top w:val="nil"/>
              <w:left w:val="nil"/>
              <w:bottom w:val="nil"/>
              <w:right w:val="nil"/>
            </w:tcBorders>
            <w:shd w:val="clear" w:color="000000" w:fill="FFFFFF"/>
            <w:vAlign w:val="center"/>
          </w:tcPr>
          <w:p w14:paraId="4BCD79B9">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Coenzyme Q10</w:t>
            </w:r>
          </w:p>
        </w:tc>
        <w:tc>
          <w:tcPr>
            <w:tcW w:w="485" w:type="pct"/>
            <w:tcBorders>
              <w:top w:val="nil"/>
              <w:left w:val="nil"/>
              <w:bottom w:val="nil"/>
              <w:right w:val="nil"/>
            </w:tcBorders>
            <w:shd w:val="clear" w:color="000000" w:fill="FFFFFF"/>
          </w:tcPr>
          <w:p w14:paraId="06C60FE5">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Take one compound capsule per day (Coenzyme Q ₁₀ 100mg, Vitamin C 60mg, E 10mg, β - carotene 6mg, etc.)</w:t>
            </w:r>
          </w:p>
        </w:tc>
        <w:tc>
          <w:tcPr>
            <w:tcW w:w="226" w:type="pct"/>
            <w:tcBorders>
              <w:top w:val="nil"/>
              <w:left w:val="nil"/>
              <w:bottom w:val="nil"/>
              <w:right w:val="nil"/>
            </w:tcBorders>
            <w:shd w:val="clear" w:color="000000" w:fill="FFFFFF"/>
            <w:vAlign w:val="center"/>
          </w:tcPr>
          <w:p w14:paraId="24C385CD">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Spain</w:t>
            </w:r>
          </w:p>
        </w:tc>
        <w:tc>
          <w:tcPr>
            <w:tcW w:w="271" w:type="pct"/>
            <w:tcBorders>
              <w:top w:val="nil"/>
              <w:left w:val="nil"/>
              <w:bottom w:val="nil"/>
              <w:right w:val="nil"/>
            </w:tcBorders>
            <w:shd w:val="clear" w:color="000000" w:fill="FFFFFF"/>
            <w:vAlign w:val="center"/>
          </w:tcPr>
          <w:p w14:paraId="7BF0C9E8">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Europe</w:t>
            </w:r>
          </w:p>
        </w:tc>
        <w:tc>
          <w:tcPr>
            <w:tcW w:w="298" w:type="pct"/>
            <w:tcBorders>
              <w:top w:val="nil"/>
              <w:left w:val="nil"/>
              <w:bottom w:val="nil"/>
              <w:right w:val="nil"/>
            </w:tcBorders>
            <w:shd w:val="clear" w:color="000000" w:fill="FFFFFF"/>
            <w:vAlign w:val="center"/>
          </w:tcPr>
          <w:p w14:paraId="5F7ED193">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19</w:t>
            </w:r>
          </w:p>
        </w:tc>
        <w:tc>
          <w:tcPr>
            <w:tcW w:w="314" w:type="pct"/>
            <w:tcBorders>
              <w:top w:val="nil"/>
              <w:left w:val="nil"/>
              <w:bottom w:val="nil"/>
              <w:right w:val="nil"/>
            </w:tcBorders>
            <w:shd w:val="clear" w:color="000000" w:fill="FFFFFF"/>
            <w:vAlign w:val="center"/>
          </w:tcPr>
          <w:p w14:paraId="1F3ADDD4">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19/0</w:t>
            </w:r>
          </w:p>
        </w:tc>
        <w:tc>
          <w:tcPr>
            <w:tcW w:w="330" w:type="pct"/>
            <w:tcBorders>
              <w:top w:val="nil"/>
              <w:left w:val="nil"/>
              <w:bottom w:val="nil"/>
              <w:right w:val="nil"/>
            </w:tcBorders>
            <w:shd w:val="clear" w:color="000000" w:fill="FFFFFF"/>
            <w:vAlign w:val="center"/>
          </w:tcPr>
          <w:p w14:paraId="74BC4ACF">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Footballer</w:t>
            </w:r>
          </w:p>
        </w:tc>
        <w:tc>
          <w:tcPr>
            <w:tcW w:w="495" w:type="pct"/>
            <w:tcBorders>
              <w:top w:val="nil"/>
              <w:left w:val="nil"/>
              <w:bottom w:val="nil"/>
              <w:right w:val="nil"/>
            </w:tcBorders>
            <w:shd w:val="clear" w:color="000000" w:fill="FFFFFF"/>
            <w:vAlign w:val="center"/>
          </w:tcPr>
          <w:p w14:paraId="768EDCFC">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Professional</w:t>
            </w:r>
          </w:p>
        </w:tc>
        <w:tc>
          <w:tcPr>
            <w:tcW w:w="397" w:type="pct"/>
            <w:tcBorders>
              <w:top w:val="nil"/>
              <w:left w:val="nil"/>
              <w:bottom w:val="nil"/>
              <w:right w:val="nil"/>
            </w:tcBorders>
            <w:shd w:val="clear" w:color="000000" w:fill="FFFFFF"/>
            <w:vAlign w:val="center"/>
          </w:tcPr>
          <w:p w14:paraId="61C09E10">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90 days</w:t>
            </w:r>
          </w:p>
        </w:tc>
        <w:tc>
          <w:tcPr>
            <w:tcW w:w="716" w:type="pct"/>
            <w:tcBorders>
              <w:top w:val="nil"/>
              <w:left w:val="nil"/>
              <w:bottom w:val="nil"/>
              <w:right w:val="nil"/>
            </w:tcBorders>
            <w:shd w:val="clear" w:color="000000" w:fill="FFFFFF"/>
            <w:vAlign w:val="center"/>
          </w:tcPr>
          <w:p w14:paraId="357CC905">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NA</w:t>
            </w:r>
          </w:p>
        </w:tc>
        <w:tc>
          <w:tcPr>
            <w:tcW w:w="333" w:type="pct"/>
            <w:tcBorders>
              <w:top w:val="nil"/>
              <w:left w:val="nil"/>
              <w:bottom w:val="nil"/>
              <w:right w:val="nil"/>
            </w:tcBorders>
            <w:shd w:val="clear" w:color="000000" w:fill="FFFFFF"/>
            <w:vAlign w:val="center"/>
          </w:tcPr>
          <w:p w14:paraId="6F846DC9">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③④</w:t>
            </w:r>
          </w:p>
        </w:tc>
        <w:tc>
          <w:tcPr>
            <w:tcW w:w="240" w:type="pct"/>
            <w:tcBorders>
              <w:top w:val="nil"/>
              <w:left w:val="nil"/>
              <w:bottom w:val="nil"/>
              <w:right w:val="nil"/>
            </w:tcBorders>
            <w:shd w:val="clear" w:color="auto" w:fill="auto"/>
            <w:vAlign w:val="center"/>
          </w:tcPr>
          <w:p w14:paraId="6D34F993">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Parallel RCT</w:t>
            </w:r>
          </w:p>
        </w:tc>
      </w:tr>
      <w:tr w14:paraId="6829A786">
        <w:tblPrEx>
          <w:tblCellMar>
            <w:top w:w="0" w:type="dxa"/>
            <w:left w:w="108" w:type="dxa"/>
            <w:bottom w:w="0" w:type="dxa"/>
            <w:right w:w="108" w:type="dxa"/>
          </w:tblCellMar>
        </w:tblPrEx>
        <w:trPr>
          <w:trHeight w:val="20" w:hRule="atLeast"/>
        </w:trPr>
        <w:tc>
          <w:tcPr>
            <w:tcW w:w="338" w:type="pct"/>
            <w:tcBorders>
              <w:top w:val="nil"/>
              <w:left w:val="nil"/>
              <w:bottom w:val="nil"/>
              <w:right w:val="nil"/>
            </w:tcBorders>
            <w:shd w:val="clear" w:color="000000" w:fill="FFFFFF"/>
            <w:vAlign w:val="center"/>
          </w:tcPr>
          <w:p w14:paraId="6E49A7E0">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Ferre 2009</w:t>
            </w:r>
          </w:p>
        </w:tc>
        <w:tc>
          <w:tcPr>
            <w:tcW w:w="551" w:type="pct"/>
            <w:tcBorders>
              <w:top w:val="nil"/>
              <w:left w:val="nil"/>
              <w:bottom w:val="nil"/>
              <w:right w:val="nil"/>
            </w:tcBorders>
            <w:shd w:val="clear" w:color="000000" w:fill="FFFFFF"/>
            <w:vAlign w:val="center"/>
          </w:tcPr>
          <w:p w14:paraId="1ABA201B">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Coenzyme Q10 + Multivitamins</w:t>
            </w:r>
          </w:p>
        </w:tc>
        <w:tc>
          <w:tcPr>
            <w:tcW w:w="485" w:type="pct"/>
            <w:tcBorders>
              <w:top w:val="nil"/>
              <w:left w:val="nil"/>
              <w:bottom w:val="nil"/>
              <w:right w:val="nil"/>
            </w:tcBorders>
            <w:shd w:val="clear" w:color="000000" w:fill="FFFFFF"/>
          </w:tcPr>
          <w:p w14:paraId="69827FCD">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During the study period, adolescents maintained regular physical activity with 100mg of coenzyme Q ₁₀ and a combination of vitamins (including 60mg of vitamin C, 10mg of E, etc.) per day.</w:t>
            </w:r>
          </w:p>
        </w:tc>
        <w:tc>
          <w:tcPr>
            <w:tcW w:w="226" w:type="pct"/>
            <w:tcBorders>
              <w:top w:val="nil"/>
              <w:left w:val="nil"/>
              <w:bottom w:val="nil"/>
              <w:right w:val="nil"/>
            </w:tcBorders>
            <w:shd w:val="clear" w:color="000000" w:fill="FFFFFF"/>
            <w:vAlign w:val="center"/>
          </w:tcPr>
          <w:p w14:paraId="716E7CA7">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Spain</w:t>
            </w:r>
          </w:p>
        </w:tc>
        <w:tc>
          <w:tcPr>
            <w:tcW w:w="271" w:type="pct"/>
            <w:tcBorders>
              <w:top w:val="nil"/>
              <w:left w:val="nil"/>
              <w:bottom w:val="nil"/>
              <w:right w:val="nil"/>
            </w:tcBorders>
            <w:shd w:val="clear" w:color="000000" w:fill="FFFFFF"/>
            <w:vAlign w:val="center"/>
          </w:tcPr>
          <w:p w14:paraId="36B1127F">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Europe</w:t>
            </w:r>
          </w:p>
        </w:tc>
        <w:tc>
          <w:tcPr>
            <w:tcW w:w="298" w:type="pct"/>
            <w:tcBorders>
              <w:top w:val="nil"/>
              <w:left w:val="nil"/>
              <w:bottom w:val="nil"/>
              <w:right w:val="nil"/>
            </w:tcBorders>
            <w:shd w:val="clear" w:color="000000" w:fill="FFFFFF"/>
            <w:vAlign w:val="center"/>
          </w:tcPr>
          <w:p w14:paraId="421F677B">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19</w:t>
            </w:r>
          </w:p>
        </w:tc>
        <w:tc>
          <w:tcPr>
            <w:tcW w:w="314" w:type="pct"/>
            <w:tcBorders>
              <w:top w:val="nil"/>
              <w:left w:val="nil"/>
              <w:bottom w:val="nil"/>
              <w:right w:val="nil"/>
            </w:tcBorders>
            <w:shd w:val="clear" w:color="000000" w:fill="FFFFFF"/>
            <w:vAlign w:val="center"/>
          </w:tcPr>
          <w:p w14:paraId="49D1AF40">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19/0</w:t>
            </w:r>
          </w:p>
        </w:tc>
        <w:tc>
          <w:tcPr>
            <w:tcW w:w="330" w:type="pct"/>
            <w:tcBorders>
              <w:top w:val="nil"/>
              <w:left w:val="nil"/>
              <w:bottom w:val="nil"/>
              <w:right w:val="nil"/>
            </w:tcBorders>
            <w:shd w:val="clear" w:color="000000" w:fill="FFFFFF"/>
            <w:vAlign w:val="center"/>
          </w:tcPr>
          <w:p w14:paraId="1E50DB52">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Footballer</w:t>
            </w:r>
          </w:p>
        </w:tc>
        <w:tc>
          <w:tcPr>
            <w:tcW w:w="495" w:type="pct"/>
            <w:tcBorders>
              <w:top w:val="nil"/>
              <w:left w:val="nil"/>
              <w:bottom w:val="nil"/>
              <w:right w:val="nil"/>
            </w:tcBorders>
            <w:shd w:val="clear" w:color="000000" w:fill="FFFFFF"/>
            <w:vAlign w:val="center"/>
          </w:tcPr>
          <w:p w14:paraId="1EFA91A9">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Professional</w:t>
            </w:r>
          </w:p>
        </w:tc>
        <w:tc>
          <w:tcPr>
            <w:tcW w:w="397" w:type="pct"/>
            <w:tcBorders>
              <w:top w:val="nil"/>
              <w:left w:val="nil"/>
              <w:bottom w:val="nil"/>
              <w:right w:val="nil"/>
            </w:tcBorders>
            <w:shd w:val="clear" w:color="000000" w:fill="FFFFFF"/>
            <w:vAlign w:val="center"/>
          </w:tcPr>
          <w:p w14:paraId="0DB2D511">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90 days</w:t>
            </w:r>
          </w:p>
        </w:tc>
        <w:tc>
          <w:tcPr>
            <w:tcW w:w="716" w:type="pct"/>
            <w:tcBorders>
              <w:top w:val="nil"/>
              <w:left w:val="nil"/>
              <w:bottom w:val="nil"/>
              <w:right w:val="nil"/>
            </w:tcBorders>
            <w:shd w:val="clear" w:color="000000" w:fill="FFFFFF"/>
            <w:vAlign w:val="center"/>
          </w:tcPr>
          <w:p w14:paraId="20A4AA65">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20.0 ± 0.2/</w:t>
            </w:r>
            <w:r>
              <w:rPr>
                <w:rFonts w:hint="default" w:ascii="Times New Roman" w:hAnsi="Times New Roman" w:cs="Times New Roman"/>
                <w:sz w:val="22"/>
                <w:szCs w:val="22"/>
              </w:rPr>
              <w:t xml:space="preserve"> </w:t>
            </w:r>
            <w:r>
              <w:rPr>
                <w:rFonts w:hint="default" w:ascii="Times New Roman" w:hAnsi="Times New Roman" w:eastAsia="等线" w:cs="Times New Roman"/>
                <w:color w:val="000000"/>
                <w:kern w:val="0"/>
                <w:sz w:val="22"/>
                <w:szCs w:val="22"/>
                <w14:ligatures w14:val="none"/>
              </w:rPr>
              <w:t>19.5 ± 0.4</w:t>
            </w:r>
          </w:p>
        </w:tc>
        <w:tc>
          <w:tcPr>
            <w:tcW w:w="333" w:type="pct"/>
            <w:tcBorders>
              <w:top w:val="nil"/>
              <w:left w:val="nil"/>
              <w:bottom w:val="nil"/>
              <w:right w:val="nil"/>
            </w:tcBorders>
            <w:shd w:val="clear" w:color="000000" w:fill="FFFFFF"/>
            <w:vAlign w:val="center"/>
          </w:tcPr>
          <w:p w14:paraId="0CBE3B2E">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③④</w:t>
            </w:r>
          </w:p>
        </w:tc>
        <w:tc>
          <w:tcPr>
            <w:tcW w:w="240" w:type="pct"/>
            <w:tcBorders>
              <w:top w:val="nil"/>
              <w:left w:val="nil"/>
              <w:bottom w:val="nil"/>
              <w:right w:val="nil"/>
            </w:tcBorders>
            <w:shd w:val="clear" w:color="auto" w:fill="auto"/>
            <w:vAlign w:val="center"/>
          </w:tcPr>
          <w:p w14:paraId="0446BE7C">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Parallel RCT</w:t>
            </w:r>
          </w:p>
        </w:tc>
      </w:tr>
      <w:tr w14:paraId="65870AFA">
        <w:tblPrEx>
          <w:tblCellMar>
            <w:top w:w="0" w:type="dxa"/>
            <w:left w:w="108" w:type="dxa"/>
            <w:bottom w:w="0" w:type="dxa"/>
            <w:right w:w="108" w:type="dxa"/>
          </w:tblCellMar>
        </w:tblPrEx>
        <w:trPr>
          <w:trHeight w:val="20" w:hRule="atLeast"/>
        </w:trPr>
        <w:tc>
          <w:tcPr>
            <w:tcW w:w="338" w:type="pct"/>
            <w:tcBorders>
              <w:top w:val="nil"/>
              <w:left w:val="nil"/>
              <w:bottom w:val="nil"/>
              <w:right w:val="nil"/>
            </w:tcBorders>
            <w:shd w:val="clear" w:color="000000" w:fill="FFFFFF"/>
            <w:vAlign w:val="center"/>
          </w:tcPr>
          <w:p w14:paraId="210CC0C9">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Skarpanska-Stejnborn 2009</w:t>
            </w:r>
          </w:p>
        </w:tc>
        <w:tc>
          <w:tcPr>
            <w:tcW w:w="551" w:type="pct"/>
            <w:tcBorders>
              <w:top w:val="nil"/>
              <w:left w:val="nil"/>
              <w:bottom w:val="nil"/>
              <w:right w:val="nil"/>
            </w:tcBorders>
            <w:shd w:val="clear" w:color="000000" w:fill="FFFFFF"/>
            <w:vAlign w:val="center"/>
          </w:tcPr>
          <w:p w14:paraId="014C913A">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Rhodiola Rosea</w:t>
            </w:r>
          </w:p>
        </w:tc>
        <w:tc>
          <w:tcPr>
            <w:tcW w:w="485" w:type="pct"/>
            <w:tcBorders>
              <w:top w:val="nil"/>
              <w:left w:val="nil"/>
              <w:bottom w:val="nil"/>
              <w:right w:val="nil"/>
            </w:tcBorders>
            <w:shd w:val="clear" w:color="000000" w:fill="FFFFFF"/>
          </w:tcPr>
          <w:p w14:paraId="631940FD">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100mg Rhodiola extract (containing 5mg zinc) each time for 4 weeks</w:t>
            </w:r>
          </w:p>
        </w:tc>
        <w:tc>
          <w:tcPr>
            <w:tcW w:w="226" w:type="pct"/>
            <w:tcBorders>
              <w:top w:val="nil"/>
              <w:left w:val="nil"/>
              <w:bottom w:val="nil"/>
              <w:right w:val="nil"/>
            </w:tcBorders>
            <w:shd w:val="clear" w:color="000000" w:fill="FFFFFF"/>
            <w:vAlign w:val="center"/>
          </w:tcPr>
          <w:p w14:paraId="716C0601">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Poland</w:t>
            </w:r>
          </w:p>
        </w:tc>
        <w:tc>
          <w:tcPr>
            <w:tcW w:w="271" w:type="pct"/>
            <w:tcBorders>
              <w:top w:val="nil"/>
              <w:left w:val="nil"/>
              <w:bottom w:val="nil"/>
              <w:right w:val="nil"/>
            </w:tcBorders>
            <w:shd w:val="clear" w:color="000000" w:fill="FFFFFF"/>
            <w:vAlign w:val="center"/>
          </w:tcPr>
          <w:p w14:paraId="582F4D73">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Europe</w:t>
            </w:r>
          </w:p>
        </w:tc>
        <w:tc>
          <w:tcPr>
            <w:tcW w:w="298" w:type="pct"/>
            <w:tcBorders>
              <w:top w:val="nil"/>
              <w:left w:val="nil"/>
              <w:bottom w:val="nil"/>
              <w:right w:val="nil"/>
            </w:tcBorders>
            <w:shd w:val="clear" w:color="000000" w:fill="FFFFFF"/>
            <w:vAlign w:val="center"/>
          </w:tcPr>
          <w:p w14:paraId="29BB082D">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22</w:t>
            </w:r>
          </w:p>
        </w:tc>
        <w:tc>
          <w:tcPr>
            <w:tcW w:w="314" w:type="pct"/>
            <w:tcBorders>
              <w:top w:val="nil"/>
              <w:left w:val="nil"/>
              <w:bottom w:val="nil"/>
              <w:right w:val="nil"/>
            </w:tcBorders>
            <w:shd w:val="clear" w:color="000000" w:fill="FFFFFF"/>
            <w:vAlign w:val="center"/>
          </w:tcPr>
          <w:p w14:paraId="07356032">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22/0</w:t>
            </w:r>
          </w:p>
        </w:tc>
        <w:tc>
          <w:tcPr>
            <w:tcW w:w="330" w:type="pct"/>
            <w:tcBorders>
              <w:top w:val="nil"/>
              <w:left w:val="nil"/>
              <w:bottom w:val="nil"/>
              <w:right w:val="nil"/>
            </w:tcBorders>
            <w:shd w:val="clear" w:color="000000" w:fill="FFFFFF"/>
            <w:vAlign w:val="center"/>
          </w:tcPr>
          <w:p w14:paraId="22D70340">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Rower</w:t>
            </w:r>
          </w:p>
        </w:tc>
        <w:tc>
          <w:tcPr>
            <w:tcW w:w="495" w:type="pct"/>
            <w:tcBorders>
              <w:top w:val="nil"/>
              <w:left w:val="nil"/>
              <w:bottom w:val="nil"/>
              <w:right w:val="nil"/>
            </w:tcBorders>
            <w:shd w:val="clear" w:color="000000" w:fill="FFFFFF"/>
            <w:vAlign w:val="center"/>
          </w:tcPr>
          <w:p w14:paraId="2DA475F5">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Professional</w:t>
            </w:r>
          </w:p>
        </w:tc>
        <w:tc>
          <w:tcPr>
            <w:tcW w:w="397" w:type="pct"/>
            <w:tcBorders>
              <w:top w:val="nil"/>
              <w:left w:val="nil"/>
              <w:bottom w:val="nil"/>
              <w:right w:val="nil"/>
            </w:tcBorders>
            <w:shd w:val="clear" w:color="000000" w:fill="FFFFFF"/>
            <w:vAlign w:val="center"/>
          </w:tcPr>
          <w:p w14:paraId="194E0B54">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28 days</w:t>
            </w:r>
          </w:p>
        </w:tc>
        <w:tc>
          <w:tcPr>
            <w:tcW w:w="716" w:type="pct"/>
            <w:tcBorders>
              <w:top w:val="nil"/>
              <w:left w:val="nil"/>
              <w:bottom w:val="nil"/>
              <w:right w:val="nil"/>
            </w:tcBorders>
            <w:shd w:val="clear" w:color="000000" w:fill="FFFFFF"/>
            <w:vAlign w:val="center"/>
          </w:tcPr>
          <w:p w14:paraId="62154864">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20.4 ± 1.2/</w:t>
            </w:r>
            <w:r>
              <w:rPr>
                <w:rFonts w:hint="default" w:ascii="Times New Roman" w:hAnsi="Times New Roman" w:cs="Times New Roman"/>
                <w:sz w:val="22"/>
                <w:szCs w:val="22"/>
              </w:rPr>
              <w:t xml:space="preserve"> </w:t>
            </w:r>
            <w:r>
              <w:rPr>
                <w:rFonts w:hint="default" w:ascii="Times New Roman" w:hAnsi="Times New Roman" w:eastAsia="等线" w:cs="Times New Roman"/>
                <w:color w:val="000000"/>
                <w:kern w:val="0"/>
                <w:sz w:val="22"/>
                <w:szCs w:val="22"/>
                <w14:ligatures w14:val="none"/>
              </w:rPr>
              <w:t>21.0 ± 0.9</w:t>
            </w:r>
          </w:p>
        </w:tc>
        <w:tc>
          <w:tcPr>
            <w:tcW w:w="333" w:type="pct"/>
            <w:tcBorders>
              <w:top w:val="nil"/>
              <w:left w:val="nil"/>
              <w:bottom w:val="nil"/>
              <w:right w:val="nil"/>
            </w:tcBorders>
            <w:shd w:val="clear" w:color="000000" w:fill="FFFFFF"/>
            <w:vAlign w:val="center"/>
          </w:tcPr>
          <w:p w14:paraId="53EC743E">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①②③④</w:t>
            </w:r>
          </w:p>
        </w:tc>
        <w:tc>
          <w:tcPr>
            <w:tcW w:w="240" w:type="pct"/>
            <w:tcBorders>
              <w:top w:val="nil"/>
              <w:left w:val="nil"/>
              <w:bottom w:val="nil"/>
              <w:right w:val="nil"/>
            </w:tcBorders>
            <w:shd w:val="clear" w:color="auto" w:fill="auto"/>
            <w:vAlign w:val="center"/>
          </w:tcPr>
          <w:p w14:paraId="706FAE53">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Parallel RCT</w:t>
            </w:r>
          </w:p>
        </w:tc>
      </w:tr>
      <w:tr w14:paraId="2B155887">
        <w:tblPrEx>
          <w:tblCellMar>
            <w:top w:w="0" w:type="dxa"/>
            <w:left w:w="108" w:type="dxa"/>
            <w:bottom w:w="0" w:type="dxa"/>
            <w:right w:w="108" w:type="dxa"/>
          </w:tblCellMar>
        </w:tblPrEx>
        <w:trPr>
          <w:trHeight w:val="20" w:hRule="atLeast"/>
        </w:trPr>
        <w:tc>
          <w:tcPr>
            <w:tcW w:w="338" w:type="pct"/>
            <w:tcBorders>
              <w:top w:val="nil"/>
              <w:left w:val="nil"/>
              <w:bottom w:val="nil"/>
              <w:right w:val="nil"/>
            </w:tcBorders>
            <w:shd w:val="clear" w:color="000000" w:fill="FFFFFF"/>
            <w:vAlign w:val="center"/>
          </w:tcPr>
          <w:p w14:paraId="4C0A8275">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Parisi 2010</w:t>
            </w:r>
          </w:p>
        </w:tc>
        <w:tc>
          <w:tcPr>
            <w:tcW w:w="551" w:type="pct"/>
            <w:tcBorders>
              <w:top w:val="nil"/>
              <w:left w:val="nil"/>
              <w:bottom w:val="nil"/>
              <w:right w:val="nil"/>
            </w:tcBorders>
            <w:shd w:val="clear" w:color="000000" w:fill="FFFFFF"/>
            <w:vAlign w:val="center"/>
          </w:tcPr>
          <w:p w14:paraId="4A3BA4F6">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Rhodiola Rosea</w:t>
            </w:r>
          </w:p>
        </w:tc>
        <w:tc>
          <w:tcPr>
            <w:tcW w:w="485" w:type="pct"/>
            <w:tcBorders>
              <w:top w:val="nil"/>
              <w:left w:val="nil"/>
              <w:bottom w:val="nil"/>
              <w:right w:val="nil"/>
            </w:tcBorders>
            <w:shd w:val="clear" w:color="000000" w:fill="FFFFFF"/>
            <w:vAlign w:val="center"/>
          </w:tcPr>
          <w:p w14:paraId="53FD5B67">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170mg/d</w:t>
            </w:r>
          </w:p>
        </w:tc>
        <w:tc>
          <w:tcPr>
            <w:tcW w:w="226" w:type="pct"/>
            <w:tcBorders>
              <w:top w:val="nil"/>
              <w:left w:val="nil"/>
              <w:bottom w:val="nil"/>
              <w:right w:val="nil"/>
            </w:tcBorders>
            <w:shd w:val="clear" w:color="000000" w:fill="FFFFFF"/>
            <w:vAlign w:val="center"/>
          </w:tcPr>
          <w:p w14:paraId="6D343EC4">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Italy</w:t>
            </w:r>
          </w:p>
        </w:tc>
        <w:tc>
          <w:tcPr>
            <w:tcW w:w="271" w:type="pct"/>
            <w:tcBorders>
              <w:top w:val="nil"/>
              <w:left w:val="nil"/>
              <w:bottom w:val="nil"/>
              <w:right w:val="nil"/>
            </w:tcBorders>
            <w:shd w:val="clear" w:color="000000" w:fill="FFFFFF"/>
            <w:vAlign w:val="center"/>
          </w:tcPr>
          <w:p w14:paraId="0858D766">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Europe</w:t>
            </w:r>
          </w:p>
        </w:tc>
        <w:tc>
          <w:tcPr>
            <w:tcW w:w="298" w:type="pct"/>
            <w:tcBorders>
              <w:top w:val="nil"/>
              <w:left w:val="nil"/>
              <w:bottom w:val="nil"/>
              <w:right w:val="nil"/>
            </w:tcBorders>
            <w:shd w:val="clear" w:color="000000" w:fill="FFFFFF"/>
            <w:vAlign w:val="center"/>
          </w:tcPr>
          <w:p w14:paraId="534C10A3">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14</w:t>
            </w:r>
          </w:p>
        </w:tc>
        <w:tc>
          <w:tcPr>
            <w:tcW w:w="314" w:type="pct"/>
            <w:tcBorders>
              <w:top w:val="nil"/>
              <w:left w:val="nil"/>
              <w:bottom w:val="nil"/>
              <w:right w:val="nil"/>
            </w:tcBorders>
            <w:shd w:val="clear" w:color="000000" w:fill="FFFFFF"/>
            <w:vAlign w:val="center"/>
          </w:tcPr>
          <w:p w14:paraId="282719FA">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14/0</w:t>
            </w:r>
          </w:p>
        </w:tc>
        <w:tc>
          <w:tcPr>
            <w:tcW w:w="330" w:type="pct"/>
            <w:tcBorders>
              <w:top w:val="nil"/>
              <w:left w:val="nil"/>
              <w:bottom w:val="nil"/>
              <w:right w:val="nil"/>
            </w:tcBorders>
            <w:shd w:val="clear" w:color="000000" w:fill="FFFFFF"/>
            <w:vAlign w:val="center"/>
          </w:tcPr>
          <w:p w14:paraId="7EB71E99">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Competitive sports primarily focused on aerobic metabolism, such as athletics, triathlon, roller skating, and running</w:t>
            </w:r>
          </w:p>
        </w:tc>
        <w:tc>
          <w:tcPr>
            <w:tcW w:w="495" w:type="pct"/>
            <w:tcBorders>
              <w:top w:val="nil"/>
              <w:left w:val="nil"/>
              <w:bottom w:val="nil"/>
              <w:right w:val="nil"/>
            </w:tcBorders>
            <w:shd w:val="clear" w:color="000000" w:fill="FFFFFF"/>
            <w:vAlign w:val="center"/>
          </w:tcPr>
          <w:p w14:paraId="521DD6C8">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Professional</w:t>
            </w:r>
          </w:p>
        </w:tc>
        <w:tc>
          <w:tcPr>
            <w:tcW w:w="397" w:type="pct"/>
            <w:tcBorders>
              <w:top w:val="nil"/>
              <w:left w:val="nil"/>
              <w:bottom w:val="nil"/>
              <w:right w:val="nil"/>
            </w:tcBorders>
            <w:shd w:val="clear" w:color="000000" w:fill="FFFFFF"/>
            <w:vAlign w:val="center"/>
          </w:tcPr>
          <w:p w14:paraId="5DC59297">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28 days</w:t>
            </w:r>
          </w:p>
        </w:tc>
        <w:tc>
          <w:tcPr>
            <w:tcW w:w="716" w:type="pct"/>
            <w:tcBorders>
              <w:top w:val="nil"/>
              <w:left w:val="nil"/>
              <w:bottom w:val="nil"/>
              <w:right w:val="nil"/>
            </w:tcBorders>
            <w:shd w:val="clear" w:color="000000" w:fill="FFFFFF"/>
            <w:vAlign w:val="center"/>
          </w:tcPr>
          <w:p w14:paraId="7F95A62F">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25±5</w:t>
            </w:r>
          </w:p>
        </w:tc>
        <w:tc>
          <w:tcPr>
            <w:tcW w:w="333" w:type="pct"/>
            <w:tcBorders>
              <w:top w:val="nil"/>
              <w:left w:val="nil"/>
              <w:bottom w:val="nil"/>
              <w:right w:val="nil"/>
            </w:tcBorders>
            <w:shd w:val="clear" w:color="000000" w:fill="FFFFFF"/>
            <w:vAlign w:val="center"/>
          </w:tcPr>
          <w:p w14:paraId="7EE3C222">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①⑤⑥⑦⑨</w:t>
            </w:r>
          </w:p>
        </w:tc>
        <w:tc>
          <w:tcPr>
            <w:tcW w:w="240" w:type="pct"/>
            <w:tcBorders>
              <w:top w:val="nil"/>
              <w:left w:val="nil"/>
              <w:bottom w:val="nil"/>
              <w:right w:val="nil"/>
            </w:tcBorders>
            <w:shd w:val="clear" w:color="auto" w:fill="auto"/>
            <w:vAlign w:val="center"/>
          </w:tcPr>
          <w:p w14:paraId="46A7E82F">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Cross-Over RCT</w:t>
            </w:r>
          </w:p>
        </w:tc>
      </w:tr>
      <w:tr w14:paraId="6780B59F">
        <w:tblPrEx>
          <w:tblCellMar>
            <w:top w:w="0" w:type="dxa"/>
            <w:left w:w="108" w:type="dxa"/>
            <w:bottom w:w="0" w:type="dxa"/>
            <w:right w:w="108" w:type="dxa"/>
          </w:tblCellMar>
        </w:tblPrEx>
        <w:trPr>
          <w:trHeight w:val="20" w:hRule="atLeast"/>
        </w:trPr>
        <w:tc>
          <w:tcPr>
            <w:tcW w:w="338" w:type="pct"/>
            <w:tcBorders>
              <w:top w:val="nil"/>
              <w:left w:val="nil"/>
              <w:bottom w:val="nil"/>
              <w:right w:val="nil"/>
            </w:tcBorders>
            <w:shd w:val="clear" w:color="000000" w:fill="FFFFFF"/>
            <w:vAlign w:val="center"/>
          </w:tcPr>
          <w:p w14:paraId="4B84F131">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Jówko 2012</w:t>
            </w:r>
          </w:p>
        </w:tc>
        <w:tc>
          <w:tcPr>
            <w:tcW w:w="551" w:type="pct"/>
            <w:tcBorders>
              <w:top w:val="nil"/>
              <w:left w:val="nil"/>
              <w:bottom w:val="nil"/>
              <w:right w:val="nil"/>
            </w:tcBorders>
            <w:shd w:val="clear" w:color="000000" w:fill="FFFFFF"/>
            <w:vAlign w:val="center"/>
          </w:tcPr>
          <w:p w14:paraId="4625C502">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Green Tea Polyphenols</w:t>
            </w:r>
          </w:p>
        </w:tc>
        <w:tc>
          <w:tcPr>
            <w:tcW w:w="485" w:type="pct"/>
            <w:tcBorders>
              <w:top w:val="nil"/>
              <w:left w:val="nil"/>
              <w:bottom w:val="nil"/>
              <w:right w:val="nil"/>
            </w:tcBorders>
            <w:shd w:val="clear" w:color="000000" w:fill="FFFFFF"/>
          </w:tcPr>
          <w:p w14:paraId="6AC0AE14">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Single intake of 640mg green tea polyphenols (containing 500mg catechins, including 176mg EGCG)</w:t>
            </w:r>
          </w:p>
        </w:tc>
        <w:tc>
          <w:tcPr>
            <w:tcW w:w="226" w:type="pct"/>
            <w:tcBorders>
              <w:top w:val="nil"/>
              <w:left w:val="nil"/>
              <w:bottom w:val="nil"/>
              <w:right w:val="nil"/>
            </w:tcBorders>
            <w:shd w:val="clear" w:color="000000" w:fill="FFFFFF"/>
            <w:vAlign w:val="center"/>
          </w:tcPr>
          <w:p w14:paraId="3203C042">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Poland</w:t>
            </w:r>
          </w:p>
        </w:tc>
        <w:tc>
          <w:tcPr>
            <w:tcW w:w="271" w:type="pct"/>
            <w:tcBorders>
              <w:top w:val="nil"/>
              <w:left w:val="nil"/>
              <w:bottom w:val="nil"/>
              <w:right w:val="nil"/>
            </w:tcBorders>
            <w:shd w:val="clear" w:color="000000" w:fill="FFFFFF"/>
            <w:vAlign w:val="center"/>
          </w:tcPr>
          <w:p w14:paraId="54F37858">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Europe</w:t>
            </w:r>
          </w:p>
        </w:tc>
        <w:tc>
          <w:tcPr>
            <w:tcW w:w="298" w:type="pct"/>
            <w:tcBorders>
              <w:top w:val="nil"/>
              <w:left w:val="nil"/>
              <w:bottom w:val="nil"/>
              <w:right w:val="nil"/>
            </w:tcBorders>
            <w:shd w:val="clear" w:color="000000" w:fill="FFFFFF"/>
            <w:vAlign w:val="center"/>
          </w:tcPr>
          <w:p w14:paraId="1B5CB60A">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16</w:t>
            </w:r>
          </w:p>
        </w:tc>
        <w:tc>
          <w:tcPr>
            <w:tcW w:w="314" w:type="pct"/>
            <w:tcBorders>
              <w:top w:val="nil"/>
              <w:left w:val="nil"/>
              <w:bottom w:val="nil"/>
              <w:right w:val="nil"/>
            </w:tcBorders>
            <w:shd w:val="clear" w:color="000000" w:fill="FFFFFF"/>
            <w:vAlign w:val="center"/>
          </w:tcPr>
          <w:p w14:paraId="4EC070F4">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16/0</w:t>
            </w:r>
          </w:p>
        </w:tc>
        <w:tc>
          <w:tcPr>
            <w:tcW w:w="330" w:type="pct"/>
            <w:tcBorders>
              <w:top w:val="nil"/>
              <w:left w:val="nil"/>
              <w:bottom w:val="nil"/>
              <w:right w:val="nil"/>
            </w:tcBorders>
            <w:shd w:val="clear" w:color="000000" w:fill="FFFFFF"/>
            <w:vAlign w:val="center"/>
          </w:tcPr>
          <w:p w14:paraId="497FB364">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Footballer</w:t>
            </w:r>
          </w:p>
        </w:tc>
        <w:tc>
          <w:tcPr>
            <w:tcW w:w="495" w:type="pct"/>
            <w:tcBorders>
              <w:top w:val="nil"/>
              <w:left w:val="nil"/>
              <w:bottom w:val="nil"/>
              <w:right w:val="nil"/>
            </w:tcBorders>
            <w:shd w:val="clear" w:color="000000" w:fill="FFFFFF"/>
            <w:vAlign w:val="center"/>
          </w:tcPr>
          <w:p w14:paraId="4311D753">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Professional</w:t>
            </w:r>
          </w:p>
        </w:tc>
        <w:tc>
          <w:tcPr>
            <w:tcW w:w="397" w:type="pct"/>
            <w:tcBorders>
              <w:top w:val="nil"/>
              <w:left w:val="nil"/>
              <w:bottom w:val="nil"/>
              <w:right w:val="nil"/>
            </w:tcBorders>
            <w:shd w:val="clear" w:color="000000" w:fill="FFFFFF"/>
            <w:vAlign w:val="center"/>
          </w:tcPr>
          <w:p w14:paraId="1E7E5662">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8 days</w:t>
            </w:r>
          </w:p>
        </w:tc>
        <w:tc>
          <w:tcPr>
            <w:tcW w:w="716" w:type="pct"/>
            <w:tcBorders>
              <w:top w:val="nil"/>
              <w:left w:val="nil"/>
              <w:bottom w:val="nil"/>
              <w:right w:val="nil"/>
            </w:tcBorders>
            <w:shd w:val="clear" w:color="000000" w:fill="FFFFFF"/>
            <w:vAlign w:val="center"/>
          </w:tcPr>
          <w:p w14:paraId="6FC4AF29">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22.9 ± 5.5/</w:t>
            </w:r>
            <w:r>
              <w:rPr>
                <w:rFonts w:hint="default" w:ascii="Times New Roman" w:hAnsi="Times New Roman" w:cs="Times New Roman"/>
                <w:sz w:val="22"/>
                <w:szCs w:val="22"/>
              </w:rPr>
              <w:t xml:space="preserve"> </w:t>
            </w:r>
            <w:r>
              <w:rPr>
                <w:rFonts w:hint="default" w:ascii="Times New Roman" w:hAnsi="Times New Roman" w:eastAsia="等线" w:cs="Times New Roman"/>
                <w:color w:val="000000"/>
                <w:kern w:val="0"/>
                <w:sz w:val="22"/>
                <w:szCs w:val="22"/>
                <w14:ligatures w14:val="none"/>
              </w:rPr>
              <w:t>22.4 ± 3.4</w:t>
            </w:r>
          </w:p>
        </w:tc>
        <w:tc>
          <w:tcPr>
            <w:tcW w:w="333" w:type="pct"/>
            <w:tcBorders>
              <w:top w:val="nil"/>
              <w:left w:val="nil"/>
              <w:bottom w:val="nil"/>
              <w:right w:val="nil"/>
            </w:tcBorders>
            <w:shd w:val="clear" w:color="000000" w:fill="FFFFFF"/>
            <w:vAlign w:val="center"/>
          </w:tcPr>
          <w:p w14:paraId="06A96180">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①②④</w:t>
            </w:r>
          </w:p>
        </w:tc>
        <w:tc>
          <w:tcPr>
            <w:tcW w:w="240" w:type="pct"/>
            <w:tcBorders>
              <w:top w:val="nil"/>
              <w:left w:val="nil"/>
              <w:bottom w:val="nil"/>
              <w:right w:val="nil"/>
            </w:tcBorders>
            <w:shd w:val="clear" w:color="auto" w:fill="auto"/>
            <w:vAlign w:val="center"/>
          </w:tcPr>
          <w:p w14:paraId="6BF78ED8">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Parallel RCT</w:t>
            </w:r>
          </w:p>
        </w:tc>
      </w:tr>
      <w:tr w14:paraId="1372F75D">
        <w:tblPrEx>
          <w:tblCellMar>
            <w:top w:w="0" w:type="dxa"/>
            <w:left w:w="108" w:type="dxa"/>
            <w:bottom w:w="0" w:type="dxa"/>
            <w:right w:w="108" w:type="dxa"/>
          </w:tblCellMar>
        </w:tblPrEx>
        <w:trPr>
          <w:trHeight w:val="20" w:hRule="atLeast"/>
        </w:trPr>
        <w:tc>
          <w:tcPr>
            <w:tcW w:w="338" w:type="pct"/>
            <w:tcBorders>
              <w:top w:val="nil"/>
              <w:left w:val="nil"/>
              <w:bottom w:val="nil"/>
              <w:right w:val="nil"/>
            </w:tcBorders>
            <w:shd w:val="clear" w:color="000000" w:fill="FFFFFF"/>
            <w:vAlign w:val="center"/>
          </w:tcPr>
          <w:p w14:paraId="4FC48D2C">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Djordjevic 2012</w:t>
            </w:r>
          </w:p>
        </w:tc>
        <w:tc>
          <w:tcPr>
            <w:tcW w:w="551" w:type="pct"/>
            <w:tcBorders>
              <w:top w:val="nil"/>
              <w:left w:val="nil"/>
              <w:bottom w:val="nil"/>
              <w:right w:val="nil"/>
            </w:tcBorders>
            <w:shd w:val="clear" w:color="000000" w:fill="FFFFFF"/>
            <w:vAlign w:val="center"/>
          </w:tcPr>
          <w:p w14:paraId="4268A6DA">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Astaxanthin</w:t>
            </w:r>
          </w:p>
        </w:tc>
        <w:tc>
          <w:tcPr>
            <w:tcW w:w="485" w:type="pct"/>
            <w:tcBorders>
              <w:top w:val="nil"/>
              <w:left w:val="nil"/>
              <w:bottom w:val="nil"/>
              <w:right w:val="nil"/>
            </w:tcBorders>
            <w:shd w:val="clear" w:color="000000" w:fill="FFFFFF"/>
          </w:tcPr>
          <w:p w14:paraId="332B1268">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4mg astaxanthin daily (sourced from Heathcock’s pluvialis)</w:t>
            </w:r>
          </w:p>
        </w:tc>
        <w:tc>
          <w:tcPr>
            <w:tcW w:w="226" w:type="pct"/>
            <w:tcBorders>
              <w:top w:val="nil"/>
              <w:left w:val="nil"/>
              <w:bottom w:val="nil"/>
              <w:right w:val="nil"/>
            </w:tcBorders>
            <w:shd w:val="clear" w:color="000000" w:fill="FFFFFF"/>
            <w:vAlign w:val="center"/>
          </w:tcPr>
          <w:p w14:paraId="43D5D92E">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Serbia</w:t>
            </w:r>
          </w:p>
        </w:tc>
        <w:tc>
          <w:tcPr>
            <w:tcW w:w="271" w:type="pct"/>
            <w:tcBorders>
              <w:top w:val="nil"/>
              <w:left w:val="nil"/>
              <w:bottom w:val="nil"/>
              <w:right w:val="nil"/>
            </w:tcBorders>
            <w:shd w:val="clear" w:color="000000" w:fill="FFFFFF"/>
            <w:vAlign w:val="center"/>
          </w:tcPr>
          <w:p w14:paraId="7DF98755">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Europe</w:t>
            </w:r>
          </w:p>
        </w:tc>
        <w:tc>
          <w:tcPr>
            <w:tcW w:w="298" w:type="pct"/>
            <w:tcBorders>
              <w:top w:val="nil"/>
              <w:left w:val="nil"/>
              <w:bottom w:val="nil"/>
              <w:right w:val="nil"/>
            </w:tcBorders>
            <w:shd w:val="clear" w:color="000000" w:fill="FFFFFF"/>
            <w:vAlign w:val="center"/>
          </w:tcPr>
          <w:p w14:paraId="68C9CEF9">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32</w:t>
            </w:r>
          </w:p>
        </w:tc>
        <w:tc>
          <w:tcPr>
            <w:tcW w:w="314" w:type="pct"/>
            <w:tcBorders>
              <w:top w:val="nil"/>
              <w:left w:val="nil"/>
              <w:bottom w:val="nil"/>
              <w:right w:val="nil"/>
            </w:tcBorders>
            <w:shd w:val="clear" w:color="000000" w:fill="FFFFFF"/>
            <w:vAlign w:val="center"/>
          </w:tcPr>
          <w:p w14:paraId="2116137B">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32/0</w:t>
            </w:r>
          </w:p>
        </w:tc>
        <w:tc>
          <w:tcPr>
            <w:tcW w:w="330" w:type="pct"/>
            <w:tcBorders>
              <w:top w:val="nil"/>
              <w:left w:val="nil"/>
              <w:bottom w:val="nil"/>
              <w:right w:val="nil"/>
            </w:tcBorders>
            <w:shd w:val="clear" w:color="000000" w:fill="FFFFFF"/>
            <w:vAlign w:val="center"/>
          </w:tcPr>
          <w:p w14:paraId="0970C88F">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Footballer</w:t>
            </w:r>
          </w:p>
        </w:tc>
        <w:tc>
          <w:tcPr>
            <w:tcW w:w="495" w:type="pct"/>
            <w:tcBorders>
              <w:top w:val="nil"/>
              <w:left w:val="nil"/>
              <w:bottom w:val="nil"/>
              <w:right w:val="nil"/>
            </w:tcBorders>
            <w:shd w:val="clear" w:color="000000" w:fill="FFFFFF"/>
            <w:vAlign w:val="center"/>
          </w:tcPr>
          <w:p w14:paraId="46CAD0FE">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Professional</w:t>
            </w:r>
          </w:p>
        </w:tc>
        <w:tc>
          <w:tcPr>
            <w:tcW w:w="397" w:type="pct"/>
            <w:tcBorders>
              <w:top w:val="nil"/>
              <w:left w:val="nil"/>
              <w:bottom w:val="nil"/>
              <w:right w:val="nil"/>
            </w:tcBorders>
            <w:shd w:val="clear" w:color="000000" w:fill="FFFFFF"/>
            <w:vAlign w:val="center"/>
          </w:tcPr>
          <w:p w14:paraId="6DC07F35">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90 days</w:t>
            </w:r>
          </w:p>
        </w:tc>
        <w:tc>
          <w:tcPr>
            <w:tcW w:w="716" w:type="pct"/>
            <w:tcBorders>
              <w:top w:val="nil"/>
              <w:left w:val="nil"/>
              <w:bottom w:val="nil"/>
              <w:right w:val="nil"/>
            </w:tcBorders>
            <w:shd w:val="clear" w:color="000000" w:fill="FFFFFF"/>
            <w:vAlign w:val="center"/>
          </w:tcPr>
          <w:p w14:paraId="0CDCF36B">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18.1±0.7/</w:t>
            </w:r>
            <w:r>
              <w:rPr>
                <w:rFonts w:hint="default" w:ascii="Times New Roman" w:hAnsi="Times New Roman" w:cs="Times New Roman"/>
                <w:sz w:val="22"/>
                <w:szCs w:val="22"/>
              </w:rPr>
              <w:t xml:space="preserve"> </w:t>
            </w:r>
            <w:r>
              <w:rPr>
                <w:rFonts w:hint="default" w:ascii="Times New Roman" w:hAnsi="Times New Roman" w:eastAsia="等线" w:cs="Times New Roman"/>
                <w:color w:val="000000"/>
                <w:kern w:val="0"/>
                <w:sz w:val="22"/>
                <w:szCs w:val="22"/>
                <w14:ligatures w14:val="none"/>
              </w:rPr>
              <w:t>17.7±0.6</w:t>
            </w:r>
          </w:p>
        </w:tc>
        <w:tc>
          <w:tcPr>
            <w:tcW w:w="333" w:type="pct"/>
            <w:tcBorders>
              <w:top w:val="nil"/>
              <w:left w:val="nil"/>
              <w:bottom w:val="nil"/>
              <w:right w:val="nil"/>
            </w:tcBorders>
            <w:shd w:val="clear" w:color="000000" w:fill="FFFFFF"/>
            <w:vAlign w:val="center"/>
          </w:tcPr>
          <w:p w14:paraId="568AFCB8">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①②④⑥</w:t>
            </w:r>
          </w:p>
        </w:tc>
        <w:tc>
          <w:tcPr>
            <w:tcW w:w="240" w:type="pct"/>
            <w:tcBorders>
              <w:top w:val="nil"/>
              <w:left w:val="nil"/>
              <w:bottom w:val="nil"/>
              <w:right w:val="nil"/>
            </w:tcBorders>
            <w:shd w:val="clear" w:color="auto" w:fill="auto"/>
            <w:vAlign w:val="center"/>
          </w:tcPr>
          <w:p w14:paraId="2E6EC2D3">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Parallel RCT</w:t>
            </w:r>
          </w:p>
        </w:tc>
      </w:tr>
      <w:tr w14:paraId="42870006">
        <w:tblPrEx>
          <w:tblCellMar>
            <w:top w:w="0" w:type="dxa"/>
            <w:left w:w="108" w:type="dxa"/>
            <w:bottom w:w="0" w:type="dxa"/>
            <w:right w:w="108" w:type="dxa"/>
          </w:tblCellMar>
        </w:tblPrEx>
        <w:trPr>
          <w:trHeight w:val="20" w:hRule="atLeast"/>
        </w:trPr>
        <w:tc>
          <w:tcPr>
            <w:tcW w:w="338" w:type="pct"/>
            <w:tcBorders>
              <w:top w:val="nil"/>
              <w:left w:val="nil"/>
              <w:bottom w:val="nil"/>
              <w:right w:val="nil"/>
            </w:tcBorders>
            <w:shd w:val="clear" w:color="000000" w:fill="FFFFFF"/>
            <w:vAlign w:val="center"/>
          </w:tcPr>
          <w:p w14:paraId="08E136F0">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Basta 2013</w:t>
            </w:r>
          </w:p>
        </w:tc>
        <w:tc>
          <w:tcPr>
            <w:tcW w:w="551" w:type="pct"/>
            <w:tcBorders>
              <w:top w:val="nil"/>
              <w:left w:val="nil"/>
              <w:bottom w:val="nil"/>
              <w:right w:val="nil"/>
            </w:tcBorders>
            <w:shd w:val="clear" w:color="000000" w:fill="FFFFFF"/>
            <w:vAlign w:val="center"/>
          </w:tcPr>
          <w:p w14:paraId="43054AB0">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Aloe Vera Extract (Biostimine)</w:t>
            </w:r>
          </w:p>
        </w:tc>
        <w:tc>
          <w:tcPr>
            <w:tcW w:w="485" w:type="pct"/>
            <w:tcBorders>
              <w:top w:val="nil"/>
              <w:left w:val="nil"/>
              <w:bottom w:val="nil"/>
              <w:right w:val="nil"/>
            </w:tcBorders>
            <w:shd w:val="clear" w:color="000000" w:fill="FFFFFF"/>
          </w:tcPr>
          <w:p w14:paraId="2058D880">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Take 1 ml of Biostimine (containing aloe vera leaf water extract) orally daily for 4 weeks</w:t>
            </w:r>
          </w:p>
        </w:tc>
        <w:tc>
          <w:tcPr>
            <w:tcW w:w="226" w:type="pct"/>
            <w:tcBorders>
              <w:top w:val="nil"/>
              <w:left w:val="nil"/>
              <w:bottom w:val="nil"/>
              <w:right w:val="nil"/>
            </w:tcBorders>
            <w:shd w:val="clear" w:color="000000" w:fill="FFFFFF"/>
            <w:vAlign w:val="center"/>
          </w:tcPr>
          <w:p w14:paraId="3D0F0FF0">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Poland</w:t>
            </w:r>
          </w:p>
        </w:tc>
        <w:tc>
          <w:tcPr>
            <w:tcW w:w="271" w:type="pct"/>
            <w:tcBorders>
              <w:top w:val="nil"/>
              <w:left w:val="nil"/>
              <w:bottom w:val="nil"/>
              <w:right w:val="nil"/>
            </w:tcBorders>
            <w:shd w:val="clear" w:color="000000" w:fill="FFFFFF"/>
            <w:vAlign w:val="center"/>
          </w:tcPr>
          <w:p w14:paraId="05E34767">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Europe</w:t>
            </w:r>
          </w:p>
        </w:tc>
        <w:tc>
          <w:tcPr>
            <w:tcW w:w="298" w:type="pct"/>
            <w:tcBorders>
              <w:top w:val="nil"/>
              <w:left w:val="nil"/>
              <w:bottom w:val="nil"/>
              <w:right w:val="nil"/>
            </w:tcBorders>
            <w:shd w:val="clear" w:color="000000" w:fill="FFFFFF"/>
            <w:vAlign w:val="center"/>
          </w:tcPr>
          <w:p w14:paraId="7B36EC64">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18</w:t>
            </w:r>
          </w:p>
        </w:tc>
        <w:tc>
          <w:tcPr>
            <w:tcW w:w="314" w:type="pct"/>
            <w:tcBorders>
              <w:top w:val="nil"/>
              <w:left w:val="nil"/>
              <w:bottom w:val="nil"/>
              <w:right w:val="nil"/>
            </w:tcBorders>
            <w:shd w:val="clear" w:color="000000" w:fill="FFFFFF"/>
            <w:vAlign w:val="center"/>
          </w:tcPr>
          <w:p w14:paraId="0517BE74">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18/0</w:t>
            </w:r>
          </w:p>
        </w:tc>
        <w:tc>
          <w:tcPr>
            <w:tcW w:w="330" w:type="pct"/>
            <w:tcBorders>
              <w:top w:val="nil"/>
              <w:left w:val="nil"/>
              <w:bottom w:val="nil"/>
              <w:right w:val="nil"/>
            </w:tcBorders>
            <w:shd w:val="clear" w:color="000000" w:fill="FFFFFF"/>
            <w:vAlign w:val="center"/>
          </w:tcPr>
          <w:p w14:paraId="35E944C3">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Rower</w:t>
            </w:r>
          </w:p>
        </w:tc>
        <w:tc>
          <w:tcPr>
            <w:tcW w:w="495" w:type="pct"/>
            <w:tcBorders>
              <w:top w:val="nil"/>
              <w:left w:val="nil"/>
              <w:bottom w:val="nil"/>
              <w:right w:val="nil"/>
            </w:tcBorders>
            <w:shd w:val="clear" w:color="000000" w:fill="FFFFFF"/>
            <w:vAlign w:val="center"/>
          </w:tcPr>
          <w:p w14:paraId="50FFAA35">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Professional</w:t>
            </w:r>
          </w:p>
        </w:tc>
        <w:tc>
          <w:tcPr>
            <w:tcW w:w="397" w:type="pct"/>
            <w:tcBorders>
              <w:top w:val="nil"/>
              <w:left w:val="nil"/>
              <w:bottom w:val="nil"/>
              <w:right w:val="nil"/>
            </w:tcBorders>
            <w:shd w:val="clear" w:color="000000" w:fill="FFFFFF"/>
            <w:vAlign w:val="center"/>
          </w:tcPr>
          <w:p w14:paraId="7B318406">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28 days</w:t>
            </w:r>
          </w:p>
        </w:tc>
        <w:tc>
          <w:tcPr>
            <w:tcW w:w="716" w:type="pct"/>
            <w:tcBorders>
              <w:top w:val="nil"/>
              <w:left w:val="nil"/>
              <w:bottom w:val="nil"/>
              <w:right w:val="nil"/>
            </w:tcBorders>
            <w:shd w:val="clear" w:color="000000" w:fill="FFFFFF"/>
            <w:vAlign w:val="center"/>
          </w:tcPr>
          <w:p w14:paraId="35A2D30A">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20.5±1.41/21.2±0.71</w:t>
            </w:r>
          </w:p>
        </w:tc>
        <w:tc>
          <w:tcPr>
            <w:tcW w:w="333" w:type="pct"/>
            <w:tcBorders>
              <w:top w:val="nil"/>
              <w:left w:val="nil"/>
              <w:bottom w:val="nil"/>
              <w:right w:val="nil"/>
            </w:tcBorders>
            <w:shd w:val="clear" w:color="000000" w:fill="FFFFFF"/>
            <w:vAlign w:val="center"/>
          </w:tcPr>
          <w:p w14:paraId="04297ABF">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③④⑨</w:t>
            </w:r>
          </w:p>
        </w:tc>
        <w:tc>
          <w:tcPr>
            <w:tcW w:w="240" w:type="pct"/>
            <w:tcBorders>
              <w:top w:val="nil"/>
              <w:left w:val="nil"/>
              <w:bottom w:val="nil"/>
              <w:right w:val="nil"/>
            </w:tcBorders>
            <w:shd w:val="clear" w:color="auto" w:fill="auto"/>
            <w:vAlign w:val="center"/>
          </w:tcPr>
          <w:p w14:paraId="0CE5B656">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Parallel RCT</w:t>
            </w:r>
          </w:p>
        </w:tc>
      </w:tr>
      <w:tr w14:paraId="5B4E53B1">
        <w:tblPrEx>
          <w:tblCellMar>
            <w:top w:w="0" w:type="dxa"/>
            <w:left w:w="108" w:type="dxa"/>
            <w:bottom w:w="0" w:type="dxa"/>
            <w:right w:w="108" w:type="dxa"/>
          </w:tblCellMar>
        </w:tblPrEx>
        <w:trPr>
          <w:trHeight w:val="20" w:hRule="atLeast"/>
        </w:trPr>
        <w:tc>
          <w:tcPr>
            <w:tcW w:w="338" w:type="pct"/>
            <w:tcBorders>
              <w:top w:val="nil"/>
              <w:left w:val="nil"/>
              <w:bottom w:val="nil"/>
              <w:right w:val="nil"/>
            </w:tcBorders>
            <w:shd w:val="clear" w:color="000000" w:fill="FFFFFF"/>
            <w:vAlign w:val="center"/>
          </w:tcPr>
          <w:p w14:paraId="5018B467">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Nieman 2013</w:t>
            </w:r>
          </w:p>
        </w:tc>
        <w:tc>
          <w:tcPr>
            <w:tcW w:w="551" w:type="pct"/>
            <w:tcBorders>
              <w:top w:val="nil"/>
              <w:left w:val="nil"/>
              <w:bottom w:val="nil"/>
              <w:right w:val="nil"/>
            </w:tcBorders>
            <w:shd w:val="clear" w:color="000000" w:fill="FFFFFF"/>
            <w:vAlign w:val="center"/>
          </w:tcPr>
          <w:p w14:paraId="5ECDC588">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Polyphenol-Enriched Soy Protein Complex</w:t>
            </w:r>
          </w:p>
        </w:tc>
        <w:tc>
          <w:tcPr>
            <w:tcW w:w="485" w:type="pct"/>
            <w:tcBorders>
              <w:top w:val="nil"/>
              <w:left w:val="nil"/>
              <w:bottom w:val="nil"/>
              <w:right w:val="nil"/>
            </w:tcBorders>
            <w:shd w:val="clear" w:color="000000" w:fill="FFFFFF"/>
          </w:tcPr>
          <w:p w14:paraId="58EA8086">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Take 40 g of PSPC daily (containing 2,136 mg of gallic acid equivalent polyphenols, from blueberry and green tea extracts, mixed in a 3:1 ratio), divided into two doses (dissolved in 237 ml of water in the morning and at lunch).</w:t>
            </w:r>
          </w:p>
        </w:tc>
        <w:tc>
          <w:tcPr>
            <w:tcW w:w="226" w:type="pct"/>
            <w:tcBorders>
              <w:top w:val="nil"/>
              <w:left w:val="nil"/>
              <w:bottom w:val="nil"/>
              <w:right w:val="nil"/>
            </w:tcBorders>
            <w:shd w:val="clear" w:color="000000" w:fill="FFFFFF"/>
            <w:vAlign w:val="center"/>
          </w:tcPr>
          <w:p w14:paraId="171FE4C0">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USA</w:t>
            </w:r>
          </w:p>
        </w:tc>
        <w:tc>
          <w:tcPr>
            <w:tcW w:w="271" w:type="pct"/>
            <w:tcBorders>
              <w:top w:val="nil"/>
              <w:left w:val="nil"/>
              <w:bottom w:val="nil"/>
              <w:right w:val="nil"/>
            </w:tcBorders>
            <w:shd w:val="clear" w:color="000000" w:fill="FFFFFF"/>
            <w:vAlign w:val="center"/>
          </w:tcPr>
          <w:p w14:paraId="3D975445">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America</w:t>
            </w:r>
          </w:p>
        </w:tc>
        <w:tc>
          <w:tcPr>
            <w:tcW w:w="298" w:type="pct"/>
            <w:tcBorders>
              <w:top w:val="nil"/>
              <w:left w:val="nil"/>
              <w:bottom w:val="nil"/>
              <w:right w:val="nil"/>
            </w:tcBorders>
            <w:shd w:val="clear" w:color="000000" w:fill="FFFFFF"/>
            <w:vAlign w:val="center"/>
          </w:tcPr>
          <w:p w14:paraId="7188AF95">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31</w:t>
            </w:r>
          </w:p>
        </w:tc>
        <w:tc>
          <w:tcPr>
            <w:tcW w:w="314" w:type="pct"/>
            <w:tcBorders>
              <w:top w:val="nil"/>
              <w:left w:val="nil"/>
              <w:bottom w:val="nil"/>
              <w:right w:val="nil"/>
            </w:tcBorders>
            <w:shd w:val="clear" w:color="000000" w:fill="FFFFFF"/>
            <w:vAlign w:val="center"/>
          </w:tcPr>
          <w:p w14:paraId="23C4E323">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18/13</w:t>
            </w:r>
          </w:p>
        </w:tc>
        <w:tc>
          <w:tcPr>
            <w:tcW w:w="330" w:type="pct"/>
            <w:tcBorders>
              <w:top w:val="nil"/>
              <w:left w:val="nil"/>
              <w:bottom w:val="nil"/>
              <w:right w:val="nil"/>
            </w:tcBorders>
            <w:shd w:val="clear" w:color="000000" w:fill="FFFFFF"/>
            <w:vAlign w:val="center"/>
          </w:tcPr>
          <w:p w14:paraId="6C3EA59A">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Runner</w:t>
            </w:r>
          </w:p>
        </w:tc>
        <w:tc>
          <w:tcPr>
            <w:tcW w:w="495" w:type="pct"/>
            <w:tcBorders>
              <w:top w:val="nil"/>
              <w:left w:val="nil"/>
              <w:bottom w:val="nil"/>
              <w:right w:val="nil"/>
            </w:tcBorders>
            <w:shd w:val="clear" w:color="000000" w:fill="FFFFFF"/>
            <w:vAlign w:val="center"/>
          </w:tcPr>
          <w:p w14:paraId="3A6406CC">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Professional</w:t>
            </w:r>
          </w:p>
        </w:tc>
        <w:tc>
          <w:tcPr>
            <w:tcW w:w="397" w:type="pct"/>
            <w:tcBorders>
              <w:top w:val="nil"/>
              <w:left w:val="nil"/>
              <w:bottom w:val="nil"/>
              <w:right w:val="nil"/>
            </w:tcBorders>
            <w:shd w:val="clear" w:color="000000" w:fill="FFFFFF"/>
            <w:vAlign w:val="center"/>
          </w:tcPr>
          <w:p w14:paraId="2A6591B5">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17 days</w:t>
            </w:r>
          </w:p>
        </w:tc>
        <w:tc>
          <w:tcPr>
            <w:tcW w:w="716" w:type="pct"/>
            <w:tcBorders>
              <w:top w:val="nil"/>
              <w:left w:val="nil"/>
              <w:bottom w:val="nil"/>
              <w:right w:val="nil"/>
            </w:tcBorders>
            <w:shd w:val="clear" w:color="000000" w:fill="FFFFFF"/>
            <w:vAlign w:val="center"/>
          </w:tcPr>
          <w:p w14:paraId="15939F2E">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33.7±6.8/35.2±8.7</w:t>
            </w:r>
          </w:p>
        </w:tc>
        <w:tc>
          <w:tcPr>
            <w:tcW w:w="333" w:type="pct"/>
            <w:tcBorders>
              <w:top w:val="nil"/>
              <w:left w:val="nil"/>
              <w:bottom w:val="nil"/>
              <w:right w:val="nil"/>
            </w:tcBorders>
            <w:shd w:val="clear" w:color="000000" w:fill="FFFFFF"/>
            <w:vAlign w:val="center"/>
          </w:tcPr>
          <w:p w14:paraId="03EB9060">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⑥</w:t>
            </w:r>
          </w:p>
        </w:tc>
        <w:tc>
          <w:tcPr>
            <w:tcW w:w="240" w:type="pct"/>
            <w:tcBorders>
              <w:top w:val="nil"/>
              <w:left w:val="nil"/>
              <w:bottom w:val="nil"/>
              <w:right w:val="nil"/>
            </w:tcBorders>
            <w:shd w:val="clear" w:color="auto" w:fill="auto"/>
            <w:vAlign w:val="center"/>
          </w:tcPr>
          <w:p w14:paraId="41E7A337">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Parallel RCT</w:t>
            </w:r>
          </w:p>
        </w:tc>
      </w:tr>
      <w:tr w14:paraId="14E2444F">
        <w:tblPrEx>
          <w:tblCellMar>
            <w:top w:w="0" w:type="dxa"/>
            <w:left w:w="108" w:type="dxa"/>
            <w:bottom w:w="0" w:type="dxa"/>
            <w:right w:w="108" w:type="dxa"/>
          </w:tblCellMar>
        </w:tblPrEx>
        <w:trPr>
          <w:trHeight w:val="20" w:hRule="atLeast"/>
        </w:trPr>
        <w:tc>
          <w:tcPr>
            <w:tcW w:w="338" w:type="pct"/>
            <w:tcBorders>
              <w:top w:val="nil"/>
              <w:left w:val="nil"/>
              <w:bottom w:val="nil"/>
              <w:right w:val="nil"/>
            </w:tcBorders>
            <w:shd w:val="clear" w:color="000000" w:fill="FFFFFF"/>
            <w:vAlign w:val="center"/>
          </w:tcPr>
          <w:p w14:paraId="6FC0809E">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Łowińska-Lisowska 2014</w:t>
            </w:r>
          </w:p>
        </w:tc>
        <w:tc>
          <w:tcPr>
            <w:tcW w:w="551" w:type="pct"/>
            <w:tcBorders>
              <w:top w:val="nil"/>
              <w:left w:val="nil"/>
              <w:bottom w:val="nil"/>
              <w:right w:val="nil"/>
            </w:tcBorders>
            <w:shd w:val="clear" w:color="000000" w:fill="FFFFFF"/>
            <w:vAlign w:val="center"/>
          </w:tcPr>
          <w:p w14:paraId="471325BC">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L-Carnosine</w:t>
            </w:r>
          </w:p>
        </w:tc>
        <w:tc>
          <w:tcPr>
            <w:tcW w:w="485" w:type="pct"/>
            <w:tcBorders>
              <w:top w:val="nil"/>
              <w:left w:val="nil"/>
              <w:bottom w:val="nil"/>
              <w:right w:val="nil"/>
            </w:tcBorders>
            <w:shd w:val="clear" w:color="000000" w:fill="FFFFFF"/>
          </w:tcPr>
          <w:p w14:paraId="052103B1">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Take 2 g twice a day (a total of 4 g/ day)</w:t>
            </w:r>
          </w:p>
        </w:tc>
        <w:tc>
          <w:tcPr>
            <w:tcW w:w="226" w:type="pct"/>
            <w:tcBorders>
              <w:top w:val="nil"/>
              <w:left w:val="nil"/>
              <w:bottom w:val="nil"/>
              <w:right w:val="nil"/>
            </w:tcBorders>
            <w:shd w:val="clear" w:color="000000" w:fill="FFFFFF"/>
            <w:vAlign w:val="center"/>
          </w:tcPr>
          <w:p w14:paraId="449B6C59">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Poland</w:t>
            </w:r>
          </w:p>
        </w:tc>
        <w:tc>
          <w:tcPr>
            <w:tcW w:w="271" w:type="pct"/>
            <w:tcBorders>
              <w:top w:val="nil"/>
              <w:left w:val="nil"/>
              <w:bottom w:val="nil"/>
              <w:right w:val="nil"/>
            </w:tcBorders>
            <w:shd w:val="clear" w:color="000000" w:fill="FFFFFF"/>
            <w:vAlign w:val="center"/>
          </w:tcPr>
          <w:p w14:paraId="19985E03">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Europe</w:t>
            </w:r>
          </w:p>
        </w:tc>
        <w:tc>
          <w:tcPr>
            <w:tcW w:w="298" w:type="pct"/>
            <w:tcBorders>
              <w:top w:val="nil"/>
              <w:left w:val="nil"/>
              <w:bottom w:val="nil"/>
              <w:right w:val="nil"/>
            </w:tcBorders>
            <w:shd w:val="clear" w:color="000000" w:fill="FFFFFF"/>
            <w:vAlign w:val="center"/>
          </w:tcPr>
          <w:p w14:paraId="055B5E1A">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14</w:t>
            </w:r>
          </w:p>
        </w:tc>
        <w:tc>
          <w:tcPr>
            <w:tcW w:w="314" w:type="pct"/>
            <w:tcBorders>
              <w:top w:val="nil"/>
              <w:left w:val="nil"/>
              <w:bottom w:val="nil"/>
              <w:right w:val="nil"/>
            </w:tcBorders>
            <w:shd w:val="clear" w:color="000000" w:fill="FFFFFF"/>
            <w:vAlign w:val="center"/>
          </w:tcPr>
          <w:p w14:paraId="1D35CA16">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14/0</w:t>
            </w:r>
          </w:p>
        </w:tc>
        <w:tc>
          <w:tcPr>
            <w:tcW w:w="330" w:type="pct"/>
            <w:tcBorders>
              <w:top w:val="nil"/>
              <w:left w:val="nil"/>
              <w:bottom w:val="nil"/>
              <w:right w:val="nil"/>
            </w:tcBorders>
            <w:shd w:val="clear" w:color="000000" w:fill="FFFFFF"/>
            <w:vAlign w:val="center"/>
          </w:tcPr>
          <w:p w14:paraId="300B51E1">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Rower</w:t>
            </w:r>
          </w:p>
        </w:tc>
        <w:tc>
          <w:tcPr>
            <w:tcW w:w="495" w:type="pct"/>
            <w:tcBorders>
              <w:top w:val="nil"/>
              <w:left w:val="nil"/>
              <w:bottom w:val="nil"/>
              <w:right w:val="nil"/>
            </w:tcBorders>
            <w:shd w:val="clear" w:color="000000" w:fill="FFFFFF"/>
            <w:vAlign w:val="center"/>
          </w:tcPr>
          <w:p w14:paraId="3D51046C">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Professional</w:t>
            </w:r>
          </w:p>
        </w:tc>
        <w:tc>
          <w:tcPr>
            <w:tcW w:w="397" w:type="pct"/>
            <w:tcBorders>
              <w:top w:val="nil"/>
              <w:left w:val="nil"/>
              <w:bottom w:val="nil"/>
              <w:right w:val="nil"/>
            </w:tcBorders>
            <w:shd w:val="clear" w:color="000000" w:fill="FFFFFF"/>
            <w:vAlign w:val="center"/>
          </w:tcPr>
          <w:p w14:paraId="68237B59">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14 days</w:t>
            </w:r>
          </w:p>
        </w:tc>
        <w:tc>
          <w:tcPr>
            <w:tcW w:w="716" w:type="pct"/>
            <w:tcBorders>
              <w:top w:val="nil"/>
              <w:left w:val="nil"/>
              <w:bottom w:val="nil"/>
              <w:right w:val="nil"/>
            </w:tcBorders>
            <w:shd w:val="clear" w:color="000000" w:fill="FFFFFF"/>
            <w:vAlign w:val="center"/>
          </w:tcPr>
          <w:p w14:paraId="343FF68D">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20.7±1.1/21.7±1.60</w:t>
            </w:r>
          </w:p>
        </w:tc>
        <w:tc>
          <w:tcPr>
            <w:tcW w:w="333" w:type="pct"/>
            <w:tcBorders>
              <w:top w:val="nil"/>
              <w:left w:val="nil"/>
              <w:bottom w:val="nil"/>
              <w:right w:val="nil"/>
            </w:tcBorders>
            <w:shd w:val="clear" w:color="000000" w:fill="FFFFFF"/>
            <w:vAlign w:val="center"/>
          </w:tcPr>
          <w:p w14:paraId="098B0DEC">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宋体" w:cs="Times New Roman"/>
                <w:sz w:val="22"/>
                <w:szCs w:val="22"/>
              </w:rPr>
              <w:t>④</w:t>
            </w:r>
            <w:r>
              <w:rPr>
                <w:rFonts w:hint="default" w:ascii="Times New Roman" w:hAnsi="Times New Roman" w:cs="Times New Roman"/>
                <w:sz w:val="22"/>
                <w:szCs w:val="22"/>
              </w:rPr>
              <w:t>⑤</w:t>
            </w:r>
            <w:r>
              <w:rPr>
                <w:rFonts w:hint="default" w:ascii="Times New Roman" w:hAnsi="Times New Roman" w:eastAsia="宋体" w:cs="Times New Roman"/>
                <w:sz w:val="22"/>
                <w:szCs w:val="22"/>
              </w:rPr>
              <w:t>⑧</w:t>
            </w:r>
          </w:p>
        </w:tc>
        <w:tc>
          <w:tcPr>
            <w:tcW w:w="240" w:type="pct"/>
            <w:tcBorders>
              <w:top w:val="nil"/>
              <w:left w:val="nil"/>
              <w:bottom w:val="nil"/>
              <w:right w:val="nil"/>
            </w:tcBorders>
            <w:shd w:val="clear" w:color="auto" w:fill="auto"/>
            <w:vAlign w:val="center"/>
          </w:tcPr>
          <w:p w14:paraId="70115B81">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Cross-Over RCT</w:t>
            </w:r>
          </w:p>
        </w:tc>
      </w:tr>
      <w:tr w14:paraId="73EB8D00">
        <w:tblPrEx>
          <w:tblCellMar>
            <w:top w:w="0" w:type="dxa"/>
            <w:left w:w="108" w:type="dxa"/>
            <w:bottom w:w="0" w:type="dxa"/>
            <w:right w:w="108" w:type="dxa"/>
          </w:tblCellMar>
        </w:tblPrEx>
        <w:trPr>
          <w:trHeight w:val="20" w:hRule="atLeast"/>
        </w:trPr>
        <w:tc>
          <w:tcPr>
            <w:tcW w:w="338" w:type="pct"/>
            <w:tcBorders>
              <w:top w:val="nil"/>
              <w:left w:val="nil"/>
              <w:bottom w:val="nil"/>
              <w:right w:val="nil"/>
            </w:tcBorders>
            <w:shd w:val="clear" w:color="000000" w:fill="FFFFFF"/>
            <w:vAlign w:val="center"/>
          </w:tcPr>
          <w:p w14:paraId="4763504F">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Trinity 2014</w:t>
            </w:r>
          </w:p>
        </w:tc>
        <w:tc>
          <w:tcPr>
            <w:tcW w:w="551" w:type="pct"/>
            <w:tcBorders>
              <w:top w:val="nil"/>
              <w:left w:val="nil"/>
              <w:bottom w:val="nil"/>
              <w:right w:val="nil"/>
            </w:tcBorders>
            <w:shd w:val="clear" w:color="000000" w:fill="FFFFFF"/>
            <w:vAlign w:val="center"/>
          </w:tcPr>
          <w:p w14:paraId="480CB6B9">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Polyphenolic Antioxidants</w:t>
            </w:r>
          </w:p>
        </w:tc>
        <w:tc>
          <w:tcPr>
            <w:tcW w:w="485" w:type="pct"/>
            <w:tcBorders>
              <w:top w:val="nil"/>
              <w:left w:val="nil"/>
              <w:bottom w:val="nil"/>
              <w:right w:val="nil"/>
            </w:tcBorders>
            <w:shd w:val="clear" w:color="000000" w:fill="FFFFFF"/>
          </w:tcPr>
          <w:p w14:paraId="6FE59E3C">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Take 500 mL of Polyphenolic Antioxidants twice a day for 7 consecutive days. Take the last dose 30 minutes before the test.</w:t>
            </w:r>
          </w:p>
        </w:tc>
        <w:tc>
          <w:tcPr>
            <w:tcW w:w="226" w:type="pct"/>
            <w:tcBorders>
              <w:top w:val="nil"/>
              <w:left w:val="nil"/>
              <w:bottom w:val="nil"/>
              <w:right w:val="nil"/>
            </w:tcBorders>
            <w:shd w:val="clear" w:color="000000" w:fill="FFFFFF"/>
            <w:vAlign w:val="center"/>
          </w:tcPr>
          <w:p w14:paraId="2ACAB0BF">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USA</w:t>
            </w:r>
          </w:p>
        </w:tc>
        <w:tc>
          <w:tcPr>
            <w:tcW w:w="271" w:type="pct"/>
            <w:tcBorders>
              <w:top w:val="nil"/>
              <w:left w:val="nil"/>
              <w:bottom w:val="nil"/>
              <w:right w:val="nil"/>
            </w:tcBorders>
            <w:shd w:val="clear" w:color="000000" w:fill="FFFFFF"/>
            <w:vAlign w:val="center"/>
          </w:tcPr>
          <w:p w14:paraId="3CEB6B8D">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America</w:t>
            </w:r>
          </w:p>
        </w:tc>
        <w:tc>
          <w:tcPr>
            <w:tcW w:w="298" w:type="pct"/>
            <w:tcBorders>
              <w:top w:val="nil"/>
              <w:left w:val="nil"/>
              <w:bottom w:val="nil"/>
              <w:right w:val="nil"/>
            </w:tcBorders>
            <w:shd w:val="clear" w:color="000000" w:fill="FFFFFF"/>
            <w:vAlign w:val="center"/>
          </w:tcPr>
          <w:p w14:paraId="2E89C3BC">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12</w:t>
            </w:r>
          </w:p>
        </w:tc>
        <w:tc>
          <w:tcPr>
            <w:tcW w:w="314" w:type="pct"/>
            <w:tcBorders>
              <w:top w:val="nil"/>
              <w:left w:val="nil"/>
              <w:bottom w:val="nil"/>
              <w:right w:val="nil"/>
            </w:tcBorders>
            <w:shd w:val="clear" w:color="000000" w:fill="FFFFFF"/>
            <w:vAlign w:val="center"/>
          </w:tcPr>
          <w:p w14:paraId="7626D005">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12/0</w:t>
            </w:r>
          </w:p>
        </w:tc>
        <w:tc>
          <w:tcPr>
            <w:tcW w:w="330" w:type="pct"/>
            <w:tcBorders>
              <w:top w:val="nil"/>
              <w:left w:val="nil"/>
              <w:bottom w:val="nil"/>
              <w:right w:val="nil"/>
            </w:tcBorders>
            <w:shd w:val="clear" w:color="000000" w:fill="FFFFFF"/>
            <w:vAlign w:val="center"/>
          </w:tcPr>
          <w:p w14:paraId="1595A191">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Endurance training athlete</w:t>
            </w:r>
          </w:p>
        </w:tc>
        <w:tc>
          <w:tcPr>
            <w:tcW w:w="495" w:type="pct"/>
            <w:tcBorders>
              <w:top w:val="nil"/>
              <w:left w:val="nil"/>
              <w:bottom w:val="nil"/>
              <w:right w:val="nil"/>
            </w:tcBorders>
            <w:shd w:val="clear" w:color="000000" w:fill="FFFFFF"/>
            <w:vAlign w:val="center"/>
          </w:tcPr>
          <w:p w14:paraId="2863F1AC">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Professional</w:t>
            </w:r>
          </w:p>
        </w:tc>
        <w:tc>
          <w:tcPr>
            <w:tcW w:w="397" w:type="pct"/>
            <w:tcBorders>
              <w:top w:val="nil"/>
              <w:left w:val="nil"/>
              <w:bottom w:val="nil"/>
              <w:right w:val="nil"/>
            </w:tcBorders>
            <w:shd w:val="clear" w:color="000000" w:fill="FFFFFF"/>
            <w:vAlign w:val="center"/>
          </w:tcPr>
          <w:p w14:paraId="1D3B1D97">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7 days</w:t>
            </w:r>
          </w:p>
        </w:tc>
        <w:tc>
          <w:tcPr>
            <w:tcW w:w="716" w:type="pct"/>
            <w:tcBorders>
              <w:top w:val="nil"/>
              <w:left w:val="nil"/>
              <w:bottom w:val="nil"/>
              <w:right w:val="nil"/>
            </w:tcBorders>
            <w:shd w:val="clear" w:color="000000" w:fill="FFFFFF"/>
            <w:vAlign w:val="center"/>
          </w:tcPr>
          <w:p w14:paraId="7FEAF5FB">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26.8±5.0</w:t>
            </w:r>
          </w:p>
        </w:tc>
        <w:tc>
          <w:tcPr>
            <w:tcW w:w="333" w:type="pct"/>
            <w:tcBorders>
              <w:top w:val="nil"/>
              <w:left w:val="nil"/>
              <w:bottom w:val="nil"/>
              <w:right w:val="nil"/>
            </w:tcBorders>
            <w:shd w:val="clear" w:color="000000" w:fill="FFFFFF"/>
            <w:vAlign w:val="center"/>
          </w:tcPr>
          <w:p w14:paraId="76225EF2">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⑤</w:t>
            </w:r>
          </w:p>
        </w:tc>
        <w:tc>
          <w:tcPr>
            <w:tcW w:w="240" w:type="pct"/>
            <w:tcBorders>
              <w:top w:val="nil"/>
              <w:left w:val="nil"/>
              <w:bottom w:val="nil"/>
              <w:right w:val="nil"/>
            </w:tcBorders>
            <w:shd w:val="clear" w:color="auto" w:fill="auto"/>
            <w:vAlign w:val="center"/>
          </w:tcPr>
          <w:p w14:paraId="747DFA75">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Cross-Over RCT</w:t>
            </w:r>
          </w:p>
        </w:tc>
      </w:tr>
      <w:tr w14:paraId="22875829">
        <w:tblPrEx>
          <w:tblCellMar>
            <w:top w:w="0" w:type="dxa"/>
            <w:left w:w="108" w:type="dxa"/>
            <w:bottom w:w="0" w:type="dxa"/>
            <w:right w:w="108" w:type="dxa"/>
          </w:tblCellMar>
        </w:tblPrEx>
        <w:trPr>
          <w:trHeight w:val="20" w:hRule="atLeast"/>
        </w:trPr>
        <w:tc>
          <w:tcPr>
            <w:tcW w:w="338" w:type="pct"/>
            <w:tcBorders>
              <w:top w:val="nil"/>
              <w:left w:val="nil"/>
              <w:bottom w:val="nil"/>
              <w:right w:val="nil"/>
            </w:tcBorders>
            <w:shd w:val="clear" w:color="000000" w:fill="FFFFFF"/>
            <w:vAlign w:val="center"/>
          </w:tcPr>
          <w:p w14:paraId="2E8D2BB7">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Verazaluce 2015</w:t>
            </w:r>
          </w:p>
        </w:tc>
        <w:tc>
          <w:tcPr>
            <w:tcW w:w="551" w:type="pct"/>
            <w:tcBorders>
              <w:top w:val="nil"/>
              <w:left w:val="nil"/>
              <w:bottom w:val="nil"/>
              <w:right w:val="nil"/>
            </w:tcBorders>
            <w:shd w:val="clear" w:color="000000" w:fill="FFFFFF"/>
            <w:vAlign w:val="center"/>
          </w:tcPr>
          <w:p w14:paraId="78D2E8EA">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Phlebodium decumanum / Phlebodium decumanum + Coenzyme Q10</w:t>
            </w:r>
          </w:p>
        </w:tc>
        <w:tc>
          <w:tcPr>
            <w:tcW w:w="485" w:type="pct"/>
            <w:tcBorders>
              <w:top w:val="nil"/>
              <w:left w:val="nil"/>
              <w:bottom w:val="nil"/>
              <w:right w:val="nil"/>
            </w:tcBorders>
            <w:shd w:val="clear" w:color="000000" w:fill="FFFFFF"/>
          </w:tcPr>
          <w:p w14:paraId="7856E9A0">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Experimental Group 1 (GE1), training + Phlebodium decumanum (4 capsules per day, 400mg per capsule); Experimental Group 2 (GE2), training + Phlebodium decumanum (the same as GE1) + Coenzyme Q10 (4 capsules per day, 30mg per capsule) |</w:t>
            </w:r>
          </w:p>
        </w:tc>
        <w:tc>
          <w:tcPr>
            <w:tcW w:w="226" w:type="pct"/>
            <w:tcBorders>
              <w:top w:val="nil"/>
              <w:left w:val="nil"/>
              <w:bottom w:val="nil"/>
              <w:right w:val="nil"/>
            </w:tcBorders>
            <w:shd w:val="clear" w:color="000000" w:fill="FFFFFF"/>
            <w:vAlign w:val="center"/>
          </w:tcPr>
          <w:p w14:paraId="4E3E4641">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Spain</w:t>
            </w:r>
          </w:p>
        </w:tc>
        <w:tc>
          <w:tcPr>
            <w:tcW w:w="271" w:type="pct"/>
            <w:tcBorders>
              <w:top w:val="nil"/>
              <w:left w:val="nil"/>
              <w:bottom w:val="nil"/>
              <w:right w:val="nil"/>
            </w:tcBorders>
            <w:shd w:val="clear" w:color="000000" w:fill="FFFFFF"/>
            <w:vAlign w:val="center"/>
          </w:tcPr>
          <w:p w14:paraId="4619FF29">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Europe</w:t>
            </w:r>
          </w:p>
        </w:tc>
        <w:tc>
          <w:tcPr>
            <w:tcW w:w="298" w:type="pct"/>
            <w:tcBorders>
              <w:top w:val="nil"/>
              <w:left w:val="nil"/>
              <w:bottom w:val="nil"/>
              <w:right w:val="nil"/>
            </w:tcBorders>
            <w:shd w:val="clear" w:color="000000" w:fill="FFFFFF"/>
            <w:vAlign w:val="center"/>
          </w:tcPr>
          <w:p w14:paraId="6E5E8FAC">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30</w:t>
            </w:r>
          </w:p>
        </w:tc>
        <w:tc>
          <w:tcPr>
            <w:tcW w:w="314" w:type="pct"/>
            <w:tcBorders>
              <w:top w:val="nil"/>
              <w:left w:val="nil"/>
              <w:bottom w:val="nil"/>
              <w:right w:val="nil"/>
            </w:tcBorders>
            <w:shd w:val="clear" w:color="000000" w:fill="FFFFFF"/>
            <w:vAlign w:val="center"/>
          </w:tcPr>
          <w:p w14:paraId="3CBABA23">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30/0</w:t>
            </w:r>
          </w:p>
        </w:tc>
        <w:tc>
          <w:tcPr>
            <w:tcW w:w="330" w:type="pct"/>
            <w:tcBorders>
              <w:top w:val="nil"/>
              <w:left w:val="nil"/>
              <w:bottom w:val="nil"/>
              <w:right w:val="nil"/>
            </w:tcBorders>
            <w:shd w:val="clear" w:color="000000" w:fill="FFFFFF"/>
            <w:vAlign w:val="center"/>
          </w:tcPr>
          <w:p w14:paraId="6F80A346">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Volleyball player</w:t>
            </w:r>
          </w:p>
        </w:tc>
        <w:tc>
          <w:tcPr>
            <w:tcW w:w="495" w:type="pct"/>
            <w:tcBorders>
              <w:top w:val="nil"/>
              <w:left w:val="nil"/>
              <w:bottom w:val="nil"/>
              <w:right w:val="nil"/>
            </w:tcBorders>
            <w:shd w:val="clear" w:color="000000" w:fill="FFFFFF"/>
            <w:vAlign w:val="center"/>
          </w:tcPr>
          <w:p w14:paraId="3504A725">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Professional</w:t>
            </w:r>
          </w:p>
        </w:tc>
        <w:tc>
          <w:tcPr>
            <w:tcW w:w="397" w:type="pct"/>
            <w:tcBorders>
              <w:top w:val="nil"/>
              <w:left w:val="nil"/>
              <w:bottom w:val="nil"/>
              <w:right w:val="nil"/>
            </w:tcBorders>
            <w:shd w:val="clear" w:color="000000" w:fill="FFFFFF"/>
            <w:vAlign w:val="center"/>
          </w:tcPr>
          <w:p w14:paraId="0E8D13E1">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28 days</w:t>
            </w:r>
          </w:p>
        </w:tc>
        <w:tc>
          <w:tcPr>
            <w:tcW w:w="716" w:type="pct"/>
            <w:tcBorders>
              <w:top w:val="nil"/>
              <w:left w:val="nil"/>
              <w:bottom w:val="nil"/>
              <w:right w:val="nil"/>
            </w:tcBorders>
            <w:shd w:val="clear" w:color="000000" w:fill="FFFFFF"/>
            <w:vAlign w:val="center"/>
          </w:tcPr>
          <w:p w14:paraId="5540659F">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26.6±2.37/25.5±2.55/25.2±/2.15</w:t>
            </w:r>
          </w:p>
        </w:tc>
        <w:tc>
          <w:tcPr>
            <w:tcW w:w="333" w:type="pct"/>
            <w:tcBorders>
              <w:top w:val="nil"/>
              <w:left w:val="nil"/>
              <w:bottom w:val="nil"/>
              <w:right w:val="nil"/>
            </w:tcBorders>
            <w:shd w:val="clear" w:color="000000" w:fill="FFFFFF"/>
            <w:vAlign w:val="center"/>
          </w:tcPr>
          <w:p w14:paraId="0A82BFEA">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⑤⑦</w:t>
            </w:r>
          </w:p>
        </w:tc>
        <w:tc>
          <w:tcPr>
            <w:tcW w:w="240" w:type="pct"/>
            <w:tcBorders>
              <w:top w:val="nil"/>
              <w:left w:val="nil"/>
              <w:bottom w:val="nil"/>
              <w:right w:val="nil"/>
            </w:tcBorders>
            <w:shd w:val="clear" w:color="auto" w:fill="auto"/>
            <w:vAlign w:val="center"/>
          </w:tcPr>
          <w:p w14:paraId="77A93470">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Parallel RCT</w:t>
            </w:r>
          </w:p>
        </w:tc>
      </w:tr>
      <w:tr w14:paraId="078419A6">
        <w:tblPrEx>
          <w:tblCellMar>
            <w:top w:w="0" w:type="dxa"/>
            <w:left w:w="108" w:type="dxa"/>
            <w:bottom w:w="0" w:type="dxa"/>
            <w:right w:w="108" w:type="dxa"/>
          </w:tblCellMar>
        </w:tblPrEx>
        <w:trPr>
          <w:trHeight w:val="20" w:hRule="atLeast"/>
        </w:trPr>
        <w:tc>
          <w:tcPr>
            <w:tcW w:w="338" w:type="pct"/>
            <w:tcBorders>
              <w:top w:val="nil"/>
              <w:left w:val="nil"/>
              <w:bottom w:val="nil"/>
              <w:right w:val="nil"/>
            </w:tcBorders>
            <w:shd w:val="clear" w:color="000000" w:fill="FFFFFF"/>
            <w:vAlign w:val="center"/>
          </w:tcPr>
          <w:p w14:paraId="3D4DD6BD">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Busquets-Cortés 2016</w:t>
            </w:r>
          </w:p>
        </w:tc>
        <w:tc>
          <w:tcPr>
            <w:tcW w:w="551" w:type="pct"/>
            <w:tcBorders>
              <w:top w:val="nil"/>
              <w:left w:val="nil"/>
              <w:bottom w:val="nil"/>
              <w:right w:val="nil"/>
            </w:tcBorders>
            <w:shd w:val="clear" w:color="000000" w:fill="FFFFFF"/>
            <w:vAlign w:val="center"/>
          </w:tcPr>
          <w:p w14:paraId="6E33F330">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Docosahexaenoic Acid (DHA, 1.14g/day)</w:t>
            </w:r>
          </w:p>
        </w:tc>
        <w:tc>
          <w:tcPr>
            <w:tcW w:w="485" w:type="pct"/>
            <w:tcBorders>
              <w:top w:val="nil"/>
              <w:left w:val="nil"/>
              <w:bottom w:val="nil"/>
              <w:right w:val="nil"/>
            </w:tcBorders>
            <w:shd w:val="clear" w:color="000000" w:fill="FFFFFF"/>
          </w:tcPr>
          <w:p w14:paraId="6E683368">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1 L/day almond beverage (containing 0.2% DHA-S+0.6% olive oil, with the remaining ingredients being the same as placebo.</w:t>
            </w:r>
          </w:p>
        </w:tc>
        <w:tc>
          <w:tcPr>
            <w:tcW w:w="226" w:type="pct"/>
            <w:tcBorders>
              <w:top w:val="nil"/>
              <w:left w:val="nil"/>
              <w:bottom w:val="nil"/>
              <w:right w:val="nil"/>
            </w:tcBorders>
            <w:shd w:val="clear" w:color="000000" w:fill="FFFFFF"/>
            <w:vAlign w:val="center"/>
          </w:tcPr>
          <w:p w14:paraId="5A05732B">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Spain</w:t>
            </w:r>
          </w:p>
        </w:tc>
        <w:tc>
          <w:tcPr>
            <w:tcW w:w="271" w:type="pct"/>
            <w:tcBorders>
              <w:top w:val="nil"/>
              <w:left w:val="nil"/>
              <w:bottom w:val="nil"/>
              <w:right w:val="nil"/>
            </w:tcBorders>
            <w:shd w:val="clear" w:color="000000" w:fill="FFFFFF"/>
            <w:vAlign w:val="center"/>
          </w:tcPr>
          <w:p w14:paraId="1E2026D8">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Europe</w:t>
            </w:r>
          </w:p>
        </w:tc>
        <w:tc>
          <w:tcPr>
            <w:tcW w:w="298" w:type="pct"/>
            <w:tcBorders>
              <w:top w:val="nil"/>
              <w:left w:val="nil"/>
              <w:bottom w:val="nil"/>
              <w:right w:val="nil"/>
            </w:tcBorders>
            <w:shd w:val="clear" w:color="000000" w:fill="FFFFFF"/>
            <w:vAlign w:val="center"/>
          </w:tcPr>
          <w:p w14:paraId="527EE75D">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16</w:t>
            </w:r>
          </w:p>
        </w:tc>
        <w:tc>
          <w:tcPr>
            <w:tcW w:w="314" w:type="pct"/>
            <w:tcBorders>
              <w:top w:val="nil"/>
              <w:left w:val="nil"/>
              <w:bottom w:val="nil"/>
              <w:right w:val="nil"/>
            </w:tcBorders>
            <w:shd w:val="clear" w:color="000000" w:fill="FFFFFF"/>
            <w:vAlign w:val="center"/>
          </w:tcPr>
          <w:p w14:paraId="697EABC8">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16/0</w:t>
            </w:r>
          </w:p>
        </w:tc>
        <w:tc>
          <w:tcPr>
            <w:tcW w:w="330" w:type="pct"/>
            <w:tcBorders>
              <w:top w:val="nil"/>
              <w:left w:val="nil"/>
              <w:bottom w:val="nil"/>
              <w:right w:val="nil"/>
            </w:tcBorders>
            <w:shd w:val="clear" w:color="000000" w:fill="FFFFFF"/>
            <w:vAlign w:val="center"/>
          </w:tcPr>
          <w:p w14:paraId="4495AF67">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Footballer</w:t>
            </w:r>
          </w:p>
        </w:tc>
        <w:tc>
          <w:tcPr>
            <w:tcW w:w="495" w:type="pct"/>
            <w:tcBorders>
              <w:top w:val="nil"/>
              <w:left w:val="nil"/>
              <w:bottom w:val="nil"/>
              <w:right w:val="nil"/>
            </w:tcBorders>
            <w:shd w:val="clear" w:color="000000" w:fill="FFFFFF"/>
            <w:vAlign w:val="center"/>
          </w:tcPr>
          <w:p w14:paraId="3D76CACD">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Professional</w:t>
            </w:r>
          </w:p>
        </w:tc>
        <w:tc>
          <w:tcPr>
            <w:tcW w:w="397" w:type="pct"/>
            <w:tcBorders>
              <w:top w:val="nil"/>
              <w:left w:val="nil"/>
              <w:bottom w:val="nil"/>
              <w:right w:val="nil"/>
            </w:tcBorders>
            <w:shd w:val="clear" w:color="000000" w:fill="FFFFFF"/>
            <w:vAlign w:val="center"/>
          </w:tcPr>
          <w:p w14:paraId="114EDFC9">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56 days</w:t>
            </w:r>
          </w:p>
        </w:tc>
        <w:tc>
          <w:tcPr>
            <w:tcW w:w="716" w:type="pct"/>
            <w:tcBorders>
              <w:top w:val="nil"/>
              <w:left w:val="nil"/>
              <w:bottom w:val="nil"/>
              <w:right w:val="nil"/>
            </w:tcBorders>
            <w:shd w:val="clear" w:color="000000" w:fill="FFFFFF"/>
            <w:vAlign w:val="center"/>
          </w:tcPr>
          <w:p w14:paraId="19EBD62C">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26.6±2.37/ 25.5±2.55</w:t>
            </w:r>
          </w:p>
        </w:tc>
        <w:tc>
          <w:tcPr>
            <w:tcW w:w="333" w:type="pct"/>
            <w:tcBorders>
              <w:top w:val="nil"/>
              <w:left w:val="nil"/>
              <w:bottom w:val="nil"/>
              <w:right w:val="nil"/>
            </w:tcBorders>
            <w:shd w:val="clear" w:color="000000" w:fill="FFFFFF"/>
            <w:vAlign w:val="center"/>
          </w:tcPr>
          <w:p w14:paraId="59E6811B">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⑥</w:t>
            </w:r>
          </w:p>
        </w:tc>
        <w:tc>
          <w:tcPr>
            <w:tcW w:w="240" w:type="pct"/>
            <w:tcBorders>
              <w:top w:val="nil"/>
              <w:left w:val="nil"/>
              <w:bottom w:val="nil"/>
              <w:right w:val="nil"/>
            </w:tcBorders>
            <w:shd w:val="clear" w:color="auto" w:fill="auto"/>
            <w:vAlign w:val="center"/>
          </w:tcPr>
          <w:p w14:paraId="0A36AC71">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Parallel RCT</w:t>
            </w:r>
          </w:p>
        </w:tc>
      </w:tr>
      <w:tr w14:paraId="5CD7F269">
        <w:tblPrEx>
          <w:tblCellMar>
            <w:top w:w="0" w:type="dxa"/>
            <w:left w:w="108" w:type="dxa"/>
            <w:bottom w:w="0" w:type="dxa"/>
            <w:right w:w="108" w:type="dxa"/>
          </w:tblCellMar>
        </w:tblPrEx>
        <w:trPr>
          <w:trHeight w:val="20" w:hRule="atLeast"/>
        </w:trPr>
        <w:tc>
          <w:tcPr>
            <w:tcW w:w="338" w:type="pct"/>
            <w:tcBorders>
              <w:top w:val="nil"/>
              <w:left w:val="nil"/>
              <w:bottom w:val="nil"/>
              <w:right w:val="nil"/>
            </w:tcBorders>
            <w:shd w:val="clear" w:color="000000" w:fill="FFFFFF"/>
            <w:vAlign w:val="center"/>
          </w:tcPr>
          <w:p w14:paraId="0D1DEE23">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Jastrzebski 2016</w:t>
            </w:r>
          </w:p>
        </w:tc>
        <w:tc>
          <w:tcPr>
            <w:tcW w:w="551" w:type="pct"/>
            <w:tcBorders>
              <w:top w:val="nil"/>
              <w:left w:val="nil"/>
              <w:bottom w:val="nil"/>
              <w:right w:val="nil"/>
            </w:tcBorders>
            <w:shd w:val="clear" w:color="000000" w:fill="FFFFFF"/>
            <w:vAlign w:val="center"/>
          </w:tcPr>
          <w:p w14:paraId="504569D7">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Vitamin D</w:t>
            </w:r>
          </w:p>
        </w:tc>
        <w:tc>
          <w:tcPr>
            <w:tcW w:w="485" w:type="pct"/>
            <w:tcBorders>
              <w:top w:val="nil"/>
              <w:left w:val="nil"/>
              <w:bottom w:val="nil"/>
              <w:right w:val="nil"/>
            </w:tcBorders>
            <w:shd w:val="clear" w:color="000000" w:fill="FFFFFF"/>
          </w:tcPr>
          <w:p w14:paraId="11FA2EA1">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10 drops of Vigantol (about 5000 IU of vitamin D) daily</w:t>
            </w:r>
          </w:p>
        </w:tc>
        <w:tc>
          <w:tcPr>
            <w:tcW w:w="226" w:type="pct"/>
            <w:tcBorders>
              <w:top w:val="nil"/>
              <w:left w:val="nil"/>
              <w:bottom w:val="nil"/>
              <w:right w:val="nil"/>
            </w:tcBorders>
            <w:shd w:val="clear" w:color="000000" w:fill="FFFFFF"/>
            <w:vAlign w:val="center"/>
          </w:tcPr>
          <w:p w14:paraId="45DBA1F1">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Poland</w:t>
            </w:r>
          </w:p>
        </w:tc>
        <w:tc>
          <w:tcPr>
            <w:tcW w:w="271" w:type="pct"/>
            <w:tcBorders>
              <w:top w:val="nil"/>
              <w:left w:val="nil"/>
              <w:bottom w:val="nil"/>
              <w:right w:val="nil"/>
            </w:tcBorders>
            <w:shd w:val="clear" w:color="000000" w:fill="FFFFFF"/>
            <w:vAlign w:val="center"/>
          </w:tcPr>
          <w:p w14:paraId="15E07105">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Europe</w:t>
            </w:r>
          </w:p>
        </w:tc>
        <w:tc>
          <w:tcPr>
            <w:tcW w:w="298" w:type="pct"/>
            <w:tcBorders>
              <w:top w:val="nil"/>
              <w:left w:val="nil"/>
              <w:bottom w:val="nil"/>
              <w:right w:val="nil"/>
            </w:tcBorders>
            <w:shd w:val="clear" w:color="000000" w:fill="FFFFFF"/>
            <w:vAlign w:val="center"/>
          </w:tcPr>
          <w:p w14:paraId="5E5C97D1">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16</w:t>
            </w:r>
          </w:p>
        </w:tc>
        <w:tc>
          <w:tcPr>
            <w:tcW w:w="314" w:type="pct"/>
            <w:tcBorders>
              <w:top w:val="nil"/>
              <w:left w:val="nil"/>
              <w:bottom w:val="nil"/>
              <w:right w:val="nil"/>
            </w:tcBorders>
            <w:shd w:val="clear" w:color="000000" w:fill="FFFFFF"/>
            <w:vAlign w:val="center"/>
          </w:tcPr>
          <w:p w14:paraId="21392650">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16/0</w:t>
            </w:r>
          </w:p>
        </w:tc>
        <w:tc>
          <w:tcPr>
            <w:tcW w:w="330" w:type="pct"/>
            <w:tcBorders>
              <w:top w:val="nil"/>
              <w:left w:val="nil"/>
              <w:bottom w:val="nil"/>
              <w:right w:val="nil"/>
            </w:tcBorders>
            <w:shd w:val="clear" w:color="000000" w:fill="FFFFFF"/>
            <w:vAlign w:val="center"/>
          </w:tcPr>
          <w:p w14:paraId="287F886E">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Rower</w:t>
            </w:r>
          </w:p>
        </w:tc>
        <w:tc>
          <w:tcPr>
            <w:tcW w:w="495" w:type="pct"/>
            <w:tcBorders>
              <w:top w:val="nil"/>
              <w:left w:val="nil"/>
              <w:bottom w:val="nil"/>
              <w:right w:val="nil"/>
            </w:tcBorders>
            <w:shd w:val="clear" w:color="000000" w:fill="FFFFFF"/>
            <w:vAlign w:val="center"/>
          </w:tcPr>
          <w:p w14:paraId="3FA1B4BC">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Professional</w:t>
            </w:r>
          </w:p>
        </w:tc>
        <w:tc>
          <w:tcPr>
            <w:tcW w:w="397" w:type="pct"/>
            <w:tcBorders>
              <w:top w:val="nil"/>
              <w:left w:val="nil"/>
              <w:bottom w:val="nil"/>
              <w:right w:val="nil"/>
            </w:tcBorders>
            <w:shd w:val="clear" w:color="000000" w:fill="FFFFFF"/>
            <w:vAlign w:val="center"/>
          </w:tcPr>
          <w:p w14:paraId="399F62CB">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28 days</w:t>
            </w:r>
          </w:p>
        </w:tc>
        <w:tc>
          <w:tcPr>
            <w:tcW w:w="716" w:type="pct"/>
            <w:tcBorders>
              <w:top w:val="nil"/>
              <w:left w:val="nil"/>
              <w:bottom w:val="nil"/>
              <w:right w:val="nil"/>
            </w:tcBorders>
            <w:shd w:val="clear" w:color="000000" w:fill="FFFFFF"/>
            <w:vAlign w:val="center"/>
          </w:tcPr>
          <w:p w14:paraId="329DDF10">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23.1±2.7/23.1±3.2</w:t>
            </w:r>
          </w:p>
        </w:tc>
        <w:tc>
          <w:tcPr>
            <w:tcW w:w="333" w:type="pct"/>
            <w:tcBorders>
              <w:top w:val="nil"/>
              <w:left w:val="nil"/>
              <w:bottom w:val="nil"/>
              <w:right w:val="nil"/>
            </w:tcBorders>
            <w:shd w:val="clear" w:color="000000" w:fill="FFFFFF"/>
            <w:vAlign w:val="center"/>
          </w:tcPr>
          <w:p w14:paraId="6D833011">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①</w:t>
            </w:r>
          </w:p>
        </w:tc>
        <w:tc>
          <w:tcPr>
            <w:tcW w:w="240" w:type="pct"/>
            <w:tcBorders>
              <w:top w:val="nil"/>
              <w:left w:val="nil"/>
              <w:bottom w:val="nil"/>
              <w:right w:val="nil"/>
            </w:tcBorders>
            <w:shd w:val="clear" w:color="auto" w:fill="auto"/>
            <w:vAlign w:val="center"/>
          </w:tcPr>
          <w:p w14:paraId="0FA0A0D1">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Parallel RCT</w:t>
            </w:r>
          </w:p>
        </w:tc>
      </w:tr>
      <w:tr w14:paraId="575FA17A">
        <w:tblPrEx>
          <w:tblCellMar>
            <w:top w:w="0" w:type="dxa"/>
            <w:left w:w="108" w:type="dxa"/>
            <w:bottom w:w="0" w:type="dxa"/>
            <w:right w:w="108" w:type="dxa"/>
          </w:tblCellMar>
        </w:tblPrEx>
        <w:trPr>
          <w:trHeight w:val="20" w:hRule="atLeast"/>
        </w:trPr>
        <w:tc>
          <w:tcPr>
            <w:tcW w:w="338" w:type="pct"/>
            <w:tcBorders>
              <w:top w:val="nil"/>
              <w:left w:val="nil"/>
              <w:bottom w:val="nil"/>
              <w:right w:val="nil"/>
            </w:tcBorders>
            <w:shd w:val="clear" w:color="000000" w:fill="FFFFFF"/>
            <w:vAlign w:val="center"/>
          </w:tcPr>
          <w:p w14:paraId="119BA5E2">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Leonardo-Mendonça 2017</w:t>
            </w:r>
          </w:p>
        </w:tc>
        <w:tc>
          <w:tcPr>
            <w:tcW w:w="551" w:type="pct"/>
            <w:tcBorders>
              <w:top w:val="nil"/>
              <w:left w:val="nil"/>
              <w:bottom w:val="nil"/>
              <w:right w:val="nil"/>
            </w:tcBorders>
            <w:shd w:val="clear" w:color="000000" w:fill="FFFFFF"/>
            <w:vAlign w:val="center"/>
          </w:tcPr>
          <w:p w14:paraId="1B3778EA">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Melatonin</w:t>
            </w:r>
          </w:p>
        </w:tc>
        <w:tc>
          <w:tcPr>
            <w:tcW w:w="485" w:type="pct"/>
            <w:tcBorders>
              <w:top w:val="nil"/>
              <w:left w:val="nil"/>
              <w:bottom w:val="nil"/>
              <w:right w:val="nil"/>
            </w:tcBorders>
            <w:shd w:val="clear" w:color="000000" w:fill="FFFFFF"/>
          </w:tcPr>
          <w:p w14:paraId="3A266A1F">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Take 100 mg of melatonin capsules orally 30 to 60 minutes before going to bed every day.</w:t>
            </w:r>
          </w:p>
        </w:tc>
        <w:tc>
          <w:tcPr>
            <w:tcW w:w="226" w:type="pct"/>
            <w:tcBorders>
              <w:top w:val="nil"/>
              <w:left w:val="nil"/>
              <w:bottom w:val="nil"/>
              <w:right w:val="nil"/>
            </w:tcBorders>
            <w:shd w:val="clear" w:color="000000" w:fill="FFFFFF"/>
            <w:vAlign w:val="center"/>
          </w:tcPr>
          <w:p w14:paraId="6EC1FB2E">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Spain</w:t>
            </w:r>
          </w:p>
        </w:tc>
        <w:tc>
          <w:tcPr>
            <w:tcW w:w="271" w:type="pct"/>
            <w:tcBorders>
              <w:top w:val="nil"/>
              <w:left w:val="nil"/>
              <w:bottom w:val="nil"/>
              <w:right w:val="nil"/>
            </w:tcBorders>
            <w:shd w:val="clear" w:color="000000" w:fill="FFFFFF"/>
            <w:vAlign w:val="center"/>
          </w:tcPr>
          <w:p w14:paraId="22CDFE56">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Europe</w:t>
            </w:r>
          </w:p>
        </w:tc>
        <w:tc>
          <w:tcPr>
            <w:tcW w:w="298" w:type="pct"/>
            <w:tcBorders>
              <w:top w:val="nil"/>
              <w:left w:val="nil"/>
              <w:bottom w:val="nil"/>
              <w:right w:val="nil"/>
            </w:tcBorders>
            <w:shd w:val="clear" w:color="000000" w:fill="FFFFFF"/>
            <w:vAlign w:val="center"/>
          </w:tcPr>
          <w:p w14:paraId="53A2EF00">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24</w:t>
            </w:r>
          </w:p>
        </w:tc>
        <w:tc>
          <w:tcPr>
            <w:tcW w:w="314" w:type="pct"/>
            <w:tcBorders>
              <w:top w:val="nil"/>
              <w:left w:val="nil"/>
              <w:bottom w:val="nil"/>
              <w:right w:val="nil"/>
            </w:tcBorders>
            <w:shd w:val="clear" w:color="000000" w:fill="FFFFFF"/>
            <w:vAlign w:val="center"/>
          </w:tcPr>
          <w:p w14:paraId="2CB7B0F6">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24/0</w:t>
            </w:r>
          </w:p>
        </w:tc>
        <w:tc>
          <w:tcPr>
            <w:tcW w:w="330" w:type="pct"/>
            <w:tcBorders>
              <w:top w:val="nil"/>
              <w:left w:val="nil"/>
              <w:bottom w:val="nil"/>
              <w:right w:val="nil"/>
            </w:tcBorders>
            <w:shd w:val="clear" w:color="000000" w:fill="FFFFFF"/>
            <w:vAlign w:val="center"/>
          </w:tcPr>
          <w:p w14:paraId="1E0C9EAB">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Resistance training athlete</w:t>
            </w:r>
          </w:p>
        </w:tc>
        <w:tc>
          <w:tcPr>
            <w:tcW w:w="495" w:type="pct"/>
            <w:tcBorders>
              <w:top w:val="nil"/>
              <w:left w:val="nil"/>
              <w:bottom w:val="nil"/>
              <w:right w:val="nil"/>
            </w:tcBorders>
            <w:shd w:val="clear" w:color="000000" w:fill="FFFFFF"/>
            <w:vAlign w:val="center"/>
          </w:tcPr>
          <w:p w14:paraId="652FBCAB">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Professional</w:t>
            </w:r>
          </w:p>
        </w:tc>
        <w:tc>
          <w:tcPr>
            <w:tcW w:w="397" w:type="pct"/>
            <w:tcBorders>
              <w:top w:val="nil"/>
              <w:left w:val="nil"/>
              <w:bottom w:val="nil"/>
              <w:right w:val="nil"/>
            </w:tcBorders>
            <w:shd w:val="clear" w:color="000000" w:fill="FFFFFF"/>
            <w:vAlign w:val="center"/>
          </w:tcPr>
          <w:p w14:paraId="7365CEF3">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28 days</w:t>
            </w:r>
          </w:p>
        </w:tc>
        <w:tc>
          <w:tcPr>
            <w:tcW w:w="716" w:type="pct"/>
            <w:tcBorders>
              <w:top w:val="nil"/>
              <w:left w:val="nil"/>
              <w:bottom w:val="nil"/>
              <w:right w:val="nil"/>
            </w:tcBorders>
            <w:shd w:val="clear" w:color="000000" w:fill="FFFFFF"/>
            <w:vAlign w:val="center"/>
          </w:tcPr>
          <w:p w14:paraId="23C13086">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20.3±0.71/19.2±0.33</w:t>
            </w:r>
          </w:p>
        </w:tc>
        <w:tc>
          <w:tcPr>
            <w:tcW w:w="333" w:type="pct"/>
            <w:tcBorders>
              <w:top w:val="nil"/>
              <w:left w:val="nil"/>
              <w:bottom w:val="nil"/>
              <w:right w:val="nil"/>
            </w:tcBorders>
            <w:shd w:val="clear" w:color="000000" w:fill="FFFFFF"/>
            <w:vAlign w:val="center"/>
          </w:tcPr>
          <w:p w14:paraId="456F3C0D">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①③⑧⑨</w:t>
            </w:r>
          </w:p>
        </w:tc>
        <w:tc>
          <w:tcPr>
            <w:tcW w:w="240" w:type="pct"/>
            <w:tcBorders>
              <w:top w:val="nil"/>
              <w:left w:val="nil"/>
              <w:bottom w:val="nil"/>
              <w:right w:val="nil"/>
            </w:tcBorders>
            <w:shd w:val="clear" w:color="auto" w:fill="auto"/>
            <w:vAlign w:val="center"/>
          </w:tcPr>
          <w:p w14:paraId="3C5B0602">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Parallel RCT</w:t>
            </w:r>
          </w:p>
        </w:tc>
      </w:tr>
      <w:tr w14:paraId="6157AEAE">
        <w:tblPrEx>
          <w:tblCellMar>
            <w:top w:w="0" w:type="dxa"/>
            <w:left w:w="108" w:type="dxa"/>
            <w:bottom w:w="0" w:type="dxa"/>
            <w:right w:w="108" w:type="dxa"/>
          </w:tblCellMar>
        </w:tblPrEx>
        <w:trPr>
          <w:trHeight w:val="20" w:hRule="atLeast"/>
        </w:trPr>
        <w:tc>
          <w:tcPr>
            <w:tcW w:w="338" w:type="pct"/>
            <w:tcBorders>
              <w:top w:val="nil"/>
              <w:left w:val="nil"/>
              <w:bottom w:val="nil"/>
              <w:right w:val="nil"/>
            </w:tcBorders>
            <w:shd w:val="clear" w:color="000000" w:fill="FFFFFF"/>
            <w:vAlign w:val="center"/>
          </w:tcPr>
          <w:p w14:paraId="51B876CD">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Ortiz-Franco 2017</w:t>
            </w:r>
          </w:p>
        </w:tc>
        <w:tc>
          <w:tcPr>
            <w:tcW w:w="551" w:type="pct"/>
            <w:tcBorders>
              <w:top w:val="nil"/>
              <w:left w:val="nil"/>
              <w:bottom w:val="nil"/>
              <w:right w:val="nil"/>
            </w:tcBorders>
            <w:shd w:val="clear" w:color="000000" w:fill="FFFFFF"/>
            <w:vAlign w:val="center"/>
          </w:tcPr>
          <w:p w14:paraId="2CB28478">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Melatonin</w:t>
            </w:r>
          </w:p>
        </w:tc>
        <w:tc>
          <w:tcPr>
            <w:tcW w:w="485" w:type="pct"/>
            <w:tcBorders>
              <w:top w:val="nil"/>
              <w:left w:val="nil"/>
              <w:bottom w:val="nil"/>
              <w:right w:val="nil"/>
            </w:tcBorders>
            <w:shd w:val="clear" w:color="000000" w:fill="FFFFFF"/>
          </w:tcPr>
          <w:p w14:paraId="72A3B1A5">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Take one capsule containing 20 mg of melatonin orally before each exercise (Acofarma, Barcelona, Spain)</w:t>
            </w:r>
          </w:p>
        </w:tc>
        <w:tc>
          <w:tcPr>
            <w:tcW w:w="226" w:type="pct"/>
            <w:tcBorders>
              <w:top w:val="nil"/>
              <w:left w:val="nil"/>
              <w:bottom w:val="nil"/>
              <w:right w:val="nil"/>
            </w:tcBorders>
            <w:shd w:val="clear" w:color="000000" w:fill="FFFFFF"/>
            <w:vAlign w:val="center"/>
          </w:tcPr>
          <w:p w14:paraId="5790BBF2">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Spain</w:t>
            </w:r>
          </w:p>
        </w:tc>
        <w:tc>
          <w:tcPr>
            <w:tcW w:w="271" w:type="pct"/>
            <w:tcBorders>
              <w:top w:val="nil"/>
              <w:left w:val="nil"/>
              <w:bottom w:val="nil"/>
              <w:right w:val="nil"/>
            </w:tcBorders>
            <w:shd w:val="clear" w:color="000000" w:fill="FFFFFF"/>
            <w:vAlign w:val="center"/>
          </w:tcPr>
          <w:p w14:paraId="66871046">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Europe</w:t>
            </w:r>
          </w:p>
        </w:tc>
        <w:tc>
          <w:tcPr>
            <w:tcW w:w="298" w:type="pct"/>
            <w:tcBorders>
              <w:top w:val="nil"/>
              <w:left w:val="nil"/>
              <w:bottom w:val="nil"/>
              <w:right w:val="nil"/>
            </w:tcBorders>
            <w:shd w:val="clear" w:color="000000" w:fill="FFFFFF"/>
            <w:vAlign w:val="center"/>
          </w:tcPr>
          <w:p w14:paraId="668833B4">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14</w:t>
            </w:r>
          </w:p>
        </w:tc>
        <w:tc>
          <w:tcPr>
            <w:tcW w:w="314" w:type="pct"/>
            <w:tcBorders>
              <w:top w:val="nil"/>
              <w:left w:val="nil"/>
              <w:bottom w:val="nil"/>
              <w:right w:val="nil"/>
            </w:tcBorders>
            <w:shd w:val="clear" w:color="000000" w:fill="FFFFFF"/>
            <w:vAlign w:val="center"/>
          </w:tcPr>
          <w:p w14:paraId="12347E46">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14/0</w:t>
            </w:r>
          </w:p>
        </w:tc>
        <w:tc>
          <w:tcPr>
            <w:tcW w:w="330" w:type="pct"/>
            <w:tcBorders>
              <w:top w:val="nil"/>
              <w:left w:val="nil"/>
              <w:bottom w:val="nil"/>
              <w:right w:val="nil"/>
            </w:tcBorders>
            <w:shd w:val="clear" w:color="000000" w:fill="FFFFFF"/>
            <w:vAlign w:val="center"/>
          </w:tcPr>
          <w:p w14:paraId="72DEE99B">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NA</w:t>
            </w:r>
          </w:p>
        </w:tc>
        <w:tc>
          <w:tcPr>
            <w:tcW w:w="495" w:type="pct"/>
            <w:tcBorders>
              <w:top w:val="nil"/>
              <w:left w:val="nil"/>
              <w:bottom w:val="nil"/>
              <w:right w:val="nil"/>
            </w:tcBorders>
            <w:shd w:val="clear" w:color="000000" w:fill="FFFFFF"/>
            <w:vAlign w:val="center"/>
          </w:tcPr>
          <w:p w14:paraId="6CB4C848">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Professional</w:t>
            </w:r>
          </w:p>
        </w:tc>
        <w:tc>
          <w:tcPr>
            <w:tcW w:w="397" w:type="pct"/>
            <w:tcBorders>
              <w:top w:val="nil"/>
              <w:left w:val="nil"/>
              <w:bottom w:val="nil"/>
              <w:right w:val="nil"/>
            </w:tcBorders>
            <w:shd w:val="clear" w:color="000000" w:fill="FFFFFF"/>
            <w:vAlign w:val="center"/>
          </w:tcPr>
          <w:p w14:paraId="6E74755A">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14 days</w:t>
            </w:r>
          </w:p>
        </w:tc>
        <w:tc>
          <w:tcPr>
            <w:tcW w:w="716" w:type="pct"/>
            <w:tcBorders>
              <w:top w:val="nil"/>
              <w:left w:val="nil"/>
              <w:bottom w:val="nil"/>
              <w:right w:val="nil"/>
            </w:tcBorders>
            <w:shd w:val="clear" w:color="000000" w:fill="FFFFFF"/>
            <w:vAlign w:val="center"/>
          </w:tcPr>
          <w:p w14:paraId="04C70000">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28.43±4.39/26±6.03</w:t>
            </w:r>
          </w:p>
        </w:tc>
        <w:tc>
          <w:tcPr>
            <w:tcW w:w="333" w:type="pct"/>
            <w:tcBorders>
              <w:top w:val="nil"/>
              <w:left w:val="nil"/>
              <w:bottom w:val="nil"/>
              <w:right w:val="nil"/>
            </w:tcBorders>
            <w:shd w:val="clear" w:color="000000" w:fill="FFFFFF"/>
            <w:vAlign w:val="center"/>
          </w:tcPr>
          <w:p w14:paraId="4E2BE6C4">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①③④</w:t>
            </w:r>
          </w:p>
        </w:tc>
        <w:tc>
          <w:tcPr>
            <w:tcW w:w="240" w:type="pct"/>
            <w:tcBorders>
              <w:top w:val="nil"/>
              <w:left w:val="nil"/>
              <w:bottom w:val="nil"/>
              <w:right w:val="nil"/>
            </w:tcBorders>
            <w:shd w:val="clear" w:color="auto" w:fill="auto"/>
            <w:vAlign w:val="center"/>
          </w:tcPr>
          <w:p w14:paraId="70C12F62">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Parallel RCT</w:t>
            </w:r>
          </w:p>
        </w:tc>
      </w:tr>
      <w:tr w14:paraId="2790B8E2">
        <w:tblPrEx>
          <w:tblCellMar>
            <w:top w:w="0" w:type="dxa"/>
            <w:left w:w="108" w:type="dxa"/>
            <w:bottom w:w="0" w:type="dxa"/>
            <w:right w:w="108" w:type="dxa"/>
          </w:tblCellMar>
        </w:tblPrEx>
        <w:trPr>
          <w:trHeight w:val="20" w:hRule="atLeast"/>
        </w:trPr>
        <w:tc>
          <w:tcPr>
            <w:tcW w:w="338" w:type="pct"/>
            <w:tcBorders>
              <w:top w:val="nil"/>
              <w:left w:val="nil"/>
              <w:bottom w:val="nil"/>
              <w:right w:val="nil"/>
            </w:tcBorders>
            <w:shd w:val="clear" w:color="000000" w:fill="FFFFFF"/>
            <w:vAlign w:val="center"/>
          </w:tcPr>
          <w:p w14:paraId="20CF4F1D">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Toscano 2019</w:t>
            </w:r>
          </w:p>
        </w:tc>
        <w:tc>
          <w:tcPr>
            <w:tcW w:w="551" w:type="pct"/>
            <w:tcBorders>
              <w:top w:val="nil"/>
              <w:left w:val="nil"/>
              <w:bottom w:val="nil"/>
              <w:right w:val="nil"/>
            </w:tcBorders>
            <w:shd w:val="clear" w:color="000000" w:fill="FFFFFF"/>
            <w:vAlign w:val="center"/>
          </w:tcPr>
          <w:p w14:paraId="4C1AE154">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Purple Grape Juice</w:t>
            </w:r>
          </w:p>
        </w:tc>
        <w:tc>
          <w:tcPr>
            <w:tcW w:w="485" w:type="pct"/>
            <w:tcBorders>
              <w:top w:val="nil"/>
              <w:left w:val="nil"/>
              <w:bottom w:val="nil"/>
              <w:right w:val="nil"/>
            </w:tcBorders>
            <w:shd w:val="clear" w:color="000000" w:fill="FFFFFF"/>
          </w:tcPr>
          <w:p w14:paraId="315F194C">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Take 10 milliliters per kilogram per day within 2 hours</w:t>
            </w:r>
          </w:p>
        </w:tc>
        <w:tc>
          <w:tcPr>
            <w:tcW w:w="226" w:type="pct"/>
            <w:tcBorders>
              <w:top w:val="nil"/>
              <w:left w:val="nil"/>
              <w:bottom w:val="nil"/>
              <w:right w:val="nil"/>
            </w:tcBorders>
            <w:shd w:val="clear" w:color="000000" w:fill="FFFFFF"/>
            <w:vAlign w:val="center"/>
          </w:tcPr>
          <w:p w14:paraId="3E432C88">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Brazil</w:t>
            </w:r>
          </w:p>
        </w:tc>
        <w:tc>
          <w:tcPr>
            <w:tcW w:w="271" w:type="pct"/>
            <w:tcBorders>
              <w:top w:val="nil"/>
              <w:left w:val="nil"/>
              <w:bottom w:val="nil"/>
              <w:right w:val="nil"/>
            </w:tcBorders>
            <w:shd w:val="clear" w:color="000000" w:fill="FFFFFF"/>
            <w:vAlign w:val="center"/>
          </w:tcPr>
          <w:p w14:paraId="32102F27">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America</w:t>
            </w:r>
          </w:p>
        </w:tc>
        <w:tc>
          <w:tcPr>
            <w:tcW w:w="298" w:type="pct"/>
            <w:tcBorders>
              <w:top w:val="nil"/>
              <w:left w:val="nil"/>
              <w:bottom w:val="nil"/>
              <w:right w:val="nil"/>
            </w:tcBorders>
            <w:shd w:val="clear" w:color="000000" w:fill="FFFFFF"/>
            <w:vAlign w:val="center"/>
          </w:tcPr>
          <w:p w14:paraId="31EDCB87">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14</w:t>
            </w:r>
          </w:p>
        </w:tc>
        <w:tc>
          <w:tcPr>
            <w:tcW w:w="314" w:type="pct"/>
            <w:tcBorders>
              <w:top w:val="nil"/>
              <w:left w:val="nil"/>
              <w:bottom w:val="nil"/>
              <w:right w:val="nil"/>
            </w:tcBorders>
            <w:shd w:val="clear" w:color="000000" w:fill="FFFFFF"/>
            <w:vAlign w:val="center"/>
          </w:tcPr>
          <w:p w14:paraId="0AA5C427">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14/0</w:t>
            </w:r>
          </w:p>
        </w:tc>
        <w:tc>
          <w:tcPr>
            <w:tcW w:w="330" w:type="pct"/>
            <w:tcBorders>
              <w:top w:val="nil"/>
              <w:left w:val="nil"/>
              <w:bottom w:val="nil"/>
              <w:right w:val="nil"/>
            </w:tcBorders>
            <w:shd w:val="clear" w:color="000000" w:fill="FFFFFF"/>
            <w:vAlign w:val="center"/>
          </w:tcPr>
          <w:p w14:paraId="2950E648">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Runner</w:t>
            </w:r>
          </w:p>
        </w:tc>
        <w:tc>
          <w:tcPr>
            <w:tcW w:w="495" w:type="pct"/>
            <w:tcBorders>
              <w:top w:val="nil"/>
              <w:left w:val="nil"/>
              <w:bottom w:val="nil"/>
              <w:right w:val="nil"/>
            </w:tcBorders>
            <w:shd w:val="clear" w:color="000000" w:fill="FFFFFF"/>
            <w:vAlign w:val="center"/>
          </w:tcPr>
          <w:p w14:paraId="1F9F2470">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Amateur</w:t>
            </w:r>
          </w:p>
        </w:tc>
        <w:tc>
          <w:tcPr>
            <w:tcW w:w="397" w:type="pct"/>
            <w:tcBorders>
              <w:top w:val="nil"/>
              <w:left w:val="nil"/>
              <w:bottom w:val="nil"/>
              <w:right w:val="nil"/>
            </w:tcBorders>
            <w:shd w:val="clear" w:color="000000" w:fill="FFFFFF"/>
            <w:vAlign w:val="center"/>
          </w:tcPr>
          <w:p w14:paraId="37458CB8">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7 days</w:t>
            </w:r>
          </w:p>
        </w:tc>
        <w:tc>
          <w:tcPr>
            <w:tcW w:w="716" w:type="pct"/>
            <w:tcBorders>
              <w:top w:val="nil"/>
              <w:left w:val="nil"/>
              <w:bottom w:val="nil"/>
              <w:right w:val="nil"/>
            </w:tcBorders>
            <w:shd w:val="clear" w:color="000000" w:fill="FFFFFF"/>
            <w:vAlign w:val="center"/>
          </w:tcPr>
          <w:p w14:paraId="023432E2">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39±9.2</w:t>
            </w:r>
          </w:p>
        </w:tc>
        <w:tc>
          <w:tcPr>
            <w:tcW w:w="333" w:type="pct"/>
            <w:tcBorders>
              <w:top w:val="nil"/>
              <w:left w:val="nil"/>
              <w:bottom w:val="nil"/>
              <w:right w:val="nil"/>
            </w:tcBorders>
            <w:shd w:val="clear" w:color="000000" w:fill="FFFFFF"/>
            <w:vAlign w:val="center"/>
          </w:tcPr>
          <w:p w14:paraId="2EF54713">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①⑥⑨</w:t>
            </w:r>
          </w:p>
        </w:tc>
        <w:tc>
          <w:tcPr>
            <w:tcW w:w="240" w:type="pct"/>
            <w:tcBorders>
              <w:top w:val="nil"/>
              <w:left w:val="nil"/>
              <w:bottom w:val="nil"/>
              <w:right w:val="nil"/>
            </w:tcBorders>
            <w:shd w:val="clear" w:color="auto" w:fill="auto"/>
            <w:vAlign w:val="center"/>
          </w:tcPr>
          <w:p w14:paraId="4741F9D8">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Parallel RCT</w:t>
            </w:r>
          </w:p>
        </w:tc>
      </w:tr>
      <w:tr w14:paraId="30CA8AEB">
        <w:tblPrEx>
          <w:tblCellMar>
            <w:top w:w="0" w:type="dxa"/>
            <w:left w:w="108" w:type="dxa"/>
            <w:bottom w:w="0" w:type="dxa"/>
            <w:right w:w="108" w:type="dxa"/>
          </w:tblCellMar>
        </w:tblPrEx>
        <w:trPr>
          <w:trHeight w:val="20" w:hRule="atLeast"/>
        </w:trPr>
        <w:tc>
          <w:tcPr>
            <w:tcW w:w="338" w:type="pct"/>
            <w:tcBorders>
              <w:top w:val="nil"/>
              <w:left w:val="nil"/>
              <w:bottom w:val="nil"/>
              <w:right w:val="nil"/>
            </w:tcBorders>
            <w:shd w:val="clear" w:color="000000" w:fill="FFFFFF"/>
            <w:vAlign w:val="center"/>
          </w:tcPr>
          <w:p w14:paraId="5E31E841">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Lydiane 2020</w:t>
            </w:r>
          </w:p>
        </w:tc>
        <w:tc>
          <w:tcPr>
            <w:tcW w:w="551" w:type="pct"/>
            <w:tcBorders>
              <w:top w:val="nil"/>
              <w:left w:val="nil"/>
              <w:bottom w:val="nil"/>
              <w:right w:val="nil"/>
            </w:tcBorders>
            <w:shd w:val="clear" w:color="000000" w:fill="FFFFFF"/>
            <w:vAlign w:val="center"/>
          </w:tcPr>
          <w:p w14:paraId="3BA7E513">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Purple Grape Juice</w:t>
            </w:r>
          </w:p>
        </w:tc>
        <w:tc>
          <w:tcPr>
            <w:tcW w:w="485" w:type="pct"/>
            <w:tcBorders>
              <w:top w:val="nil"/>
              <w:left w:val="nil"/>
              <w:bottom w:val="nil"/>
              <w:right w:val="nil"/>
            </w:tcBorders>
            <w:shd w:val="clear" w:color="000000" w:fill="FFFFFF"/>
          </w:tcPr>
          <w:p w14:paraId="2DD7BD3D">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The supplements were divided into equal parts and taken before training (200 milliliters) and at the end of training (200 milliliters)</w:t>
            </w:r>
          </w:p>
        </w:tc>
        <w:tc>
          <w:tcPr>
            <w:tcW w:w="226" w:type="pct"/>
            <w:tcBorders>
              <w:top w:val="nil"/>
              <w:left w:val="nil"/>
              <w:bottom w:val="nil"/>
              <w:right w:val="nil"/>
            </w:tcBorders>
            <w:shd w:val="clear" w:color="000000" w:fill="FFFFFF"/>
            <w:vAlign w:val="center"/>
          </w:tcPr>
          <w:p w14:paraId="330BCD1D">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Brazil</w:t>
            </w:r>
          </w:p>
        </w:tc>
        <w:tc>
          <w:tcPr>
            <w:tcW w:w="271" w:type="pct"/>
            <w:tcBorders>
              <w:top w:val="nil"/>
              <w:left w:val="nil"/>
              <w:bottom w:val="nil"/>
              <w:right w:val="nil"/>
            </w:tcBorders>
            <w:shd w:val="clear" w:color="000000" w:fill="FFFFFF"/>
            <w:vAlign w:val="center"/>
          </w:tcPr>
          <w:p w14:paraId="66C8A8C0">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America</w:t>
            </w:r>
          </w:p>
        </w:tc>
        <w:tc>
          <w:tcPr>
            <w:tcW w:w="298" w:type="pct"/>
            <w:tcBorders>
              <w:top w:val="nil"/>
              <w:left w:val="nil"/>
              <w:bottom w:val="nil"/>
              <w:right w:val="nil"/>
            </w:tcBorders>
            <w:shd w:val="clear" w:color="000000" w:fill="FFFFFF"/>
            <w:vAlign w:val="center"/>
          </w:tcPr>
          <w:p w14:paraId="3AFEB813">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15</w:t>
            </w:r>
          </w:p>
        </w:tc>
        <w:tc>
          <w:tcPr>
            <w:tcW w:w="314" w:type="pct"/>
            <w:tcBorders>
              <w:top w:val="nil"/>
              <w:left w:val="nil"/>
              <w:bottom w:val="nil"/>
              <w:right w:val="nil"/>
            </w:tcBorders>
            <w:shd w:val="clear" w:color="000000" w:fill="FFFFFF"/>
            <w:vAlign w:val="center"/>
          </w:tcPr>
          <w:p w14:paraId="58E88113">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15/0</w:t>
            </w:r>
          </w:p>
        </w:tc>
        <w:tc>
          <w:tcPr>
            <w:tcW w:w="330" w:type="pct"/>
            <w:tcBorders>
              <w:top w:val="nil"/>
              <w:left w:val="nil"/>
              <w:bottom w:val="nil"/>
              <w:right w:val="nil"/>
            </w:tcBorders>
            <w:shd w:val="clear" w:color="000000" w:fill="FFFFFF"/>
            <w:vAlign w:val="center"/>
          </w:tcPr>
          <w:p w14:paraId="7B1E6628">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Beach handball player</w:t>
            </w:r>
          </w:p>
        </w:tc>
        <w:tc>
          <w:tcPr>
            <w:tcW w:w="495" w:type="pct"/>
            <w:tcBorders>
              <w:top w:val="nil"/>
              <w:left w:val="nil"/>
              <w:bottom w:val="nil"/>
              <w:right w:val="nil"/>
            </w:tcBorders>
            <w:shd w:val="clear" w:color="000000" w:fill="FFFFFF"/>
            <w:vAlign w:val="center"/>
          </w:tcPr>
          <w:p w14:paraId="5841F727">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Professional</w:t>
            </w:r>
          </w:p>
        </w:tc>
        <w:tc>
          <w:tcPr>
            <w:tcW w:w="397" w:type="pct"/>
            <w:tcBorders>
              <w:top w:val="nil"/>
              <w:left w:val="nil"/>
              <w:bottom w:val="nil"/>
              <w:right w:val="nil"/>
            </w:tcBorders>
            <w:shd w:val="clear" w:color="000000" w:fill="FFFFFF"/>
            <w:vAlign w:val="center"/>
          </w:tcPr>
          <w:p w14:paraId="75B37F49">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3 days</w:t>
            </w:r>
          </w:p>
        </w:tc>
        <w:tc>
          <w:tcPr>
            <w:tcW w:w="716" w:type="pct"/>
            <w:tcBorders>
              <w:top w:val="nil"/>
              <w:left w:val="nil"/>
              <w:bottom w:val="nil"/>
              <w:right w:val="nil"/>
            </w:tcBorders>
            <w:shd w:val="clear" w:color="000000" w:fill="FFFFFF"/>
            <w:vAlign w:val="center"/>
          </w:tcPr>
          <w:p w14:paraId="022717D9">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28.7±3.5/24.8±2.7</w:t>
            </w:r>
          </w:p>
        </w:tc>
        <w:tc>
          <w:tcPr>
            <w:tcW w:w="333" w:type="pct"/>
            <w:tcBorders>
              <w:top w:val="nil"/>
              <w:left w:val="nil"/>
              <w:bottom w:val="nil"/>
              <w:right w:val="nil"/>
            </w:tcBorders>
            <w:shd w:val="clear" w:color="000000" w:fill="FFFFFF"/>
            <w:vAlign w:val="center"/>
          </w:tcPr>
          <w:p w14:paraId="5404E5EF">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⑥⑧⑨</w:t>
            </w:r>
          </w:p>
        </w:tc>
        <w:tc>
          <w:tcPr>
            <w:tcW w:w="240" w:type="pct"/>
            <w:tcBorders>
              <w:top w:val="nil"/>
              <w:left w:val="nil"/>
              <w:bottom w:val="nil"/>
              <w:right w:val="nil"/>
            </w:tcBorders>
            <w:shd w:val="clear" w:color="auto" w:fill="auto"/>
            <w:vAlign w:val="center"/>
          </w:tcPr>
          <w:p w14:paraId="1E946B97">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Cross-Over RCT</w:t>
            </w:r>
          </w:p>
        </w:tc>
      </w:tr>
      <w:tr w14:paraId="21D0E8A0">
        <w:tblPrEx>
          <w:tblCellMar>
            <w:top w:w="0" w:type="dxa"/>
            <w:left w:w="108" w:type="dxa"/>
            <w:bottom w:w="0" w:type="dxa"/>
            <w:right w:w="108" w:type="dxa"/>
          </w:tblCellMar>
        </w:tblPrEx>
        <w:trPr>
          <w:trHeight w:val="20" w:hRule="atLeast"/>
        </w:trPr>
        <w:tc>
          <w:tcPr>
            <w:tcW w:w="338" w:type="pct"/>
            <w:tcBorders>
              <w:top w:val="nil"/>
              <w:left w:val="nil"/>
              <w:bottom w:val="nil"/>
              <w:right w:val="nil"/>
            </w:tcBorders>
            <w:shd w:val="clear" w:color="000000" w:fill="FFFFFF"/>
            <w:vAlign w:val="center"/>
          </w:tcPr>
          <w:p w14:paraId="65401DDB">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Drobnic 2021</w:t>
            </w:r>
          </w:p>
        </w:tc>
        <w:tc>
          <w:tcPr>
            <w:tcW w:w="551" w:type="pct"/>
            <w:tcBorders>
              <w:top w:val="nil"/>
              <w:left w:val="nil"/>
              <w:bottom w:val="nil"/>
              <w:right w:val="nil"/>
            </w:tcBorders>
            <w:shd w:val="clear" w:color="000000" w:fill="FFFFFF"/>
            <w:vAlign w:val="center"/>
          </w:tcPr>
          <w:p w14:paraId="67C64C26">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Krill Oil</w:t>
            </w:r>
          </w:p>
        </w:tc>
        <w:tc>
          <w:tcPr>
            <w:tcW w:w="485" w:type="pct"/>
            <w:tcBorders>
              <w:top w:val="nil"/>
              <w:left w:val="nil"/>
              <w:bottom w:val="nil"/>
              <w:right w:val="nil"/>
            </w:tcBorders>
            <w:shd w:val="clear" w:color="000000" w:fill="FFFFFF"/>
          </w:tcPr>
          <w:p w14:paraId="7AADED75">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2.5g/d krill oil (containing 550mg EPA/DHA, 150mg choline, 1.7mg astaxanthin)</w:t>
            </w:r>
          </w:p>
        </w:tc>
        <w:tc>
          <w:tcPr>
            <w:tcW w:w="226" w:type="pct"/>
            <w:tcBorders>
              <w:top w:val="nil"/>
              <w:left w:val="nil"/>
              <w:bottom w:val="nil"/>
              <w:right w:val="nil"/>
            </w:tcBorders>
            <w:shd w:val="clear" w:color="000000" w:fill="FFFFFF"/>
            <w:vAlign w:val="center"/>
          </w:tcPr>
          <w:p w14:paraId="3D6435BB">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Spain</w:t>
            </w:r>
          </w:p>
        </w:tc>
        <w:tc>
          <w:tcPr>
            <w:tcW w:w="271" w:type="pct"/>
            <w:tcBorders>
              <w:top w:val="nil"/>
              <w:left w:val="nil"/>
              <w:bottom w:val="nil"/>
              <w:right w:val="nil"/>
            </w:tcBorders>
            <w:shd w:val="clear" w:color="000000" w:fill="FFFFFF"/>
            <w:vAlign w:val="center"/>
          </w:tcPr>
          <w:p w14:paraId="486E1E4D">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Europe</w:t>
            </w:r>
          </w:p>
        </w:tc>
        <w:tc>
          <w:tcPr>
            <w:tcW w:w="298" w:type="pct"/>
            <w:tcBorders>
              <w:top w:val="nil"/>
              <w:left w:val="nil"/>
              <w:bottom w:val="nil"/>
              <w:right w:val="nil"/>
            </w:tcBorders>
            <w:shd w:val="clear" w:color="000000" w:fill="FFFFFF"/>
            <w:vAlign w:val="center"/>
          </w:tcPr>
          <w:p w14:paraId="438D41DF">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35</w:t>
            </w:r>
          </w:p>
        </w:tc>
        <w:tc>
          <w:tcPr>
            <w:tcW w:w="314" w:type="pct"/>
            <w:tcBorders>
              <w:top w:val="nil"/>
              <w:left w:val="nil"/>
              <w:bottom w:val="nil"/>
              <w:right w:val="nil"/>
            </w:tcBorders>
            <w:shd w:val="clear" w:color="000000" w:fill="FFFFFF"/>
            <w:vAlign w:val="center"/>
          </w:tcPr>
          <w:p w14:paraId="1D24CFF2">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27/8</w:t>
            </w:r>
          </w:p>
        </w:tc>
        <w:tc>
          <w:tcPr>
            <w:tcW w:w="330" w:type="pct"/>
            <w:tcBorders>
              <w:top w:val="nil"/>
              <w:left w:val="nil"/>
              <w:bottom w:val="nil"/>
              <w:right w:val="nil"/>
            </w:tcBorders>
            <w:shd w:val="clear" w:color="000000" w:fill="FFFFFF"/>
            <w:vAlign w:val="center"/>
          </w:tcPr>
          <w:p w14:paraId="4270F72B">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NA</w:t>
            </w:r>
          </w:p>
        </w:tc>
        <w:tc>
          <w:tcPr>
            <w:tcW w:w="495" w:type="pct"/>
            <w:tcBorders>
              <w:top w:val="nil"/>
              <w:left w:val="nil"/>
              <w:bottom w:val="nil"/>
              <w:right w:val="nil"/>
            </w:tcBorders>
            <w:shd w:val="clear" w:color="000000" w:fill="FFFFFF"/>
            <w:vAlign w:val="center"/>
          </w:tcPr>
          <w:p w14:paraId="02C71467">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Professional</w:t>
            </w:r>
          </w:p>
        </w:tc>
        <w:tc>
          <w:tcPr>
            <w:tcW w:w="397" w:type="pct"/>
            <w:tcBorders>
              <w:top w:val="nil"/>
              <w:left w:val="nil"/>
              <w:bottom w:val="nil"/>
              <w:right w:val="nil"/>
            </w:tcBorders>
            <w:shd w:val="clear" w:color="000000" w:fill="FFFFFF"/>
            <w:vAlign w:val="center"/>
          </w:tcPr>
          <w:p w14:paraId="2A66567C">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84 days</w:t>
            </w:r>
          </w:p>
        </w:tc>
        <w:tc>
          <w:tcPr>
            <w:tcW w:w="716" w:type="pct"/>
            <w:tcBorders>
              <w:top w:val="nil"/>
              <w:left w:val="nil"/>
              <w:bottom w:val="nil"/>
              <w:right w:val="nil"/>
            </w:tcBorders>
            <w:shd w:val="clear" w:color="000000" w:fill="FFFFFF"/>
            <w:vAlign w:val="center"/>
          </w:tcPr>
          <w:p w14:paraId="3310AD30">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32.5 ± 9.6/</w:t>
            </w:r>
            <w:r>
              <w:rPr>
                <w:rFonts w:hint="default" w:ascii="Times New Roman" w:hAnsi="Times New Roman" w:cs="Times New Roman"/>
                <w:sz w:val="22"/>
                <w:szCs w:val="22"/>
              </w:rPr>
              <w:t xml:space="preserve"> </w:t>
            </w:r>
            <w:r>
              <w:rPr>
                <w:rFonts w:hint="default" w:ascii="Times New Roman" w:hAnsi="Times New Roman" w:eastAsia="等线" w:cs="Times New Roman"/>
                <w:color w:val="000000"/>
                <w:kern w:val="0"/>
                <w:sz w:val="22"/>
                <w:szCs w:val="22"/>
                <w14:ligatures w14:val="none"/>
              </w:rPr>
              <w:t>33.7 ± 8.0</w:t>
            </w:r>
          </w:p>
        </w:tc>
        <w:tc>
          <w:tcPr>
            <w:tcW w:w="333" w:type="pct"/>
            <w:tcBorders>
              <w:top w:val="nil"/>
              <w:left w:val="nil"/>
              <w:bottom w:val="nil"/>
              <w:right w:val="nil"/>
            </w:tcBorders>
            <w:shd w:val="clear" w:color="000000" w:fill="FFFFFF"/>
            <w:vAlign w:val="center"/>
          </w:tcPr>
          <w:p w14:paraId="286872DC">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宋体" w:cs="Times New Roman"/>
                <w:sz w:val="22"/>
                <w:szCs w:val="22"/>
              </w:rPr>
              <w:t>①</w:t>
            </w:r>
          </w:p>
        </w:tc>
        <w:tc>
          <w:tcPr>
            <w:tcW w:w="240" w:type="pct"/>
            <w:tcBorders>
              <w:top w:val="nil"/>
              <w:left w:val="nil"/>
              <w:bottom w:val="nil"/>
              <w:right w:val="nil"/>
            </w:tcBorders>
            <w:shd w:val="clear" w:color="auto" w:fill="auto"/>
            <w:vAlign w:val="center"/>
          </w:tcPr>
          <w:p w14:paraId="22A89620">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Cross-Over RCT</w:t>
            </w:r>
          </w:p>
        </w:tc>
      </w:tr>
      <w:tr w14:paraId="6F0FE0C5">
        <w:tblPrEx>
          <w:tblCellMar>
            <w:top w:w="0" w:type="dxa"/>
            <w:left w:w="108" w:type="dxa"/>
            <w:bottom w:w="0" w:type="dxa"/>
            <w:right w:w="108" w:type="dxa"/>
          </w:tblCellMar>
        </w:tblPrEx>
        <w:trPr>
          <w:trHeight w:val="20" w:hRule="atLeast"/>
        </w:trPr>
        <w:tc>
          <w:tcPr>
            <w:tcW w:w="338" w:type="pct"/>
            <w:tcBorders>
              <w:top w:val="nil"/>
              <w:left w:val="nil"/>
              <w:bottom w:val="nil"/>
              <w:right w:val="nil"/>
            </w:tcBorders>
            <w:shd w:val="clear" w:color="000000" w:fill="FFFFFF"/>
            <w:vAlign w:val="center"/>
          </w:tcPr>
          <w:p w14:paraId="667901F6">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Stankiewicz 2021</w:t>
            </w:r>
          </w:p>
        </w:tc>
        <w:tc>
          <w:tcPr>
            <w:tcW w:w="551" w:type="pct"/>
            <w:tcBorders>
              <w:top w:val="nil"/>
              <w:left w:val="nil"/>
              <w:bottom w:val="nil"/>
              <w:right w:val="nil"/>
            </w:tcBorders>
            <w:shd w:val="clear" w:color="000000" w:fill="FFFFFF"/>
            <w:vAlign w:val="center"/>
          </w:tcPr>
          <w:p w14:paraId="4B4D3147">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Chokeberry Juice</w:t>
            </w:r>
          </w:p>
        </w:tc>
        <w:tc>
          <w:tcPr>
            <w:tcW w:w="485" w:type="pct"/>
            <w:tcBorders>
              <w:top w:val="nil"/>
              <w:left w:val="nil"/>
              <w:bottom w:val="nil"/>
              <w:right w:val="nil"/>
            </w:tcBorders>
            <w:shd w:val="clear" w:color="000000" w:fill="FFFFFF"/>
          </w:tcPr>
          <w:p w14:paraId="07BB93C0">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200ml chokeberry juice daily (twice a day, in the morning and evening)</w:t>
            </w:r>
          </w:p>
        </w:tc>
        <w:tc>
          <w:tcPr>
            <w:tcW w:w="226" w:type="pct"/>
            <w:tcBorders>
              <w:top w:val="nil"/>
              <w:left w:val="nil"/>
              <w:bottom w:val="nil"/>
              <w:right w:val="nil"/>
            </w:tcBorders>
            <w:shd w:val="clear" w:color="000000" w:fill="FFFFFF"/>
            <w:vAlign w:val="center"/>
          </w:tcPr>
          <w:p w14:paraId="6B6854BF">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Poland</w:t>
            </w:r>
          </w:p>
        </w:tc>
        <w:tc>
          <w:tcPr>
            <w:tcW w:w="271" w:type="pct"/>
            <w:tcBorders>
              <w:top w:val="nil"/>
              <w:left w:val="nil"/>
              <w:bottom w:val="nil"/>
              <w:right w:val="nil"/>
            </w:tcBorders>
            <w:shd w:val="clear" w:color="000000" w:fill="FFFFFF"/>
            <w:vAlign w:val="center"/>
          </w:tcPr>
          <w:p w14:paraId="1C880911">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Europe</w:t>
            </w:r>
          </w:p>
        </w:tc>
        <w:tc>
          <w:tcPr>
            <w:tcW w:w="298" w:type="pct"/>
            <w:tcBorders>
              <w:top w:val="nil"/>
              <w:left w:val="nil"/>
              <w:bottom w:val="nil"/>
              <w:right w:val="nil"/>
            </w:tcBorders>
            <w:shd w:val="clear" w:color="000000" w:fill="FFFFFF"/>
            <w:vAlign w:val="center"/>
          </w:tcPr>
          <w:p w14:paraId="29D09763">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20</w:t>
            </w:r>
          </w:p>
        </w:tc>
        <w:tc>
          <w:tcPr>
            <w:tcW w:w="314" w:type="pct"/>
            <w:tcBorders>
              <w:top w:val="nil"/>
              <w:left w:val="nil"/>
              <w:bottom w:val="nil"/>
              <w:right w:val="nil"/>
            </w:tcBorders>
            <w:shd w:val="clear" w:color="000000" w:fill="FFFFFF"/>
            <w:vAlign w:val="center"/>
          </w:tcPr>
          <w:p w14:paraId="424C6C02">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20/0</w:t>
            </w:r>
          </w:p>
        </w:tc>
        <w:tc>
          <w:tcPr>
            <w:tcW w:w="330" w:type="pct"/>
            <w:tcBorders>
              <w:top w:val="nil"/>
              <w:left w:val="nil"/>
              <w:bottom w:val="nil"/>
              <w:right w:val="nil"/>
            </w:tcBorders>
            <w:shd w:val="clear" w:color="000000" w:fill="FFFFFF"/>
            <w:vAlign w:val="center"/>
          </w:tcPr>
          <w:p w14:paraId="710D9D8D">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Footballer</w:t>
            </w:r>
          </w:p>
        </w:tc>
        <w:tc>
          <w:tcPr>
            <w:tcW w:w="495" w:type="pct"/>
            <w:tcBorders>
              <w:top w:val="nil"/>
              <w:left w:val="nil"/>
              <w:bottom w:val="nil"/>
              <w:right w:val="nil"/>
            </w:tcBorders>
            <w:shd w:val="clear" w:color="000000" w:fill="FFFFFF"/>
            <w:vAlign w:val="center"/>
          </w:tcPr>
          <w:p w14:paraId="32621E4A">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Professional</w:t>
            </w:r>
          </w:p>
        </w:tc>
        <w:tc>
          <w:tcPr>
            <w:tcW w:w="397" w:type="pct"/>
            <w:tcBorders>
              <w:top w:val="nil"/>
              <w:left w:val="nil"/>
              <w:bottom w:val="nil"/>
              <w:right w:val="nil"/>
            </w:tcBorders>
            <w:shd w:val="clear" w:color="000000" w:fill="FFFFFF"/>
            <w:vAlign w:val="center"/>
          </w:tcPr>
          <w:p w14:paraId="7930BE4B">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49 days</w:t>
            </w:r>
          </w:p>
        </w:tc>
        <w:tc>
          <w:tcPr>
            <w:tcW w:w="716" w:type="pct"/>
            <w:tcBorders>
              <w:top w:val="nil"/>
              <w:left w:val="nil"/>
              <w:bottom w:val="nil"/>
              <w:right w:val="nil"/>
            </w:tcBorders>
            <w:shd w:val="clear" w:color="000000" w:fill="FFFFFF"/>
            <w:vAlign w:val="center"/>
          </w:tcPr>
          <w:p w14:paraId="5E01330A">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 xml:space="preserve">15.8 ± 0.7 </w:t>
            </w:r>
          </w:p>
        </w:tc>
        <w:tc>
          <w:tcPr>
            <w:tcW w:w="333" w:type="pct"/>
            <w:tcBorders>
              <w:top w:val="nil"/>
              <w:left w:val="nil"/>
              <w:bottom w:val="nil"/>
              <w:right w:val="nil"/>
            </w:tcBorders>
            <w:shd w:val="clear" w:color="000000" w:fill="FFFFFF"/>
            <w:vAlign w:val="center"/>
          </w:tcPr>
          <w:p w14:paraId="26ED33F8">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①②⑤⑦</w:t>
            </w:r>
          </w:p>
        </w:tc>
        <w:tc>
          <w:tcPr>
            <w:tcW w:w="240" w:type="pct"/>
            <w:tcBorders>
              <w:top w:val="nil"/>
              <w:left w:val="nil"/>
              <w:bottom w:val="nil"/>
              <w:right w:val="nil"/>
            </w:tcBorders>
            <w:shd w:val="clear" w:color="auto" w:fill="auto"/>
            <w:vAlign w:val="center"/>
          </w:tcPr>
          <w:p w14:paraId="2577C589">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Parallel RCT</w:t>
            </w:r>
          </w:p>
        </w:tc>
      </w:tr>
      <w:tr w14:paraId="42A6F303">
        <w:tblPrEx>
          <w:tblCellMar>
            <w:top w:w="0" w:type="dxa"/>
            <w:left w:w="108" w:type="dxa"/>
            <w:bottom w:w="0" w:type="dxa"/>
            <w:right w:w="108" w:type="dxa"/>
          </w:tblCellMar>
        </w:tblPrEx>
        <w:trPr>
          <w:trHeight w:val="20" w:hRule="atLeast"/>
        </w:trPr>
        <w:tc>
          <w:tcPr>
            <w:tcW w:w="338" w:type="pct"/>
            <w:tcBorders>
              <w:top w:val="nil"/>
              <w:left w:val="nil"/>
              <w:bottom w:val="nil"/>
              <w:right w:val="nil"/>
            </w:tcBorders>
            <w:shd w:val="clear" w:color="000000" w:fill="FFFFFF"/>
            <w:vAlign w:val="center"/>
          </w:tcPr>
          <w:p w14:paraId="3BB606BB">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Chaouachi 2022</w:t>
            </w:r>
          </w:p>
        </w:tc>
        <w:tc>
          <w:tcPr>
            <w:tcW w:w="551" w:type="pct"/>
            <w:tcBorders>
              <w:top w:val="nil"/>
              <w:left w:val="nil"/>
              <w:bottom w:val="nil"/>
              <w:right w:val="nil"/>
            </w:tcBorders>
            <w:shd w:val="clear" w:color="000000" w:fill="FFFFFF"/>
            <w:vAlign w:val="center"/>
          </w:tcPr>
          <w:p w14:paraId="512D1AA9">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Spirulina</w:t>
            </w:r>
          </w:p>
        </w:tc>
        <w:tc>
          <w:tcPr>
            <w:tcW w:w="485" w:type="pct"/>
            <w:tcBorders>
              <w:top w:val="nil"/>
              <w:left w:val="nil"/>
              <w:bottom w:val="nil"/>
              <w:right w:val="nil"/>
            </w:tcBorders>
            <w:shd w:val="clear" w:color="000000" w:fill="FFFFFF"/>
          </w:tcPr>
          <w:p w14:paraId="48797816">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5.7g of spirulina daily (containing 24.9mg of beta-carotene, 61.3μg of vitamin B12, etc.)</w:t>
            </w:r>
          </w:p>
        </w:tc>
        <w:tc>
          <w:tcPr>
            <w:tcW w:w="226" w:type="pct"/>
            <w:tcBorders>
              <w:top w:val="nil"/>
              <w:left w:val="nil"/>
              <w:bottom w:val="nil"/>
              <w:right w:val="nil"/>
            </w:tcBorders>
            <w:shd w:val="clear" w:color="000000" w:fill="FFFFFF"/>
            <w:vAlign w:val="center"/>
          </w:tcPr>
          <w:p w14:paraId="4A64A05B">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France</w:t>
            </w:r>
          </w:p>
        </w:tc>
        <w:tc>
          <w:tcPr>
            <w:tcW w:w="271" w:type="pct"/>
            <w:tcBorders>
              <w:top w:val="nil"/>
              <w:left w:val="nil"/>
              <w:bottom w:val="nil"/>
              <w:right w:val="nil"/>
            </w:tcBorders>
            <w:shd w:val="clear" w:color="000000" w:fill="FFFFFF"/>
            <w:vAlign w:val="center"/>
          </w:tcPr>
          <w:p w14:paraId="1168B088">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Europe</w:t>
            </w:r>
          </w:p>
        </w:tc>
        <w:tc>
          <w:tcPr>
            <w:tcW w:w="298" w:type="pct"/>
            <w:tcBorders>
              <w:top w:val="nil"/>
              <w:left w:val="nil"/>
              <w:bottom w:val="nil"/>
              <w:right w:val="nil"/>
            </w:tcBorders>
            <w:shd w:val="clear" w:color="000000" w:fill="FFFFFF"/>
            <w:vAlign w:val="center"/>
          </w:tcPr>
          <w:p w14:paraId="78491357">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17</w:t>
            </w:r>
          </w:p>
        </w:tc>
        <w:tc>
          <w:tcPr>
            <w:tcW w:w="314" w:type="pct"/>
            <w:tcBorders>
              <w:top w:val="nil"/>
              <w:left w:val="nil"/>
              <w:bottom w:val="nil"/>
              <w:right w:val="nil"/>
            </w:tcBorders>
            <w:shd w:val="clear" w:color="000000" w:fill="FFFFFF"/>
            <w:vAlign w:val="center"/>
          </w:tcPr>
          <w:p w14:paraId="2677EAD1">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17/0</w:t>
            </w:r>
          </w:p>
        </w:tc>
        <w:tc>
          <w:tcPr>
            <w:tcW w:w="330" w:type="pct"/>
            <w:tcBorders>
              <w:top w:val="nil"/>
              <w:left w:val="nil"/>
              <w:bottom w:val="nil"/>
              <w:right w:val="nil"/>
            </w:tcBorders>
            <w:shd w:val="clear" w:color="000000" w:fill="FFFFFF"/>
            <w:vAlign w:val="center"/>
          </w:tcPr>
          <w:p w14:paraId="563C3B05">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Rugby player</w:t>
            </w:r>
          </w:p>
        </w:tc>
        <w:tc>
          <w:tcPr>
            <w:tcW w:w="495" w:type="pct"/>
            <w:tcBorders>
              <w:top w:val="nil"/>
              <w:left w:val="nil"/>
              <w:bottom w:val="nil"/>
              <w:right w:val="nil"/>
            </w:tcBorders>
            <w:shd w:val="clear" w:color="000000" w:fill="FFFFFF"/>
            <w:vAlign w:val="center"/>
          </w:tcPr>
          <w:p w14:paraId="5FB10150">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Professional</w:t>
            </w:r>
          </w:p>
        </w:tc>
        <w:tc>
          <w:tcPr>
            <w:tcW w:w="397" w:type="pct"/>
            <w:tcBorders>
              <w:top w:val="nil"/>
              <w:left w:val="nil"/>
              <w:bottom w:val="nil"/>
              <w:right w:val="nil"/>
            </w:tcBorders>
            <w:shd w:val="clear" w:color="000000" w:fill="FFFFFF"/>
            <w:vAlign w:val="center"/>
          </w:tcPr>
          <w:p w14:paraId="248C3361">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49 days</w:t>
            </w:r>
          </w:p>
        </w:tc>
        <w:tc>
          <w:tcPr>
            <w:tcW w:w="716" w:type="pct"/>
            <w:tcBorders>
              <w:top w:val="nil"/>
              <w:left w:val="nil"/>
              <w:bottom w:val="nil"/>
              <w:right w:val="nil"/>
            </w:tcBorders>
            <w:shd w:val="clear" w:color="000000" w:fill="FFFFFF"/>
            <w:vAlign w:val="center"/>
          </w:tcPr>
          <w:p w14:paraId="319BD77F">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26.0 ± 3.8</w:t>
            </w:r>
          </w:p>
        </w:tc>
        <w:tc>
          <w:tcPr>
            <w:tcW w:w="333" w:type="pct"/>
            <w:tcBorders>
              <w:top w:val="nil"/>
              <w:left w:val="nil"/>
              <w:bottom w:val="nil"/>
              <w:right w:val="nil"/>
            </w:tcBorders>
            <w:shd w:val="clear" w:color="000000" w:fill="FFFFFF"/>
            <w:vAlign w:val="center"/>
          </w:tcPr>
          <w:p w14:paraId="76A15AD1">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③④⑨</w:t>
            </w:r>
          </w:p>
        </w:tc>
        <w:tc>
          <w:tcPr>
            <w:tcW w:w="240" w:type="pct"/>
            <w:tcBorders>
              <w:top w:val="nil"/>
              <w:left w:val="nil"/>
              <w:bottom w:val="nil"/>
              <w:right w:val="nil"/>
            </w:tcBorders>
            <w:shd w:val="clear" w:color="auto" w:fill="auto"/>
            <w:vAlign w:val="center"/>
          </w:tcPr>
          <w:p w14:paraId="394568F6">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Parallel RCT</w:t>
            </w:r>
          </w:p>
        </w:tc>
      </w:tr>
      <w:tr w14:paraId="3FB16AC0">
        <w:tblPrEx>
          <w:tblCellMar>
            <w:top w:w="0" w:type="dxa"/>
            <w:left w:w="108" w:type="dxa"/>
            <w:bottom w:w="0" w:type="dxa"/>
            <w:right w:w="108" w:type="dxa"/>
          </w:tblCellMar>
        </w:tblPrEx>
        <w:trPr>
          <w:trHeight w:val="20" w:hRule="atLeast"/>
        </w:trPr>
        <w:tc>
          <w:tcPr>
            <w:tcW w:w="338" w:type="pct"/>
            <w:tcBorders>
              <w:top w:val="nil"/>
              <w:left w:val="nil"/>
              <w:right w:val="nil"/>
            </w:tcBorders>
            <w:shd w:val="clear" w:color="000000" w:fill="FFFFFF"/>
            <w:vAlign w:val="center"/>
          </w:tcPr>
          <w:p w14:paraId="19C585B2">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Fernández-Lázaro 2022</w:t>
            </w:r>
          </w:p>
        </w:tc>
        <w:tc>
          <w:tcPr>
            <w:tcW w:w="551" w:type="pct"/>
            <w:tcBorders>
              <w:top w:val="nil"/>
              <w:left w:val="nil"/>
              <w:right w:val="nil"/>
            </w:tcBorders>
            <w:shd w:val="clear" w:color="000000" w:fill="FFFFFF"/>
            <w:vAlign w:val="center"/>
          </w:tcPr>
          <w:p w14:paraId="49A6BBB4">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Tribulus Terrestris</w:t>
            </w:r>
          </w:p>
        </w:tc>
        <w:tc>
          <w:tcPr>
            <w:tcW w:w="485" w:type="pct"/>
            <w:tcBorders>
              <w:top w:val="nil"/>
              <w:left w:val="nil"/>
              <w:right w:val="nil"/>
            </w:tcBorders>
            <w:shd w:val="clear" w:color="000000" w:fill="FFFFFF"/>
          </w:tcPr>
          <w:p w14:paraId="7553C575">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Obtain 2 TT capsules daily from Quamtrax® Pharmaceuticals (Quamtrax® Nutrition Europe S.L., Madrid, Spain) at a daily dose of 770 mg; TT extract accounted for 72.64% (385 mg/granule), among which the saponin content was 40%</w:t>
            </w:r>
          </w:p>
        </w:tc>
        <w:tc>
          <w:tcPr>
            <w:tcW w:w="226" w:type="pct"/>
            <w:tcBorders>
              <w:top w:val="nil"/>
              <w:left w:val="nil"/>
              <w:right w:val="nil"/>
            </w:tcBorders>
            <w:shd w:val="clear" w:color="000000" w:fill="FFFFFF"/>
            <w:vAlign w:val="center"/>
          </w:tcPr>
          <w:p w14:paraId="1C7BD184">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Spain</w:t>
            </w:r>
          </w:p>
        </w:tc>
        <w:tc>
          <w:tcPr>
            <w:tcW w:w="271" w:type="pct"/>
            <w:tcBorders>
              <w:top w:val="nil"/>
              <w:left w:val="nil"/>
              <w:right w:val="nil"/>
            </w:tcBorders>
            <w:shd w:val="clear" w:color="000000" w:fill="FFFFFF"/>
            <w:vAlign w:val="center"/>
          </w:tcPr>
          <w:p w14:paraId="552188B9">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Europe</w:t>
            </w:r>
          </w:p>
        </w:tc>
        <w:tc>
          <w:tcPr>
            <w:tcW w:w="298" w:type="pct"/>
            <w:tcBorders>
              <w:top w:val="nil"/>
              <w:left w:val="nil"/>
              <w:right w:val="nil"/>
            </w:tcBorders>
            <w:shd w:val="clear" w:color="000000" w:fill="FFFFFF"/>
            <w:vAlign w:val="center"/>
          </w:tcPr>
          <w:p w14:paraId="0286FDE6">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30</w:t>
            </w:r>
          </w:p>
        </w:tc>
        <w:tc>
          <w:tcPr>
            <w:tcW w:w="314" w:type="pct"/>
            <w:tcBorders>
              <w:top w:val="nil"/>
              <w:left w:val="nil"/>
              <w:right w:val="nil"/>
            </w:tcBorders>
            <w:shd w:val="clear" w:color="000000" w:fill="FFFFFF"/>
            <w:vAlign w:val="center"/>
          </w:tcPr>
          <w:p w14:paraId="0FC7081F">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30/0</w:t>
            </w:r>
          </w:p>
        </w:tc>
        <w:tc>
          <w:tcPr>
            <w:tcW w:w="330" w:type="pct"/>
            <w:tcBorders>
              <w:top w:val="nil"/>
              <w:left w:val="nil"/>
              <w:right w:val="nil"/>
            </w:tcBorders>
            <w:shd w:val="clear" w:color="000000" w:fill="FFFFFF"/>
            <w:vAlign w:val="center"/>
          </w:tcPr>
          <w:p w14:paraId="4F29818B">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NA</w:t>
            </w:r>
          </w:p>
        </w:tc>
        <w:tc>
          <w:tcPr>
            <w:tcW w:w="495" w:type="pct"/>
            <w:tcBorders>
              <w:top w:val="nil"/>
              <w:left w:val="nil"/>
              <w:right w:val="nil"/>
            </w:tcBorders>
            <w:shd w:val="clear" w:color="000000" w:fill="FFFFFF"/>
            <w:vAlign w:val="center"/>
          </w:tcPr>
          <w:p w14:paraId="065B87D1">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Amateur</w:t>
            </w:r>
          </w:p>
        </w:tc>
        <w:tc>
          <w:tcPr>
            <w:tcW w:w="397" w:type="pct"/>
            <w:tcBorders>
              <w:top w:val="nil"/>
              <w:left w:val="nil"/>
              <w:right w:val="nil"/>
            </w:tcBorders>
            <w:shd w:val="clear" w:color="000000" w:fill="FFFFFF"/>
            <w:vAlign w:val="center"/>
          </w:tcPr>
          <w:p w14:paraId="007619FF">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42 days</w:t>
            </w:r>
          </w:p>
        </w:tc>
        <w:tc>
          <w:tcPr>
            <w:tcW w:w="716" w:type="pct"/>
            <w:tcBorders>
              <w:top w:val="nil"/>
              <w:left w:val="nil"/>
              <w:right w:val="nil"/>
            </w:tcBorders>
            <w:shd w:val="clear" w:color="000000" w:fill="FFFFFF"/>
            <w:vAlign w:val="center"/>
          </w:tcPr>
          <w:p w14:paraId="4DD00089">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32.9 ± 6.3/</w:t>
            </w:r>
            <w:r>
              <w:rPr>
                <w:rFonts w:hint="default" w:ascii="Times New Roman" w:hAnsi="Times New Roman" w:cs="Times New Roman"/>
                <w:sz w:val="22"/>
                <w:szCs w:val="22"/>
              </w:rPr>
              <w:t xml:space="preserve"> </w:t>
            </w:r>
            <w:r>
              <w:rPr>
                <w:rFonts w:hint="default" w:ascii="Times New Roman" w:hAnsi="Times New Roman" w:eastAsia="等线" w:cs="Times New Roman"/>
                <w:color w:val="000000"/>
                <w:kern w:val="0"/>
                <w:sz w:val="22"/>
                <w:szCs w:val="22"/>
                <w14:ligatures w14:val="none"/>
              </w:rPr>
              <w:t>33.1 ± 5.7</w:t>
            </w:r>
          </w:p>
        </w:tc>
        <w:tc>
          <w:tcPr>
            <w:tcW w:w="333" w:type="pct"/>
            <w:tcBorders>
              <w:top w:val="nil"/>
              <w:left w:val="nil"/>
              <w:right w:val="nil"/>
            </w:tcBorders>
            <w:shd w:val="clear" w:color="000000" w:fill="FFFFFF"/>
            <w:vAlign w:val="center"/>
          </w:tcPr>
          <w:p w14:paraId="791FF03B">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①⑦⑨</w:t>
            </w:r>
          </w:p>
        </w:tc>
        <w:tc>
          <w:tcPr>
            <w:tcW w:w="240" w:type="pct"/>
            <w:tcBorders>
              <w:top w:val="nil"/>
              <w:left w:val="nil"/>
              <w:bottom w:val="nil"/>
              <w:right w:val="nil"/>
            </w:tcBorders>
            <w:shd w:val="clear" w:color="auto" w:fill="auto"/>
            <w:vAlign w:val="center"/>
          </w:tcPr>
          <w:p w14:paraId="2ADFA291">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Parallel RCT</w:t>
            </w:r>
          </w:p>
        </w:tc>
      </w:tr>
      <w:tr w14:paraId="27D9AF42">
        <w:tblPrEx>
          <w:tblCellMar>
            <w:top w:w="0" w:type="dxa"/>
            <w:left w:w="108" w:type="dxa"/>
            <w:bottom w:w="0" w:type="dxa"/>
            <w:right w:w="108" w:type="dxa"/>
          </w:tblCellMar>
        </w:tblPrEx>
        <w:trPr>
          <w:trHeight w:val="20" w:hRule="atLeast"/>
        </w:trPr>
        <w:tc>
          <w:tcPr>
            <w:tcW w:w="338" w:type="pct"/>
            <w:tcBorders>
              <w:top w:val="nil"/>
              <w:left w:val="nil"/>
              <w:bottom w:val="single" w:color="auto" w:sz="8" w:space="0"/>
              <w:right w:val="nil"/>
            </w:tcBorders>
            <w:shd w:val="clear" w:color="000000" w:fill="FFFFFF"/>
            <w:vAlign w:val="center"/>
          </w:tcPr>
          <w:p w14:paraId="700E7AD2">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Esen 2023</w:t>
            </w:r>
          </w:p>
        </w:tc>
        <w:tc>
          <w:tcPr>
            <w:tcW w:w="551" w:type="pct"/>
            <w:tcBorders>
              <w:top w:val="nil"/>
              <w:left w:val="nil"/>
              <w:bottom w:val="single" w:color="auto" w:sz="8" w:space="0"/>
              <w:right w:val="nil"/>
            </w:tcBorders>
            <w:shd w:val="clear" w:color="000000" w:fill="FFFFFF"/>
            <w:vAlign w:val="center"/>
          </w:tcPr>
          <w:p w14:paraId="768AAEC4">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Beetroot Juice</w:t>
            </w:r>
          </w:p>
        </w:tc>
        <w:tc>
          <w:tcPr>
            <w:tcW w:w="485" w:type="pct"/>
            <w:tcBorders>
              <w:top w:val="nil"/>
              <w:left w:val="nil"/>
              <w:bottom w:val="single" w:color="auto" w:sz="8" w:space="0"/>
              <w:right w:val="nil"/>
            </w:tcBorders>
            <w:shd w:val="clear" w:color="000000" w:fill="FFFFFF"/>
          </w:tcPr>
          <w:p w14:paraId="69C30610">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140 mL of concentrated beetroot juice (containing 12.8 mmol nitrate)</w:t>
            </w:r>
          </w:p>
        </w:tc>
        <w:tc>
          <w:tcPr>
            <w:tcW w:w="226" w:type="pct"/>
            <w:tcBorders>
              <w:top w:val="nil"/>
              <w:left w:val="nil"/>
              <w:bottom w:val="single" w:color="auto" w:sz="8" w:space="0"/>
              <w:right w:val="nil"/>
            </w:tcBorders>
            <w:shd w:val="clear" w:color="000000" w:fill="FFFFFF"/>
            <w:vAlign w:val="center"/>
          </w:tcPr>
          <w:p w14:paraId="415F855F">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UK</w:t>
            </w:r>
          </w:p>
        </w:tc>
        <w:tc>
          <w:tcPr>
            <w:tcW w:w="271" w:type="pct"/>
            <w:tcBorders>
              <w:top w:val="nil"/>
              <w:left w:val="nil"/>
              <w:bottom w:val="single" w:color="auto" w:sz="8" w:space="0"/>
              <w:right w:val="nil"/>
            </w:tcBorders>
            <w:shd w:val="clear" w:color="000000" w:fill="FFFFFF"/>
            <w:vAlign w:val="center"/>
          </w:tcPr>
          <w:p w14:paraId="088C6435">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Europe</w:t>
            </w:r>
          </w:p>
        </w:tc>
        <w:tc>
          <w:tcPr>
            <w:tcW w:w="298" w:type="pct"/>
            <w:tcBorders>
              <w:top w:val="nil"/>
              <w:left w:val="nil"/>
              <w:bottom w:val="single" w:color="auto" w:sz="8" w:space="0"/>
              <w:right w:val="nil"/>
            </w:tcBorders>
            <w:shd w:val="clear" w:color="000000" w:fill="FFFFFF"/>
            <w:vAlign w:val="center"/>
          </w:tcPr>
          <w:p w14:paraId="0CECFECD">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12</w:t>
            </w:r>
          </w:p>
        </w:tc>
        <w:tc>
          <w:tcPr>
            <w:tcW w:w="314" w:type="pct"/>
            <w:tcBorders>
              <w:top w:val="nil"/>
              <w:left w:val="nil"/>
              <w:bottom w:val="single" w:color="auto" w:sz="8" w:space="0"/>
              <w:right w:val="nil"/>
            </w:tcBorders>
            <w:shd w:val="clear" w:color="000000" w:fill="FFFFFF"/>
            <w:vAlign w:val="center"/>
          </w:tcPr>
          <w:p w14:paraId="7AF7C520">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12/0</w:t>
            </w:r>
          </w:p>
        </w:tc>
        <w:tc>
          <w:tcPr>
            <w:tcW w:w="330" w:type="pct"/>
            <w:tcBorders>
              <w:top w:val="nil"/>
              <w:left w:val="nil"/>
              <w:bottom w:val="single" w:color="auto" w:sz="8" w:space="0"/>
              <w:right w:val="nil"/>
            </w:tcBorders>
            <w:shd w:val="clear" w:color="000000" w:fill="FFFFFF"/>
            <w:vAlign w:val="center"/>
          </w:tcPr>
          <w:p w14:paraId="0A668FD4">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Rugby player</w:t>
            </w:r>
          </w:p>
        </w:tc>
        <w:tc>
          <w:tcPr>
            <w:tcW w:w="495" w:type="pct"/>
            <w:tcBorders>
              <w:top w:val="nil"/>
              <w:left w:val="nil"/>
              <w:bottom w:val="single" w:color="auto" w:sz="8" w:space="0"/>
              <w:right w:val="nil"/>
            </w:tcBorders>
            <w:shd w:val="clear" w:color="000000" w:fill="FFFFFF"/>
            <w:vAlign w:val="center"/>
          </w:tcPr>
          <w:p w14:paraId="1BA88100">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Professional</w:t>
            </w:r>
          </w:p>
        </w:tc>
        <w:tc>
          <w:tcPr>
            <w:tcW w:w="397" w:type="pct"/>
            <w:tcBorders>
              <w:top w:val="nil"/>
              <w:left w:val="nil"/>
              <w:bottom w:val="single" w:color="auto" w:sz="8" w:space="0"/>
              <w:right w:val="nil"/>
            </w:tcBorders>
            <w:shd w:val="clear" w:color="000000" w:fill="FFFFFF"/>
            <w:vAlign w:val="center"/>
          </w:tcPr>
          <w:p w14:paraId="2A698D55">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7 days</w:t>
            </w:r>
          </w:p>
        </w:tc>
        <w:tc>
          <w:tcPr>
            <w:tcW w:w="716" w:type="pct"/>
            <w:tcBorders>
              <w:top w:val="nil"/>
              <w:left w:val="nil"/>
              <w:bottom w:val="single" w:color="auto" w:sz="8" w:space="0"/>
              <w:right w:val="nil"/>
            </w:tcBorders>
            <w:shd w:val="clear" w:color="000000" w:fill="FFFFFF"/>
            <w:vAlign w:val="center"/>
          </w:tcPr>
          <w:p w14:paraId="2E5FAF6D">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20±4</w:t>
            </w:r>
          </w:p>
        </w:tc>
        <w:tc>
          <w:tcPr>
            <w:tcW w:w="333" w:type="pct"/>
            <w:tcBorders>
              <w:top w:val="nil"/>
              <w:left w:val="nil"/>
              <w:bottom w:val="single" w:color="auto" w:sz="8" w:space="0"/>
              <w:right w:val="nil"/>
            </w:tcBorders>
            <w:shd w:val="clear" w:color="000000" w:fill="FFFFFF"/>
            <w:vAlign w:val="center"/>
          </w:tcPr>
          <w:p w14:paraId="23D003A6">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宋体" w:cs="Times New Roman"/>
                <w:sz w:val="22"/>
                <w:szCs w:val="22"/>
              </w:rPr>
              <w:t>⑤</w:t>
            </w:r>
            <w:r>
              <w:rPr>
                <w:rFonts w:hint="default" w:ascii="Times New Roman" w:hAnsi="Times New Roman" w:cs="Times New Roman"/>
                <w:sz w:val="22"/>
                <w:szCs w:val="22"/>
              </w:rPr>
              <w:t>⑧</w:t>
            </w:r>
          </w:p>
        </w:tc>
        <w:tc>
          <w:tcPr>
            <w:tcW w:w="240" w:type="pct"/>
            <w:tcBorders>
              <w:top w:val="nil"/>
              <w:left w:val="nil"/>
              <w:bottom w:val="single" w:color="auto" w:sz="8" w:space="0"/>
              <w:right w:val="nil"/>
            </w:tcBorders>
            <w:shd w:val="clear" w:color="auto" w:fill="auto"/>
            <w:vAlign w:val="center"/>
          </w:tcPr>
          <w:p w14:paraId="363844E8">
            <w:pPr>
              <w:keepNext w:val="0"/>
              <w:keepLines w:val="0"/>
              <w:widowControl/>
              <w:suppressLineNumbers w:val="0"/>
              <w:spacing w:before="0" w:beforeAutospacing="0" w:after="0" w:afterAutospacing="0" w:line="360" w:lineRule="auto"/>
              <w:ind w:left="0" w:right="0" w:firstLine="220" w:firstLineChars="10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Parallel RCT</w:t>
            </w:r>
          </w:p>
        </w:tc>
      </w:tr>
      <w:bookmarkEnd w:id="0"/>
    </w:tbl>
    <w:p w14:paraId="7E9EAE0D">
      <w:pPr>
        <w:pStyle w:val="11"/>
        <w:keepNext/>
        <w:jc w:val="both"/>
        <w:rPr>
          <w:rFonts w:hint="default" w:ascii="Times New Roman" w:hAnsi="Times New Roman" w:cs="Times New Roman"/>
          <w:sz w:val="22"/>
          <w:szCs w:val="22"/>
        </w:rPr>
      </w:pPr>
      <w:r>
        <w:rPr>
          <w:rFonts w:hint="default" w:ascii="Times New Roman" w:hAnsi="Times New Roman" w:cs="Times New Roman"/>
          <w:sz w:val="22"/>
          <w:szCs w:val="22"/>
        </w:rPr>
        <w:t>Number: ①TAS, ②TBARS, ③GPx, ④SOD, ⑤LA, ⑥MDA, ⑦IL-6, ⑧NOx, ⑨CK</w:t>
      </w:r>
    </w:p>
    <w:p w14:paraId="30E28D49">
      <w:pPr>
        <w:pStyle w:val="11"/>
        <w:keepNext/>
        <w:jc w:val="both"/>
        <w:rPr>
          <w:rFonts w:hint="default" w:ascii="Times New Roman" w:hAnsi="Times New Roman" w:cs="Times New Roman"/>
          <w:sz w:val="22"/>
          <w:szCs w:val="22"/>
        </w:rPr>
      </w:pPr>
    </w:p>
    <w:p w14:paraId="13A77542">
      <w:pPr>
        <w:pStyle w:val="11"/>
        <w:keepNext/>
        <w:jc w:val="center"/>
        <w:rPr>
          <w:rFonts w:hint="default" w:ascii="Times New Roman" w:hAnsi="Times New Roman" w:cs="Times New Roman"/>
          <w:sz w:val="22"/>
          <w:szCs w:val="22"/>
        </w:rPr>
      </w:pPr>
    </w:p>
    <w:p w14:paraId="266559A7">
      <w:pPr>
        <w:pStyle w:val="11"/>
        <w:keepNext/>
        <w:jc w:val="center"/>
        <w:rPr>
          <w:rFonts w:hint="default" w:ascii="Times New Roman" w:hAnsi="Times New Roman" w:cs="Times New Roman"/>
          <w:sz w:val="22"/>
          <w:szCs w:val="22"/>
        </w:rPr>
      </w:pPr>
    </w:p>
    <w:p w14:paraId="7370D02B">
      <w:pPr>
        <w:pStyle w:val="11"/>
        <w:keepNext/>
        <w:jc w:val="center"/>
        <w:rPr>
          <w:rFonts w:hint="default" w:ascii="Times New Roman" w:hAnsi="Times New Roman" w:cs="Times New Roman"/>
          <w:sz w:val="22"/>
          <w:szCs w:val="22"/>
        </w:rPr>
      </w:pPr>
    </w:p>
    <w:p w14:paraId="6E03D167">
      <w:pPr>
        <w:pStyle w:val="11"/>
        <w:keepNext/>
        <w:jc w:val="center"/>
        <w:rPr>
          <w:rFonts w:hint="default" w:ascii="Times New Roman" w:hAnsi="Times New Roman" w:cs="Times New Roman"/>
          <w:sz w:val="22"/>
          <w:szCs w:val="22"/>
        </w:rPr>
      </w:pPr>
    </w:p>
    <w:p w14:paraId="4E02B44C">
      <w:pPr>
        <w:pStyle w:val="11"/>
        <w:keepNext/>
        <w:jc w:val="center"/>
        <w:rPr>
          <w:rFonts w:hint="default" w:ascii="Times New Roman" w:hAnsi="Times New Roman" w:cs="Times New Roman"/>
          <w:sz w:val="22"/>
          <w:szCs w:val="22"/>
        </w:rPr>
      </w:pPr>
    </w:p>
    <w:p w14:paraId="1A7B823B">
      <w:pPr>
        <w:pStyle w:val="11"/>
        <w:keepNext/>
        <w:jc w:val="center"/>
        <w:rPr>
          <w:rFonts w:hint="default" w:ascii="Times New Roman" w:hAnsi="Times New Roman" w:cs="Times New Roman"/>
          <w:sz w:val="22"/>
          <w:szCs w:val="22"/>
        </w:rPr>
      </w:pPr>
    </w:p>
    <w:p w14:paraId="1FC7A9E9">
      <w:pPr>
        <w:pStyle w:val="11"/>
        <w:keepNext/>
        <w:jc w:val="center"/>
        <w:rPr>
          <w:rFonts w:hint="default" w:ascii="Times New Roman" w:hAnsi="Times New Roman" w:cs="Times New Roman"/>
          <w:sz w:val="22"/>
          <w:szCs w:val="22"/>
        </w:rPr>
      </w:pPr>
    </w:p>
    <w:p w14:paraId="7FD6285E">
      <w:pPr>
        <w:pStyle w:val="11"/>
        <w:keepNext/>
        <w:jc w:val="center"/>
        <w:rPr>
          <w:rFonts w:hint="default" w:ascii="Times New Roman" w:hAnsi="Times New Roman" w:cs="Times New Roman"/>
          <w:sz w:val="22"/>
          <w:szCs w:val="22"/>
        </w:rPr>
      </w:pPr>
    </w:p>
    <w:p w14:paraId="4E01FBED">
      <w:pPr>
        <w:pStyle w:val="11"/>
        <w:keepNext/>
        <w:jc w:val="center"/>
        <w:rPr>
          <w:rFonts w:hint="default" w:ascii="Times New Roman" w:hAnsi="Times New Roman" w:cs="Times New Roman"/>
          <w:sz w:val="22"/>
          <w:szCs w:val="22"/>
        </w:rPr>
      </w:pPr>
    </w:p>
    <w:p w14:paraId="229ED9AF">
      <w:pPr>
        <w:pStyle w:val="11"/>
        <w:keepNext/>
        <w:jc w:val="center"/>
        <w:rPr>
          <w:rFonts w:hint="default" w:ascii="Times New Roman" w:hAnsi="Times New Roman" w:cs="Times New Roman"/>
          <w:sz w:val="22"/>
          <w:szCs w:val="22"/>
        </w:rPr>
      </w:pPr>
    </w:p>
    <w:p w14:paraId="1CEF0BA5">
      <w:pPr>
        <w:pStyle w:val="11"/>
        <w:keepNext/>
        <w:jc w:val="center"/>
        <w:rPr>
          <w:rFonts w:hint="default" w:ascii="Times New Roman" w:hAnsi="Times New Roman" w:cs="Times New Roman"/>
          <w:sz w:val="22"/>
          <w:szCs w:val="22"/>
        </w:rPr>
      </w:pPr>
    </w:p>
    <w:p w14:paraId="70109B41">
      <w:pPr>
        <w:pStyle w:val="11"/>
        <w:keepNext/>
        <w:jc w:val="center"/>
        <w:rPr>
          <w:rFonts w:hint="default" w:ascii="Times New Roman" w:hAnsi="Times New Roman" w:cs="Times New Roman"/>
          <w:sz w:val="22"/>
          <w:szCs w:val="22"/>
        </w:rPr>
      </w:pPr>
    </w:p>
    <w:p w14:paraId="33100C7A">
      <w:pPr>
        <w:pStyle w:val="11"/>
        <w:keepNext/>
        <w:jc w:val="center"/>
        <w:rPr>
          <w:rFonts w:hint="default" w:ascii="Times New Roman" w:hAnsi="Times New Roman" w:cs="Times New Roman"/>
          <w:sz w:val="22"/>
          <w:szCs w:val="22"/>
        </w:rPr>
      </w:pPr>
    </w:p>
    <w:p w14:paraId="74A80D52">
      <w:pPr>
        <w:pStyle w:val="11"/>
        <w:keepNext/>
        <w:jc w:val="center"/>
        <w:rPr>
          <w:rFonts w:hint="default" w:ascii="Times New Roman" w:hAnsi="Times New Roman" w:cs="Times New Roman"/>
          <w:sz w:val="22"/>
          <w:szCs w:val="22"/>
        </w:rPr>
      </w:pPr>
    </w:p>
    <w:p w14:paraId="0DCF9DF6">
      <w:pPr>
        <w:pStyle w:val="11"/>
        <w:keepNext/>
        <w:jc w:val="center"/>
        <w:rPr>
          <w:rFonts w:hint="default" w:ascii="Times New Roman" w:hAnsi="Times New Roman" w:cs="Times New Roman"/>
          <w:sz w:val="22"/>
          <w:szCs w:val="22"/>
        </w:rPr>
      </w:pPr>
    </w:p>
    <w:p w14:paraId="1ADE351B">
      <w:pPr>
        <w:pStyle w:val="11"/>
        <w:keepNext/>
        <w:jc w:val="center"/>
        <w:rPr>
          <w:rFonts w:hint="default" w:ascii="Times New Roman" w:hAnsi="Times New Roman" w:cs="Times New Roman"/>
          <w:sz w:val="22"/>
          <w:szCs w:val="22"/>
        </w:rPr>
      </w:pPr>
    </w:p>
    <w:p w14:paraId="20FC95B5">
      <w:pPr>
        <w:pStyle w:val="11"/>
        <w:keepNext/>
        <w:jc w:val="center"/>
        <w:rPr>
          <w:rFonts w:hint="default" w:ascii="Times New Roman" w:hAnsi="Times New Roman" w:cs="Times New Roman"/>
          <w:sz w:val="22"/>
          <w:szCs w:val="22"/>
        </w:rPr>
      </w:pPr>
    </w:p>
    <w:p w14:paraId="6D650AC6">
      <w:pPr>
        <w:pStyle w:val="11"/>
        <w:keepNext/>
        <w:jc w:val="center"/>
        <w:rPr>
          <w:rFonts w:hint="default" w:ascii="Times New Roman" w:hAnsi="Times New Roman" w:cs="Times New Roman"/>
          <w:sz w:val="22"/>
          <w:szCs w:val="22"/>
        </w:rPr>
      </w:pPr>
    </w:p>
    <w:p w14:paraId="4221BC7A">
      <w:pPr>
        <w:pStyle w:val="11"/>
        <w:keepNext/>
        <w:jc w:val="center"/>
        <w:rPr>
          <w:rFonts w:hint="default" w:ascii="Times New Roman" w:hAnsi="Times New Roman" w:cs="Times New Roman"/>
          <w:sz w:val="22"/>
          <w:szCs w:val="22"/>
        </w:rPr>
      </w:pPr>
    </w:p>
    <w:p w14:paraId="4692DC76">
      <w:pPr>
        <w:rPr>
          <w:rFonts w:hint="default" w:ascii="Times New Roman" w:hAnsi="Times New Roman" w:cs="Times New Roman"/>
          <w:sz w:val="22"/>
          <w:szCs w:val="22"/>
        </w:rPr>
      </w:pPr>
      <w:r>
        <w:rPr>
          <w:rFonts w:hint="default" w:ascii="Times New Roman" w:hAnsi="Times New Roman" w:cs="Times New Roman"/>
          <w:sz w:val="22"/>
          <w:szCs w:val="22"/>
        </w:rPr>
        <w:br w:type="page"/>
      </w:r>
    </w:p>
    <w:p w14:paraId="223F400E">
      <w:pPr>
        <w:pStyle w:val="11"/>
        <w:keepNext/>
        <w:jc w:val="both"/>
        <w:rPr>
          <w:rFonts w:hint="default" w:ascii="Times New Roman" w:hAnsi="Times New Roman" w:cs="Times New Roman"/>
          <w:sz w:val="22"/>
          <w:szCs w:val="22"/>
          <w:lang w:val="en-US"/>
        </w:rPr>
      </w:pPr>
      <w:r>
        <w:rPr>
          <w:rFonts w:hint="default" w:ascii="Times New Roman" w:hAnsi="Times New Roman" w:cs="Times New Roman"/>
          <w:b/>
          <w:bCs/>
          <w:sz w:val="22"/>
          <w:szCs w:val="22"/>
        </w:rPr>
        <w:t xml:space="preserve">Table </w:t>
      </w:r>
      <w:r>
        <w:rPr>
          <w:rFonts w:hint="default" w:ascii="Times New Roman" w:hAnsi="Times New Roman" w:cs="Times New Roman"/>
          <w:b/>
          <w:bCs/>
          <w:sz w:val="22"/>
          <w:szCs w:val="22"/>
          <w:lang w:eastAsia="zh-CN"/>
        </w:rPr>
        <w:t>S</w:t>
      </w:r>
      <w:r>
        <w:rPr>
          <w:rFonts w:hint="default" w:ascii="Times New Roman" w:hAnsi="Times New Roman" w:cs="Times New Roman"/>
          <w:b/>
          <w:bCs/>
          <w:sz w:val="22"/>
          <w:szCs w:val="22"/>
          <w:lang w:val="en-US" w:eastAsia="zh-CN"/>
        </w:rPr>
        <w:t>3</w:t>
      </w:r>
      <w:r>
        <w:rPr>
          <w:rFonts w:hint="eastAsia" w:ascii="Times New Roman" w:hAnsi="Times New Roman" w:cs="Times New Roman"/>
          <w:b/>
          <w:bCs/>
          <w:sz w:val="22"/>
          <w:szCs w:val="22"/>
          <w:lang w:val="en-US" w:eastAsia="zh-CN"/>
        </w:rPr>
        <w:t xml:space="preserve"> </w:t>
      </w:r>
      <w:r>
        <w:rPr>
          <w:rFonts w:hint="default" w:ascii="Times New Roman" w:hAnsi="Times New Roman" w:eastAsia="等线" w:cs="Times New Roman"/>
          <w:b w:val="0"/>
          <w:bCs w:val="0"/>
          <w:color w:val="000000"/>
          <w:kern w:val="0"/>
          <w:sz w:val="22"/>
          <w:szCs w:val="22"/>
          <w14:ligatures w14:val="none"/>
        </w:rPr>
        <w:t>Training Plan</w:t>
      </w:r>
    </w:p>
    <w:tbl>
      <w:tblPr>
        <w:tblStyle w:val="17"/>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78"/>
        <w:gridCol w:w="20210"/>
      </w:tblGrid>
      <w:tr w14:paraId="160AB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85" w:type="pct"/>
            <w:vAlign w:val="center"/>
          </w:tcPr>
          <w:p w14:paraId="0CC7D155">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b/>
                <w:bCs/>
                <w:color w:val="000000"/>
                <w:kern w:val="0"/>
                <w:sz w:val="22"/>
                <w:szCs w:val="22"/>
                <w14:ligatures w14:val="none"/>
              </w:rPr>
            </w:pPr>
            <w:r>
              <w:rPr>
                <w:rFonts w:hint="default" w:ascii="Times New Roman" w:hAnsi="Times New Roman" w:eastAsia="等线" w:cs="Times New Roman"/>
                <w:b/>
                <w:bCs/>
                <w:color w:val="000000"/>
                <w:kern w:val="0"/>
                <w:sz w:val="22"/>
                <w:szCs w:val="22"/>
                <w14:ligatures w14:val="none"/>
              </w:rPr>
              <w:t>Author/Year</w:t>
            </w:r>
          </w:p>
        </w:tc>
        <w:tc>
          <w:tcPr>
            <w:tcW w:w="4414" w:type="pct"/>
          </w:tcPr>
          <w:p w14:paraId="69546675">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b/>
                <w:bCs/>
                <w:color w:val="000000"/>
                <w:kern w:val="0"/>
                <w:sz w:val="22"/>
                <w:szCs w:val="22"/>
                <w14:ligatures w14:val="none"/>
              </w:rPr>
            </w:pPr>
            <w:r>
              <w:rPr>
                <w:rFonts w:hint="default" w:ascii="Times New Roman" w:hAnsi="Times New Roman" w:eastAsia="等线" w:cs="Times New Roman"/>
                <w:b/>
                <w:bCs/>
                <w:color w:val="000000"/>
                <w:kern w:val="0"/>
                <w:sz w:val="22"/>
                <w:szCs w:val="22"/>
                <w14:ligatures w14:val="none"/>
              </w:rPr>
              <w:t>Training Plan</w:t>
            </w:r>
          </w:p>
        </w:tc>
      </w:tr>
      <w:tr w14:paraId="24A43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pct"/>
            <w:vAlign w:val="center"/>
          </w:tcPr>
          <w:p w14:paraId="381F729C">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Schröder 2000</w:t>
            </w:r>
          </w:p>
        </w:tc>
        <w:tc>
          <w:tcPr>
            <w:tcW w:w="4414" w:type="pct"/>
          </w:tcPr>
          <w:p w14:paraId="35047E96">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During the last third part of the competition season 1996/97 of the ACB, a period of heavier load and activity</w:t>
            </w:r>
          </w:p>
        </w:tc>
      </w:tr>
      <w:tr w14:paraId="1AFC2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pct"/>
            <w:vAlign w:val="center"/>
          </w:tcPr>
          <w:p w14:paraId="1BF3B035">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Pilaczynska-Szczesniak 2005</w:t>
            </w:r>
          </w:p>
        </w:tc>
        <w:tc>
          <w:tcPr>
            <w:tcW w:w="4414" w:type="pct"/>
          </w:tcPr>
          <w:p w14:paraId="063165A0">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The study population consisted of 19 male members of the Polish rowing team participating in a 1-month training camp between the preparation period and the competition period</w:t>
            </w:r>
          </w:p>
        </w:tc>
      </w:tr>
      <w:tr w14:paraId="62C04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pct"/>
            <w:vAlign w:val="center"/>
          </w:tcPr>
          <w:p w14:paraId="2F790242">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Tauler 2006</w:t>
            </w:r>
          </w:p>
        </w:tc>
        <w:tc>
          <w:tcPr>
            <w:tcW w:w="4414" w:type="pct"/>
          </w:tcPr>
          <w:p w14:paraId="0603D447">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During this study all sportsmen continued their training sessions and participated in several competitions. After the three months of supplementation all the athletes performed a maximal and a submaximal prolonged exercise test. Subjects were in-</w:t>
            </w:r>
          </w:p>
          <w:p w14:paraId="57A05984">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structed to refrain from strenuous exercise the day before the exercise test</w:t>
            </w:r>
          </w:p>
        </w:tc>
      </w:tr>
      <w:tr w14:paraId="1EDE1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pct"/>
            <w:vAlign w:val="center"/>
          </w:tcPr>
          <w:p w14:paraId="0EC960F0">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Aguilo 2007</w:t>
            </w:r>
          </w:p>
        </w:tc>
        <w:tc>
          <w:tcPr>
            <w:tcW w:w="4414" w:type="pct"/>
          </w:tcPr>
          <w:p w14:paraId="5E9896CD">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Maximal incremental exercise tests were performed on an electromagnetically braked cycle ergometer (Ergometrics 900, MedGraphicsTM, St. Paul, MN). This maximal test was performed after a gradual protocol until exhaustion. Participants were</w:t>
            </w:r>
            <w:r>
              <w:rPr>
                <w:rFonts w:hint="default" w:ascii="Times New Roman" w:hAnsi="Times New Roman" w:cs="Times New Roman"/>
                <w:sz w:val="22"/>
                <w:szCs w:val="22"/>
              </w:rPr>
              <w:t xml:space="preserve"> </w:t>
            </w:r>
            <w:r>
              <w:rPr>
                <w:rFonts w:hint="default" w:ascii="Times New Roman" w:hAnsi="Times New Roman" w:eastAsia="等线" w:cs="Times New Roman"/>
                <w:color w:val="000000"/>
                <w:kern w:val="0"/>
                <w:sz w:val="22"/>
                <w:szCs w:val="22"/>
                <w14:ligatures w14:val="none"/>
              </w:rPr>
              <w:t>familiarized with the exercise protocol. Participants warmed up for 3 min at 30 W before starting the test. The test began at 50 W and the participants’ work rate was increased by 30 W every 3 min. The participants were asked to maintain a pedaling cadence between 50 and 60 rev/min</w:t>
            </w:r>
            <w:r>
              <w:rPr>
                <w:rFonts w:hint="default" w:ascii="Times New Roman" w:hAnsi="Times New Roman" w:eastAsia="等线" w:cs="Times New Roman"/>
                <w:color w:val="000000"/>
                <w:kern w:val="0"/>
                <w:sz w:val="22"/>
                <w:szCs w:val="22"/>
                <w:vertAlign w:val="superscript"/>
                <w14:ligatures w14:val="none"/>
              </w:rPr>
              <w:t>-1</w:t>
            </w:r>
            <w:r>
              <w:rPr>
                <w:rFonts w:hint="default" w:ascii="Times New Roman" w:hAnsi="Times New Roman" w:eastAsia="等线" w:cs="Times New Roman"/>
                <w:color w:val="000000"/>
                <w:kern w:val="0"/>
                <w:sz w:val="22"/>
                <w:szCs w:val="22"/>
                <w14:ligatures w14:val="none"/>
              </w:rPr>
              <w:t>. A pedal frequency meter was used to maintain this cadence. Each test finished when the increased work did not increase or decrease the oxygen consumption; this value was recorded as maximal oxygen up take VO</w:t>
            </w:r>
            <w:r>
              <w:rPr>
                <w:rFonts w:hint="default" w:ascii="Times New Roman" w:hAnsi="Times New Roman" w:eastAsia="等线" w:cs="Times New Roman"/>
                <w:color w:val="000000"/>
                <w:kern w:val="0"/>
                <w:sz w:val="22"/>
                <w:szCs w:val="22"/>
                <w:vertAlign w:val="subscript"/>
                <w14:ligatures w14:val="none"/>
              </w:rPr>
              <w:t xml:space="preserve">2 </w:t>
            </w:r>
            <w:r>
              <w:rPr>
                <w:rFonts w:hint="default" w:ascii="Times New Roman" w:hAnsi="Times New Roman" w:eastAsia="等线" w:cs="Times New Roman"/>
                <w:color w:val="000000"/>
                <w:kern w:val="0"/>
                <w:sz w:val="22"/>
                <w:szCs w:val="22"/>
                <w14:ligatures w14:val="none"/>
              </w:rPr>
              <w:t>max. A heart rate above 90% of the predicted maximum for age and a respiratory quotient higher than 1.15 were also considered criteria for the maximal exercise end-point. All the tests were performed at the same time, in the same room, and at the same temperature (208C) and humidity (70%).</w:t>
            </w:r>
          </w:p>
        </w:tc>
      </w:tr>
      <w:tr w14:paraId="4094B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pct"/>
            <w:vAlign w:val="center"/>
          </w:tcPr>
          <w:p w14:paraId="61E27D57">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Tauler 2008</w:t>
            </w:r>
          </w:p>
        </w:tc>
        <w:tc>
          <w:tcPr>
            <w:tcW w:w="4414" w:type="pct"/>
          </w:tcPr>
          <w:p w14:paraId="48EF69F7">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After three months of supplementation, the athletes played a 60-minute friendly football match and collected samples before and after the match to determine the same parameters</w:t>
            </w:r>
          </w:p>
        </w:tc>
      </w:tr>
      <w:tr w14:paraId="03089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pct"/>
            <w:vAlign w:val="center"/>
          </w:tcPr>
          <w:p w14:paraId="74E51B82">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Ferre 2009</w:t>
            </w:r>
          </w:p>
        </w:tc>
        <w:tc>
          <w:tcPr>
            <w:tcW w:w="4414" w:type="pct"/>
          </w:tcPr>
          <w:p w14:paraId="145D38F9">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Four 120-minute football training sessions, two 90-minute physical training sessions, and one game per week for a period of three months</w:t>
            </w:r>
          </w:p>
        </w:tc>
      </w:tr>
      <w:tr w14:paraId="4CE15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pct"/>
            <w:vAlign w:val="center"/>
          </w:tcPr>
          <w:p w14:paraId="762BBDFA">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Skarpanska-Stejnborn 2009</w:t>
            </w:r>
          </w:p>
        </w:tc>
        <w:tc>
          <w:tcPr>
            <w:tcW w:w="4414" w:type="pct"/>
          </w:tcPr>
          <w:p w14:paraId="07241503">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On the first day (before supplementation) and at the end of the training camp (after supplementation), the athletes performed a controlled 2,000m rowing</w:t>
            </w:r>
            <w:r>
              <w:rPr>
                <w:rFonts w:hint="default" w:ascii="Times New Roman" w:hAnsi="Times New Roman" w:cs="Times New Roman"/>
                <w:sz w:val="22"/>
                <w:szCs w:val="22"/>
              </w:rPr>
              <w:t xml:space="preserve"> </w:t>
            </w:r>
            <w:r>
              <w:rPr>
                <w:rFonts w:hint="default" w:ascii="Times New Roman" w:hAnsi="Times New Roman" w:eastAsia="等线" w:cs="Times New Roman"/>
                <w:color w:val="000000"/>
                <w:kern w:val="0"/>
                <w:sz w:val="22"/>
                <w:szCs w:val="22"/>
                <w14:ligatures w14:val="none"/>
              </w:rPr>
              <w:t>exercise. Each participant had to cover the distance on a rowing ergometer (Concept II, USA) in as short a time as possible. Because the results of both tests were taken into consideration during selection of athletes to the championship team, the athletes were well motivated to perform both tests with all-out effort. Before each test, participants performed a 5-min individual warm-up.</w:t>
            </w:r>
          </w:p>
        </w:tc>
      </w:tr>
      <w:tr w14:paraId="64398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pct"/>
            <w:vAlign w:val="center"/>
          </w:tcPr>
          <w:p w14:paraId="60480CEB">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PARISI 2010</w:t>
            </w:r>
          </w:p>
        </w:tc>
        <w:tc>
          <w:tcPr>
            <w:tcW w:w="4414" w:type="pct"/>
          </w:tcPr>
          <w:p w14:paraId="50E3B6D8">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All subjects underwent a preliminary test to evaluate their maximal oxygen uptake (VO</w:t>
            </w:r>
            <w:r>
              <w:rPr>
                <w:rFonts w:hint="default" w:ascii="Times New Roman" w:hAnsi="Times New Roman" w:eastAsia="等线" w:cs="Times New Roman"/>
                <w:color w:val="000000"/>
                <w:kern w:val="0"/>
                <w:sz w:val="22"/>
                <w:szCs w:val="22"/>
                <w:vertAlign w:val="subscript"/>
                <w14:ligatures w14:val="none"/>
              </w:rPr>
              <w:t>2 max</w:t>
            </w:r>
            <w:r>
              <w:rPr>
                <w:rFonts w:hint="default" w:ascii="Times New Roman" w:hAnsi="Times New Roman" w:eastAsia="等线" w:cs="Times New Roman"/>
                <w:color w:val="000000"/>
                <w:kern w:val="0"/>
                <w:sz w:val="22"/>
                <w:szCs w:val="22"/>
                <w14:ligatures w14:val="none"/>
              </w:rPr>
              <w:t>) through cardio-pulmonary maximal stress test at increasing loads (40 Watt × 2 min) on a cycloergometer (Ergocard II, ESAOTE BIOMEDICA®) linked to an ergospirometer (Cardio2 MEDICAL GRAPHICS®). Before the beginning of any test, metabolimeter was carefully calibrated. During the test, heart rate (HR) was monitored through 12 leads electrocardiogram, oxygen consumption was monitored through metabolimeter and blood pressure was assessed through a mercury sphygmomanometer. The subject was monitored during recovering period, after the effort, for five minutes through electrocardiogram and blood pressure measurement. According to the international literature 32 the test was stopped when one of these situations occurred: Symptoms onset; Complicated arrhythmias onset; Significant ST segment anomalies; Muscular exhaustion; Reaching of Maximal oxygen uptake; According to the classical notion of Maximal oxygen uptake, we considered it was reached when:The subject reached a plateau, i.e. when VO</w:t>
            </w:r>
            <w:r>
              <w:rPr>
                <w:rFonts w:hint="default" w:ascii="Times New Roman" w:hAnsi="Times New Roman" w:eastAsia="等线" w:cs="Times New Roman"/>
                <w:color w:val="000000"/>
                <w:kern w:val="0"/>
                <w:sz w:val="22"/>
                <w:szCs w:val="22"/>
                <w:vertAlign w:val="subscript"/>
                <w14:ligatures w14:val="none"/>
              </w:rPr>
              <w:t>2</w:t>
            </w:r>
            <w:r>
              <w:rPr>
                <w:rFonts w:hint="default" w:ascii="Times New Roman" w:hAnsi="Times New Roman" w:eastAsia="等线" w:cs="Times New Roman"/>
                <w:color w:val="000000"/>
                <w:kern w:val="0"/>
                <w:sz w:val="22"/>
                <w:szCs w:val="22"/>
                <w14:ligatures w14:val="none"/>
              </w:rPr>
              <w:t>increases less than 150 mlxmin</w:t>
            </w:r>
            <w:r>
              <w:rPr>
                <w:rFonts w:hint="default" w:ascii="Times New Roman" w:hAnsi="Times New Roman" w:eastAsia="等线" w:cs="Times New Roman"/>
                <w:color w:val="000000"/>
                <w:kern w:val="0"/>
                <w:sz w:val="22"/>
                <w:szCs w:val="22"/>
                <w:vertAlign w:val="superscript"/>
                <w14:ligatures w14:val="none"/>
              </w:rPr>
              <w:t>-1</w:t>
            </w:r>
            <w:r>
              <w:rPr>
                <w:rFonts w:hint="default" w:ascii="Times New Roman" w:hAnsi="Times New Roman" w:eastAsia="等线" w:cs="Times New Roman"/>
                <w:color w:val="000000"/>
                <w:kern w:val="0"/>
                <w:sz w:val="22"/>
                <w:szCs w:val="22"/>
                <w14:ligatures w14:val="none"/>
              </w:rPr>
              <w:t>, rising from a step to</w:t>
            </w:r>
          </w:p>
          <w:p w14:paraId="1A3D093B">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the next one; Respiratory exchange quotient exceeded 1.08-1.1; The subject had more than 10 beats over HR max</w:t>
            </w:r>
          </w:p>
          <w:p w14:paraId="42165DAB">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for the age; During this test sport eligibility of these athletes was evaluated</w:t>
            </w:r>
          </w:p>
          <w:p w14:paraId="47246F15">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color w:val="000000"/>
                <w:kern w:val="0"/>
                <w:sz w:val="22"/>
                <w:szCs w:val="22"/>
                <w14:ligatures w14:val="none"/>
              </w:rPr>
            </w:pPr>
          </w:p>
        </w:tc>
      </w:tr>
      <w:tr w14:paraId="4F818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pct"/>
            <w:vAlign w:val="center"/>
          </w:tcPr>
          <w:p w14:paraId="4F7C0797">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Jówko 2012</w:t>
            </w:r>
          </w:p>
        </w:tc>
        <w:tc>
          <w:tcPr>
            <w:tcW w:w="4414" w:type="pct"/>
          </w:tcPr>
          <w:p w14:paraId="643C1A00">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b/>
                <w:bCs/>
                <w:color w:val="000000"/>
                <w:kern w:val="0"/>
                <w:sz w:val="22"/>
                <w:szCs w:val="22"/>
                <w14:ligatures w14:val="none"/>
              </w:rPr>
            </w:pPr>
            <w:r>
              <w:rPr>
                <w:rFonts w:hint="default" w:ascii="Times New Roman" w:hAnsi="Times New Roman" w:cs="Times New Roman"/>
                <w:sz w:val="22"/>
                <w:szCs w:val="22"/>
              </w:rPr>
              <w:drawing>
                <wp:inline distT="0" distB="0" distL="0" distR="0">
                  <wp:extent cx="2905125" cy="856615"/>
                  <wp:effectExtent l="0" t="0" r="0" b="635"/>
                  <wp:docPr id="16347143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714358" name="图片 1"/>
                          <pic:cNvPicPr>
                            <a:picLocks noChangeAspect="1"/>
                          </pic:cNvPicPr>
                        </pic:nvPicPr>
                        <pic:blipFill>
                          <a:blip r:embed="rId4"/>
                          <a:stretch>
                            <a:fillRect/>
                          </a:stretch>
                        </pic:blipFill>
                        <pic:spPr>
                          <a:xfrm>
                            <a:off x="0" y="0"/>
                            <a:ext cx="2905135" cy="856800"/>
                          </a:xfrm>
                          <a:prstGeom prst="rect">
                            <a:avLst/>
                          </a:prstGeom>
                        </pic:spPr>
                      </pic:pic>
                    </a:graphicData>
                  </a:graphic>
                </wp:inline>
              </w:drawing>
            </w:r>
          </w:p>
        </w:tc>
      </w:tr>
      <w:tr w14:paraId="11B4C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pct"/>
            <w:vAlign w:val="center"/>
          </w:tcPr>
          <w:p w14:paraId="6936A12B">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Djordjevic 2012</w:t>
            </w:r>
          </w:p>
        </w:tc>
        <w:tc>
          <w:tcPr>
            <w:tcW w:w="4414" w:type="pct"/>
          </w:tcPr>
          <w:p w14:paraId="6FD1CC94">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Subjects had 5 to7 training sessions per week with an average weekly training of 10 to 15 hours and took participation in National championship during training season. They had different aspects of trainings, including strength, resistance, cardio, fexibility and proprioceptive training. The participation in the study did not have any effect on previously determined training and competition schedule</w:t>
            </w:r>
          </w:p>
        </w:tc>
      </w:tr>
      <w:tr w14:paraId="2AC01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pct"/>
            <w:vAlign w:val="center"/>
          </w:tcPr>
          <w:p w14:paraId="604AAE43">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Basta 2013</w:t>
            </w:r>
          </w:p>
        </w:tc>
        <w:tc>
          <w:tcPr>
            <w:tcW w:w="4414" w:type="pct"/>
          </w:tcPr>
          <w:p w14:paraId="40047FC0">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Training volumes (expressed in min per day) during the week preceding the first term of assessment (Trial I) and during the week preceding the second term of assessment (Trial II)—specific to extensive rowing, intensive rowing, kilometers, and extensive nonspecific training—are shown in Table 3. In the load training phase (before the first assessment), the training volume amounted to 1425 min·wk</w:t>
            </w:r>
            <w:r>
              <w:rPr>
                <w:rFonts w:hint="default" w:ascii="Times New Roman" w:hAnsi="Times New Roman" w:eastAsia="等线" w:cs="Times New Roman"/>
                <w:color w:val="000000"/>
                <w:kern w:val="0"/>
                <w:sz w:val="22"/>
                <w:szCs w:val="22"/>
                <w:vertAlign w:val="superscript"/>
                <w14:ligatures w14:val="none"/>
              </w:rPr>
              <w:t>-1</w:t>
            </w:r>
            <w:r>
              <w:rPr>
                <w:rFonts w:hint="default" w:ascii="Times New Roman" w:hAnsi="Times New Roman" w:eastAsia="等线" w:cs="Times New Roman"/>
                <w:color w:val="000000"/>
                <w:kern w:val="0"/>
                <w:sz w:val="22"/>
                <w:szCs w:val="22"/>
                <w14:ligatures w14:val="none"/>
              </w:rPr>
              <w:t xml:space="preserve"> , of which approximately 58% were extensive rowing, 34% was nonspecific training such as power training, and the rest was intensive rowing. Total training volume before the second assessment was1119 min·wk</w:t>
            </w:r>
            <w:r>
              <w:rPr>
                <w:rFonts w:hint="default" w:ascii="Times New Roman" w:hAnsi="Times New Roman" w:eastAsia="等线" w:cs="Times New Roman"/>
                <w:color w:val="000000"/>
                <w:kern w:val="0"/>
                <w:sz w:val="22"/>
                <w:szCs w:val="22"/>
                <w:vertAlign w:val="superscript"/>
                <w14:ligatures w14:val="none"/>
              </w:rPr>
              <w:t>-1</w:t>
            </w:r>
            <w:r>
              <w:rPr>
                <w:rFonts w:hint="default" w:ascii="Times New Roman" w:hAnsi="Times New Roman" w:eastAsia="等线" w:cs="Times New Roman"/>
                <w:color w:val="000000"/>
                <w:kern w:val="0"/>
                <w:sz w:val="22"/>
                <w:szCs w:val="22"/>
                <w14:ligatures w14:val="none"/>
              </w:rPr>
              <w:t xml:space="preserve"> and comprised approximately 60% extensive rowing, 12% intensive rowing, and 28% land training.</w:t>
            </w:r>
          </w:p>
          <w:p w14:paraId="2C0C35E7">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cs="Times New Roman"/>
                <w:sz w:val="22"/>
                <w:szCs w:val="22"/>
              </w:rPr>
              <w:drawing>
                <wp:inline distT="0" distB="0" distL="0" distR="0">
                  <wp:extent cx="1274445" cy="856615"/>
                  <wp:effectExtent l="0" t="0" r="1905" b="635"/>
                  <wp:docPr id="13555943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594350" name="图片 1"/>
                          <pic:cNvPicPr>
                            <a:picLocks noChangeAspect="1"/>
                          </pic:cNvPicPr>
                        </pic:nvPicPr>
                        <pic:blipFill>
                          <a:blip r:embed="rId5"/>
                          <a:stretch>
                            <a:fillRect/>
                          </a:stretch>
                        </pic:blipFill>
                        <pic:spPr>
                          <a:xfrm>
                            <a:off x="0" y="0"/>
                            <a:ext cx="1274852" cy="856800"/>
                          </a:xfrm>
                          <a:prstGeom prst="rect">
                            <a:avLst/>
                          </a:prstGeom>
                        </pic:spPr>
                      </pic:pic>
                    </a:graphicData>
                  </a:graphic>
                </wp:inline>
              </w:drawing>
            </w:r>
          </w:p>
        </w:tc>
      </w:tr>
      <w:tr w14:paraId="39506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pct"/>
            <w:vAlign w:val="center"/>
          </w:tcPr>
          <w:p w14:paraId="2B4B4A19">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Nieman 2013</w:t>
            </w:r>
          </w:p>
        </w:tc>
        <w:tc>
          <w:tcPr>
            <w:tcW w:w="4414" w:type="pct"/>
          </w:tcPr>
          <w:p w14:paraId="02666F89">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Subjects trained normally during the 2-week supplementation, and then participated in a 3-day period of intensified exercise. In the morning of the first exercise session, subjects consumed the normal supplement portion (one tablespoon of PSPC or placebo in one cup of water) and breakfast (ad libitum). A standardized meal consisting of Boost Plus at 10 kcal/kg was ingested at 12:00 noon. The normal lunch-time PSPC or placebo supplement was delayed until after the blood draw at 2:30 pm. Subjects reported to the Human Performance Laboratory at 2:30 pm and provided blood samples in a rested, seated position. Subjects next ingested the PSPC or placebo supplement dose. At 3:00 pm, subjects ran on treadmills for 2.5h at approximately 70% VO</w:t>
            </w:r>
            <w:r>
              <w:rPr>
                <w:rFonts w:hint="default" w:ascii="Times New Roman" w:hAnsi="Times New Roman" w:eastAsia="等线" w:cs="Times New Roman"/>
                <w:color w:val="000000"/>
                <w:kern w:val="0"/>
                <w:sz w:val="22"/>
                <w:szCs w:val="22"/>
                <w:vertAlign w:val="subscript"/>
                <w14:ligatures w14:val="none"/>
              </w:rPr>
              <w:t>2 max</w:t>
            </w:r>
            <w:r>
              <w:rPr>
                <w:rFonts w:hint="default" w:ascii="Times New Roman" w:hAnsi="Times New Roman" w:eastAsia="等线" w:cs="Times New Roman"/>
                <w:color w:val="000000"/>
                <w:kern w:val="0"/>
                <w:sz w:val="22"/>
                <w:szCs w:val="22"/>
                <w14:ligatures w14:val="none"/>
              </w:rPr>
              <w:t xml:space="preserve">. Water was given ad libitum throughout the 2.5-h exercise bouts, with no other beverage or food allowed. Subjects ingested another 1 tablespoon dose of PSPC or placebo mixed in water after one hour of exercise. Heart rate, rating of perceived exertion (RPE), and distance run were recorded every 30 minutes during the bout, with oxygen consumption and ventilation measured after one hour of exercise. Subjects repeated this schedule for the next two days, but without pre-exercise blood draws. Blood samples were taken immediately following the third exercise bout on the third day, and 14-h post-exercise the following morning. A symptom log was administered during the final blood draw session. </w:t>
            </w:r>
          </w:p>
        </w:tc>
      </w:tr>
      <w:tr w14:paraId="10E0D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pct"/>
            <w:vAlign w:val="center"/>
          </w:tcPr>
          <w:p w14:paraId="20F7F9A0">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Łowińska-Lisowska 2014</w:t>
            </w:r>
          </w:p>
        </w:tc>
        <w:tc>
          <w:tcPr>
            <w:tcW w:w="4414" w:type="pct"/>
          </w:tcPr>
          <w:p w14:paraId="643030FC">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b/>
                <w:bCs/>
                <w:color w:val="000000"/>
                <w:kern w:val="0"/>
                <w:sz w:val="22"/>
                <w:szCs w:val="22"/>
                <w14:ligatures w14:val="none"/>
              </w:rPr>
            </w:pPr>
            <w:r>
              <w:rPr>
                <w:rFonts w:hint="default" w:ascii="Times New Roman" w:hAnsi="Times New Roman" w:cs="Times New Roman"/>
                <w:sz w:val="22"/>
                <w:szCs w:val="22"/>
              </w:rPr>
              <w:drawing>
                <wp:inline distT="0" distB="0" distL="0" distR="0">
                  <wp:extent cx="2879725" cy="1786890"/>
                  <wp:effectExtent l="0" t="0" r="0" b="3810"/>
                  <wp:docPr id="288621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62176" name="图片 1"/>
                          <pic:cNvPicPr>
                            <a:picLocks noChangeAspect="1"/>
                          </pic:cNvPicPr>
                        </pic:nvPicPr>
                        <pic:blipFill>
                          <a:blip r:embed="rId6"/>
                          <a:stretch>
                            <a:fillRect/>
                          </a:stretch>
                        </pic:blipFill>
                        <pic:spPr>
                          <a:xfrm>
                            <a:off x="0" y="0"/>
                            <a:ext cx="2880000" cy="1787095"/>
                          </a:xfrm>
                          <a:prstGeom prst="rect">
                            <a:avLst/>
                          </a:prstGeom>
                        </pic:spPr>
                      </pic:pic>
                    </a:graphicData>
                  </a:graphic>
                </wp:inline>
              </w:drawing>
            </w:r>
          </w:p>
        </w:tc>
      </w:tr>
      <w:tr w14:paraId="2D2C6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pct"/>
            <w:vAlign w:val="center"/>
          </w:tcPr>
          <w:p w14:paraId="2F523B47">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Trinity 2014</w:t>
            </w:r>
          </w:p>
        </w:tc>
        <w:tc>
          <w:tcPr>
            <w:tcW w:w="4414" w:type="pct"/>
          </w:tcPr>
          <w:p w14:paraId="00B8D077">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b/>
                <w:bCs/>
                <w:color w:val="000000"/>
                <w:kern w:val="0"/>
                <w:sz w:val="22"/>
                <w:szCs w:val="22"/>
                <w14:ligatures w14:val="none"/>
              </w:rPr>
            </w:pPr>
            <w:r>
              <w:rPr>
                <w:rFonts w:hint="default" w:ascii="Times New Roman" w:hAnsi="Times New Roman" w:cs="Times New Roman"/>
                <w:sz w:val="22"/>
                <w:szCs w:val="22"/>
              </w:rPr>
              <w:drawing>
                <wp:inline distT="0" distB="0" distL="0" distR="0">
                  <wp:extent cx="2879725" cy="1322070"/>
                  <wp:effectExtent l="0" t="0" r="0" b="0"/>
                  <wp:docPr id="21121858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185804" name="图片 1"/>
                          <pic:cNvPicPr>
                            <a:picLocks noChangeAspect="1"/>
                          </pic:cNvPicPr>
                        </pic:nvPicPr>
                        <pic:blipFill>
                          <a:blip r:embed="rId7"/>
                          <a:stretch>
                            <a:fillRect/>
                          </a:stretch>
                        </pic:blipFill>
                        <pic:spPr>
                          <a:xfrm>
                            <a:off x="0" y="0"/>
                            <a:ext cx="2880000" cy="1322445"/>
                          </a:xfrm>
                          <a:prstGeom prst="rect">
                            <a:avLst/>
                          </a:prstGeom>
                        </pic:spPr>
                      </pic:pic>
                    </a:graphicData>
                  </a:graphic>
                </wp:inline>
              </w:drawing>
            </w:r>
          </w:p>
        </w:tc>
      </w:tr>
      <w:tr w14:paraId="4EE17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pct"/>
            <w:vAlign w:val="center"/>
          </w:tcPr>
          <w:p w14:paraId="743F30EF">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Verazaluce 2015</w:t>
            </w:r>
          </w:p>
        </w:tc>
        <w:tc>
          <w:tcPr>
            <w:tcW w:w="4414" w:type="pct"/>
          </w:tcPr>
          <w:p w14:paraId="374528E7">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b/>
                <w:bCs/>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El programa de entrenamiento físico, común a todos los grupos, se llevó a cabo en las Instalaciones Deportivas del Campus Universitario de Fuentenueva de Granada, tuvo una duración total de cuatro semanas, y se planificó como sesiones de 3 horas de duración al día, realizadas con una frecuencia de 5 días a la semana con competición 1 día del fin de semana. Dicho programa, incluyó ejercicios técnicos propios del voleibol con una intensidad; realizándose 3 series de 10 repeticiones de cada fundamento técnico de este deporte (voleo, remate, golpe bajo, saque y bloqueo) de 5 minutos de tiempo efectivo con 1 minuto de descanso entre series. Se utilizó una variante en los ejercicios técnicos que consistió en trabajo individual y grupal, incluyendo en ambos casos desplazamientos, con balón y sin balón</w:t>
            </w:r>
            <w:r>
              <w:rPr>
                <w:rFonts w:hint="default" w:ascii="Times New Roman" w:hAnsi="Times New Roman" w:eastAsia="等线" w:cs="Times New Roman"/>
                <w:b/>
                <w:bCs/>
                <w:color w:val="000000"/>
                <w:kern w:val="0"/>
                <w:sz w:val="22"/>
                <w:szCs w:val="22"/>
                <w14:ligatures w14:val="none"/>
              </w:rPr>
              <w:t>.</w:t>
            </w:r>
          </w:p>
        </w:tc>
      </w:tr>
      <w:tr w14:paraId="37383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pct"/>
            <w:vAlign w:val="center"/>
          </w:tcPr>
          <w:p w14:paraId="758CEAE4">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Busquets-Cortés 2016</w:t>
            </w:r>
          </w:p>
        </w:tc>
        <w:tc>
          <w:tcPr>
            <w:tcW w:w="4414" w:type="pct"/>
          </w:tcPr>
          <w:p w14:paraId="3A1C33D9">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The training during the experiment included six physical activities and ten official competitions per week. The exercise includes two hours of regular football training</w:t>
            </w:r>
          </w:p>
        </w:tc>
      </w:tr>
      <w:tr w14:paraId="0F099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pct"/>
            <w:vAlign w:val="center"/>
          </w:tcPr>
          <w:p w14:paraId="0A7B9252">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Jastrzebski 2016</w:t>
            </w:r>
          </w:p>
        </w:tc>
        <w:tc>
          <w:tcPr>
            <w:tcW w:w="4414" w:type="pct"/>
          </w:tcPr>
          <w:p w14:paraId="41A917F9">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All participants completed the same training plan during the preparation period. The 4-week training consists of 45 units and a total of approximately 60 hours of effective exercise, such as the rowing goniometer (Concept II), running, swimming and strength training. During the training program, no rowing athlete participated in rowing competitions.</w:t>
            </w:r>
          </w:p>
        </w:tc>
      </w:tr>
      <w:tr w14:paraId="0F8AD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pct"/>
            <w:vAlign w:val="center"/>
          </w:tcPr>
          <w:p w14:paraId="4453C7AC">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Leonardo-Mendonça 2017</w:t>
            </w:r>
          </w:p>
        </w:tc>
        <w:tc>
          <w:tcPr>
            <w:tcW w:w="4414" w:type="pct"/>
          </w:tcPr>
          <w:p w14:paraId="5D1FDC56">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Physical training during the study consisted of 8 sessions per week lasting approximately 1-1.5 hours each (10 hours/week), comprising resistance training (5 sessions), weight training (2 sessions) and aerobic running (1 session). All subjects were instructed to avoid training during the 24 hours prior to the days of blood sample (S1 and S2). The study prioritized resistance over strength. Weekly routine of resistance consisted in 3 sessions between 60%-75% of maximal strength, with higher volume than intensity, and 2 sessions between 80%-90% of maximal strength, with a volume constant and increasing the intensity. A combination of distances and profiles using both race and bike were used for these purposes. Regarding the strength, after calculating the one-repetition maximum (1RM) for each subject, the usual training in the 2 sessions was focused on the strength pyramid, i.e., performing 3 sessions of 8-12 repetitions at 75% of maximal weight, and with rest periods of stretch.</w:t>
            </w:r>
          </w:p>
        </w:tc>
      </w:tr>
      <w:tr w14:paraId="3AD7C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pct"/>
            <w:vAlign w:val="center"/>
          </w:tcPr>
          <w:p w14:paraId="276DFFAC">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Ortiz-Franco 2017</w:t>
            </w:r>
          </w:p>
        </w:tc>
        <w:tc>
          <w:tcPr>
            <w:tcW w:w="4414" w:type="pct"/>
          </w:tcPr>
          <w:p w14:paraId="41F62401">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The training program was carried out combining strength and HIIT over a 2-week period. An adaptation-training period was performed after the athletes’ selection procedure. The athletes followed the exercise training over 2 weeks, with six sessions per week, lasting 60–75 min per day. Each session was divided into three components: 20–25 min of HIIT exercise, 35–40 min of strength exercise (exercises performed were: bench press, leg press, high pulley rowing, military press, quadriceps extensions and leg curls), and 10 min of stretching and cool down. The HIIT component was divided into 7 periods of 2 min at high intensity above the anaerobic threshold (90 % VO2max) and interspersed with 6 periods of 1 min at moderate intensity within the aerobic threshold (70 % VO2max). All training sessions were performed with a Polar heart rate monitor (RS300X). The strength exercises consisted of 3 sets of 10 repetitions at 70–80 % of 1RM. More than 75 % of assiduity was obligatory to assure the physical exercise training effects.</w:t>
            </w:r>
          </w:p>
        </w:tc>
      </w:tr>
      <w:tr w14:paraId="51924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pct"/>
            <w:vAlign w:val="center"/>
          </w:tcPr>
          <w:p w14:paraId="1A45A029">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Toscano 2019</w:t>
            </w:r>
          </w:p>
        </w:tc>
        <w:tc>
          <w:tcPr>
            <w:tcW w:w="4414" w:type="pct"/>
          </w:tcPr>
          <w:p w14:paraId="7C1E0ED9">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Initially, athletes performed a 3200-m run test to estimate aerobic capacity. In the following 2 weeks, they participated in the experimental procedures by performing the test run to exhaustion after supplementation (10 ml/kg/day of whole grape juice) or the placebo drink, and the two tests were separated by a week. As demonstrated in Fig. 2, after 48 h without training and overnight fast (10 h), the athletes were submitted to nutritional, sleep and recovery assessment. Blood samples were collected before the ingestion of the grape juice or placebo drink, 2 h after ingestion, and immediately after the test run to exhaustion for further analysis of biomarkers of oxidative stress, inflammation and muscle injury.</w:t>
            </w:r>
          </w:p>
        </w:tc>
      </w:tr>
      <w:tr w14:paraId="0EFA5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pct"/>
            <w:vAlign w:val="center"/>
          </w:tcPr>
          <w:p w14:paraId="413C65F8">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Lydiane 2020</w:t>
            </w:r>
          </w:p>
        </w:tc>
        <w:tc>
          <w:tcPr>
            <w:tcW w:w="4414" w:type="pct"/>
          </w:tcPr>
          <w:p w14:paraId="4520AFEA">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The study protocol did not modify the training program prepared by the technical committee. The team was in training camp phase, characterized by the accumulation of training loads in a short time recovery (three daily training sessions lasting 120 minutes each session and 180 minutes intervals between sessions. Experimental procedures occurred at third day of training camp, in the first session of this day. The training was done in half the morning (8:00 am), and the athletes had trained until 06:00 pm the previous day. The team was in concentration regime, so that everyone fed and went into the rooms to sleep around 9:00 pm in previous day. The training lasted 120 minutes and was characterized as technical and tactical, started with stretching / warm up and finished with a collective game. In the next three hours post-training, the athletes were rested, and in the end, they had the last collections done</w:t>
            </w:r>
          </w:p>
        </w:tc>
      </w:tr>
      <w:tr w14:paraId="4DE4E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pct"/>
            <w:vAlign w:val="center"/>
          </w:tcPr>
          <w:p w14:paraId="36DD6409">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Drobnic 2021</w:t>
            </w:r>
          </w:p>
        </w:tc>
        <w:tc>
          <w:tcPr>
            <w:tcW w:w="4414" w:type="pct"/>
          </w:tcPr>
          <w:p w14:paraId="66537C2B">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In the interest of performing a similar training session, typical of a PT facility, the same instructor performed all sessions with the same exercise model with the same progression and structure. Six to eight individuals participated in the sessions that were always performed at the same time in the day, i.e., in the morning, with the same breakfast and dinner the day before the session. The training sessions were scheduled on a Thursday, having done moderate training on Monday and Tuesday and no training on Wednesday. That means that the athletes had at least 24 h of rest from the last training session, which was at low intensity. The work session protocol included 10 min of oriented warm-up, and then two series with various stations of intense work lasting 20 min with 10 min of rest in between. Heart rate was monitored in each athlete using the Polar RS800CXTM HR monitor. At the end of each series, lactate was measured by micromethod in arteriolarized blood (lactate analyzer LACTATE PRO 2, Arkray KDK, Japan) at 3 and 5 min and the internal load session rating of perceived exertion (RPE) was assessed through the Borg CR-10 scale adapted from</w:t>
            </w:r>
          </w:p>
        </w:tc>
      </w:tr>
      <w:tr w14:paraId="7F7C8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pct"/>
            <w:vAlign w:val="center"/>
          </w:tcPr>
          <w:p w14:paraId="408B47EE">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Stankiewicz 2021</w:t>
            </w:r>
          </w:p>
        </w:tc>
        <w:tc>
          <w:tcPr>
            <w:tcW w:w="4414" w:type="pct"/>
          </w:tcPr>
          <w:p w14:paraId="3A534E8D">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b/>
                <w:bCs/>
                <w:color w:val="000000"/>
                <w:kern w:val="0"/>
                <w:sz w:val="22"/>
                <w:szCs w:val="22"/>
                <w14:ligatures w14:val="none"/>
              </w:rPr>
            </w:pPr>
            <w:r>
              <w:rPr>
                <w:rFonts w:hint="default" w:ascii="Times New Roman" w:hAnsi="Times New Roman" w:cs="Times New Roman"/>
                <w:sz w:val="22"/>
                <w:szCs w:val="22"/>
              </w:rPr>
              <w:drawing>
                <wp:inline distT="0" distB="0" distL="0" distR="0">
                  <wp:extent cx="2879090" cy="760730"/>
                  <wp:effectExtent l="0" t="0" r="0" b="1270"/>
                  <wp:docPr id="6105788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578846" name="图片 1"/>
                          <pic:cNvPicPr>
                            <a:picLocks noChangeAspect="1"/>
                          </pic:cNvPicPr>
                        </pic:nvPicPr>
                        <pic:blipFill>
                          <a:blip r:embed="rId8"/>
                          <a:srcRect t="2567" b="1"/>
                          <a:stretch>
                            <a:fillRect/>
                          </a:stretch>
                        </pic:blipFill>
                        <pic:spPr>
                          <a:xfrm>
                            <a:off x="0" y="0"/>
                            <a:ext cx="2880000" cy="761204"/>
                          </a:xfrm>
                          <a:prstGeom prst="rect">
                            <a:avLst/>
                          </a:prstGeom>
                          <a:ln>
                            <a:noFill/>
                          </a:ln>
                        </pic:spPr>
                      </pic:pic>
                    </a:graphicData>
                  </a:graphic>
                </wp:inline>
              </w:drawing>
            </w:r>
          </w:p>
        </w:tc>
      </w:tr>
      <w:tr w14:paraId="2726C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pct"/>
            <w:vAlign w:val="center"/>
          </w:tcPr>
          <w:p w14:paraId="22C61746">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Chaouachi 2022</w:t>
            </w:r>
          </w:p>
        </w:tc>
        <w:tc>
          <w:tcPr>
            <w:tcW w:w="4414" w:type="pct"/>
          </w:tcPr>
          <w:p w14:paraId="2477AE86">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Players performed the YYIRT-2 as described by Krustrup et al. The YYIRT-2 examines the ability to perform repeated high-intensity exercise bout with an almost maximum aerobic energy production and a high anaerobic energy contribution. It consists of repeated 40 m (2 × 20 m) runs between markers set 20 m apart, at a progressively increased speed starting from 13 km/h and controlled by audio bleeps from a tape recorder. Between each running bout, the participants had 10 s of active recovery, consisting of a 10 m (2 × 5 m) walk. When the participant failed to reach the finishing line in time twice or felt unable to continue, the total distance covered (m) was recorded and represented the test result.</w:t>
            </w:r>
          </w:p>
        </w:tc>
      </w:tr>
      <w:tr w14:paraId="73E38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pct"/>
            <w:vAlign w:val="center"/>
          </w:tcPr>
          <w:p w14:paraId="4E3551E9">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Fernández-Lázaro 2022</w:t>
            </w:r>
          </w:p>
        </w:tc>
        <w:tc>
          <w:tcPr>
            <w:tcW w:w="4414" w:type="pct"/>
          </w:tcPr>
          <w:p w14:paraId="6E9437ED">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Participants trained in 3 sessions on alternate weekdays (Monday, Wednesday, and Friday) for a total of 4.5 h/week. The start of all CrossFit® training sessions was between 6:00 p.m. and 8:00 p.m. Each 1.5 h CrossFit® training session consisted of 3 sections such as specific warm-up, WODs, and cool-down. Each workout was performed in the participants ‘own gym, supervised by a certified CrossFit® Degree 1- or 2-certified instructor (each). All subjects completed the same physical activity routines to ensure that they performed the same prescribed workout during the study. In addition, CrossFit® athletes were specifically asked not to perform CrossFit routines outside of the structured training program.</w:t>
            </w:r>
          </w:p>
        </w:tc>
      </w:tr>
      <w:tr w14:paraId="167E5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pct"/>
            <w:vAlign w:val="center"/>
          </w:tcPr>
          <w:p w14:paraId="0EB856BA">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Esen 2023</w:t>
            </w:r>
          </w:p>
        </w:tc>
        <w:tc>
          <w:tcPr>
            <w:tcW w:w="4414" w:type="pct"/>
          </w:tcPr>
          <w:p w14:paraId="50E3D58B">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The Prone Yo-Yo IR1 test was performed as described elsewhere (Dobbin et al., 2018a). In brief, it consists of repeated shuttle (2 × 20 m) runs, separated by a 10 s active recovery period (5 m jog, 180° change in direction and walk to the line), at progressively increasing speeds controlled by audio bleeps from a portable audio system. Each running bout was started from a proneposition in which participants’ head were behind the start line, legs were straight, and chest were in contact with the ground. The speed of the shuttles was 10–13 km·h</w:t>
            </w:r>
            <w:r>
              <w:rPr>
                <w:rFonts w:hint="default" w:ascii="Times New Roman" w:hAnsi="Times New Roman" w:eastAsia="等线" w:cs="Times New Roman"/>
                <w:color w:val="000000"/>
                <w:kern w:val="0"/>
                <w:sz w:val="22"/>
                <w:szCs w:val="22"/>
                <w:vertAlign w:val="superscript"/>
                <w14:ligatures w14:val="none"/>
              </w:rPr>
              <w:t>−1</w:t>
            </w:r>
            <w:r>
              <w:rPr>
                <w:rFonts w:hint="default" w:ascii="Times New Roman" w:hAnsi="Times New Roman" w:eastAsia="等线" w:cs="Times New Roman"/>
                <w:color w:val="000000"/>
                <w:kern w:val="0"/>
                <w:sz w:val="22"/>
                <w:szCs w:val="22"/>
                <w14:ligatures w14:val="none"/>
              </w:rPr>
              <w:t xml:space="preserve"> at first four (0–160 m), at 13.5 km·h</w:t>
            </w:r>
            <w:r>
              <w:rPr>
                <w:rFonts w:hint="default" w:ascii="Times New Roman" w:hAnsi="Times New Roman" w:eastAsia="等线" w:cs="Times New Roman"/>
                <w:color w:val="000000"/>
                <w:kern w:val="0"/>
                <w:sz w:val="22"/>
                <w:szCs w:val="22"/>
                <w:vertAlign w:val="superscript"/>
                <w14:ligatures w14:val="none"/>
              </w:rPr>
              <w:t>−1</w:t>
            </w:r>
            <w:r>
              <w:rPr>
                <w:rFonts w:hint="default" w:ascii="Times New Roman" w:hAnsi="Times New Roman" w:eastAsia="等线" w:cs="Times New Roman"/>
                <w:color w:val="000000"/>
                <w:kern w:val="0"/>
                <w:sz w:val="22"/>
                <w:szCs w:val="22"/>
                <w14:ligatures w14:val="none"/>
              </w:rPr>
              <w:t xml:space="preserve"> next three (200–280 m), and at 14.0 km·h</w:t>
            </w:r>
            <w:r>
              <w:rPr>
                <w:rFonts w:hint="default" w:ascii="Times New Roman" w:hAnsi="Times New Roman" w:eastAsia="等线" w:cs="Times New Roman"/>
                <w:color w:val="000000"/>
                <w:kern w:val="0"/>
                <w:sz w:val="22"/>
                <w:szCs w:val="22"/>
                <w:vertAlign w:val="superscript"/>
                <w14:ligatures w14:val="none"/>
              </w:rPr>
              <w:t>−1</w:t>
            </w:r>
            <w:r>
              <w:rPr>
                <w:rFonts w:hint="default" w:ascii="Times New Roman" w:hAnsi="Times New Roman" w:eastAsia="等线" w:cs="Times New Roman"/>
                <w:color w:val="000000"/>
                <w:kern w:val="0"/>
                <w:sz w:val="22"/>
                <w:szCs w:val="22"/>
                <w14:ligatures w14:val="none"/>
              </w:rPr>
              <w:t xml:space="preserve"> at next four (320–440 m). After that, the speed increased 0.5 km·h</w:t>
            </w:r>
            <w:r>
              <w:rPr>
                <w:rFonts w:hint="default" w:ascii="Times New Roman" w:hAnsi="Times New Roman" w:eastAsia="等线" w:cs="Times New Roman"/>
                <w:color w:val="000000"/>
                <w:kern w:val="0"/>
                <w:sz w:val="22"/>
                <w:szCs w:val="22"/>
                <w:vertAlign w:val="superscript"/>
                <w14:ligatures w14:val="none"/>
              </w:rPr>
              <w:t>−1</w:t>
            </w:r>
            <w:r>
              <w:rPr>
                <w:rFonts w:hint="default" w:ascii="Times New Roman" w:hAnsi="Times New Roman" w:eastAsia="等线" w:cs="Times New Roman"/>
                <w:color w:val="000000"/>
                <w:kern w:val="0"/>
                <w:sz w:val="22"/>
                <w:szCs w:val="22"/>
                <w14:ligatures w14:val="none"/>
              </w:rPr>
              <w:t xml:space="preserve"> every eight shuttles (i.e. 760, 1080, 1400 m, etc.). When participants failed twice to reach the start/finish line in the allocated, distance covered was recorded as the final distance. The coefficient of variation (CV) and intra-class correlation coefficient of the prone Yo-Yo IR1 has been reported as 9.9% and 0.98, respectively. Participants performed three CMJ to assess jump height (cm) using optojump system (Optojump, Microgate, Bolzano, Italy), which calculates height (cm) via flight time. Participants were instructed to stand in upright position, squatted down to a 90° knee angle, then immediately jumped upwards as fast and high as they can. Three repetitions were separated by 30 sec standing rest. The highest jump heights (cm) recorded as result measures. Test-retest measurements revealed a CV of 2.1%.</w:t>
            </w:r>
          </w:p>
        </w:tc>
      </w:tr>
    </w:tbl>
    <w:p w14:paraId="0F949076">
      <w:pPr>
        <w:rPr>
          <w:rFonts w:hint="default" w:ascii="Times New Roman" w:hAnsi="Times New Roman" w:cs="Times New Roman"/>
          <w:b/>
          <w:bCs/>
          <w:sz w:val="22"/>
          <w:szCs w:val="22"/>
        </w:rPr>
      </w:pPr>
      <w:r>
        <w:rPr>
          <w:rFonts w:hint="default" w:ascii="Times New Roman" w:hAnsi="Times New Roman" w:cs="Times New Roman"/>
          <w:b/>
          <w:bCs/>
          <w:sz w:val="22"/>
          <w:szCs w:val="22"/>
        </w:rPr>
        <w:br w:type="page"/>
      </w:r>
    </w:p>
    <w:p w14:paraId="1176BBE4">
      <w:pPr>
        <w:pStyle w:val="11"/>
        <w:keepNext/>
        <w:jc w:val="both"/>
        <w:rPr>
          <w:rFonts w:hint="default" w:ascii="Times New Roman" w:hAnsi="Times New Roman" w:cs="Times New Roman"/>
          <w:b/>
          <w:bCs/>
          <w:sz w:val="22"/>
          <w:szCs w:val="22"/>
        </w:rPr>
        <w:sectPr>
          <w:pgSz w:w="23811" w:h="16838" w:orient="landscape"/>
          <w:pgMar w:top="567" w:right="567" w:bottom="567" w:left="567" w:header="851" w:footer="992" w:gutter="0"/>
          <w:cols w:space="425" w:num="1"/>
          <w:docGrid w:linePitch="312" w:charSpace="0"/>
        </w:sectPr>
      </w:pPr>
    </w:p>
    <w:p w14:paraId="64A298BA">
      <w:pPr>
        <w:pStyle w:val="11"/>
        <w:keepNext/>
        <w:jc w:val="both"/>
        <w:rPr>
          <w:rFonts w:hint="default" w:ascii="Times New Roman" w:hAnsi="Times New Roman" w:cs="Times New Roman"/>
          <w:b w:val="0"/>
          <w:bCs w:val="0"/>
          <w:sz w:val="22"/>
          <w:szCs w:val="22"/>
          <w:lang w:val="en-US" w:eastAsia="zh-CN"/>
        </w:rPr>
      </w:pPr>
      <w:r>
        <w:rPr>
          <w:rFonts w:hint="default" w:ascii="Times New Roman" w:hAnsi="Times New Roman" w:cs="Times New Roman"/>
          <w:b/>
          <w:bCs/>
          <w:sz w:val="22"/>
          <w:szCs w:val="22"/>
        </w:rPr>
        <w:t>Table</w:t>
      </w:r>
      <w:r>
        <w:rPr>
          <w:rFonts w:hint="default" w:ascii="Times New Roman" w:hAnsi="Times New Roman" w:cs="Times New Roman"/>
          <w:b/>
          <w:bCs/>
          <w:sz w:val="22"/>
          <w:szCs w:val="22"/>
          <w:lang w:val="en-US" w:eastAsia="zh-CN"/>
        </w:rPr>
        <w:t xml:space="preserve"> </w:t>
      </w:r>
      <w:r>
        <w:rPr>
          <w:rFonts w:hint="default" w:ascii="Times New Roman" w:hAnsi="Times New Roman" w:cs="Times New Roman"/>
          <w:b/>
          <w:bCs/>
          <w:sz w:val="22"/>
          <w:szCs w:val="22"/>
          <w:lang w:eastAsia="zh-CN"/>
        </w:rPr>
        <w:t>S</w:t>
      </w:r>
      <w:r>
        <w:rPr>
          <w:rFonts w:hint="default" w:ascii="Times New Roman" w:hAnsi="Times New Roman" w:cs="Times New Roman"/>
          <w:b/>
          <w:bCs/>
          <w:sz w:val="22"/>
          <w:szCs w:val="22"/>
          <w:lang w:val="en-US" w:eastAsia="zh-CN"/>
        </w:rPr>
        <w:t xml:space="preserve">4 </w:t>
      </w:r>
      <w:r>
        <w:rPr>
          <w:rFonts w:hint="default" w:ascii="Times New Roman" w:hAnsi="Times New Roman" w:cs="Times New Roman"/>
          <w:b w:val="0"/>
          <w:bCs w:val="0"/>
          <w:sz w:val="22"/>
          <w:szCs w:val="22"/>
        </w:rPr>
        <w:t>Time points for outcome indicator measurement</w:t>
      </w:r>
    </w:p>
    <w:tbl>
      <w:tblPr>
        <w:tblStyle w:val="17"/>
        <w:tblW w:w="156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13856"/>
      </w:tblGrid>
      <w:tr w14:paraId="33AD4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2DD496E0">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b/>
                <w:bCs/>
                <w:color w:val="000000"/>
                <w:kern w:val="0"/>
                <w:sz w:val="22"/>
                <w:szCs w:val="22"/>
                <w14:ligatures w14:val="none"/>
              </w:rPr>
            </w:pPr>
            <w:r>
              <w:rPr>
                <w:rFonts w:hint="default" w:ascii="Times New Roman" w:hAnsi="Times New Roman" w:eastAsia="等线" w:cs="Times New Roman"/>
                <w:b/>
                <w:bCs/>
                <w:color w:val="000000"/>
                <w:kern w:val="0"/>
                <w:sz w:val="22"/>
                <w:szCs w:val="22"/>
                <w14:ligatures w14:val="none"/>
              </w:rPr>
              <w:t>Author/Year</w:t>
            </w:r>
          </w:p>
        </w:tc>
        <w:tc>
          <w:tcPr>
            <w:tcW w:w="13856" w:type="dxa"/>
          </w:tcPr>
          <w:p w14:paraId="4FACCFD0">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b/>
                <w:bCs/>
                <w:color w:val="000000"/>
                <w:kern w:val="0"/>
                <w:sz w:val="22"/>
                <w:szCs w:val="22"/>
                <w14:ligatures w14:val="none"/>
              </w:rPr>
            </w:pPr>
            <w:r>
              <w:rPr>
                <w:rFonts w:hint="default" w:ascii="Times New Roman" w:hAnsi="Times New Roman" w:eastAsia="等线" w:cs="Times New Roman"/>
                <w:b/>
                <w:bCs/>
                <w:color w:val="000000"/>
                <w:kern w:val="0"/>
                <w:sz w:val="22"/>
                <w:szCs w:val="22"/>
                <w14:ligatures w14:val="none"/>
              </w:rPr>
              <w:t>Time points for outcome indicator measurement</w:t>
            </w:r>
          </w:p>
        </w:tc>
      </w:tr>
      <w:tr w14:paraId="61B6A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18900B20">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Schröder 2000</w:t>
            </w:r>
          </w:p>
        </w:tc>
        <w:tc>
          <w:tcPr>
            <w:tcW w:w="13856" w:type="dxa"/>
          </w:tcPr>
          <w:p w14:paraId="69078CEF">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Collected immediately after the daily supplementation/placebo intervention for 32 consecutive days ended</w:t>
            </w:r>
          </w:p>
        </w:tc>
      </w:tr>
      <w:tr w14:paraId="7ADDB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68AA8A9F">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Pilaczynska-Szczesniak 2005</w:t>
            </w:r>
          </w:p>
        </w:tc>
        <w:tc>
          <w:tcPr>
            <w:tcW w:w="13856" w:type="dxa"/>
          </w:tcPr>
          <w:p w14:paraId="7194F73C">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One minute after exercise (collected immediately after the test ends)</w:t>
            </w:r>
          </w:p>
        </w:tc>
      </w:tr>
      <w:tr w14:paraId="0E243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26570F07">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Tauler 2006</w:t>
            </w:r>
          </w:p>
        </w:tc>
        <w:tc>
          <w:tcPr>
            <w:tcW w:w="13856" w:type="dxa"/>
          </w:tcPr>
          <w:p w14:paraId="0B3F1563">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After completing 105 days of antioxidant supplementation (90 days of vitamin E+β -carotene, and vitamin C added in the last 15 days), the resting blood samples collected before the exercise test were used to analyze the effects of long-term supplementation on the activities of basal antioxidant enzymes and plasma vitamin concentrations. Blood was collected immediately after exhaustive exercise to evaluate the effects of acute high-intensity exercise on antioxidant enzymes in red blood cells and lymphocytes.</w:t>
            </w:r>
          </w:p>
        </w:tc>
      </w:tr>
      <w:tr w14:paraId="605FC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1EDE674F">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Aguilo 2007</w:t>
            </w:r>
          </w:p>
        </w:tc>
        <w:tc>
          <w:tcPr>
            <w:tcW w:w="13856" w:type="dxa"/>
          </w:tcPr>
          <w:p w14:paraId="552DFD6B">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Immediately after exercise: Draw blood immediately after the maximum test is completed.</w:t>
            </w:r>
          </w:p>
        </w:tc>
      </w:tr>
      <w:tr w14:paraId="47B3C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491E5A58">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Tauler 2008</w:t>
            </w:r>
          </w:p>
        </w:tc>
        <w:tc>
          <w:tcPr>
            <w:tcW w:w="13856" w:type="dxa"/>
          </w:tcPr>
          <w:p w14:paraId="2C7CB836">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Blood will be drawn immediately after the 60-minute game</w:t>
            </w:r>
          </w:p>
        </w:tc>
      </w:tr>
      <w:tr w14:paraId="79B00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49474C22">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Ferre 2009</w:t>
            </w:r>
          </w:p>
        </w:tc>
        <w:tc>
          <w:tcPr>
            <w:tcW w:w="13856" w:type="dxa"/>
          </w:tcPr>
          <w:p w14:paraId="4F40880C">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One hour after the competition: Collect post-exercise samples</w:t>
            </w:r>
          </w:p>
        </w:tc>
      </w:tr>
      <w:tr w14:paraId="245BF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717F734F">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Skarpanska-Stejnborn 2009</w:t>
            </w:r>
          </w:p>
        </w:tc>
        <w:tc>
          <w:tcPr>
            <w:tcW w:w="13856" w:type="dxa"/>
          </w:tcPr>
          <w:p w14:paraId="41779A01">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One minute after the test: Collect blood samples immediately after exercise</w:t>
            </w:r>
          </w:p>
        </w:tc>
      </w:tr>
      <w:tr w14:paraId="4C3FC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1CEEE7F8">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PARISI 2010</w:t>
            </w:r>
          </w:p>
        </w:tc>
        <w:tc>
          <w:tcPr>
            <w:tcW w:w="13856" w:type="dxa"/>
          </w:tcPr>
          <w:p w14:paraId="68923673">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Peak Exercise (Acme): Blood is drawn immediately at the moment of exhaustion</w:t>
            </w:r>
          </w:p>
        </w:tc>
      </w:tr>
      <w:tr w14:paraId="40F04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60744631">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Jówko 2012</w:t>
            </w:r>
          </w:p>
        </w:tc>
        <w:tc>
          <w:tcPr>
            <w:tcW w:w="13856" w:type="dxa"/>
          </w:tcPr>
          <w:p w14:paraId="67B5B511">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Five minutes after exercise (Post): Blood is drawn immediately after exercise to test for immediate oxidative damage and muscle damage indicators</w:t>
            </w:r>
          </w:p>
        </w:tc>
      </w:tr>
      <w:tr w14:paraId="6D073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5C51455E">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Djordjevic 2012</w:t>
            </w:r>
          </w:p>
        </w:tc>
        <w:tc>
          <w:tcPr>
            <w:tcW w:w="13856" w:type="dxa"/>
          </w:tcPr>
          <w:p w14:paraId="34DF13CC">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After exercise: Blood will be drawn 15 minutes after the 2-hour football training</w:t>
            </w:r>
          </w:p>
        </w:tc>
      </w:tr>
      <w:tr w14:paraId="79F4B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79C344E4">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Basta 2013</w:t>
            </w:r>
          </w:p>
        </w:tc>
        <w:tc>
          <w:tcPr>
            <w:tcW w:w="13856" w:type="dxa"/>
          </w:tcPr>
          <w:p w14:paraId="5336D776">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One minute after exercise: Blood is drawn immediately after the 2000-meter test</w:t>
            </w:r>
          </w:p>
        </w:tc>
      </w:tr>
      <w:tr w14:paraId="32060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3BC88AF1">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Nieman 2013</w:t>
            </w:r>
          </w:p>
        </w:tc>
        <w:tc>
          <w:tcPr>
            <w:tcW w:w="13856" w:type="dxa"/>
          </w:tcPr>
          <w:p w14:paraId="17870636">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Immediately after exercise: Draw blood immediately after the exercise on the third day</w:t>
            </w:r>
          </w:p>
        </w:tc>
      </w:tr>
      <w:tr w14:paraId="1C2D9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4A4C5012">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Łowińska-Lisowska 2014</w:t>
            </w:r>
          </w:p>
        </w:tc>
        <w:tc>
          <w:tcPr>
            <w:tcW w:w="13856" w:type="dxa"/>
          </w:tcPr>
          <w:p w14:paraId="6CA8A0CC">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30 minutes after exercising</w:t>
            </w:r>
          </w:p>
        </w:tc>
      </w:tr>
      <w:tr w14:paraId="76DF0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1D4459A9">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Trinity 2014</w:t>
            </w:r>
          </w:p>
        </w:tc>
        <w:tc>
          <w:tcPr>
            <w:tcW w:w="13856" w:type="dxa"/>
          </w:tcPr>
          <w:p w14:paraId="62306D54">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After the time trial (TT)</w:t>
            </w:r>
          </w:p>
        </w:tc>
      </w:tr>
      <w:tr w14:paraId="1A8FC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6617B27C">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Verazaluce 2015</w:t>
            </w:r>
          </w:p>
        </w:tc>
        <w:tc>
          <w:tcPr>
            <w:tcW w:w="13856" w:type="dxa"/>
          </w:tcPr>
          <w:p w14:paraId="36273E5A">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Collected after the completion of 4 weeks of training and supplement intervention, it was used to evaluate the impact of the intervention measures on each indicator. The collection conditions were a fasting state in the morning, and the subjects had undergone approximately 36 hours of physical rest before collection to ensure consistent collection conditions and avoid the influence of recent exercise or diet on the test results.</w:t>
            </w:r>
          </w:p>
        </w:tc>
      </w:tr>
      <w:tr w14:paraId="59479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19CA7F70">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Busquets-Cortés 2016</w:t>
            </w:r>
          </w:p>
        </w:tc>
        <w:tc>
          <w:tcPr>
            <w:tcW w:w="13856" w:type="dxa"/>
          </w:tcPr>
          <w:p w14:paraId="0887B56C">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Collected at the end of the nutritional intervention</w:t>
            </w:r>
          </w:p>
        </w:tc>
      </w:tr>
      <w:tr w14:paraId="09684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28ECE2B5">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Jastrzebski 2016</w:t>
            </w:r>
          </w:p>
        </w:tc>
        <w:tc>
          <w:tcPr>
            <w:tcW w:w="13856" w:type="dxa"/>
          </w:tcPr>
          <w:p w14:paraId="3258B7E4">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Collected after completing a 4-week vitamin D supplementation and training program.</w:t>
            </w:r>
          </w:p>
          <w:p w14:paraId="22C20C8D">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The collection conditions were an empty stomach in the morning. Immediately after collection, the samples were stored at 4℃. Within 10 minutes, they were centrifuged at 3000g for 10 minutes. After separating the plasma, they were stored at -80 ℃</w:t>
            </w:r>
          </w:p>
        </w:tc>
      </w:tr>
      <w:tr w14:paraId="42F10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2AD96061">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Leonardo-Mendonça 2017</w:t>
            </w:r>
          </w:p>
        </w:tc>
        <w:tc>
          <w:tcPr>
            <w:tcW w:w="13856" w:type="dxa"/>
          </w:tcPr>
          <w:p w14:paraId="705333A4">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Blood samples (10 ml) were collected from the antecubital vein between 7-8 am after 8-10 hours of fasting, using vacutainer CPT tubes (ref. 362782, Beckton Dickinson, Madrid, Spain). Blood was centrifuged at 3000 g for 10 min at 4 ºC, plasma was collected, the buffy coat was discarded and the erythrocytes were washed with cold saline thrice. Aliquots of plasma and erythrocytes were either maintained at 4 °C or frozen at -80 ºC until the assays were performed. A total of two blood samples pre and post-treatment (S1 and S2) were taken during the study period as mention above.</w:t>
            </w:r>
          </w:p>
        </w:tc>
      </w:tr>
      <w:tr w14:paraId="4B5DD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32FCC61A">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Ortiz-Franco 2017</w:t>
            </w:r>
          </w:p>
        </w:tc>
        <w:tc>
          <w:tcPr>
            <w:tcW w:w="13856" w:type="dxa"/>
          </w:tcPr>
          <w:p w14:paraId="2648A139">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Immediately after the training, 10 mL of blood samples were collected from each subject</w:t>
            </w:r>
          </w:p>
        </w:tc>
      </w:tr>
      <w:tr w14:paraId="0C042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7633E9A6">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Toscano 2019</w:t>
            </w:r>
          </w:p>
        </w:tc>
        <w:tc>
          <w:tcPr>
            <w:tcW w:w="13856" w:type="dxa"/>
          </w:tcPr>
          <w:p w14:paraId="40976B82">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Immediate Post-exercise: Collected immediately after the exhaustion run test is completed</w:t>
            </w:r>
          </w:p>
        </w:tc>
      </w:tr>
      <w:tr w14:paraId="45BAA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76885939">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Lydiane 2020</w:t>
            </w:r>
          </w:p>
        </w:tc>
        <w:tc>
          <w:tcPr>
            <w:tcW w:w="13856" w:type="dxa"/>
          </w:tcPr>
          <w:p w14:paraId="67D3DC63">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Collect immediately after the training is completed</w:t>
            </w:r>
          </w:p>
        </w:tc>
      </w:tr>
      <w:tr w14:paraId="357D5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2467EEF5">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Drobnic 2021</w:t>
            </w:r>
          </w:p>
        </w:tc>
        <w:tc>
          <w:tcPr>
            <w:tcW w:w="13856" w:type="dxa"/>
          </w:tcPr>
          <w:p w14:paraId="4246E99F">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Collect immediately after the training is completed</w:t>
            </w:r>
          </w:p>
        </w:tc>
      </w:tr>
      <w:tr w14:paraId="3E09B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2389131C">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Stankiewicz 2021</w:t>
            </w:r>
          </w:p>
        </w:tc>
        <w:tc>
          <w:tcPr>
            <w:tcW w:w="13856" w:type="dxa"/>
          </w:tcPr>
          <w:p w14:paraId="5CAEEEBD">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b/>
                <w:bCs/>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Collect immediately after the training is completed</w:t>
            </w:r>
          </w:p>
        </w:tc>
      </w:tr>
      <w:tr w14:paraId="374A8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760E3D1D">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Chaouachi 2022</w:t>
            </w:r>
          </w:p>
        </w:tc>
        <w:tc>
          <w:tcPr>
            <w:tcW w:w="13856" w:type="dxa"/>
          </w:tcPr>
          <w:p w14:paraId="1B4B6ABD">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b/>
                <w:bCs/>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Collect immediately after the training is completed</w:t>
            </w:r>
          </w:p>
        </w:tc>
      </w:tr>
      <w:tr w14:paraId="2569F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4177F6D6">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Fernández-Lázaro 2022</w:t>
            </w:r>
          </w:p>
        </w:tc>
        <w:tc>
          <w:tcPr>
            <w:tcW w:w="13856" w:type="dxa"/>
          </w:tcPr>
          <w:p w14:paraId="32453E0B">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Forty-two days after the end of the study</w:t>
            </w:r>
          </w:p>
        </w:tc>
      </w:tr>
      <w:tr w14:paraId="61FEC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14520019">
            <w:pPr>
              <w:keepNext/>
              <w:keepLines w:val="0"/>
              <w:suppressLineNumbers w:val="0"/>
              <w:tabs>
                <w:tab w:val="left" w:pos="752"/>
              </w:tabs>
              <w:spacing w:before="0" w:beforeAutospacing="0" w:after="0" w:afterAutospacing="0" w:line="360" w:lineRule="auto"/>
              <w:ind w:left="0" w:right="0"/>
              <w:rPr>
                <w:rFonts w:hint="default" w:ascii="Times New Roman" w:hAnsi="Times New Roman" w:eastAsia="等线" w:cs="Times New Roman"/>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Esen 2023</w:t>
            </w:r>
          </w:p>
        </w:tc>
        <w:tc>
          <w:tcPr>
            <w:tcW w:w="13856" w:type="dxa"/>
          </w:tcPr>
          <w:p w14:paraId="28DA83CB">
            <w:pPr>
              <w:keepNext/>
              <w:keepLines w:val="0"/>
              <w:suppressLineNumbers w:val="0"/>
              <w:tabs>
                <w:tab w:val="left" w:pos="752"/>
              </w:tabs>
              <w:spacing w:before="0" w:beforeAutospacing="0" w:after="0" w:afterAutospacing="0" w:line="360" w:lineRule="auto"/>
              <w:ind w:left="0" w:right="0"/>
              <w:jc w:val="center"/>
              <w:rPr>
                <w:rFonts w:hint="default" w:ascii="Times New Roman" w:hAnsi="Times New Roman" w:eastAsia="等线" w:cs="Times New Roman"/>
                <w:b/>
                <w:bCs/>
                <w:color w:val="000000"/>
                <w:kern w:val="0"/>
                <w:sz w:val="22"/>
                <w:szCs w:val="22"/>
                <w14:ligatures w14:val="none"/>
              </w:rPr>
            </w:pPr>
            <w:r>
              <w:rPr>
                <w:rFonts w:hint="default" w:ascii="Times New Roman" w:hAnsi="Times New Roman" w:eastAsia="等线" w:cs="Times New Roman"/>
                <w:color w:val="000000"/>
                <w:kern w:val="0"/>
                <w:sz w:val="22"/>
                <w:szCs w:val="22"/>
                <w14:ligatures w14:val="none"/>
              </w:rPr>
              <w:t>Collect immediately after the training is completed</w:t>
            </w:r>
          </w:p>
        </w:tc>
      </w:tr>
    </w:tbl>
    <w:p w14:paraId="47F8C414">
      <w:pPr>
        <w:keepNext/>
        <w:tabs>
          <w:tab w:val="left" w:pos="752"/>
        </w:tabs>
        <w:spacing w:line="360" w:lineRule="auto"/>
        <w:rPr>
          <w:rFonts w:hint="default" w:ascii="Times New Roman" w:hAnsi="Times New Roman" w:cs="Times New Roman"/>
          <w:sz w:val="22"/>
          <w:szCs w:val="22"/>
        </w:rPr>
      </w:pPr>
    </w:p>
    <w:p w14:paraId="46E4719D">
      <w:pPr>
        <w:keepNext/>
        <w:tabs>
          <w:tab w:val="left" w:pos="752"/>
        </w:tabs>
        <w:spacing w:line="360" w:lineRule="auto"/>
        <w:rPr>
          <w:rFonts w:hint="default" w:ascii="Times New Roman" w:hAnsi="Times New Roman" w:cs="Times New Roman"/>
          <w:sz w:val="22"/>
          <w:szCs w:val="22"/>
        </w:rPr>
        <w:sectPr>
          <w:pgSz w:w="16838" w:h="11906" w:orient="landscape"/>
          <w:pgMar w:top="567" w:right="567" w:bottom="567" w:left="567" w:header="851" w:footer="992" w:gutter="0"/>
          <w:cols w:space="425" w:num="1"/>
          <w:docGrid w:linePitch="312" w:charSpace="0"/>
        </w:sectPr>
      </w:pPr>
    </w:p>
    <w:p w14:paraId="5AEA03A0">
      <w:pPr>
        <w:keepNext/>
        <w:tabs>
          <w:tab w:val="left" w:pos="752"/>
        </w:tabs>
        <w:spacing w:line="360" w:lineRule="auto"/>
        <w:rPr>
          <w:rFonts w:hint="eastAsia" w:ascii="Times New Roman" w:hAnsi="Times New Roman" w:cs="Times New Roman" w:eastAsiaTheme="minorEastAsia"/>
          <w:sz w:val="22"/>
          <w:szCs w:val="22"/>
          <w:lang w:eastAsia="zh-CN"/>
        </w:rPr>
      </w:pPr>
    </w:p>
    <w:p w14:paraId="0AB499CB">
      <w:pPr>
        <w:keepNext/>
        <w:tabs>
          <w:tab w:val="left" w:pos="752"/>
        </w:tabs>
        <w:spacing w:line="360" w:lineRule="auto"/>
        <w:rPr>
          <w:rFonts w:hint="eastAsia" w:ascii="Times New Roman" w:hAnsi="Times New Roman" w:cs="Times New Roman" w:eastAsiaTheme="minorEastAsia"/>
          <w:sz w:val="22"/>
          <w:szCs w:val="22"/>
          <w:lang w:eastAsia="zh-CN"/>
        </w:rPr>
      </w:pPr>
      <w:r>
        <w:rPr>
          <w:rFonts w:hint="eastAsia" w:ascii="Times New Roman" w:hAnsi="Times New Roman" w:cs="Times New Roman" w:eastAsiaTheme="minorEastAsia"/>
          <w:sz w:val="22"/>
          <w:szCs w:val="22"/>
          <w:lang w:eastAsia="zh-CN"/>
        </w:rPr>
        <w:drawing>
          <wp:inline distT="0" distB="0" distL="114300" distR="114300">
            <wp:extent cx="6834505" cy="6256020"/>
            <wp:effectExtent l="0" t="0" r="0" b="0"/>
            <wp:docPr id="1" name="圖片 1" descr="补充材料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descr="补充材料图1"/>
                    <pic:cNvPicPr>
                      <a:picLocks noChangeAspect="1"/>
                    </pic:cNvPicPr>
                  </pic:nvPicPr>
                  <pic:blipFill>
                    <a:blip r:embed="rId9"/>
                    <a:srcRect b="35278"/>
                    <a:stretch>
                      <a:fillRect/>
                    </a:stretch>
                  </pic:blipFill>
                  <pic:spPr>
                    <a:xfrm>
                      <a:off x="0" y="0"/>
                      <a:ext cx="6834505" cy="6256020"/>
                    </a:xfrm>
                    <a:prstGeom prst="rect">
                      <a:avLst/>
                    </a:prstGeom>
                  </pic:spPr>
                </pic:pic>
              </a:graphicData>
            </a:graphic>
          </wp:inline>
        </w:drawing>
      </w:r>
    </w:p>
    <w:p w14:paraId="50559F8F">
      <w:pPr>
        <w:rPr>
          <w:rFonts w:hint="eastAsia" w:ascii="Times New Roman" w:hAnsi="Times New Roman" w:cs="Times New Roman" w:eastAsiaTheme="minorEastAsia"/>
          <w:sz w:val="22"/>
          <w:szCs w:val="22"/>
          <w:lang w:val="en-US" w:eastAsia="zh-CN"/>
        </w:rPr>
      </w:pPr>
      <w:r>
        <w:rPr>
          <w:rFonts w:hint="default" w:ascii="Times New Roman" w:hAnsi="Times New Roman" w:cs="Times New Roman"/>
          <w:b/>
          <w:bCs/>
          <w:sz w:val="22"/>
          <w:szCs w:val="22"/>
        </w:rPr>
        <w:t>Figure S</w:t>
      </w:r>
      <w:r>
        <w:rPr>
          <w:rFonts w:hint="default" w:ascii="Times New Roman" w:hAnsi="Times New Roman" w:cs="Times New Roman"/>
          <w:b/>
          <w:bCs/>
          <w:sz w:val="22"/>
          <w:szCs w:val="22"/>
        </w:rPr>
        <w:fldChar w:fldCharType="begin"/>
      </w:r>
      <w:r>
        <w:rPr>
          <w:rFonts w:hint="default" w:ascii="Times New Roman" w:hAnsi="Times New Roman" w:cs="Times New Roman"/>
          <w:b/>
          <w:bCs/>
          <w:sz w:val="22"/>
          <w:szCs w:val="22"/>
        </w:rPr>
        <w:instrText xml:space="preserve"> SEQ Figure_S \* ARABIC </w:instrText>
      </w:r>
      <w:r>
        <w:rPr>
          <w:rFonts w:hint="default" w:ascii="Times New Roman" w:hAnsi="Times New Roman" w:cs="Times New Roman"/>
          <w:b/>
          <w:bCs/>
          <w:sz w:val="22"/>
          <w:szCs w:val="22"/>
        </w:rPr>
        <w:fldChar w:fldCharType="separate"/>
      </w:r>
      <w:r>
        <w:rPr>
          <w:rFonts w:hint="default" w:ascii="Times New Roman" w:hAnsi="Times New Roman" w:cs="Times New Roman"/>
          <w:b/>
          <w:bCs/>
          <w:sz w:val="22"/>
          <w:szCs w:val="22"/>
        </w:rPr>
        <w:t>1</w:t>
      </w:r>
      <w:r>
        <w:rPr>
          <w:rFonts w:hint="default" w:ascii="Times New Roman" w:hAnsi="Times New Roman" w:cs="Times New Roman"/>
          <w:b/>
          <w:bCs/>
          <w:sz w:val="22"/>
          <w:szCs w:val="22"/>
        </w:rPr>
        <w:fldChar w:fldCharType="end"/>
      </w:r>
      <w:r>
        <w:rPr>
          <w:rFonts w:hint="default" w:ascii="Times New Roman" w:hAnsi="Times New Roman" w:cs="Times New Roman"/>
          <w:sz w:val="22"/>
          <w:szCs w:val="22"/>
        </w:rPr>
        <w:t xml:space="preserve"> </w:t>
      </w:r>
      <w:r>
        <w:rPr>
          <w:rFonts w:hint="default" w:ascii="Times New Roman" w:hAnsi="Times New Roman" w:cs="Times New Roman"/>
          <w:sz w:val="22"/>
          <w:szCs w:val="22"/>
          <w:lang w:val="en-US" w:eastAsia="zh-CN"/>
        </w:rPr>
        <w:t xml:space="preserve">Subgroup results of </w:t>
      </w:r>
      <w:r>
        <w:rPr>
          <w:rFonts w:hint="default" w:ascii="Times New Roman" w:hAnsi="Times New Roman" w:cs="Times New Roman"/>
          <w:sz w:val="22"/>
          <w:szCs w:val="22"/>
        </w:rPr>
        <w:t>TA</w:t>
      </w:r>
      <w:r>
        <w:rPr>
          <w:rFonts w:hint="eastAsia" w:ascii="Times New Roman" w:hAnsi="Times New Roman" w:cs="Times New Roman"/>
          <w:sz w:val="22"/>
          <w:szCs w:val="22"/>
          <w:lang w:val="en-US" w:eastAsia="zh-CN"/>
        </w:rPr>
        <w:t>S</w:t>
      </w:r>
    </w:p>
    <w:p w14:paraId="110063ED">
      <w:pPr>
        <w:rPr>
          <w:rFonts w:hint="default" w:ascii="Times New Roman" w:hAnsi="Times New Roman" w:cs="Times New Roman"/>
          <w:sz w:val="22"/>
          <w:szCs w:val="22"/>
        </w:rPr>
      </w:pPr>
    </w:p>
    <w:p w14:paraId="213515F8">
      <w:pPr>
        <w:jc w:val="center"/>
        <w:rPr>
          <w:rFonts w:hint="eastAsia" w:ascii="Times New Roman" w:hAnsi="Times New Roman" w:cs="Times New Roman" w:eastAsiaTheme="minorEastAsia"/>
          <w:sz w:val="22"/>
          <w:szCs w:val="22"/>
          <w:lang w:eastAsia="zh-CN"/>
        </w:rPr>
      </w:pPr>
    </w:p>
    <w:p w14:paraId="77D9D825">
      <w:pPr>
        <w:jc w:val="center"/>
        <w:rPr>
          <w:rFonts w:hint="eastAsia" w:ascii="Times New Roman" w:hAnsi="Times New Roman" w:cs="Times New Roman" w:eastAsiaTheme="minorEastAsia"/>
          <w:sz w:val="22"/>
          <w:szCs w:val="22"/>
          <w:lang w:eastAsia="zh-CN"/>
        </w:rPr>
      </w:pPr>
      <w:r>
        <w:rPr>
          <w:rFonts w:hint="eastAsia" w:ascii="Times New Roman" w:hAnsi="Times New Roman" w:cs="Times New Roman" w:eastAsiaTheme="minorEastAsia"/>
          <w:sz w:val="22"/>
          <w:szCs w:val="22"/>
          <w:lang w:eastAsia="zh-CN"/>
        </w:rPr>
        <w:drawing>
          <wp:inline distT="0" distB="0" distL="114300" distR="114300">
            <wp:extent cx="6834505" cy="6264275"/>
            <wp:effectExtent l="0" t="0" r="0" b="0"/>
            <wp:docPr id="3" name="圖片 3" descr="补充材料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descr="补充材料图2"/>
                    <pic:cNvPicPr>
                      <a:picLocks noChangeAspect="1"/>
                    </pic:cNvPicPr>
                  </pic:nvPicPr>
                  <pic:blipFill>
                    <a:blip r:embed="rId10"/>
                    <a:srcRect b="35192"/>
                    <a:stretch>
                      <a:fillRect/>
                    </a:stretch>
                  </pic:blipFill>
                  <pic:spPr>
                    <a:xfrm>
                      <a:off x="0" y="0"/>
                      <a:ext cx="6834505" cy="6264275"/>
                    </a:xfrm>
                    <a:prstGeom prst="rect">
                      <a:avLst/>
                    </a:prstGeom>
                  </pic:spPr>
                </pic:pic>
              </a:graphicData>
            </a:graphic>
          </wp:inline>
        </w:drawing>
      </w:r>
    </w:p>
    <w:p w14:paraId="7DCFBC00">
      <w:pPr>
        <w:pStyle w:val="11"/>
        <w:jc w:val="both"/>
        <w:rPr>
          <w:rFonts w:hint="default" w:ascii="Times New Roman" w:hAnsi="Times New Roman" w:cs="Times New Roman"/>
          <w:sz w:val="22"/>
          <w:szCs w:val="22"/>
        </w:rPr>
      </w:pPr>
      <w:r>
        <w:rPr>
          <w:rFonts w:hint="default" w:ascii="Times New Roman" w:hAnsi="Times New Roman" w:cs="Times New Roman"/>
          <w:b/>
          <w:bCs/>
          <w:sz w:val="22"/>
          <w:szCs w:val="22"/>
        </w:rPr>
        <w:t>Figure S</w:t>
      </w:r>
      <w:r>
        <w:rPr>
          <w:rFonts w:hint="default" w:ascii="Times New Roman" w:hAnsi="Times New Roman" w:cs="Times New Roman"/>
          <w:b/>
          <w:bCs/>
          <w:sz w:val="22"/>
          <w:szCs w:val="22"/>
        </w:rPr>
        <w:fldChar w:fldCharType="begin"/>
      </w:r>
      <w:r>
        <w:rPr>
          <w:rFonts w:hint="default" w:ascii="Times New Roman" w:hAnsi="Times New Roman" w:cs="Times New Roman"/>
          <w:b/>
          <w:bCs/>
          <w:sz w:val="22"/>
          <w:szCs w:val="22"/>
        </w:rPr>
        <w:instrText xml:space="preserve"> SEQ Figure_S \* ARABIC </w:instrText>
      </w:r>
      <w:r>
        <w:rPr>
          <w:rFonts w:hint="default" w:ascii="Times New Roman" w:hAnsi="Times New Roman" w:cs="Times New Roman"/>
          <w:b/>
          <w:bCs/>
          <w:sz w:val="22"/>
          <w:szCs w:val="22"/>
        </w:rPr>
        <w:fldChar w:fldCharType="separate"/>
      </w:r>
      <w:r>
        <w:rPr>
          <w:rFonts w:hint="default" w:ascii="Times New Roman" w:hAnsi="Times New Roman" w:cs="Times New Roman"/>
          <w:b/>
          <w:bCs/>
          <w:sz w:val="22"/>
          <w:szCs w:val="22"/>
        </w:rPr>
        <w:t>2</w:t>
      </w:r>
      <w:r>
        <w:rPr>
          <w:rFonts w:hint="default" w:ascii="Times New Roman" w:hAnsi="Times New Roman" w:cs="Times New Roman"/>
          <w:b/>
          <w:bCs/>
          <w:sz w:val="22"/>
          <w:szCs w:val="22"/>
        </w:rPr>
        <w:fldChar w:fldCharType="end"/>
      </w:r>
      <w:r>
        <w:rPr>
          <w:rFonts w:hint="default" w:ascii="Times New Roman" w:hAnsi="Times New Roman" w:cs="Times New Roman"/>
          <w:b/>
          <w:bCs/>
          <w:sz w:val="22"/>
          <w:szCs w:val="22"/>
        </w:rPr>
        <w:t xml:space="preserve"> </w:t>
      </w:r>
      <w:r>
        <w:rPr>
          <w:rFonts w:hint="default" w:ascii="Times New Roman" w:hAnsi="Times New Roman" w:cs="Times New Roman"/>
          <w:sz w:val="22"/>
          <w:szCs w:val="22"/>
          <w:lang w:val="en-US" w:eastAsia="zh-CN"/>
        </w:rPr>
        <w:t>Subgroup resu</w:t>
      </w:r>
      <w:r>
        <w:rPr>
          <w:rFonts w:hint="default" w:ascii="Times New Roman" w:hAnsi="Times New Roman" w:cs="Times New Roman"/>
          <w:b w:val="0"/>
          <w:bCs w:val="0"/>
          <w:sz w:val="22"/>
          <w:szCs w:val="22"/>
          <w:lang w:val="en-US" w:eastAsia="zh-CN"/>
        </w:rPr>
        <w:t xml:space="preserve">lts of </w:t>
      </w:r>
      <w:r>
        <w:rPr>
          <w:rFonts w:hint="default" w:ascii="Times New Roman" w:hAnsi="Times New Roman" w:cs="Times New Roman"/>
          <w:b w:val="0"/>
          <w:bCs w:val="0"/>
          <w:sz w:val="22"/>
          <w:szCs w:val="22"/>
        </w:rPr>
        <w:t>TBARS</w:t>
      </w:r>
    </w:p>
    <w:p w14:paraId="58061E92">
      <w:pPr>
        <w:jc w:val="center"/>
        <w:rPr>
          <w:rFonts w:hint="default" w:ascii="Times New Roman" w:hAnsi="Times New Roman" w:cs="Times New Roman"/>
          <w:sz w:val="22"/>
          <w:szCs w:val="22"/>
        </w:rPr>
      </w:pPr>
    </w:p>
    <w:p w14:paraId="145D303E">
      <w:pPr>
        <w:keepNext/>
        <w:tabs>
          <w:tab w:val="left" w:pos="752"/>
        </w:tabs>
        <w:spacing w:line="360" w:lineRule="auto"/>
        <w:jc w:val="center"/>
        <w:rPr>
          <w:rFonts w:hint="eastAsia" w:ascii="Times New Roman" w:hAnsi="Times New Roman" w:cs="Times New Roman" w:eastAsiaTheme="minorEastAsia"/>
          <w:sz w:val="22"/>
          <w:szCs w:val="22"/>
          <w:lang w:eastAsia="zh-CN"/>
        </w:rPr>
      </w:pPr>
    </w:p>
    <w:p w14:paraId="43B2A1C0">
      <w:pPr>
        <w:keepNext/>
        <w:tabs>
          <w:tab w:val="left" w:pos="752"/>
        </w:tabs>
        <w:spacing w:line="360" w:lineRule="auto"/>
        <w:jc w:val="center"/>
        <w:rPr>
          <w:rFonts w:hint="eastAsia" w:ascii="Times New Roman" w:hAnsi="Times New Roman" w:cs="Times New Roman" w:eastAsiaTheme="minorEastAsia"/>
          <w:sz w:val="22"/>
          <w:szCs w:val="22"/>
          <w:lang w:eastAsia="zh-CN"/>
        </w:rPr>
      </w:pPr>
      <w:r>
        <w:rPr>
          <w:rFonts w:hint="eastAsia" w:ascii="Times New Roman" w:hAnsi="Times New Roman" w:cs="Times New Roman" w:eastAsiaTheme="minorEastAsia"/>
          <w:sz w:val="22"/>
          <w:szCs w:val="22"/>
          <w:lang w:eastAsia="zh-CN"/>
        </w:rPr>
        <w:drawing>
          <wp:inline distT="0" distB="0" distL="114300" distR="114300">
            <wp:extent cx="6804660" cy="6359525"/>
            <wp:effectExtent l="0" t="0" r="0" b="0"/>
            <wp:docPr id="4" name="圖片 4" descr="补充材料图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4" descr="补充材料图3"/>
                    <pic:cNvPicPr>
                      <a:picLocks noChangeAspect="1"/>
                    </pic:cNvPicPr>
                  </pic:nvPicPr>
                  <pic:blipFill>
                    <a:blip r:embed="rId11"/>
                    <a:srcRect b="33916"/>
                    <a:stretch>
                      <a:fillRect/>
                    </a:stretch>
                  </pic:blipFill>
                  <pic:spPr>
                    <a:xfrm>
                      <a:off x="0" y="0"/>
                      <a:ext cx="6804660" cy="6359525"/>
                    </a:xfrm>
                    <a:prstGeom prst="rect">
                      <a:avLst/>
                    </a:prstGeom>
                  </pic:spPr>
                </pic:pic>
              </a:graphicData>
            </a:graphic>
          </wp:inline>
        </w:drawing>
      </w:r>
    </w:p>
    <w:p w14:paraId="377DC1C1">
      <w:pPr>
        <w:pStyle w:val="11"/>
        <w:jc w:val="both"/>
        <w:rPr>
          <w:rFonts w:hint="default" w:ascii="Times New Roman" w:hAnsi="Times New Roman" w:cs="Times New Roman"/>
          <w:sz w:val="22"/>
          <w:szCs w:val="22"/>
        </w:rPr>
      </w:pPr>
      <w:r>
        <w:rPr>
          <w:rFonts w:hint="default" w:ascii="Times New Roman" w:hAnsi="Times New Roman" w:cs="Times New Roman"/>
          <w:b/>
          <w:bCs/>
          <w:sz w:val="22"/>
          <w:szCs w:val="22"/>
        </w:rPr>
        <w:t>Figure S</w:t>
      </w:r>
      <w:r>
        <w:rPr>
          <w:rFonts w:hint="default" w:ascii="Times New Roman" w:hAnsi="Times New Roman" w:cs="Times New Roman"/>
          <w:b/>
          <w:bCs/>
          <w:sz w:val="22"/>
          <w:szCs w:val="22"/>
        </w:rPr>
        <w:fldChar w:fldCharType="begin"/>
      </w:r>
      <w:r>
        <w:rPr>
          <w:rFonts w:hint="default" w:ascii="Times New Roman" w:hAnsi="Times New Roman" w:cs="Times New Roman"/>
          <w:b/>
          <w:bCs/>
          <w:sz w:val="22"/>
          <w:szCs w:val="22"/>
        </w:rPr>
        <w:instrText xml:space="preserve"> SEQ Figure_S \* ARABIC </w:instrText>
      </w:r>
      <w:r>
        <w:rPr>
          <w:rFonts w:hint="default" w:ascii="Times New Roman" w:hAnsi="Times New Roman" w:cs="Times New Roman"/>
          <w:b/>
          <w:bCs/>
          <w:sz w:val="22"/>
          <w:szCs w:val="22"/>
        </w:rPr>
        <w:fldChar w:fldCharType="separate"/>
      </w:r>
      <w:r>
        <w:rPr>
          <w:rFonts w:hint="default" w:ascii="Times New Roman" w:hAnsi="Times New Roman" w:cs="Times New Roman"/>
          <w:b/>
          <w:bCs/>
          <w:sz w:val="22"/>
          <w:szCs w:val="22"/>
        </w:rPr>
        <w:t>3</w:t>
      </w:r>
      <w:r>
        <w:rPr>
          <w:rFonts w:hint="default" w:ascii="Times New Roman" w:hAnsi="Times New Roman" w:cs="Times New Roman"/>
          <w:b/>
          <w:bCs/>
          <w:sz w:val="22"/>
          <w:szCs w:val="22"/>
        </w:rPr>
        <w:fldChar w:fldCharType="end"/>
      </w:r>
      <w:r>
        <w:rPr>
          <w:rFonts w:hint="default" w:ascii="Times New Roman" w:hAnsi="Times New Roman" w:cs="Times New Roman"/>
          <w:sz w:val="22"/>
          <w:szCs w:val="22"/>
        </w:rPr>
        <w:t xml:space="preserve"> </w:t>
      </w:r>
      <w:r>
        <w:rPr>
          <w:rFonts w:hint="default" w:ascii="Times New Roman" w:hAnsi="Times New Roman" w:cs="Times New Roman"/>
          <w:sz w:val="22"/>
          <w:szCs w:val="22"/>
          <w:lang w:val="en-US" w:eastAsia="zh-CN"/>
        </w:rPr>
        <w:t xml:space="preserve">Subgroup results of </w:t>
      </w:r>
      <w:r>
        <w:rPr>
          <w:rFonts w:hint="default" w:ascii="Times New Roman" w:hAnsi="Times New Roman" w:cs="Times New Roman"/>
          <w:sz w:val="22"/>
          <w:szCs w:val="22"/>
        </w:rPr>
        <w:t>SOD</w:t>
      </w:r>
    </w:p>
    <w:p w14:paraId="3295821F">
      <w:pPr>
        <w:keepNext/>
        <w:tabs>
          <w:tab w:val="left" w:pos="752"/>
        </w:tabs>
        <w:spacing w:line="360" w:lineRule="auto"/>
        <w:jc w:val="center"/>
        <w:rPr>
          <w:rFonts w:hint="default" w:ascii="Times New Roman" w:hAnsi="Times New Roman" w:cs="Times New Roman"/>
          <w:sz w:val="22"/>
          <w:szCs w:val="22"/>
        </w:rPr>
      </w:pPr>
    </w:p>
    <w:p w14:paraId="318BFE03">
      <w:pPr>
        <w:keepNext/>
        <w:tabs>
          <w:tab w:val="left" w:pos="752"/>
        </w:tabs>
        <w:spacing w:line="360" w:lineRule="auto"/>
        <w:jc w:val="center"/>
        <w:rPr>
          <w:rFonts w:hint="eastAsia" w:ascii="Times New Roman" w:hAnsi="Times New Roman" w:cs="Times New Roman" w:eastAsiaTheme="minorEastAsia"/>
          <w:sz w:val="22"/>
          <w:szCs w:val="22"/>
          <w:lang w:eastAsia="zh-CN"/>
        </w:rPr>
      </w:pPr>
    </w:p>
    <w:p w14:paraId="4F698DF9">
      <w:pPr>
        <w:keepNext/>
        <w:tabs>
          <w:tab w:val="left" w:pos="752"/>
        </w:tabs>
        <w:spacing w:line="360" w:lineRule="auto"/>
        <w:jc w:val="center"/>
        <w:rPr>
          <w:rFonts w:hint="eastAsia" w:ascii="Times New Roman" w:hAnsi="Times New Roman" w:cs="Times New Roman" w:eastAsiaTheme="minorEastAsia"/>
          <w:sz w:val="22"/>
          <w:szCs w:val="22"/>
          <w:lang w:eastAsia="zh-CN"/>
        </w:rPr>
      </w:pPr>
      <w:r>
        <w:rPr>
          <w:rFonts w:hint="eastAsia" w:ascii="Times New Roman" w:hAnsi="Times New Roman" w:cs="Times New Roman" w:eastAsiaTheme="minorEastAsia"/>
          <w:sz w:val="22"/>
          <w:szCs w:val="22"/>
          <w:lang w:eastAsia="zh-CN"/>
        </w:rPr>
        <w:drawing>
          <wp:inline distT="0" distB="0" distL="114300" distR="114300">
            <wp:extent cx="6804660" cy="6257290"/>
            <wp:effectExtent l="0" t="0" r="0" b="0"/>
            <wp:docPr id="5" name="圖片 5" descr="补充材料图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5" descr="补充材料图4"/>
                    <pic:cNvPicPr>
                      <a:picLocks noChangeAspect="1"/>
                    </pic:cNvPicPr>
                  </pic:nvPicPr>
                  <pic:blipFill>
                    <a:blip r:embed="rId12"/>
                    <a:srcRect b="34979"/>
                    <a:stretch>
                      <a:fillRect/>
                    </a:stretch>
                  </pic:blipFill>
                  <pic:spPr>
                    <a:xfrm>
                      <a:off x="0" y="0"/>
                      <a:ext cx="6804660" cy="6257290"/>
                    </a:xfrm>
                    <a:prstGeom prst="rect">
                      <a:avLst/>
                    </a:prstGeom>
                  </pic:spPr>
                </pic:pic>
              </a:graphicData>
            </a:graphic>
          </wp:inline>
        </w:drawing>
      </w:r>
    </w:p>
    <w:p w14:paraId="430A9A65">
      <w:pPr>
        <w:pStyle w:val="11"/>
        <w:jc w:val="both"/>
        <w:rPr>
          <w:rFonts w:hint="default" w:ascii="Times New Roman" w:hAnsi="Times New Roman" w:cs="Times New Roman"/>
          <w:sz w:val="22"/>
          <w:szCs w:val="22"/>
        </w:rPr>
      </w:pPr>
      <w:r>
        <w:rPr>
          <w:rFonts w:hint="default" w:ascii="Times New Roman" w:hAnsi="Times New Roman" w:cs="Times New Roman"/>
          <w:b/>
          <w:bCs/>
          <w:sz w:val="22"/>
          <w:szCs w:val="22"/>
        </w:rPr>
        <w:t>Figure S</w:t>
      </w:r>
      <w:r>
        <w:rPr>
          <w:rFonts w:hint="default" w:ascii="Times New Roman" w:hAnsi="Times New Roman" w:cs="Times New Roman"/>
          <w:b/>
          <w:bCs/>
          <w:sz w:val="22"/>
          <w:szCs w:val="22"/>
        </w:rPr>
        <w:fldChar w:fldCharType="begin"/>
      </w:r>
      <w:r>
        <w:rPr>
          <w:rFonts w:hint="default" w:ascii="Times New Roman" w:hAnsi="Times New Roman" w:cs="Times New Roman"/>
          <w:b/>
          <w:bCs/>
          <w:sz w:val="22"/>
          <w:szCs w:val="22"/>
        </w:rPr>
        <w:instrText xml:space="preserve"> SEQ Figure_S \* ARABIC </w:instrText>
      </w:r>
      <w:r>
        <w:rPr>
          <w:rFonts w:hint="default" w:ascii="Times New Roman" w:hAnsi="Times New Roman" w:cs="Times New Roman"/>
          <w:b/>
          <w:bCs/>
          <w:sz w:val="22"/>
          <w:szCs w:val="22"/>
        </w:rPr>
        <w:fldChar w:fldCharType="separate"/>
      </w:r>
      <w:r>
        <w:rPr>
          <w:rFonts w:hint="default" w:ascii="Times New Roman" w:hAnsi="Times New Roman" w:cs="Times New Roman"/>
          <w:b/>
          <w:bCs/>
          <w:sz w:val="22"/>
          <w:szCs w:val="22"/>
        </w:rPr>
        <w:t>4</w:t>
      </w:r>
      <w:r>
        <w:rPr>
          <w:rFonts w:hint="default" w:ascii="Times New Roman" w:hAnsi="Times New Roman" w:cs="Times New Roman"/>
          <w:b/>
          <w:bCs/>
          <w:sz w:val="22"/>
          <w:szCs w:val="22"/>
        </w:rPr>
        <w:fldChar w:fldCharType="end"/>
      </w:r>
      <w:r>
        <w:rPr>
          <w:rFonts w:hint="default" w:ascii="Times New Roman" w:hAnsi="Times New Roman" w:cs="Times New Roman"/>
          <w:sz w:val="22"/>
          <w:szCs w:val="22"/>
        </w:rPr>
        <w:t xml:space="preserve"> </w:t>
      </w:r>
      <w:r>
        <w:rPr>
          <w:rFonts w:hint="default" w:ascii="Times New Roman" w:hAnsi="Times New Roman" w:cs="Times New Roman"/>
          <w:sz w:val="22"/>
          <w:szCs w:val="22"/>
          <w:lang w:val="en-US" w:eastAsia="zh-CN"/>
        </w:rPr>
        <w:t xml:space="preserve">Subgroup results of </w:t>
      </w:r>
      <w:r>
        <w:rPr>
          <w:rFonts w:hint="default" w:ascii="Times New Roman" w:hAnsi="Times New Roman" w:cs="Times New Roman"/>
          <w:sz w:val="22"/>
          <w:szCs w:val="22"/>
        </w:rPr>
        <w:t>GPx</w:t>
      </w:r>
    </w:p>
    <w:p w14:paraId="209B9AC9">
      <w:pPr>
        <w:keepNext/>
        <w:tabs>
          <w:tab w:val="left" w:pos="752"/>
        </w:tabs>
        <w:spacing w:line="360" w:lineRule="auto"/>
        <w:jc w:val="center"/>
        <w:rPr>
          <w:rFonts w:hint="eastAsia" w:ascii="Times New Roman" w:hAnsi="Times New Roman" w:cs="Times New Roman" w:eastAsiaTheme="minorEastAsia"/>
          <w:sz w:val="22"/>
          <w:szCs w:val="22"/>
          <w:lang w:eastAsia="zh-CN"/>
        </w:rPr>
      </w:pPr>
    </w:p>
    <w:p w14:paraId="18DA5019">
      <w:pPr>
        <w:keepNext/>
        <w:tabs>
          <w:tab w:val="left" w:pos="752"/>
        </w:tabs>
        <w:spacing w:line="360" w:lineRule="auto"/>
        <w:jc w:val="center"/>
        <w:rPr>
          <w:rFonts w:hint="eastAsia" w:ascii="Times New Roman" w:hAnsi="Times New Roman" w:cs="Times New Roman" w:eastAsiaTheme="minorEastAsia"/>
          <w:sz w:val="22"/>
          <w:szCs w:val="22"/>
          <w:lang w:eastAsia="zh-CN"/>
        </w:rPr>
      </w:pPr>
      <w:r>
        <w:rPr>
          <w:rFonts w:hint="eastAsia" w:ascii="Times New Roman" w:hAnsi="Times New Roman" w:cs="Times New Roman" w:eastAsiaTheme="minorEastAsia"/>
          <w:sz w:val="22"/>
          <w:szCs w:val="22"/>
          <w:lang w:eastAsia="zh-CN"/>
        </w:rPr>
        <w:drawing>
          <wp:inline distT="0" distB="0" distL="114300" distR="114300">
            <wp:extent cx="6804660" cy="6198235"/>
            <wp:effectExtent l="0" t="0" r="15240" b="12065"/>
            <wp:docPr id="6" name="圖片 6" descr="补充材料图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圖片 6" descr="补充材料图5"/>
                    <pic:cNvPicPr>
                      <a:picLocks noChangeAspect="1"/>
                    </pic:cNvPicPr>
                  </pic:nvPicPr>
                  <pic:blipFill>
                    <a:blip r:embed="rId13"/>
                    <a:srcRect b="35592"/>
                    <a:stretch>
                      <a:fillRect/>
                    </a:stretch>
                  </pic:blipFill>
                  <pic:spPr>
                    <a:xfrm>
                      <a:off x="0" y="0"/>
                      <a:ext cx="6804660" cy="6198235"/>
                    </a:xfrm>
                    <a:prstGeom prst="rect">
                      <a:avLst/>
                    </a:prstGeom>
                  </pic:spPr>
                </pic:pic>
              </a:graphicData>
            </a:graphic>
          </wp:inline>
        </w:drawing>
      </w:r>
    </w:p>
    <w:p w14:paraId="69E4DC80">
      <w:pPr>
        <w:pStyle w:val="11"/>
        <w:jc w:val="both"/>
        <w:rPr>
          <w:rFonts w:hint="default" w:ascii="Times New Roman" w:hAnsi="Times New Roman" w:cs="Times New Roman"/>
          <w:sz w:val="22"/>
          <w:szCs w:val="22"/>
        </w:rPr>
      </w:pPr>
      <w:r>
        <w:rPr>
          <w:rFonts w:hint="default" w:ascii="Times New Roman" w:hAnsi="Times New Roman" w:cs="Times New Roman"/>
          <w:b/>
          <w:bCs/>
          <w:sz w:val="22"/>
          <w:szCs w:val="22"/>
        </w:rPr>
        <w:t>Figure S</w:t>
      </w:r>
      <w:r>
        <w:rPr>
          <w:rFonts w:hint="default" w:ascii="Times New Roman" w:hAnsi="Times New Roman" w:cs="Times New Roman"/>
          <w:b/>
          <w:bCs/>
          <w:sz w:val="22"/>
          <w:szCs w:val="22"/>
        </w:rPr>
        <w:fldChar w:fldCharType="begin"/>
      </w:r>
      <w:r>
        <w:rPr>
          <w:rFonts w:hint="default" w:ascii="Times New Roman" w:hAnsi="Times New Roman" w:cs="Times New Roman"/>
          <w:b/>
          <w:bCs/>
          <w:sz w:val="22"/>
          <w:szCs w:val="22"/>
        </w:rPr>
        <w:instrText xml:space="preserve"> SEQ Figure_S \* ARABIC </w:instrText>
      </w:r>
      <w:r>
        <w:rPr>
          <w:rFonts w:hint="default" w:ascii="Times New Roman" w:hAnsi="Times New Roman" w:cs="Times New Roman"/>
          <w:b/>
          <w:bCs/>
          <w:sz w:val="22"/>
          <w:szCs w:val="22"/>
        </w:rPr>
        <w:fldChar w:fldCharType="separate"/>
      </w:r>
      <w:r>
        <w:rPr>
          <w:rFonts w:hint="default" w:ascii="Times New Roman" w:hAnsi="Times New Roman" w:cs="Times New Roman"/>
          <w:b/>
          <w:bCs/>
          <w:sz w:val="22"/>
          <w:szCs w:val="22"/>
        </w:rPr>
        <w:t>5</w:t>
      </w:r>
      <w:r>
        <w:rPr>
          <w:rFonts w:hint="default" w:ascii="Times New Roman" w:hAnsi="Times New Roman" w:cs="Times New Roman"/>
          <w:b/>
          <w:bCs/>
          <w:sz w:val="22"/>
          <w:szCs w:val="22"/>
        </w:rPr>
        <w:fldChar w:fldCharType="end"/>
      </w:r>
      <w:r>
        <w:rPr>
          <w:rFonts w:hint="default" w:ascii="Times New Roman" w:hAnsi="Times New Roman" w:cs="Times New Roman"/>
          <w:b/>
          <w:bCs/>
          <w:sz w:val="22"/>
          <w:szCs w:val="22"/>
          <w:lang w:val="en-US" w:eastAsia="zh-CN"/>
        </w:rPr>
        <w:t xml:space="preserve"> </w:t>
      </w:r>
      <w:r>
        <w:rPr>
          <w:rFonts w:hint="default" w:ascii="Times New Roman" w:hAnsi="Times New Roman" w:cs="Times New Roman"/>
          <w:sz w:val="22"/>
          <w:szCs w:val="22"/>
          <w:lang w:val="en-US" w:eastAsia="zh-CN"/>
        </w:rPr>
        <w:t>Subgroup results of</w:t>
      </w:r>
      <w:r>
        <w:rPr>
          <w:rFonts w:hint="default" w:ascii="Times New Roman" w:hAnsi="Times New Roman" w:cs="Times New Roman"/>
          <w:sz w:val="22"/>
          <w:szCs w:val="22"/>
        </w:rPr>
        <w:t xml:space="preserve"> LA</w:t>
      </w:r>
    </w:p>
    <w:p w14:paraId="331F9507">
      <w:pPr>
        <w:keepNext/>
        <w:tabs>
          <w:tab w:val="left" w:pos="752"/>
        </w:tabs>
        <w:spacing w:line="360" w:lineRule="auto"/>
        <w:jc w:val="center"/>
        <w:rPr>
          <w:rFonts w:hint="default" w:ascii="Times New Roman" w:hAnsi="Times New Roman" w:cs="Times New Roman"/>
          <w:sz w:val="22"/>
          <w:szCs w:val="22"/>
        </w:rPr>
      </w:pPr>
      <w:r>
        <w:rPr>
          <w:rFonts w:hint="default" w:ascii="Times New Roman" w:hAnsi="Times New Roman" w:cs="Times New Roman"/>
          <w:b/>
          <w:bCs/>
          <w:sz w:val="22"/>
          <w:szCs w:val="22"/>
        </w:rPr>
        <w:drawing>
          <wp:inline distT="0" distB="0" distL="114300" distR="114300">
            <wp:extent cx="6834505" cy="4803775"/>
            <wp:effectExtent l="0" t="0" r="4445" b="15875"/>
            <wp:docPr id="7" name="圖片 7" descr="补充材料图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 7" descr="补充材料图6"/>
                    <pic:cNvPicPr>
                      <a:picLocks noChangeAspect="1"/>
                    </pic:cNvPicPr>
                  </pic:nvPicPr>
                  <pic:blipFill>
                    <a:blip r:embed="rId14"/>
                    <a:stretch>
                      <a:fillRect/>
                    </a:stretch>
                  </pic:blipFill>
                  <pic:spPr>
                    <a:xfrm>
                      <a:off x="0" y="0"/>
                      <a:ext cx="6834505" cy="4803775"/>
                    </a:xfrm>
                    <a:prstGeom prst="rect">
                      <a:avLst/>
                    </a:prstGeom>
                  </pic:spPr>
                </pic:pic>
              </a:graphicData>
            </a:graphic>
          </wp:inline>
        </w:drawing>
      </w:r>
      <w:r>
        <w:rPr>
          <w:rFonts w:hint="default" w:ascii="Times New Roman" w:hAnsi="Times New Roman" w:cs="Times New Roman"/>
          <w:b/>
          <w:bCs/>
          <w:sz w:val="22"/>
          <w:szCs w:val="22"/>
        </w:rPr>
        <w:t>Figure S</w:t>
      </w:r>
      <w:r>
        <w:rPr>
          <w:rFonts w:hint="default" w:ascii="Times New Roman" w:hAnsi="Times New Roman" w:cs="Times New Roman"/>
          <w:b/>
          <w:bCs/>
          <w:sz w:val="22"/>
          <w:szCs w:val="22"/>
        </w:rPr>
        <w:fldChar w:fldCharType="begin"/>
      </w:r>
      <w:r>
        <w:rPr>
          <w:rFonts w:hint="default" w:ascii="Times New Roman" w:hAnsi="Times New Roman" w:cs="Times New Roman"/>
          <w:b/>
          <w:bCs/>
          <w:sz w:val="22"/>
          <w:szCs w:val="22"/>
        </w:rPr>
        <w:instrText xml:space="preserve"> SEQ Figure_S \* ARABIC </w:instrText>
      </w:r>
      <w:r>
        <w:rPr>
          <w:rFonts w:hint="default" w:ascii="Times New Roman" w:hAnsi="Times New Roman" w:cs="Times New Roman"/>
          <w:b/>
          <w:bCs/>
          <w:sz w:val="22"/>
          <w:szCs w:val="22"/>
        </w:rPr>
        <w:fldChar w:fldCharType="separate"/>
      </w:r>
      <w:r>
        <w:rPr>
          <w:rFonts w:hint="default" w:ascii="Times New Roman" w:hAnsi="Times New Roman" w:cs="Times New Roman"/>
          <w:b/>
          <w:bCs/>
          <w:sz w:val="22"/>
          <w:szCs w:val="22"/>
        </w:rPr>
        <w:t>6</w:t>
      </w:r>
      <w:r>
        <w:rPr>
          <w:rFonts w:hint="default" w:ascii="Times New Roman" w:hAnsi="Times New Roman" w:cs="Times New Roman"/>
          <w:b/>
          <w:bCs/>
          <w:sz w:val="22"/>
          <w:szCs w:val="22"/>
        </w:rPr>
        <w:fldChar w:fldCharType="end"/>
      </w:r>
      <w:r>
        <w:rPr>
          <w:rFonts w:hint="default" w:ascii="Times New Roman" w:hAnsi="Times New Roman" w:cs="Times New Roman"/>
          <w:b/>
          <w:bCs/>
          <w:sz w:val="22"/>
          <w:szCs w:val="22"/>
          <w:lang w:val="en-US" w:eastAsia="zh-CN"/>
        </w:rPr>
        <w:t xml:space="preserve"> </w:t>
      </w:r>
      <w:r>
        <w:rPr>
          <w:rFonts w:hint="default" w:ascii="Times New Roman" w:hAnsi="Times New Roman" w:eastAsia="宋体" w:cs="Times New Roman"/>
          <w:color w:val="000000"/>
          <w:sz w:val="22"/>
          <w:szCs w:val="22"/>
          <w:lang w:val="en-US" w:eastAsia="zh-CN" w:bidi="ar"/>
        </w:rPr>
        <w:t>Meta-analytic forest plot for the effect of antioxidant supplementation on post-exercise CK in athletes</w:t>
      </w:r>
    </w:p>
    <w:p w14:paraId="4F011B78">
      <w:pPr>
        <w:keepNext/>
        <w:tabs>
          <w:tab w:val="left" w:pos="752"/>
        </w:tabs>
        <w:spacing w:line="360" w:lineRule="auto"/>
        <w:jc w:val="center"/>
        <w:rPr>
          <w:rFonts w:hint="default" w:ascii="Times New Roman" w:hAnsi="Times New Roman" w:eastAsia="宋体" w:cs="Times New Roman"/>
          <w:color w:val="000000"/>
          <w:sz w:val="22"/>
          <w:szCs w:val="22"/>
          <w:lang w:val="en-US" w:eastAsia="zh-CN" w:bidi="ar"/>
        </w:rPr>
      </w:pPr>
      <w:r>
        <w:rPr>
          <w:rFonts w:hint="default" w:ascii="Times New Roman" w:hAnsi="Times New Roman" w:cs="Times New Roman"/>
          <w:b/>
          <w:bCs/>
          <w:sz w:val="22"/>
          <w:szCs w:val="22"/>
        </w:rPr>
        <w:drawing>
          <wp:inline distT="0" distB="0" distL="114300" distR="114300">
            <wp:extent cx="6835775" cy="4522470"/>
            <wp:effectExtent l="0" t="0" r="3175" b="11430"/>
            <wp:docPr id="8" name="圖片 8" descr="补充材料图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圖片 8" descr="补充材料图7"/>
                    <pic:cNvPicPr>
                      <a:picLocks noChangeAspect="1"/>
                    </pic:cNvPicPr>
                  </pic:nvPicPr>
                  <pic:blipFill>
                    <a:blip r:embed="rId15"/>
                    <a:stretch>
                      <a:fillRect/>
                    </a:stretch>
                  </pic:blipFill>
                  <pic:spPr>
                    <a:xfrm>
                      <a:off x="0" y="0"/>
                      <a:ext cx="6835775" cy="4522470"/>
                    </a:xfrm>
                    <a:prstGeom prst="rect">
                      <a:avLst/>
                    </a:prstGeom>
                  </pic:spPr>
                </pic:pic>
              </a:graphicData>
            </a:graphic>
          </wp:inline>
        </w:drawing>
      </w:r>
      <w:r>
        <w:rPr>
          <w:rFonts w:hint="default" w:ascii="Times New Roman" w:hAnsi="Times New Roman" w:cs="Times New Roman"/>
          <w:b/>
          <w:bCs/>
          <w:sz w:val="22"/>
          <w:szCs w:val="22"/>
        </w:rPr>
        <w:t>Figure S</w:t>
      </w:r>
      <w:r>
        <w:rPr>
          <w:rFonts w:hint="default" w:ascii="Times New Roman" w:hAnsi="Times New Roman" w:cs="Times New Roman"/>
          <w:b/>
          <w:bCs/>
          <w:sz w:val="22"/>
          <w:szCs w:val="22"/>
        </w:rPr>
        <w:fldChar w:fldCharType="begin"/>
      </w:r>
      <w:r>
        <w:rPr>
          <w:rFonts w:hint="default" w:ascii="Times New Roman" w:hAnsi="Times New Roman" w:cs="Times New Roman"/>
          <w:b/>
          <w:bCs/>
          <w:sz w:val="22"/>
          <w:szCs w:val="22"/>
        </w:rPr>
        <w:instrText xml:space="preserve"> SEQ Figure_S \* ARABIC </w:instrText>
      </w:r>
      <w:r>
        <w:rPr>
          <w:rFonts w:hint="default" w:ascii="Times New Roman" w:hAnsi="Times New Roman" w:cs="Times New Roman"/>
          <w:b/>
          <w:bCs/>
          <w:sz w:val="22"/>
          <w:szCs w:val="22"/>
        </w:rPr>
        <w:fldChar w:fldCharType="separate"/>
      </w:r>
      <w:r>
        <w:rPr>
          <w:rFonts w:hint="default" w:ascii="Times New Roman" w:hAnsi="Times New Roman" w:cs="Times New Roman"/>
          <w:b/>
          <w:bCs/>
          <w:sz w:val="22"/>
          <w:szCs w:val="22"/>
        </w:rPr>
        <w:t>7</w:t>
      </w:r>
      <w:r>
        <w:rPr>
          <w:rFonts w:hint="default" w:ascii="Times New Roman" w:hAnsi="Times New Roman" w:cs="Times New Roman"/>
          <w:b/>
          <w:bCs/>
          <w:sz w:val="22"/>
          <w:szCs w:val="22"/>
        </w:rPr>
        <w:fldChar w:fldCharType="end"/>
      </w:r>
      <w:r>
        <w:rPr>
          <w:rFonts w:hint="default" w:ascii="Times New Roman" w:hAnsi="Times New Roman" w:cs="Times New Roman"/>
          <w:sz w:val="22"/>
          <w:szCs w:val="22"/>
        </w:rPr>
        <w:t xml:space="preserve"> </w:t>
      </w:r>
      <w:r>
        <w:rPr>
          <w:rFonts w:hint="default" w:ascii="Times New Roman" w:hAnsi="Times New Roman" w:eastAsia="宋体" w:cs="Times New Roman"/>
          <w:color w:val="000000"/>
          <w:sz w:val="22"/>
          <w:szCs w:val="22"/>
          <w:lang w:val="en-US" w:eastAsia="zh-CN" w:bidi="ar"/>
        </w:rPr>
        <w:t>Meta-analytic forest plot for the effect of antioxidant supplementation on post-exercise NOX in athletes</w:t>
      </w:r>
    </w:p>
    <w:p w14:paraId="00D2EBAD">
      <w:pPr>
        <w:rPr>
          <w:rFonts w:hint="default" w:ascii="Times New Roman" w:hAnsi="Times New Roman" w:cs="Times New Roman"/>
          <w:sz w:val="22"/>
          <w:szCs w:val="22"/>
        </w:rPr>
      </w:pPr>
    </w:p>
    <w:p w14:paraId="0287BD0A">
      <w:pPr>
        <w:rPr>
          <w:rFonts w:hint="default" w:ascii="Times New Roman" w:hAnsi="Times New Roman" w:cs="Times New Roman"/>
          <w:sz w:val="22"/>
          <w:szCs w:val="22"/>
        </w:rPr>
      </w:pPr>
    </w:p>
    <w:p w14:paraId="4D803A27">
      <w:pPr>
        <w:keepNext/>
        <w:tabs>
          <w:tab w:val="left" w:pos="752"/>
        </w:tabs>
        <w:spacing w:line="360" w:lineRule="auto"/>
        <w:jc w:val="center"/>
        <w:rPr>
          <w:rFonts w:hint="default" w:ascii="Times New Roman" w:hAnsi="Times New Roman" w:cs="Times New Roman"/>
          <w:sz w:val="22"/>
          <w:szCs w:val="22"/>
        </w:rPr>
      </w:pPr>
    </w:p>
    <w:p w14:paraId="048F1233">
      <w:pPr>
        <w:keepNext/>
        <w:tabs>
          <w:tab w:val="left" w:pos="752"/>
        </w:tabs>
        <w:spacing w:line="360" w:lineRule="auto"/>
        <w:jc w:val="center"/>
        <w:rPr>
          <w:rFonts w:hint="eastAsia" w:ascii="Times New Roman" w:hAnsi="Times New Roman" w:cs="Times New Roman" w:eastAsiaTheme="minorEastAsia"/>
          <w:sz w:val="22"/>
          <w:szCs w:val="22"/>
          <w:lang w:eastAsia="zh-CN"/>
        </w:rPr>
      </w:pPr>
      <w:r>
        <w:rPr>
          <w:rFonts w:hint="eastAsia" w:ascii="Times New Roman" w:hAnsi="Times New Roman" w:cs="Times New Roman" w:eastAsiaTheme="minorEastAsia"/>
          <w:sz w:val="22"/>
          <w:szCs w:val="22"/>
          <w:lang w:eastAsia="zh-CN"/>
        </w:rPr>
        <w:drawing>
          <wp:inline distT="0" distB="0" distL="114300" distR="114300">
            <wp:extent cx="6834505" cy="4721225"/>
            <wp:effectExtent l="0" t="0" r="4445" b="3175"/>
            <wp:docPr id="9" name="圖片 9" descr="补充材料图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圖片 9" descr="补充材料图8"/>
                    <pic:cNvPicPr>
                      <a:picLocks noChangeAspect="1"/>
                    </pic:cNvPicPr>
                  </pic:nvPicPr>
                  <pic:blipFill>
                    <a:blip r:embed="rId16"/>
                    <a:stretch>
                      <a:fillRect/>
                    </a:stretch>
                  </pic:blipFill>
                  <pic:spPr>
                    <a:xfrm>
                      <a:off x="0" y="0"/>
                      <a:ext cx="6834505" cy="4721225"/>
                    </a:xfrm>
                    <a:prstGeom prst="rect">
                      <a:avLst/>
                    </a:prstGeom>
                  </pic:spPr>
                </pic:pic>
              </a:graphicData>
            </a:graphic>
          </wp:inline>
        </w:drawing>
      </w:r>
    </w:p>
    <w:p w14:paraId="5313D7B6">
      <w:pPr>
        <w:pStyle w:val="11"/>
        <w:jc w:val="both"/>
        <w:rPr>
          <w:rFonts w:hint="default" w:ascii="Times New Roman" w:hAnsi="Times New Roman" w:eastAsia="宋体" w:cs="Times New Roman"/>
          <w:color w:val="000000"/>
          <w:sz w:val="22"/>
          <w:szCs w:val="22"/>
          <w:lang w:val="en-US" w:eastAsia="zh-CN" w:bidi="ar"/>
        </w:rPr>
      </w:pPr>
      <w:r>
        <w:rPr>
          <w:rFonts w:hint="default" w:ascii="Times New Roman" w:hAnsi="Times New Roman" w:cs="Times New Roman"/>
          <w:b/>
          <w:bCs/>
          <w:sz w:val="22"/>
          <w:szCs w:val="22"/>
        </w:rPr>
        <w:t>Figure S</w:t>
      </w:r>
      <w:r>
        <w:rPr>
          <w:rFonts w:hint="default" w:ascii="Times New Roman" w:hAnsi="Times New Roman" w:cs="Times New Roman"/>
          <w:b/>
          <w:bCs/>
          <w:sz w:val="22"/>
          <w:szCs w:val="22"/>
        </w:rPr>
        <w:fldChar w:fldCharType="begin"/>
      </w:r>
      <w:r>
        <w:rPr>
          <w:rFonts w:hint="default" w:ascii="Times New Roman" w:hAnsi="Times New Roman" w:cs="Times New Roman"/>
          <w:b/>
          <w:bCs/>
          <w:sz w:val="22"/>
          <w:szCs w:val="22"/>
        </w:rPr>
        <w:instrText xml:space="preserve"> SEQ Figure_S \* ARABIC </w:instrText>
      </w:r>
      <w:r>
        <w:rPr>
          <w:rFonts w:hint="default" w:ascii="Times New Roman" w:hAnsi="Times New Roman" w:cs="Times New Roman"/>
          <w:b/>
          <w:bCs/>
          <w:sz w:val="22"/>
          <w:szCs w:val="22"/>
        </w:rPr>
        <w:fldChar w:fldCharType="separate"/>
      </w:r>
      <w:r>
        <w:rPr>
          <w:rFonts w:hint="default" w:ascii="Times New Roman" w:hAnsi="Times New Roman" w:cs="Times New Roman"/>
          <w:b/>
          <w:bCs/>
          <w:sz w:val="22"/>
          <w:szCs w:val="22"/>
        </w:rPr>
        <w:t>8</w:t>
      </w:r>
      <w:r>
        <w:rPr>
          <w:rFonts w:hint="default" w:ascii="Times New Roman" w:hAnsi="Times New Roman" w:cs="Times New Roman"/>
          <w:b/>
          <w:bCs/>
          <w:sz w:val="22"/>
          <w:szCs w:val="22"/>
        </w:rPr>
        <w:fldChar w:fldCharType="end"/>
      </w:r>
      <w:r>
        <w:rPr>
          <w:rFonts w:hint="default" w:ascii="Times New Roman" w:hAnsi="Times New Roman" w:cs="Times New Roman"/>
          <w:sz w:val="22"/>
          <w:szCs w:val="22"/>
        </w:rPr>
        <w:t xml:space="preserve"> </w:t>
      </w:r>
      <w:r>
        <w:rPr>
          <w:rFonts w:hint="default" w:ascii="Times New Roman" w:hAnsi="Times New Roman" w:eastAsia="宋体" w:cs="Times New Roman"/>
          <w:color w:val="000000"/>
          <w:sz w:val="22"/>
          <w:szCs w:val="22"/>
          <w:lang w:val="en-US" w:eastAsia="zh-CN" w:bidi="ar"/>
        </w:rPr>
        <w:t xml:space="preserve">Meta-analytic forest plot for the effect of antioxidant supplementation on post-exercise </w:t>
      </w:r>
      <w:r>
        <w:rPr>
          <w:rFonts w:hint="default" w:ascii="Times New Roman" w:hAnsi="Times New Roman" w:cs="Times New Roman"/>
          <w:sz w:val="22"/>
          <w:szCs w:val="22"/>
        </w:rPr>
        <w:t>IL-6</w:t>
      </w:r>
      <w:r>
        <w:rPr>
          <w:rFonts w:hint="default" w:ascii="Times New Roman" w:hAnsi="Times New Roman" w:eastAsia="宋体" w:cs="Times New Roman"/>
          <w:color w:val="000000"/>
          <w:sz w:val="22"/>
          <w:szCs w:val="22"/>
          <w:lang w:val="en-US" w:eastAsia="zh-CN" w:bidi="ar"/>
        </w:rPr>
        <w:t xml:space="preserve"> in athletes</w:t>
      </w:r>
    </w:p>
    <w:p w14:paraId="199C27E3">
      <w:pPr>
        <w:rPr>
          <w:rFonts w:hint="default" w:ascii="Times New Roman" w:hAnsi="Times New Roman" w:cs="Times New Roman"/>
          <w:sz w:val="22"/>
          <w:szCs w:val="22"/>
        </w:rPr>
      </w:pPr>
    </w:p>
    <w:p w14:paraId="0AFC0A82">
      <w:pPr>
        <w:rPr>
          <w:rFonts w:hint="default" w:ascii="Times New Roman" w:hAnsi="Times New Roman" w:cs="Times New Roman"/>
          <w:sz w:val="22"/>
          <w:szCs w:val="22"/>
        </w:rPr>
      </w:pPr>
    </w:p>
    <w:p w14:paraId="7288D9F7">
      <w:pPr>
        <w:keepNext/>
        <w:tabs>
          <w:tab w:val="left" w:pos="752"/>
        </w:tabs>
        <w:spacing w:line="360" w:lineRule="auto"/>
        <w:rPr>
          <w:rFonts w:hint="eastAsia" w:ascii="Times New Roman" w:hAnsi="Times New Roman" w:cs="Times New Roman" w:eastAsiaTheme="minorEastAsia"/>
          <w:sz w:val="22"/>
          <w:szCs w:val="22"/>
          <w:lang w:eastAsia="zh-CN"/>
        </w:rPr>
      </w:pPr>
      <w:r>
        <w:rPr>
          <w:rFonts w:hint="eastAsia" w:ascii="Times New Roman" w:hAnsi="Times New Roman" w:cs="Times New Roman" w:eastAsiaTheme="minorEastAsia"/>
          <w:sz w:val="22"/>
          <w:szCs w:val="22"/>
          <w:lang w:eastAsia="zh-CN"/>
        </w:rPr>
        <w:drawing>
          <wp:inline distT="0" distB="0" distL="114300" distR="114300">
            <wp:extent cx="6837045" cy="4663440"/>
            <wp:effectExtent l="0" t="0" r="1905" b="3810"/>
            <wp:docPr id="10" name="圖片 10" descr="补充材料图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圖片 10" descr="补充材料图9"/>
                    <pic:cNvPicPr>
                      <a:picLocks noChangeAspect="1"/>
                    </pic:cNvPicPr>
                  </pic:nvPicPr>
                  <pic:blipFill>
                    <a:blip r:embed="rId17"/>
                    <a:stretch>
                      <a:fillRect/>
                    </a:stretch>
                  </pic:blipFill>
                  <pic:spPr>
                    <a:xfrm>
                      <a:off x="0" y="0"/>
                      <a:ext cx="6837045" cy="4663440"/>
                    </a:xfrm>
                    <a:prstGeom prst="rect">
                      <a:avLst/>
                    </a:prstGeom>
                  </pic:spPr>
                </pic:pic>
              </a:graphicData>
            </a:graphic>
          </wp:inline>
        </w:drawing>
      </w:r>
    </w:p>
    <w:p w14:paraId="7CFB54E8">
      <w:pPr>
        <w:pStyle w:val="11"/>
        <w:jc w:val="center"/>
        <w:rPr>
          <w:rFonts w:hint="default" w:ascii="Times New Roman" w:hAnsi="Times New Roman" w:eastAsia="宋体" w:cs="Times New Roman"/>
          <w:color w:val="000000"/>
          <w:sz w:val="22"/>
          <w:szCs w:val="22"/>
          <w:lang w:val="en-US" w:eastAsia="zh-CN" w:bidi="ar"/>
        </w:rPr>
      </w:pPr>
      <w:r>
        <w:rPr>
          <w:rFonts w:hint="default" w:ascii="Times New Roman" w:hAnsi="Times New Roman" w:cs="Times New Roman"/>
          <w:b/>
          <w:bCs/>
          <w:sz w:val="22"/>
          <w:szCs w:val="22"/>
        </w:rPr>
        <w:t>Figure S</w:t>
      </w:r>
      <w:r>
        <w:rPr>
          <w:rFonts w:hint="default" w:ascii="Times New Roman" w:hAnsi="Times New Roman" w:cs="Times New Roman"/>
          <w:b/>
          <w:bCs/>
          <w:sz w:val="22"/>
          <w:szCs w:val="22"/>
        </w:rPr>
        <w:fldChar w:fldCharType="begin"/>
      </w:r>
      <w:r>
        <w:rPr>
          <w:rFonts w:hint="default" w:ascii="Times New Roman" w:hAnsi="Times New Roman" w:cs="Times New Roman"/>
          <w:b/>
          <w:bCs/>
          <w:sz w:val="22"/>
          <w:szCs w:val="22"/>
        </w:rPr>
        <w:instrText xml:space="preserve"> SEQ Figure_S \* ARABIC </w:instrText>
      </w:r>
      <w:r>
        <w:rPr>
          <w:rFonts w:hint="default" w:ascii="Times New Roman" w:hAnsi="Times New Roman" w:cs="Times New Roman"/>
          <w:b/>
          <w:bCs/>
          <w:sz w:val="22"/>
          <w:szCs w:val="22"/>
        </w:rPr>
        <w:fldChar w:fldCharType="separate"/>
      </w:r>
      <w:r>
        <w:rPr>
          <w:rFonts w:hint="default" w:ascii="Times New Roman" w:hAnsi="Times New Roman" w:cs="Times New Roman"/>
          <w:b/>
          <w:bCs/>
          <w:sz w:val="22"/>
          <w:szCs w:val="22"/>
        </w:rPr>
        <w:t>9</w:t>
      </w:r>
      <w:r>
        <w:rPr>
          <w:rFonts w:hint="default" w:ascii="Times New Roman" w:hAnsi="Times New Roman" w:cs="Times New Roman"/>
          <w:b/>
          <w:bCs/>
          <w:sz w:val="22"/>
          <w:szCs w:val="22"/>
        </w:rPr>
        <w:fldChar w:fldCharType="end"/>
      </w:r>
      <w:r>
        <w:rPr>
          <w:rFonts w:hint="default" w:ascii="Times New Roman" w:hAnsi="Times New Roman" w:cs="Times New Roman"/>
          <w:b/>
          <w:bCs/>
          <w:sz w:val="22"/>
          <w:szCs w:val="22"/>
        </w:rPr>
        <w:t xml:space="preserve"> </w:t>
      </w:r>
      <w:r>
        <w:rPr>
          <w:rFonts w:hint="default" w:ascii="Times New Roman" w:hAnsi="Times New Roman" w:eastAsia="宋体" w:cs="Times New Roman"/>
          <w:color w:val="000000"/>
          <w:sz w:val="22"/>
          <w:szCs w:val="22"/>
          <w:lang w:val="en-US" w:eastAsia="zh-CN" w:bidi="ar"/>
        </w:rPr>
        <w:t xml:space="preserve">Meta-analytic forest plot for the effect of antioxidant supplementation on post-exercise </w:t>
      </w:r>
      <w:r>
        <w:rPr>
          <w:rFonts w:hint="default" w:ascii="Times New Roman" w:hAnsi="Times New Roman" w:cs="Times New Roman"/>
          <w:sz w:val="22"/>
          <w:szCs w:val="22"/>
        </w:rPr>
        <w:t>MDA</w:t>
      </w:r>
      <w:r>
        <w:rPr>
          <w:rFonts w:hint="default" w:ascii="Times New Roman" w:hAnsi="Times New Roman" w:eastAsia="宋体" w:cs="Times New Roman"/>
          <w:color w:val="000000"/>
          <w:sz w:val="22"/>
          <w:szCs w:val="22"/>
          <w:lang w:val="en-US" w:eastAsia="zh-CN" w:bidi="ar"/>
        </w:rPr>
        <w:t xml:space="preserve"> in athletes</w:t>
      </w:r>
    </w:p>
    <w:p w14:paraId="1E45D1DB">
      <w:pPr>
        <w:rPr>
          <w:rFonts w:hint="default" w:ascii="Times New Roman" w:hAnsi="Times New Roman" w:cs="Times New Roman"/>
          <w:sz w:val="22"/>
          <w:szCs w:val="22"/>
        </w:rPr>
        <w:sectPr>
          <w:pgSz w:w="11906" w:h="16838"/>
          <w:pgMar w:top="567" w:right="567" w:bottom="567" w:left="567" w:header="851" w:footer="992" w:gutter="0"/>
          <w:cols w:space="425" w:num="1"/>
          <w:docGrid w:linePitch="312" w:charSpace="0"/>
        </w:sectPr>
      </w:pPr>
    </w:p>
    <w:p w14:paraId="78D50F42">
      <w:pPr>
        <w:keepNext/>
        <w:spacing w:line="360" w:lineRule="auto"/>
        <w:rPr>
          <w:rFonts w:hint="default" w:ascii="Times New Roman" w:hAnsi="Times New Roman" w:cs="Times New Roman"/>
          <w:sz w:val="22"/>
          <w:szCs w:val="22"/>
        </w:rPr>
      </w:pPr>
    </w:p>
    <w:p w14:paraId="20B75ADA">
      <w:pPr>
        <w:pStyle w:val="11"/>
        <w:jc w:val="center"/>
        <w:rPr>
          <w:rFonts w:hint="default" w:ascii="Times New Roman" w:hAnsi="Times New Roman" w:cs="Times New Roman"/>
          <w:sz w:val="22"/>
          <w:szCs w:val="22"/>
        </w:rPr>
      </w:pPr>
      <w:r>
        <w:rPr>
          <w:rFonts w:hint="default" w:ascii="Times New Roman" w:hAnsi="Times New Roman" w:cs="Times New Roman"/>
          <w:sz w:val="22"/>
          <w:szCs w:val="22"/>
        </w:rPr>
        <w:drawing>
          <wp:inline distT="0" distB="0" distL="0" distR="0">
            <wp:extent cx="6479540" cy="9163685"/>
            <wp:effectExtent l="0" t="0" r="0" b="0"/>
            <wp:docPr id="79933233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332338" name="图片 13"/>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80000" cy="9164159"/>
                    </a:xfrm>
                    <a:prstGeom prst="rect">
                      <a:avLst/>
                    </a:prstGeom>
                  </pic:spPr>
                </pic:pic>
              </a:graphicData>
            </a:graphic>
          </wp:inline>
        </w:drawing>
      </w:r>
    </w:p>
    <w:p w14:paraId="365539AB">
      <w:pPr>
        <w:pStyle w:val="11"/>
        <w:jc w:val="both"/>
        <w:rPr>
          <w:rFonts w:hint="default" w:ascii="Times New Roman" w:hAnsi="Times New Roman" w:cs="Times New Roman"/>
          <w:sz w:val="22"/>
          <w:szCs w:val="22"/>
        </w:rPr>
      </w:pPr>
      <w:r>
        <w:rPr>
          <w:rFonts w:hint="default" w:ascii="Times New Roman" w:hAnsi="Times New Roman" w:cs="Times New Roman"/>
          <w:b/>
          <w:bCs/>
          <w:sz w:val="22"/>
          <w:szCs w:val="22"/>
        </w:rPr>
        <w:t>Figure S10</w:t>
      </w:r>
      <w:r>
        <w:rPr>
          <w:rFonts w:hint="default" w:ascii="Times New Roman" w:hAnsi="Times New Roman" w:cs="Times New Roman"/>
          <w:sz w:val="22"/>
          <w:szCs w:val="22"/>
        </w:rPr>
        <w:t xml:space="preserve"> Funnel plot analysis results</w:t>
      </w:r>
    </w:p>
    <w:p w14:paraId="269C9A4C">
      <w:pPr>
        <w:keepNext/>
        <w:spacing w:line="360" w:lineRule="auto"/>
        <w:jc w:val="center"/>
        <w:rPr>
          <w:rFonts w:hint="default" w:ascii="Times New Roman" w:hAnsi="Times New Roman" w:cs="Times New Roman"/>
          <w:sz w:val="22"/>
          <w:szCs w:val="22"/>
        </w:rPr>
      </w:pPr>
    </w:p>
    <w:p w14:paraId="6FA657FA">
      <w:pPr>
        <w:pStyle w:val="11"/>
        <w:jc w:val="center"/>
        <w:rPr>
          <w:rFonts w:hint="default" w:ascii="Times New Roman" w:hAnsi="Times New Roman" w:cs="Times New Roman"/>
          <w:sz w:val="22"/>
          <w:szCs w:val="22"/>
        </w:rPr>
      </w:pPr>
    </w:p>
    <w:p w14:paraId="60437770">
      <w:pPr>
        <w:rPr>
          <w:rFonts w:hint="default" w:ascii="Times New Roman" w:hAnsi="Times New Roman" w:cs="Times New Roman"/>
          <w:sz w:val="22"/>
          <w:szCs w:val="22"/>
        </w:rPr>
      </w:pPr>
    </w:p>
    <w:p w14:paraId="656EC035">
      <w:pPr>
        <w:keepNext/>
        <w:jc w:val="center"/>
        <w:rPr>
          <w:rFonts w:hint="default" w:ascii="Times New Roman" w:hAnsi="Times New Roman" w:cs="Times New Roman"/>
          <w:sz w:val="22"/>
          <w:szCs w:val="22"/>
        </w:rPr>
      </w:pPr>
      <w:r>
        <w:rPr>
          <w:rFonts w:hint="default" w:ascii="Times New Roman" w:hAnsi="Times New Roman" w:cs="Times New Roman"/>
          <w:sz w:val="22"/>
          <w:szCs w:val="22"/>
        </w:rPr>
        <w:drawing>
          <wp:inline distT="0" distB="0" distL="0" distR="0">
            <wp:extent cx="5029200" cy="3657600"/>
            <wp:effectExtent l="0" t="0" r="0" b="0"/>
            <wp:docPr id="99199757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997571" name="图片 14"/>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029200" cy="3657600"/>
                    </a:xfrm>
                    <a:prstGeom prst="rect">
                      <a:avLst/>
                    </a:prstGeom>
                  </pic:spPr>
                </pic:pic>
              </a:graphicData>
            </a:graphic>
          </wp:inline>
        </w:drawing>
      </w:r>
    </w:p>
    <w:p w14:paraId="22708A4D">
      <w:pPr>
        <w:rPr>
          <w:rFonts w:hint="default" w:ascii="Times New Roman" w:hAnsi="Times New Roman" w:cs="Times New Roman"/>
          <w:sz w:val="22"/>
          <w:szCs w:val="22"/>
        </w:rPr>
      </w:pPr>
      <w:r>
        <w:rPr>
          <w:rFonts w:hint="default" w:ascii="Times New Roman" w:hAnsi="Times New Roman" w:cs="Times New Roman"/>
          <w:b/>
          <w:bCs/>
          <w:sz w:val="22"/>
          <w:szCs w:val="22"/>
        </w:rPr>
        <w:t>Figure S11</w:t>
      </w:r>
      <w:r>
        <w:rPr>
          <w:rFonts w:hint="default" w:ascii="Times New Roman" w:hAnsi="Times New Roman" w:cs="Times New Roman"/>
          <w:b/>
          <w:bCs/>
          <w:sz w:val="22"/>
          <w:szCs w:val="22"/>
          <w:lang w:val="en-US" w:eastAsia="zh-CN"/>
        </w:rPr>
        <w:t xml:space="preserve"> </w:t>
      </w:r>
      <w:r>
        <w:rPr>
          <w:rFonts w:hint="default" w:ascii="Times New Roman" w:hAnsi="Times New Roman" w:cs="Times New Roman"/>
          <w:sz w:val="22"/>
          <w:szCs w:val="22"/>
          <w:lang w:val="en-US" w:eastAsia="zh-CN"/>
        </w:rPr>
        <w:t>F</w:t>
      </w:r>
      <w:r>
        <w:rPr>
          <w:rFonts w:hint="default" w:ascii="Times New Roman" w:hAnsi="Times New Roman" w:cs="Times New Roman"/>
          <w:sz w:val="22"/>
          <w:szCs w:val="22"/>
        </w:rPr>
        <w:t>unnel plot analysis results</w:t>
      </w:r>
      <w:r>
        <w:rPr>
          <w:rFonts w:hint="default" w:ascii="Times New Roman" w:hAnsi="Times New Roman" w:cs="Times New Roman"/>
          <w:sz w:val="22"/>
          <w:szCs w:val="22"/>
          <w:lang w:val="en-US" w:eastAsia="zh-CN"/>
        </w:rPr>
        <w:t xml:space="preserve"> of </w:t>
      </w:r>
      <w:r>
        <w:rPr>
          <w:rFonts w:hint="default" w:ascii="Times New Roman" w:hAnsi="Times New Roman" w:cs="Times New Roman"/>
          <w:sz w:val="22"/>
          <w:szCs w:val="22"/>
        </w:rPr>
        <w:t>MDA</w:t>
      </w:r>
    </w:p>
    <w:p w14:paraId="0517522C">
      <w:pPr>
        <w:rPr>
          <w:rFonts w:hint="default" w:ascii="Times New Roman" w:hAnsi="Times New Roman" w:cs="Times New Roman" w:eastAsiaTheme="minorEastAsia"/>
          <w:sz w:val="22"/>
          <w:szCs w:val="22"/>
          <w:lang w:eastAsia="zh-CN"/>
        </w:rPr>
      </w:pPr>
    </w:p>
    <w:p w14:paraId="7056B98F">
      <w:pPr>
        <w:rPr>
          <w:rFonts w:hint="default" w:ascii="Times New Roman" w:hAnsi="Times New Roman" w:cs="Times New Roman" w:eastAsiaTheme="minorEastAsia"/>
          <w:sz w:val="22"/>
          <w:szCs w:val="22"/>
          <w:lang w:eastAsia="zh-CN"/>
        </w:rPr>
      </w:pPr>
      <w:r>
        <w:rPr>
          <w:rFonts w:hint="default" w:ascii="Times New Roman" w:hAnsi="Times New Roman" w:cs="Times New Roman" w:eastAsiaTheme="minorEastAsia"/>
          <w:sz w:val="22"/>
          <w:szCs w:val="22"/>
          <w:lang w:eastAsia="zh-CN"/>
        </w:rPr>
        <w:drawing>
          <wp:inline distT="0" distB="0" distL="114300" distR="114300">
            <wp:extent cx="6835140" cy="5932805"/>
            <wp:effectExtent l="0" t="0" r="3810" b="10795"/>
            <wp:docPr id="2" name="图片 2" descr="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 7"/>
                    <pic:cNvPicPr>
                      <a:picLocks noChangeAspect="1"/>
                    </pic:cNvPicPr>
                  </pic:nvPicPr>
                  <pic:blipFill>
                    <a:blip r:embed="rId20"/>
                    <a:stretch>
                      <a:fillRect/>
                    </a:stretch>
                  </pic:blipFill>
                  <pic:spPr>
                    <a:xfrm>
                      <a:off x="0" y="0"/>
                      <a:ext cx="6835140" cy="5932805"/>
                    </a:xfrm>
                    <a:prstGeom prst="rect">
                      <a:avLst/>
                    </a:prstGeom>
                  </pic:spPr>
                </pic:pic>
              </a:graphicData>
            </a:graphic>
          </wp:inline>
        </w:drawing>
      </w:r>
    </w:p>
    <w:p w14:paraId="164F7A90">
      <w:pPr>
        <w:rPr>
          <w:rFonts w:hint="default" w:ascii="Times New Roman" w:hAnsi="Times New Roman" w:cs="Times New Roman" w:eastAsiaTheme="minorEastAsia"/>
          <w:sz w:val="22"/>
          <w:szCs w:val="22"/>
          <w:lang w:eastAsia="zh-CN"/>
        </w:rPr>
      </w:pPr>
    </w:p>
    <w:p w14:paraId="6E35C202">
      <w:pPr>
        <w:keepNext w:val="0"/>
        <w:keepLines w:val="0"/>
        <w:widowControl/>
        <w:suppressLineNumbers w:val="0"/>
        <w:adjustRightInd w:val="0"/>
        <w:snapToGrid w:val="0"/>
        <w:spacing w:before="0" w:beforeAutospacing="0" w:after="0" w:afterAutospacing="0" w:line="480" w:lineRule="auto"/>
        <w:ind w:left="0" w:right="0"/>
        <w:jc w:val="both"/>
        <w:rPr>
          <w:rFonts w:hint="default" w:ascii="Times New Roman" w:hAnsi="Times New Roman" w:cs="Times New Roman"/>
          <w:sz w:val="22"/>
          <w:szCs w:val="22"/>
          <w:lang w:val="en-US"/>
        </w:rPr>
      </w:pPr>
      <w:r>
        <w:rPr>
          <w:rFonts w:hint="default" w:ascii="Times New Roman" w:hAnsi="Times New Roman" w:eastAsia="宋体" w:cs="Times New Roman"/>
          <w:b/>
          <w:bCs/>
          <w:color w:val="000000"/>
          <w:kern w:val="0"/>
          <w:sz w:val="22"/>
          <w:szCs w:val="22"/>
          <w:lang w:val="en-US" w:eastAsia="zh-CN" w:bidi="ar"/>
          <w14:ligatures w14:val="none"/>
        </w:rPr>
        <w:t xml:space="preserve">Figure S12 </w:t>
      </w:r>
      <w:r>
        <w:rPr>
          <w:rFonts w:hint="default" w:ascii="Times New Roman" w:hAnsi="Times New Roman" w:eastAsia="宋体" w:cs="Times New Roman"/>
          <w:color w:val="000000"/>
          <w:kern w:val="0"/>
          <w:sz w:val="22"/>
          <w:szCs w:val="22"/>
          <w:lang w:val="en-US" w:eastAsia="zh-CN" w:bidi="ar"/>
          <w14:ligatures w14:val="none"/>
        </w:rPr>
        <w:t>Literature quality evaluation</w:t>
      </w:r>
    </w:p>
    <w:p w14:paraId="71C8912B">
      <w:pPr>
        <w:rPr>
          <w:rFonts w:hint="default" w:ascii="Times New Roman" w:hAnsi="Times New Roman" w:cs="Times New Roman"/>
          <w:sz w:val="22"/>
          <w:szCs w:val="22"/>
        </w:rPr>
      </w:pPr>
    </w:p>
    <w:p w14:paraId="37FD8800">
      <w:pPr>
        <w:keepNext/>
        <w:rPr>
          <w:rFonts w:hint="default" w:ascii="Times New Roman" w:hAnsi="Times New Roman" w:cs="Times New Roman"/>
          <w:sz w:val="22"/>
          <w:szCs w:val="22"/>
        </w:rPr>
      </w:pPr>
    </w:p>
    <w:p w14:paraId="22E92C6A">
      <w:pPr>
        <w:keepNext/>
        <w:rPr>
          <w:rFonts w:hint="default" w:ascii="Times New Roman" w:hAnsi="Times New Roman" w:cs="Times New Roman"/>
          <w:sz w:val="22"/>
          <w:szCs w:val="22"/>
        </w:rPr>
      </w:pPr>
      <w:r>
        <w:rPr>
          <w:rFonts w:hint="default" w:ascii="Times New Roman" w:hAnsi="Times New Roman" w:cs="Times New Roman"/>
          <w:sz w:val="22"/>
          <w:szCs w:val="22"/>
        </w:rPr>
        <w:drawing>
          <wp:inline distT="0" distB="0" distL="0" distR="0">
            <wp:extent cx="6840220" cy="6559550"/>
            <wp:effectExtent l="0" t="0" r="0" b="0"/>
            <wp:docPr id="162425610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256106" name="图片 15"/>
                    <pic:cNvPicPr>
                      <a:picLocks noChangeAspect="1"/>
                    </pic:cNvPicPr>
                  </pic:nvPicPr>
                  <pic:blipFill>
                    <a:blip r:embed="rId21" cstate="print">
                      <a:extLst>
                        <a:ext uri="{28A0092B-C50C-407E-A947-70E740481C1C}">
                          <a14:useLocalDpi xmlns:a14="http://schemas.microsoft.com/office/drawing/2010/main" val="0"/>
                        </a:ext>
                      </a:extLst>
                    </a:blip>
                    <a:srcRect b="32191"/>
                    <a:stretch>
                      <a:fillRect/>
                    </a:stretch>
                  </pic:blipFill>
                  <pic:spPr>
                    <a:xfrm>
                      <a:off x="0" y="0"/>
                      <a:ext cx="6840220" cy="6559550"/>
                    </a:xfrm>
                    <a:prstGeom prst="rect">
                      <a:avLst/>
                    </a:prstGeom>
                    <a:ln>
                      <a:noFill/>
                    </a:ln>
                  </pic:spPr>
                </pic:pic>
              </a:graphicData>
            </a:graphic>
          </wp:inline>
        </w:drawing>
      </w:r>
    </w:p>
    <w:p w14:paraId="0F62DA33">
      <w:pPr>
        <w:keepNext w:val="0"/>
        <w:keepLines w:val="0"/>
        <w:widowControl/>
        <w:suppressLineNumbers w:val="0"/>
        <w:adjustRightInd w:val="0"/>
        <w:snapToGrid w:val="0"/>
        <w:spacing w:before="0" w:beforeAutospacing="0" w:after="0" w:afterAutospacing="0" w:line="480" w:lineRule="auto"/>
        <w:ind w:left="0" w:right="0"/>
        <w:jc w:val="both"/>
        <w:rPr>
          <w:rFonts w:hint="default" w:ascii="Times New Roman" w:hAnsi="Times New Roman" w:cs="Times New Roman"/>
          <w:sz w:val="22"/>
          <w:szCs w:val="22"/>
          <w:lang w:val="en-US"/>
        </w:rPr>
      </w:pPr>
      <w:r>
        <w:rPr>
          <w:rFonts w:hint="default" w:ascii="Times New Roman" w:hAnsi="Times New Roman" w:eastAsia="宋体" w:cs="Times New Roman"/>
          <w:b/>
          <w:bCs/>
          <w:color w:val="000000"/>
          <w:kern w:val="0"/>
          <w:sz w:val="22"/>
          <w:szCs w:val="22"/>
          <w:lang w:val="en-US" w:eastAsia="zh-CN" w:bidi="ar"/>
          <w14:ligatures w14:val="none"/>
        </w:rPr>
        <w:t xml:space="preserve">Figure S13 </w:t>
      </w:r>
      <w:r>
        <w:rPr>
          <w:rFonts w:hint="default" w:ascii="Times New Roman" w:hAnsi="Times New Roman" w:eastAsia="宋体" w:cs="Times New Roman"/>
          <w:color w:val="000000"/>
          <w:kern w:val="0"/>
          <w:sz w:val="22"/>
          <w:szCs w:val="22"/>
          <w:lang w:val="en-US" w:eastAsia="zh-CN" w:bidi="ar"/>
          <w14:ligatures w14:val="none"/>
        </w:rPr>
        <w:t>Sensitivity analysis results</w:t>
      </w:r>
    </w:p>
    <w:p w14:paraId="4A080D1E">
      <w:pPr>
        <w:rPr>
          <w:rFonts w:hint="default" w:ascii="Times New Roman" w:hAnsi="Times New Roman" w:cs="Times New Roman"/>
          <w:sz w:val="22"/>
          <w:szCs w:val="22"/>
          <w:lang w:val="en-US" w:eastAsia="zh-CN"/>
        </w:rPr>
      </w:pPr>
    </w:p>
    <w:p w14:paraId="7BC27A49">
      <w:pPr>
        <w:rPr>
          <w:rFonts w:hint="default" w:ascii="Times New Roman" w:hAnsi="Times New Roman" w:cs="Times New Roman"/>
          <w:sz w:val="22"/>
          <w:szCs w:val="22"/>
        </w:rPr>
      </w:pPr>
    </w:p>
    <w:p w14:paraId="43D1A0E3">
      <w:pPr>
        <w:rPr>
          <w:rFonts w:hint="default" w:ascii="Times New Roman" w:hAnsi="Times New Roman" w:cs="Times New Roman"/>
          <w:sz w:val="22"/>
          <w:szCs w:val="22"/>
        </w:rPr>
      </w:pPr>
    </w:p>
    <w:p w14:paraId="15512346">
      <w:pPr>
        <w:rPr>
          <w:rFonts w:hint="default" w:ascii="Times New Roman" w:hAnsi="Times New Roman" w:cs="Times New Roman"/>
          <w:sz w:val="22"/>
          <w:szCs w:val="22"/>
        </w:rPr>
      </w:pPr>
    </w:p>
    <w:p w14:paraId="68946862">
      <w:pPr>
        <w:keepNext/>
        <w:rPr>
          <w:rFonts w:hint="eastAsia" w:ascii="Times New Roman" w:hAnsi="Times New Roman" w:cs="Times New Roman" w:eastAsiaTheme="minorEastAsia"/>
          <w:sz w:val="22"/>
          <w:szCs w:val="22"/>
          <w:lang w:eastAsia="zh-CN"/>
        </w:rPr>
      </w:pPr>
      <w:r>
        <w:rPr>
          <w:rFonts w:hint="eastAsia" w:ascii="Times New Roman" w:hAnsi="Times New Roman" w:cs="Times New Roman" w:eastAsiaTheme="minorEastAsia"/>
          <w:sz w:val="22"/>
          <w:szCs w:val="22"/>
          <w:lang w:eastAsia="zh-CN"/>
        </w:rPr>
        <w:drawing>
          <wp:inline distT="0" distB="0" distL="114300" distR="114300">
            <wp:extent cx="6831330" cy="4406265"/>
            <wp:effectExtent l="0" t="0" r="7620" b="13335"/>
            <wp:docPr id="11" name="圖片 11" descr="补充图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圖片 11" descr="补充图14"/>
                    <pic:cNvPicPr>
                      <a:picLocks noChangeAspect="1"/>
                    </pic:cNvPicPr>
                  </pic:nvPicPr>
                  <pic:blipFill>
                    <a:blip r:embed="rId22"/>
                    <a:stretch>
                      <a:fillRect/>
                    </a:stretch>
                  </pic:blipFill>
                  <pic:spPr>
                    <a:xfrm>
                      <a:off x="0" y="0"/>
                      <a:ext cx="6831330" cy="4406265"/>
                    </a:xfrm>
                    <a:prstGeom prst="rect">
                      <a:avLst/>
                    </a:prstGeom>
                  </pic:spPr>
                </pic:pic>
              </a:graphicData>
            </a:graphic>
          </wp:inline>
        </w:drawing>
      </w:r>
    </w:p>
    <w:p w14:paraId="18CC8BC4">
      <w:pPr>
        <w:keepNext w:val="0"/>
        <w:keepLines w:val="0"/>
        <w:widowControl/>
        <w:suppressLineNumbers w:val="0"/>
        <w:adjustRightInd w:val="0"/>
        <w:snapToGrid w:val="0"/>
        <w:spacing w:before="0" w:beforeAutospacing="0" w:after="0" w:afterAutospacing="0" w:line="480" w:lineRule="auto"/>
        <w:ind w:left="0" w:right="0"/>
        <w:jc w:val="both"/>
        <w:rPr>
          <w:rFonts w:hint="default" w:ascii="Times New Roman" w:hAnsi="Times New Roman" w:cs="Times New Roman"/>
          <w:sz w:val="22"/>
          <w:szCs w:val="22"/>
          <w:lang w:val="en-US"/>
        </w:rPr>
      </w:pPr>
      <w:r>
        <w:rPr>
          <w:rFonts w:hint="default" w:ascii="Times New Roman" w:hAnsi="Times New Roman" w:eastAsia="宋体" w:cs="Times New Roman"/>
          <w:b/>
          <w:bCs/>
          <w:color w:val="000000"/>
          <w:kern w:val="0"/>
          <w:sz w:val="22"/>
          <w:szCs w:val="22"/>
          <w:lang w:val="en-US" w:eastAsia="zh-CN" w:bidi="ar"/>
          <w14:ligatures w14:val="none"/>
        </w:rPr>
        <w:t>Figure S1</w:t>
      </w:r>
      <w:r>
        <w:rPr>
          <w:rFonts w:hint="eastAsia" w:ascii="Times New Roman" w:hAnsi="Times New Roman" w:eastAsia="宋体" w:cs="Times New Roman"/>
          <w:b/>
          <w:bCs/>
          <w:color w:val="000000"/>
          <w:kern w:val="0"/>
          <w:sz w:val="22"/>
          <w:szCs w:val="22"/>
          <w:lang w:val="en-US" w:eastAsia="zh-CN" w:bidi="ar"/>
          <w14:ligatures w14:val="none"/>
        </w:rPr>
        <w:t>4</w:t>
      </w:r>
      <w:r>
        <w:rPr>
          <w:rFonts w:hint="default" w:ascii="Times New Roman" w:hAnsi="Times New Roman" w:eastAsia="宋体" w:cs="Times New Roman"/>
          <w:b/>
          <w:bCs/>
          <w:color w:val="000000"/>
          <w:kern w:val="0"/>
          <w:sz w:val="22"/>
          <w:szCs w:val="22"/>
          <w:lang w:val="en-US" w:eastAsia="zh-CN" w:bidi="ar"/>
          <w14:ligatures w14:val="none"/>
        </w:rPr>
        <w:t xml:space="preserve"> </w:t>
      </w:r>
      <w:r>
        <w:rPr>
          <w:rFonts w:hint="eastAsia" w:ascii="Times New Roman" w:hAnsi="Times New Roman" w:eastAsia="宋体" w:cs="Times New Roman"/>
          <w:b w:val="0"/>
          <w:bCs w:val="0"/>
          <w:color w:val="000000"/>
          <w:kern w:val="0"/>
          <w:sz w:val="22"/>
          <w:szCs w:val="22"/>
          <w:lang w:val="en-US" w:eastAsia="zh-CN" w:bidi="ar"/>
          <w14:ligatures w14:val="none"/>
        </w:rPr>
        <w:t>Duration subgroup analysis forest plot</w:t>
      </w:r>
    </w:p>
    <w:p w14:paraId="7D68AA8C">
      <w:pPr>
        <w:pStyle w:val="11"/>
        <w:jc w:val="center"/>
        <w:rPr>
          <w:rFonts w:hint="eastAsia" w:ascii="Times New Roman" w:hAnsi="Times New Roman" w:eastAsia="黑体" w:cs="Times New Roman"/>
          <w:sz w:val="22"/>
          <w:szCs w:val="22"/>
          <w:lang w:eastAsia="zh-CN"/>
        </w:rPr>
      </w:pPr>
    </w:p>
    <w:p w14:paraId="0831FA07">
      <w:pPr>
        <w:pStyle w:val="11"/>
        <w:jc w:val="center"/>
        <w:rPr>
          <w:rFonts w:hint="eastAsia" w:ascii="Times New Roman" w:hAnsi="Times New Roman" w:eastAsia="黑体" w:cs="Times New Roman"/>
          <w:sz w:val="22"/>
          <w:szCs w:val="22"/>
          <w:lang w:eastAsia="zh-CN"/>
        </w:rPr>
      </w:pPr>
    </w:p>
    <w:p w14:paraId="728EEF41">
      <w:pPr>
        <w:pStyle w:val="11"/>
        <w:jc w:val="center"/>
        <w:rPr>
          <w:rFonts w:hint="eastAsia" w:ascii="Times New Roman" w:hAnsi="Times New Roman" w:eastAsia="黑体" w:cs="Times New Roman"/>
          <w:sz w:val="22"/>
          <w:szCs w:val="22"/>
          <w:lang w:eastAsia="zh-CN"/>
        </w:rPr>
      </w:pPr>
    </w:p>
    <w:p w14:paraId="016B6426">
      <w:pPr>
        <w:pStyle w:val="11"/>
        <w:jc w:val="center"/>
        <w:rPr>
          <w:rFonts w:hint="eastAsia" w:ascii="Times New Roman" w:hAnsi="Times New Roman" w:eastAsia="黑体" w:cs="Times New Roman"/>
          <w:sz w:val="22"/>
          <w:szCs w:val="22"/>
          <w:lang w:eastAsia="zh-CN"/>
        </w:rPr>
      </w:pPr>
    </w:p>
    <w:p w14:paraId="258239F5">
      <w:pPr>
        <w:pStyle w:val="11"/>
        <w:jc w:val="center"/>
        <w:rPr>
          <w:rFonts w:hint="eastAsia" w:ascii="Times New Roman" w:hAnsi="Times New Roman" w:eastAsia="黑体" w:cs="Times New Roman"/>
          <w:sz w:val="22"/>
          <w:szCs w:val="22"/>
          <w:lang w:eastAsia="zh-CN"/>
        </w:rPr>
      </w:pPr>
    </w:p>
    <w:p w14:paraId="5E23ED81">
      <w:pPr>
        <w:pStyle w:val="11"/>
        <w:jc w:val="center"/>
        <w:rPr>
          <w:rFonts w:hint="eastAsia" w:ascii="Times New Roman" w:hAnsi="Times New Roman" w:eastAsia="黑体" w:cs="Times New Roman"/>
          <w:sz w:val="22"/>
          <w:szCs w:val="22"/>
          <w:lang w:eastAsia="zh-CN"/>
        </w:rPr>
      </w:pPr>
    </w:p>
    <w:p w14:paraId="6B356F45">
      <w:pPr>
        <w:pStyle w:val="11"/>
        <w:jc w:val="center"/>
        <w:rPr>
          <w:rFonts w:hint="eastAsia" w:ascii="Times New Roman" w:hAnsi="Times New Roman" w:eastAsia="黑体" w:cs="Times New Roman"/>
          <w:sz w:val="22"/>
          <w:szCs w:val="22"/>
          <w:lang w:eastAsia="zh-CN"/>
        </w:rPr>
      </w:pPr>
    </w:p>
    <w:p w14:paraId="592E9A70">
      <w:pPr>
        <w:pStyle w:val="11"/>
        <w:jc w:val="center"/>
        <w:rPr>
          <w:rFonts w:hint="eastAsia" w:ascii="Times New Roman" w:hAnsi="Times New Roman" w:eastAsia="黑体" w:cs="Times New Roman"/>
          <w:sz w:val="22"/>
          <w:szCs w:val="22"/>
          <w:lang w:eastAsia="zh-CN"/>
        </w:rPr>
      </w:pPr>
    </w:p>
    <w:p w14:paraId="7F727E4B">
      <w:pPr>
        <w:pStyle w:val="11"/>
        <w:jc w:val="center"/>
        <w:rPr>
          <w:rFonts w:hint="eastAsia" w:ascii="Times New Roman" w:hAnsi="Times New Roman" w:eastAsia="黑体" w:cs="Times New Roman"/>
          <w:sz w:val="22"/>
          <w:szCs w:val="22"/>
          <w:lang w:eastAsia="zh-CN"/>
        </w:rPr>
      </w:pPr>
    </w:p>
    <w:p w14:paraId="4F678488">
      <w:pPr>
        <w:pStyle w:val="11"/>
        <w:jc w:val="center"/>
        <w:rPr>
          <w:rFonts w:hint="eastAsia" w:ascii="Times New Roman" w:hAnsi="Times New Roman" w:eastAsia="黑体" w:cs="Times New Roman"/>
          <w:sz w:val="22"/>
          <w:szCs w:val="22"/>
          <w:lang w:eastAsia="zh-CN"/>
        </w:rPr>
      </w:pPr>
      <w:r>
        <w:rPr>
          <w:rFonts w:hint="eastAsia" w:ascii="Times New Roman" w:hAnsi="Times New Roman" w:eastAsia="黑体" w:cs="Times New Roman"/>
          <w:sz w:val="22"/>
          <w:szCs w:val="22"/>
          <w:lang w:eastAsia="zh-CN"/>
        </w:rPr>
        <w:drawing>
          <wp:inline distT="0" distB="0" distL="114300" distR="114300">
            <wp:extent cx="6826885" cy="4262120"/>
            <wp:effectExtent l="0" t="0" r="12065" b="5080"/>
            <wp:docPr id="12" name="圖片 12" descr="补充图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圖片 12" descr="补充图15"/>
                    <pic:cNvPicPr>
                      <a:picLocks noChangeAspect="1"/>
                    </pic:cNvPicPr>
                  </pic:nvPicPr>
                  <pic:blipFill>
                    <a:blip r:embed="rId23"/>
                    <a:stretch>
                      <a:fillRect/>
                    </a:stretch>
                  </pic:blipFill>
                  <pic:spPr>
                    <a:xfrm>
                      <a:off x="0" y="0"/>
                      <a:ext cx="6826885" cy="4262120"/>
                    </a:xfrm>
                    <a:prstGeom prst="rect">
                      <a:avLst/>
                    </a:prstGeom>
                  </pic:spPr>
                </pic:pic>
              </a:graphicData>
            </a:graphic>
          </wp:inline>
        </w:drawing>
      </w:r>
    </w:p>
    <w:p w14:paraId="5CDD3432">
      <w:pPr>
        <w:keepNext w:val="0"/>
        <w:keepLines w:val="0"/>
        <w:widowControl/>
        <w:suppressLineNumbers w:val="0"/>
        <w:adjustRightInd w:val="0"/>
        <w:snapToGrid w:val="0"/>
        <w:spacing w:before="0" w:beforeAutospacing="0" w:after="0" w:afterAutospacing="0" w:line="480" w:lineRule="auto"/>
        <w:ind w:left="0" w:right="0"/>
        <w:jc w:val="both"/>
        <w:rPr>
          <w:rFonts w:hint="default" w:ascii="Times New Roman" w:hAnsi="Times New Roman" w:cs="Times New Roman"/>
          <w:sz w:val="22"/>
          <w:szCs w:val="22"/>
          <w:lang w:val="en-US"/>
        </w:rPr>
      </w:pPr>
      <w:r>
        <w:rPr>
          <w:rFonts w:hint="default" w:ascii="Times New Roman" w:hAnsi="Times New Roman" w:eastAsia="宋体" w:cs="Times New Roman"/>
          <w:b/>
          <w:bCs/>
          <w:color w:val="000000"/>
          <w:kern w:val="0"/>
          <w:sz w:val="22"/>
          <w:szCs w:val="22"/>
          <w:lang w:val="en-US" w:eastAsia="zh-CN" w:bidi="ar"/>
          <w14:ligatures w14:val="none"/>
        </w:rPr>
        <w:t>Figure S1</w:t>
      </w:r>
      <w:r>
        <w:rPr>
          <w:rFonts w:hint="eastAsia" w:ascii="Times New Roman" w:hAnsi="Times New Roman" w:eastAsia="宋体" w:cs="Times New Roman"/>
          <w:b/>
          <w:bCs/>
          <w:color w:val="000000"/>
          <w:kern w:val="0"/>
          <w:sz w:val="22"/>
          <w:szCs w:val="22"/>
          <w:lang w:val="en-US" w:eastAsia="zh-CN" w:bidi="ar"/>
          <w14:ligatures w14:val="none"/>
        </w:rPr>
        <w:t>5</w:t>
      </w:r>
      <w:r>
        <w:rPr>
          <w:rFonts w:hint="default" w:ascii="Times New Roman" w:hAnsi="Times New Roman" w:eastAsia="宋体" w:cs="Times New Roman"/>
          <w:b/>
          <w:bCs/>
          <w:color w:val="000000"/>
          <w:kern w:val="0"/>
          <w:sz w:val="22"/>
          <w:szCs w:val="22"/>
          <w:lang w:val="en-US" w:eastAsia="zh-CN" w:bidi="ar"/>
          <w14:ligatures w14:val="none"/>
        </w:rPr>
        <w:t xml:space="preserve"> </w:t>
      </w:r>
      <w:r>
        <w:rPr>
          <w:rFonts w:hint="eastAsia" w:ascii="Times New Roman" w:hAnsi="Times New Roman" w:eastAsia="宋体" w:cs="Times New Roman"/>
          <w:b w:val="0"/>
          <w:bCs w:val="0"/>
          <w:color w:val="000000"/>
          <w:kern w:val="0"/>
          <w:sz w:val="22"/>
          <w:szCs w:val="22"/>
          <w:lang w:val="en-US" w:eastAsia="zh-CN" w:bidi="ar"/>
          <w14:ligatures w14:val="none"/>
        </w:rPr>
        <w:t>Antioxidant subgroup analysis forest plot</w:t>
      </w:r>
    </w:p>
    <w:p w14:paraId="090FDE1D">
      <w:pPr>
        <w:rPr>
          <w:rFonts w:hint="eastAsia"/>
          <w:lang w:eastAsia="zh-CN"/>
        </w:rPr>
      </w:pPr>
      <w:bookmarkStart w:id="1" w:name="_GoBack"/>
      <w:bookmarkEnd w:id="1"/>
    </w:p>
    <w:sectPr>
      <w:pgSz w:w="11906" w:h="16838"/>
      <w:pgMar w:top="567" w:right="567" w:bottom="567" w:left="567"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doNotCompress"/>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B497449"/>
    <w:rsid w:val="143D005D"/>
    <w:rsid w:val="36E25286"/>
    <w:rsid w:val="38C76340"/>
    <w:rsid w:val="40B530C4"/>
    <w:rsid w:val="474A2951"/>
    <w:rsid w:val="4D562C80"/>
    <w:rsid w:val="6344551B"/>
    <w:rsid w:val="682409AB"/>
    <w:rsid w:val="6BCF7B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none"/>
    </w:rPr>
  </w:style>
  <w:style w:type="paragraph" w:styleId="2">
    <w:name w:val="heading 1"/>
    <w:basedOn w:val="1"/>
    <w:next w:val="1"/>
    <w:link w:val="23"/>
    <w:qFormat/>
    <w:uiPriority w:val="9"/>
    <w:pPr>
      <w:keepNext/>
      <w:keepLines/>
      <w:spacing w:before="480" w:after="80"/>
      <w:outlineLvl w:val="0"/>
    </w:pPr>
    <w:rPr>
      <w:rFonts w:asciiTheme="majorHAnsi" w:hAnsiTheme="majorHAnsi" w:eastAsiaTheme="majorEastAsia" w:cstheme="majorBidi"/>
      <w:color w:val="2E75B6" w:themeColor="accent1" w:themeShade="BF"/>
      <w:sz w:val="48"/>
      <w:szCs w:val="48"/>
    </w:rPr>
  </w:style>
  <w:style w:type="paragraph" w:styleId="3">
    <w:name w:val="heading 2"/>
    <w:basedOn w:val="1"/>
    <w:next w:val="1"/>
    <w:link w:val="24"/>
    <w:unhideWhenUsed/>
    <w:qFormat/>
    <w:uiPriority w:val="9"/>
    <w:pPr>
      <w:keepNext/>
      <w:keepLines/>
      <w:spacing w:before="160" w:after="80"/>
      <w:outlineLvl w:val="1"/>
    </w:pPr>
    <w:rPr>
      <w:rFonts w:asciiTheme="majorHAnsi" w:hAnsiTheme="majorHAnsi" w:eastAsiaTheme="majorEastAsia" w:cstheme="majorBidi"/>
      <w:color w:val="2E75B6" w:themeColor="accent1" w:themeShade="BF"/>
      <w:sz w:val="40"/>
      <w:szCs w:val="40"/>
    </w:rPr>
  </w:style>
  <w:style w:type="paragraph" w:styleId="4">
    <w:name w:val="heading 3"/>
    <w:basedOn w:val="1"/>
    <w:next w:val="1"/>
    <w:link w:val="25"/>
    <w:unhideWhenUsed/>
    <w:qFormat/>
    <w:uiPriority w:val="9"/>
    <w:pPr>
      <w:keepNext/>
      <w:keepLines/>
      <w:spacing w:before="160" w:after="80"/>
      <w:outlineLvl w:val="2"/>
    </w:pPr>
    <w:rPr>
      <w:rFonts w:asciiTheme="majorHAnsi" w:hAnsiTheme="majorHAnsi" w:eastAsiaTheme="majorEastAsia" w:cstheme="majorBidi"/>
      <w:color w:val="2E75B6" w:themeColor="accent1" w:themeShade="BF"/>
      <w:sz w:val="32"/>
      <w:szCs w:val="32"/>
    </w:rPr>
  </w:style>
  <w:style w:type="paragraph" w:styleId="5">
    <w:name w:val="heading 4"/>
    <w:basedOn w:val="1"/>
    <w:next w:val="1"/>
    <w:link w:val="26"/>
    <w:unhideWhenUsed/>
    <w:qFormat/>
    <w:uiPriority w:val="9"/>
    <w:pPr>
      <w:keepNext/>
      <w:keepLines/>
      <w:spacing w:before="80" w:after="40"/>
      <w:outlineLvl w:val="3"/>
    </w:pPr>
    <w:rPr>
      <w:rFonts w:cstheme="majorBidi"/>
      <w:color w:val="2E75B6" w:themeColor="accent1" w:themeShade="BF"/>
      <w:sz w:val="28"/>
      <w:szCs w:val="28"/>
    </w:rPr>
  </w:style>
  <w:style w:type="paragraph" w:styleId="6">
    <w:name w:val="heading 5"/>
    <w:basedOn w:val="1"/>
    <w:next w:val="1"/>
    <w:link w:val="27"/>
    <w:unhideWhenUsed/>
    <w:qFormat/>
    <w:uiPriority w:val="9"/>
    <w:pPr>
      <w:keepNext/>
      <w:keepLines/>
      <w:spacing w:before="80" w:after="40"/>
      <w:outlineLvl w:val="4"/>
    </w:pPr>
    <w:rPr>
      <w:rFonts w:cstheme="majorBidi"/>
      <w:color w:val="2E75B6" w:themeColor="accent1" w:themeShade="BF"/>
      <w:sz w:val="24"/>
      <w:szCs w:val="24"/>
    </w:rPr>
  </w:style>
  <w:style w:type="paragraph" w:styleId="7">
    <w:name w:val="heading 6"/>
    <w:basedOn w:val="1"/>
    <w:next w:val="1"/>
    <w:link w:val="28"/>
    <w:unhideWhenUsed/>
    <w:qFormat/>
    <w:uiPriority w:val="9"/>
    <w:pPr>
      <w:keepNext/>
      <w:keepLines/>
      <w:spacing w:before="40"/>
      <w:outlineLvl w:val="5"/>
    </w:pPr>
    <w:rPr>
      <w:rFonts w:cstheme="majorBidi"/>
      <w:b/>
      <w:bCs/>
      <w:color w:val="2E75B6" w:themeColor="accent1" w:themeShade="BF"/>
    </w:rPr>
  </w:style>
  <w:style w:type="paragraph" w:styleId="8">
    <w:name w:val="heading 7"/>
    <w:basedOn w:val="1"/>
    <w:next w:val="1"/>
    <w:link w:val="29"/>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0"/>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1"/>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unhideWhenUsed/>
    <w:qFormat/>
    <w:uiPriority w:val="1"/>
  </w:style>
  <w:style w:type="table" w:default="1" w:styleId="16">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11">
    <w:name w:val="caption"/>
    <w:basedOn w:val="1"/>
    <w:next w:val="1"/>
    <w:unhideWhenUsed/>
    <w:qFormat/>
    <w:uiPriority w:val="35"/>
    <w:rPr>
      <w:rFonts w:eastAsia="黑体" w:asciiTheme="majorHAnsi" w:hAnsiTheme="majorHAnsi" w:cstheme="majorBidi"/>
      <w:sz w:val="20"/>
      <w:szCs w:val="20"/>
    </w:rPr>
  </w:style>
  <w:style w:type="paragraph" w:styleId="12">
    <w:name w:val="footer"/>
    <w:basedOn w:val="1"/>
    <w:link w:val="42"/>
    <w:unhideWhenUsed/>
    <w:qFormat/>
    <w:uiPriority w:val="99"/>
    <w:pPr>
      <w:tabs>
        <w:tab w:val="center" w:pos="4153"/>
        <w:tab w:val="right" w:pos="8306"/>
      </w:tabs>
      <w:snapToGrid w:val="0"/>
      <w:jc w:val="left"/>
    </w:pPr>
    <w:rPr>
      <w:sz w:val="18"/>
      <w:szCs w:val="18"/>
    </w:rPr>
  </w:style>
  <w:style w:type="paragraph" w:styleId="13">
    <w:name w:val="header"/>
    <w:basedOn w:val="1"/>
    <w:link w:val="41"/>
    <w:unhideWhenUsed/>
    <w:qFormat/>
    <w:uiPriority w:val="99"/>
    <w:pPr>
      <w:tabs>
        <w:tab w:val="center" w:pos="4153"/>
        <w:tab w:val="right" w:pos="8306"/>
      </w:tabs>
      <w:snapToGrid w:val="0"/>
      <w:jc w:val="center"/>
    </w:pPr>
    <w:rPr>
      <w:sz w:val="18"/>
      <w:szCs w:val="18"/>
    </w:rPr>
  </w:style>
  <w:style w:type="paragraph" w:styleId="14">
    <w:name w:val="Subtitle"/>
    <w:basedOn w:val="1"/>
    <w:next w:val="1"/>
    <w:link w:val="33"/>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32"/>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
    <w:name w:val="EndNote Bibliography"/>
    <w:basedOn w:val="1"/>
    <w:link w:val="20"/>
    <w:qFormat/>
    <w:uiPriority w:val="0"/>
    <w:pPr>
      <w:jc w:val="left"/>
    </w:pPr>
    <w:rPr>
      <w:rFonts w:ascii="Times New Roman" w:hAnsi="Times New Roman" w:cs="Calibri"/>
      <w:sz w:val="24"/>
    </w:rPr>
  </w:style>
  <w:style w:type="character" w:customStyle="1" w:styleId="20">
    <w:name w:val="EndNote Bibliography 字符"/>
    <w:basedOn w:val="18"/>
    <w:link w:val="19"/>
    <w:qFormat/>
    <w:uiPriority w:val="0"/>
    <w:rPr>
      <w:rFonts w:ascii="Times New Roman" w:hAnsi="Times New Roman" w:cs="Calibri"/>
      <w:sz w:val="24"/>
    </w:rPr>
  </w:style>
  <w:style w:type="paragraph" w:customStyle="1" w:styleId="21">
    <w:name w:val="EndNote Bibliography Title"/>
    <w:link w:val="22"/>
    <w:qFormat/>
    <w:uiPriority w:val="0"/>
    <w:pPr>
      <w:spacing w:line="480" w:lineRule="auto"/>
    </w:pPr>
    <w:rPr>
      <w:rFonts w:ascii="Times New Roman" w:hAnsi="Times New Roman" w:cs="Calibri" w:eastAsiaTheme="minorEastAsia"/>
      <w:kern w:val="2"/>
      <w:sz w:val="24"/>
      <w:szCs w:val="22"/>
      <w:lang w:val="en-US" w:eastAsia="zh-CN" w:bidi="ar-SA"/>
      <w14:ligatures w14:val="none"/>
    </w:rPr>
  </w:style>
  <w:style w:type="character" w:customStyle="1" w:styleId="22">
    <w:name w:val="EndNote Bibliography Title 字符"/>
    <w:basedOn w:val="18"/>
    <w:link w:val="21"/>
    <w:qFormat/>
    <w:uiPriority w:val="0"/>
    <w:rPr>
      <w:rFonts w:ascii="Times New Roman" w:hAnsi="Times New Roman" w:cs="Calibri"/>
      <w:sz w:val="24"/>
    </w:rPr>
  </w:style>
  <w:style w:type="character" w:customStyle="1" w:styleId="23">
    <w:name w:val="标题 1 字符"/>
    <w:basedOn w:val="18"/>
    <w:link w:val="2"/>
    <w:qFormat/>
    <w:uiPriority w:val="9"/>
    <w:rPr>
      <w:rFonts w:asciiTheme="majorHAnsi" w:hAnsiTheme="majorHAnsi" w:eastAsiaTheme="majorEastAsia" w:cstheme="majorBidi"/>
      <w:color w:val="2E75B6" w:themeColor="accent1" w:themeShade="BF"/>
      <w:sz w:val="48"/>
      <w:szCs w:val="48"/>
    </w:rPr>
  </w:style>
  <w:style w:type="character" w:customStyle="1" w:styleId="24">
    <w:name w:val="标题 2 字符"/>
    <w:basedOn w:val="18"/>
    <w:link w:val="3"/>
    <w:semiHidden/>
    <w:qFormat/>
    <w:uiPriority w:val="9"/>
    <w:rPr>
      <w:rFonts w:asciiTheme="majorHAnsi" w:hAnsiTheme="majorHAnsi" w:eastAsiaTheme="majorEastAsia" w:cstheme="majorBidi"/>
      <w:color w:val="2E75B6" w:themeColor="accent1" w:themeShade="BF"/>
      <w:sz w:val="40"/>
      <w:szCs w:val="40"/>
    </w:rPr>
  </w:style>
  <w:style w:type="character" w:customStyle="1" w:styleId="25">
    <w:name w:val="标题 3 字符"/>
    <w:basedOn w:val="18"/>
    <w:link w:val="4"/>
    <w:semiHidden/>
    <w:qFormat/>
    <w:uiPriority w:val="9"/>
    <w:rPr>
      <w:rFonts w:asciiTheme="majorHAnsi" w:hAnsiTheme="majorHAnsi" w:eastAsiaTheme="majorEastAsia" w:cstheme="majorBidi"/>
      <w:color w:val="2E75B6" w:themeColor="accent1" w:themeShade="BF"/>
      <w:sz w:val="32"/>
      <w:szCs w:val="32"/>
    </w:rPr>
  </w:style>
  <w:style w:type="character" w:customStyle="1" w:styleId="26">
    <w:name w:val="标题 4 字符"/>
    <w:basedOn w:val="18"/>
    <w:link w:val="5"/>
    <w:semiHidden/>
    <w:qFormat/>
    <w:uiPriority w:val="9"/>
    <w:rPr>
      <w:rFonts w:cstheme="majorBidi"/>
      <w:color w:val="2E75B6" w:themeColor="accent1" w:themeShade="BF"/>
      <w:sz w:val="28"/>
      <w:szCs w:val="28"/>
    </w:rPr>
  </w:style>
  <w:style w:type="character" w:customStyle="1" w:styleId="27">
    <w:name w:val="标题 5 字符"/>
    <w:basedOn w:val="18"/>
    <w:link w:val="6"/>
    <w:semiHidden/>
    <w:qFormat/>
    <w:uiPriority w:val="9"/>
    <w:rPr>
      <w:rFonts w:cstheme="majorBidi"/>
      <w:color w:val="2E75B6" w:themeColor="accent1" w:themeShade="BF"/>
      <w:sz w:val="24"/>
      <w:szCs w:val="24"/>
    </w:rPr>
  </w:style>
  <w:style w:type="character" w:customStyle="1" w:styleId="28">
    <w:name w:val="标题 6 字符"/>
    <w:basedOn w:val="18"/>
    <w:link w:val="7"/>
    <w:semiHidden/>
    <w:qFormat/>
    <w:uiPriority w:val="9"/>
    <w:rPr>
      <w:rFonts w:cstheme="majorBidi"/>
      <w:b/>
      <w:bCs/>
      <w:color w:val="2E75B6" w:themeColor="accent1" w:themeShade="BF"/>
    </w:rPr>
  </w:style>
  <w:style w:type="character" w:customStyle="1" w:styleId="29">
    <w:name w:val="标题 7 字符"/>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0">
    <w:name w:val="标题 8 字符"/>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1">
    <w:name w:val="标题 9 字符"/>
    <w:basedOn w:val="1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2">
    <w:name w:val="标题 字符"/>
    <w:basedOn w:val="18"/>
    <w:link w:val="15"/>
    <w:qFormat/>
    <w:uiPriority w:val="10"/>
    <w:rPr>
      <w:rFonts w:asciiTheme="majorHAnsi" w:hAnsiTheme="majorHAnsi" w:eastAsiaTheme="majorEastAsia" w:cstheme="majorBidi"/>
      <w:spacing w:val="-10"/>
      <w:kern w:val="28"/>
      <w:sz w:val="56"/>
      <w:szCs w:val="56"/>
    </w:rPr>
  </w:style>
  <w:style w:type="character" w:customStyle="1" w:styleId="33">
    <w:name w:val="副标题 字符"/>
    <w:basedOn w:val="18"/>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customStyle="1" w:styleId="34">
    <w:name w:val="Quote"/>
    <w:basedOn w:val="1"/>
    <w:next w:val="1"/>
    <w:link w:val="35"/>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5">
    <w:name w:val="引用 字符"/>
    <w:basedOn w:val="18"/>
    <w:link w:val="34"/>
    <w:qFormat/>
    <w:uiPriority w:val="29"/>
    <w:rPr>
      <w:i/>
      <w:iCs/>
      <w:color w:val="404040" w:themeColor="text1" w:themeTint="BF"/>
      <w14:textFill>
        <w14:solidFill>
          <w14:schemeClr w14:val="tx1">
            <w14:lumMod w14:val="75000"/>
            <w14:lumOff w14:val="25000"/>
          </w14:schemeClr>
        </w14:solidFill>
      </w14:textFill>
    </w:rPr>
  </w:style>
  <w:style w:type="paragraph" w:customStyle="1" w:styleId="36">
    <w:name w:val="List Paragraph"/>
    <w:basedOn w:val="1"/>
    <w:qFormat/>
    <w:uiPriority w:val="34"/>
    <w:pPr>
      <w:ind w:left="720"/>
      <w:contextualSpacing/>
    </w:pPr>
  </w:style>
  <w:style w:type="character" w:customStyle="1" w:styleId="37">
    <w:name w:val="Intense Emphasis"/>
    <w:basedOn w:val="18"/>
    <w:qFormat/>
    <w:uiPriority w:val="21"/>
    <w:rPr>
      <w:i/>
      <w:iCs/>
      <w:color w:val="2E75B6" w:themeColor="accent1" w:themeShade="BF"/>
    </w:rPr>
  </w:style>
  <w:style w:type="paragraph" w:customStyle="1" w:styleId="38">
    <w:name w:val="Intense Quote"/>
    <w:basedOn w:val="1"/>
    <w:next w:val="1"/>
    <w:link w:val="39"/>
    <w:qFormat/>
    <w:uiPriority w:val="30"/>
    <w:pPr>
      <w:pBdr>
        <w:top w:val="single" w:color="2E75B5" w:themeColor="accent1" w:themeShade="BF" w:sz="4" w:space="10"/>
        <w:bottom w:val="single" w:color="2E75B5" w:themeColor="accent1" w:themeShade="BF" w:sz="4" w:space="10"/>
      </w:pBdr>
      <w:spacing w:before="360" w:after="360"/>
      <w:ind w:left="864" w:right="864"/>
      <w:jc w:val="center"/>
    </w:pPr>
    <w:rPr>
      <w:i/>
      <w:iCs/>
      <w:color w:val="2E75B6" w:themeColor="accent1" w:themeShade="BF"/>
    </w:rPr>
  </w:style>
  <w:style w:type="character" w:customStyle="1" w:styleId="39">
    <w:name w:val="明显引用 字符"/>
    <w:basedOn w:val="18"/>
    <w:link w:val="38"/>
    <w:qFormat/>
    <w:uiPriority w:val="30"/>
    <w:rPr>
      <w:i/>
      <w:iCs/>
      <w:color w:val="2E75B6" w:themeColor="accent1" w:themeShade="BF"/>
    </w:rPr>
  </w:style>
  <w:style w:type="character" w:customStyle="1" w:styleId="40">
    <w:name w:val="Intense Reference"/>
    <w:basedOn w:val="18"/>
    <w:qFormat/>
    <w:uiPriority w:val="32"/>
    <w:rPr>
      <w:b/>
      <w:bCs/>
      <w:smallCaps/>
      <w:color w:val="2E75B6" w:themeColor="accent1" w:themeShade="BF"/>
      <w:spacing w:val="5"/>
    </w:rPr>
  </w:style>
  <w:style w:type="character" w:customStyle="1" w:styleId="41">
    <w:name w:val="页眉 字符"/>
    <w:basedOn w:val="18"/>
    <w:link w:val="13"/>
    <w:qFormat/>
    <w:uiPriority w:val="99"/>
    <w:rPr>
      <w:sz w:val="18"/>
      <w:szCs w:val="18"/>
    </w:rPr>
  </w:style>
  <w:style w:type="character" w:customStyle="1" w:styleId="42">
    <w:name w:val="页脚 字符"/>
    <w:basedOn w:val="18"/>
    <w:link w:val="12"/>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tiff"/><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4" Type="http://schemas.openxmlformats.org/officeDocument/2006/relationships/fontTable" Target="fontTable.xml"/><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tiff"/><Relationship Id="rId2" Type="http://schemas.openxmlformats.org/officeDocument/2006/relationships/settings" Target="settings.xml"/><Relationship Id="rId19" Type="http://schemas.openxmlformats.org/officeDocument/2006/relationships/image" Target="media/image16.tiff"/><Relationship Id="rId18" Type="http://schemas.openxmlformats.org/officeDocument/2006/relationships/image" Target="media/image15.tiff"/><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tiff"/><Relationship Id="rId12" Type="http://schemas.openxmlformats.org/officeDocument/2006/relationships/image" Target="media/image9.tiff"/><Relationship Id="rId11" Type="http://schemas.openxmlformats.org/officeDocument/2006/relationships/image" Target="media/image8.tiff"/><Relationship Id="rId10" Type="http://schemas.openxmlformats.org/officeDocument/2006/relationships/image" Target="media/image7.tif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Sinopec</Company>
  <Pages>28</Pages>
  <Words>1120</Words>
  <Characters>8266</Characters>
  <Lines>255</Lines>
  <Paragraphs>71</Paragraphs>
  <TotalTime>2</TotalTime>
  <ScaleCrop>false</ScaleCrop>
  <LinksUpToDate>false</LinksUpToDate>
  <CharactersWithSpaces>9298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2025-05-09T20:25:00Z</dcterms:created>
  <dc:creator>罗 睿</dc:creator>
  <cp:lastModifiedBy>白白胖胖</cp:lastModifiedBy>
  <dcterms:modified xsi:type="dcterms:W3CDTF">2025-09-05T08:52:49Z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D0796AF6A8254629B6ACE2A1822AA7E3_13</vt:lpwstr>
  </property>
  <property fmtid="{D5CDD505-2E9C-101B-9397-08002B2CF9AE}" pid="3" name="KSOProductBuildVer">
    <vt:lpwstr>2052-12.1.0.22529</vt:lpwstr>
  </property>
  <property fmtid="{D5CDD505-2E9C-101B-9397-08002B2CF9AE}" pid="4" name="KSOTemplateDocerSaveRecord">
    <vt:lpwstr>eyJoZGlkIjoiNjk5MTg1OWFjNGM3NmY0ZmYxNThhNTE5Y2Y1ZTZkOGMiLCJ1c2VySWQiOiIxMDIwNDA3MTIzIn0=</vt:lpwstr>
  </property>
</Properties>
</file>