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55248">
      <w:pPr>
        <w:spacing w:line="480" w:lineRule="auto"/>
        <w:jc w:val="center"/>
        <w:rPr>
          <w:rFonts w:ascii="Times New Roman" w:hAnsi="Times New Roman" w:eastAsia="Segoe UI" w:cs="Times New Roman"/>
          <w:b/>
          <w:bCs/>
          <w:color w:val="auto"/>
          <w:sz w:val="28"/>
          <w:szCs w:val="28"/>
          <w:shd w:val="clear" w:color="auto" w:fill="FFFFFF"/>
        </w:rPr>
      </w:pPr>
      <w:r>
        <w:rPr>
          <w:rFonts w:ascii="Times New Roman" w:hAnsi="Times New Roman" w:eastAsia="Segoe UI" w:cs="Times New Roman"/>
          <w:b/>
          <w:bCs/>
          <w:color w:val="auto"/>
          <w:sz w:val="28"/>
          <w:szCs w:val="28"/>
          <w:shd w:val="clear" w:color="auto" w:fill="FFFFFF"/>
        </w:rPr>
        <w:t>The Effects of Aerobic Exercise on Quality of Life and Motor Function in Patients with Parkinson's Disease: A Systematic Review and Meta-Analysis</w:t>
      </w:r>
    </w:p>
    <w:p w14:paraId="31825319">
      <w:pPr>
        <w:spacing w:line="360" w:lineRule="exact"/>
        <w:jc w:val="center"/>
        <w:rPr>
          <w:rFonts w:ascii="Times New Roman" w:hAnsi="Times New Roman" w:eastAsia="Segoe UI" w:cs="Times New Roman"/>
          <w:color w:val="auto"/>
          <w:szCs w:val="21"/>
          <w:shd w:val="clear" w:color="auto" w:fill="FFFFFF"/>
        </w:rPr>
      </w:pPr>
      <w:r>
        <w:rPr>
          <w:rFonts w:ascii="Times New Roman" w:hAnsi="Times New Roman" w:eastAsia="Segoe UI" w:cs="Times New Roman"/>
          <w:color w:val="auto"/>
          <w:szCs w:val="21"/>
          <w:shd w:val="clear" w:color="auto" w:fill="FFFFFF"/>
        </w:rPr>
        <w:t>Bing Zeng¹</w:t>
      </w:r>
      <w:r>
        <w:rPr>
          <w:rFonts w:hint="eastAsia" w:ascii="Times New Roman" w:hAnsi="Times New Roman" w:eastAsia="宋体" w:cs="Times New Roman"/>
          <w:color w:val="auto"/>
          <w:szCs w:val="21"/>
          <w:shd w:val="clear" w:color="auto" w:fill="FFFFFF"/>
        </w:rPr>
        <w:t xml:space="preserve">, </w:t>
      </w:r>
      <w:r>
        <w:rPr>
          <w:rFonts w:ascii="Times New Roman" w:hAnsi="Times New Roman" w:eastAsia="Segoe UI" w:cs="Times New Roman"/>
          <w:color w:val="auto"/>
          <w:szCs w:val="21"/>
          <w:shd w:val="clear" w:color="auto" w:fill="FFFFFF"/>
        </w:rPr>
        <w:t>Zhihai Lu¹, Xianyang Xin¹</w:t>
      </w:r>
      <w:r>
        <w:rPr>
          <w:rFonts w:hint="eastAsia" w:ascii="Times New Roman" w:hAnsi="Times New Roman" w:eastAsia="宋体" w:cs="Times New Roman"/>
          <w:color w:val="auto"/>
          <w:szCs w:val="21"/>
          <w:shd w:val="clear" w:color="auto" w:fill="FFFFFF"/>
        </w:rPr>
        <w:t xml:space="preserve">, </w:t>
      </w:r>
      <w:r>
        <w:rPr>
          <w:rFonts w:ascii="Times New Roman" w:hAnsi="Times New Roman" w:eastAsia="Segoe UI"/>
          <w:color w:val="auto"/>
          <w:szCs w:val="21"/>
          <w:shd w:val="clear" w:color="auto" w:fill="FFFFFF"/>
        </w:rPr>
        <w:t>Zhe Kong¹</w:t>
      </w:r>
      <w:r>
        <w:rPr>
          <w:rFonts w:hint="eastAsia" w:ascii="Times New Roman" w:hAnsi="Times New Roman" w:eastAsia="宋体"/>
          <w:color w:val="auto"/>
          <w:szCs w:val="21"/>
          <w:shd w:val="clear" w:color="auto" w:fill="FFFFFF"/>
        </w:rPr>
        <w:t xml:space="preserve">, </w:t>
      </w:r>
      <w:r>
        <w:rPr>
          <w:rFonts w:ascii="Times New Roman" w:hAnsi="Times New Roman" w:eastAsia="Segoe UI" w:cs="Times New Roman"/>
          <w:color w:val="auto"/>
          <w:szCs w:val="21"/>
          <w:shd w:val="clear" w:color="auto" w:fill="FFFFFF"/>
        </w:rPr>
        <w:t>Jun Xie</w:t>
      </w:r>
      <w:r>
        <w:rPr>
          <w:rFonts w:hint="eastAsia" w:ascii="Times New Roman" w:hAnsi="Times New Roman" w:eastAsia="宋体" w:cs="Times New Roman"/>
          <w:color w:val="auto"/>
          <w:szCs w:val="21"/>
          <w:shd w:val="clear" w:color="auto" w:fill="FFFFFF"/>
          <w:vertAlign w:val="superscript"/>
        </w:rPr>
        <w:t>2</w:t>
      </w:r>
      <w:r>
        <w:rPr>
          <w:rFonts w:ascii="Times New Roman" w:hAnsi="Times New Roman" w:eastAsia="宋体" w:cs="Times New Roman"/>
          <w:color w:val="auto"/>
          <w:szCs w:val="21"/>
          <w:shd w:val="clear" w:color="auto" w:fill="FFFFFF"/>
        </w:rPr>
        <w:t>*</w:t>
      </w:r>
    </w:p>
    <w:p w14:paraId="6FBAAFBC">
      <w:pPr>
        <w:spacing w:line="360" w:lineRule="exact"/>
        <w:jc w:val="center"/>
        <w:rPr>
          <w:rFonts w:ascii="Times New Roman" w:hAnsi="Times New Roman" w:eastAsia="宋体" w:cs="Times New Roman"/>
          <w:color w:val="auto"/>
        </w:rPr>
      </w:pPr>
      <w:r>
        <w:rPr>
          <w:rFonts w:ascii="Times New Roman" w:hAnsi="Times New Roman" w:eastAsia="宋体" w:cs="Times New Roman"/>
          <w:color w:val="auto"/>
        </w:rPr>
        <w:t>1 Capital University of Physical Education and Sports, Beijing, China</w:t>
      </w:r>
    </w:p>
    <w:p w14:paraId="67F4AE57">
      <w:pPr>
        <w:spacing w:line="360" w:lineRule="exact"/>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Shenzhen University of Advanced Technology</w:t>
      </w:r>
      <w:r>
        <w:rPr>
          <w:rFonts w:hint="eastAsia" w:ascii="Times New Roman" w:hAnsi="Times New Roman" w:eastAsia="宋体" w:cs="Times New Roman"/>
          <w:color w:val="auto"/>
        </w:rPr>
        <w:t>, Shenzhen, China</w:t>
      </w:r>
    </w:p>
    <w:p w14:paraId="30D120F0">
      <w:pPr>
        <w:spacing w:line="360" w:lineRule="exact"/>
        <w:jc w:val="center"/>
        <w:rPr>
          <w:rFonts w:ascii="Times New Roman" w:hAnsi="Times New Roman" w:eastAsia="宋体" w:cs="Times New Roman"/>
          <w:color w:val="auto"/>
        </w:rPr>
      </w:pPr>
      <w:r>
        <w:rPr>
          <w:rFonts w:ascii="Times New Roman" w:hAnsi="Times New Roman" w:eastAsia="宋体" w:cs="Times New Roman"/>
          <w:color w:val="auto"/>
        </w:rPr>
        <w:t xml:space="preserve">corresponding author: </w:t>
      </w:r>
      <w:r>
        <w:rPr>
          <w:rFonts w:ascii="Times New Roman" w:hAnsi="Times New Roman" w:eastAsia="Segoe UI" w:cs="Times New Roman"/>
          <w:color w:val="auto"/>
          <w:szCs w:val="21"/>
          <w:shd w:val="clear" w:color="auto" w:fill="FFFFFF"/>
        </w:rPr>
        <w:t>Jun Xie</w:t>
      </w:r>
      <w:r>
        <w:rPr>
          <w:rFonts w:ascii="Times New Roman" w:hAnsi="Times New Roman" w:eastAsia="宋体" w:cs="Times New Roman"/>
          <w:color w:val="auto"/>
        </w:rPr>
        <w:t>, e-mail address:</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xiejun@suat-sz.edu.cn</w:t>
      </w:r>
    </w:p>
    <w:p w14:paraId="61E96F27">
      <w:pPr>
        <w:spacing w:line="480" w:lineRule="auto"/>
        <w:jc w:val="center"/>
        <w:rPr>
          <w:rFonts w:ascii="Times New Roman" w:hAnsi="Times New Roman" w:eastAsia="Segoe UI" w:cs="Times New Roman"/>
          <w:b/>
          <w:bCs/>
          <w:color w:val="auto"/>
          <w:szCs w:val="21"/>
          <w:shd w:val="clear" w:color="auto" w:fill="FFFFFF"/>
        </w:rPr>
      </w:pPr>
      <w:bookmarkStart w:id="0" w:name="_GoBack"/>
      <w:bookmarkEnd w:id="0"/>
    </w:p>
    <w:tbl>
      <w:tblPr>
        <w:tblStyle w:val="5"/>
        <w:tblW w:w="10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9"/>
        <w:gridCol w:w="1060"/>
      </w:tblGrid>
      <w:tr w14:paraId="4A5B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659" w:type="dxa"/>
            <w:tcBorders>
              <w:top w:val="single" w:color="auto" w:sz="12" w:space="0"/>
              <w:left w:val="nil"/>
              <w:bottom w:val="single" w:color="auto" w:sz="6" w:space="0"/>
              <w:right w:val="nil"/>
            </w:tcBorders>
          </w:tcPr>
          <w:p w14:paraId="535A0E72">
            <w:pPr>
              <w:spacing w:line="480" w:lineRule="auto"/>
              <w:jc w:val="left"/>
              <w:rPr>
                <w:rFonts w:ascii="Times New Roman" w:hAnsi="Times New Roman" w:eastAsia="宋体" w:cs="Times New Roman"/>
                <w:b/>
                <w:bCs/>
                <w:color w:val="auto"/>
                <w:szCs w:val="21"/>
              </w:rPr>
            </w:pPr>
            <w:r>
              <w:rPr>
                <w:rFonts w:ascii="Times New Roman" w:hAnsi="Times New Roman" w:eastAsia="宋体" w:cs="Times New Roman"/>
                <w:b/>
                <w:bCs/>
                <w:color w:val="auto"/>
                <w:szCs w:val="21"/>
              </w:rPr>
              <w:t>Supplementary materials</w:t>
            </w:r>
          </w:p>
        </w:tc>
        <w:tc>
          <w:tcPr>
            <w:tcW w:w="1060" w:type="dxa"/>
            <w:tcBorders>
              <w:top w:val="single" w:color="auto" w:sz="12" w:space="0"/>
              <w:left w:val="nil"/>
              <w:bottom w:val="single" w:color="auto" w:sz="6" w:space="0"/>
              <w:right w:val="nil"/>
            </w:tcBorders>
          </w:tcPr>
          <w:p w14:paraId="40E91F1B">
            <w:pPr>
              <w:spacing w:line="480" w:lineRule="auto"/>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Page</w:t>
            </w:r>
          </w:p>
        </w:tc>
      </w:tr>
      <w:tr w14:paraId="2F10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659" w:type="dxa"/>
            <w:tcBorders>
              <w:top w:val="single" w:color="auto" w:sz="6" w:space="0"/>
              <w:left w:val="nil"/>
              <w:bottom w:val="nil"/>
              <w:right w:val="nil"/>
            </w:tcBorders>
          </w:tcPr>
          <w:p w14:paraId="230E5E31">
            <w:pPr>
              <w:spacing w:line="480" w:lineRule="auto"/>
              <w:jc w:val="left"/>
              <w:rPr>
                <w:rFonts w:ascii="Times New Roman" w:hAnsi="Times New Roman" w:eastAsia="宋体" w:cs="Times New Roman"/>
                <w:b/>
                <w:bCs/>
                <w:color w:val="auto"/>
                <w:szCs w:val="21"/>
                <w:shd w:val="clear" w:color="auto" w:fill="FFFFFF"/>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1</w:t>
            </w:r>
            <w:r>
              <w:rPr>
                <w:rFonts w:hint="eastAsia" w:ascii="Times New Roman" w:hAnsi="Times New Roman" w:eastAsia="宋体" w:cs="Times New Roman"/>
                <w:b/>
                <w:bCs/>
                <w:color w:val="auto"/>
                <w:szCs w:val="21"/>
                <w:shd w:val="clear" w:color="auto" w:fill="FFFFFF"/>
              </w:rPr>
              <w:t xml:space="preserve"> </w:t>
            </w:r>
            <w:r>
              <w:rPr>
                <w:rFonts w:ascii="Times New Roman" w:hAnsi="Times New Roman" w:eastAsia="宋体" w:cs="Times New Roman"/>
                <w:color w:val="auto"/>
                <w:szCs w:val="21"/>
              </w:rPr>
              <w:t>Search strategy</w:t>
            </w:r>
          </w:p>
        </w:tc>
        <w:tc>
          <w:tcPr>
            <w:tcW w:w="1060" w:type="dxa"/>
            <w:tcBorders>
              <w:top w:val="single" w:color="auto" w:sz="6" w:space="0"/>
              <w:left w:val="nil"/>
              <w:bottom w:val="nil"/>
              <w:right w:val="nil"/>
            </w:tcBorders>
          </w:tcPr>
          <w:p w14:paraId="794033D2">
            <w:pPr>
              <w:spacing w:line="480" w:lineRule="auto"/>
              <w:jc w:val="center"/>
              <w:rPr>
                <w:rFonts w:ascii="Times New Roman" w:hAnsi="Times New Roman" w:eastAsia="宋体" w:cs="Times New Roman"/>
                <w:b/>
                <w:bCs/>
                <w:color w:val="auto"/>
                <w:szCs w:val="21"/>
                <w:shd w:val="clear" w:color="auto" w:fill="FFFFFF"/>
              </w:rPr>
            </w:pPr>
            <w:r>
              <w:rPr>
                <w:rFonts w:hint="eastAsia" w:ascii="Times New Roman" w:hAnsi="Times New Roman" w:eastAsia="宋体" w:cs="Times New Roman"/>
                <w:b/>
                <w:bCs/>
                <w:color w:val="auto"/>
                <w:szCs w:val="21"/>
                <w:shd w:val="clear" w:color="auto" w:fill="FFFFFF"/>
              </w:rPr>
              <w:t>P1-P4</w:t>
            </w:r>
          </w:p>
        </w:tc>
      </w:tr>
      <w:tr w14:paraId="474C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659" w:type="dxa"/>
            <w:tcBorders>
              <w:top w:val="nil"/>
              <w:left w:val="nil"/>
              <w:bottom w:val="nil"/>
              <w:right w:val="nil"/>
            </w:tcBorders>
          </w:tcPr>
          <w:p w14:paraId="39EFB8E7">
            <w:pPr>
              <w:spacing w:line="480" w:lineRule="auto"/>
              <w:jc w:val="left"/>
              <w:rPr>
                <w:rFonts w:ascii="Times New Roman" w:hAnsi="Times New Roman" w:eastAsia="宋体" w:cs="Times New Roman"/>
                <w:b/>
                <w:bCs/>
                <w:color w:val="auto"/>
                <w:szCs w:val="21"/>
                <w:shd w:val="clear" w:color="auto" w:fill="FFFFFF"/>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2</w:t>
            </w:r>
            <w:r>
              <w:rPr>
                <w:rFonts w:hint="eastAsia" w:ascii="Times New Roman" w:hAnsi="Times New Roman" w:eastAsia="宋体" w:cs="Times New Roman"/>
                <w:b/>
                <w:bCs/>
                <w:color w:val="auto"/>
                <w:szCs w:val="21"/>
                <w:shd w:val="clear" w:color="auto" w:fill="FFFFFF"/>
              </w:rPr>
              <w:t xml:space="preserve"> </w:t>
            </w:r>
            <w:r>
              <w:rPr>
                <w:rFonts w:ascii="Times New Roman" w:hAnsi="Times New Roman" w:eastAsia="宋体" w:cs="Times New Roman"/>
                <w:color w:val="auto"/>
                <w:szCs w:val="21"/>
              </w:rPr>
              <w:t>Basic characteristics of the included studies</w:t>
            </w:r>
          </w:p>
        </w:tc>
        <w:tc>
          <w:tcPr>
            <w:tcW w:w="1060" w:type="dxa"/>
            <w:tcBorders>
              <w:top w:val="nil"/>
              <w:left w:val="nil"/>
              <w:bottom w:val="nil"/>
              <w:right w:val="nil"/>
            </w:tcBorders>
          </w:tcPr>
          <w:p w14:paraId="3C9550E2">
            <w:pPr>
              <w:spacing w:line="480" w:lineRule="auto"/>
              <w:jc w:val="center"/>
              <w:rPr>
                <w:rFonts w:ascii="Times New Roman" w:hAnsi="Times New Roman" w:eastAsia="宋体" w:cs="Times New Roman"/>
                <w:b/>
                <w:bCs/>
                <w:color w:val="auto"/>
                <w:szCs w:val="21"/>
                <w:shd w:val="clear" w:color="auto" w:fill="FFFFFF"/>
              </w:rPr>
            </w:pPr>
            <w:r>
              <w:rPr>
                <w:rFonts w:hint="eastAsia" w:ascii="Times New Roman" w:hAnsi="Times New Roman" w:eastAsia="宋体" w:cs="Times New Roman"/>
                <w:b/>
                <w:bCs/>
                <w:color w:val="auto"/>
                <w:szCs w:val="21"/>
                <w:shd w:val="clear" w:color="auto" w:fill="FFFFFF"/>
              </w:rPr>
              <w:t>P5-P7</w:t>
            </w:r>
          </w:p>
        </w:tc>
      </w:tr>
      <w:tr w14:paraId="15FE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659" w:type="dxa"/>
            <w:tcBorders>
              <w:top w:val="nil"/>
              <w:left w:val="nil"/>
              <w:bottom w:val="nil"/>
              <w:right w:val="nil"/>
            </w:tcBorders>
          </w:tcPr>
          <w:p w14:paraId="64D09A8D">
            <w:pPr>
              <w:spacing w:line="480" w:lineRule="auto"/>
              <w:jc w:val="left"/>
              <w:rPr>
                <w:rFonts w:ascii="Times New Roman" w:hAnsi="Times New Roman" w:eastAsia="Segoe UI" w:cs="Times New Roman"/>
                <w:b/>
                <w:bCs/>
                <w:color w:val="auto"/>
                <w:szCs w:val="21"/>
                <w:shd w:val="clear" w:color="auto" w:fill="FFFFFF"/>
              </w:rPr>
            </w:pPr>
            <w:r>
              <w:rPr>
                <w:rFonts w:ascii="Times New Roman" w:hAnsi="Times New Roman" w:cs="Times New Roman"/>
                <w:b/>
                <w:bCs/>
                <w:color w:val="auto"/>
                <w:szCs w:val="21"/>
              </w:rPr>
              <w:t>Appendix</w:t>
            </w:r>
            <w:r>
              <w:rPr>
                <w:rFonts w:ascii="Times New Roman" w:hAnsi="Times New Roman" w:eastAsia="宋体" w:cs="Times New Roman"/>
                <w:b/>
                <w:bCs/>
                <w:color w:val="auto"/>
                <w:szCs w:val="21"/>
              </w:rPr>
              <w:t xml:space="preserve"> </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 xml:space="preserve"> </w:t>
            </w:r>
            <w:r>
              <w:rPr>
                <w:rFonts w:ascii="Times New Roman" w:hAnsi="Times New Roman" w:cs="Times New Roman"/>
                <w:color w:val="auto"/>
                <w:szCs w:val="21"/>
              </w:rPr>
              <w:t>List of Included Studies</w:t>
            </w:r>
          </w:p>
        </w:tc>
        <w:tc>
          <w:tcPr>
            <w:tcW w:w="1060" w:type="dxa"/>
            <w:tcBorders>
              <w:top w:val="nil"/>
              <w:left w:val="nil"/>
              <w:bottom w:val="nil"/>
              <w:right w:val="nil"/>
            </w:tcBorders>
          </w:tcPr>
          <w:p w14:paraId="31C60D6F">
            <w:pPr>
              <w:spacing w:line="480" w:lineRule="auto"/>
              <w:jc w:val="center"/>
              <w:rPr>
                <w:rFonts w:ascii="Times New Roman" w:hAnsi="Times New Roman" w:eastAsia="宋体" w:cs="Times New Roman"/>
                <w:b/>
                <w:bCs/>
                <w:color w:val="auto"/>
                <w:szCs w:val="21"/>
                <w:shd w:val="clear" w:color="auto" w:fill="FFFFFF"/>
              </w:rPr>
            </w:pPr>
            <w:r>
              <w:rPr>
                <w:rFonts w:hint="eastAsia" w:ascii="Times New Roman" w:hAnsi="Times New Roman" w:eastAsia="宋体" w:cs="Times New Roman"/>
                <w:b/>
                <w:bCs/>
                <w:color w:val="auto"/>
                <w:szCs w:val="21"/>
                <w:shd w:val="clear" w:color="auto" w:fill="FFFFFF"/>
              </w:rPr>
              <w:t>P8-P10</w:t>
            </w:r>
          </w:p>
        </w:tc>
      </w:tr>
      <w:tr w14:paraId="3EB7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659" w:type="dxa"/>
            <w:tcBorders>
              <w:top w:val="nil"/>
              <w:left w:val="nil"/>
              <w:bottom w:val="nil"/>
              <w:right w:val="nil"/>
            </w:tcBorders>
          </w:tcPr>
          <w:p w14:paraId="50032F34">
            <w:pPr>
              <w:spacing w:line="480" w:lineRule="auto"/>
              <w:rPr>
                <w:rFonts w:ascii="Times New Roman" w:hAnsi="Times New Roman" w:eastAsia="宋体" w:cs="Times New Roman"/>
                <w:b/>
                <w:bCs/>
                <w:color w:val="auto"/>
                <w:szCs w:val="21"/>
                <w:shd w:val="clear" w:color="auto" w:fill="FFFFFF"/>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4 </w:t>
            </w:r>
            <w:r>
              <w:rPr>
                <w:rFonts w:ascii="Times New Roman" w:hAnsi="Times New Roman" w:eastAsia="宋体" w:cs="Times New Roman"/>
                <w:color w:val="auto"/>
                <w:szCs w:val="21"/>
              </w:rPr>
              <w:t>Funnel plot</w:t>
            </w:r>
          </w:p>
        </w:tc>
        <w:tc>
          <w:tcPr>
            <w:tcW w:w="1060" w:type="dxa"/>
            <w:tcBorders>
              <w:top w:val="nil"/>
              <w:left w:val="nil"/>
              <w:bottom w:val="nil"/>
              <w:right w:val="nil"/>
            </w:tcBorders>
          </w:tcPr>
          <w:p w14:paraId="2536B482">
            <w:pPr>
              <w:spacing w:line="480" w:lineRule="auto"/>
              <w:jc w:val="center"/>
              <w:rPr>
                <w:rFonts w:ascii="Times New Roman" w:hAnsi="Times New Roman" w:eastAsia="宋体" w:cs="Times New Roman"/>
                <w:b/>
                <w:bCs/>
                <w:color w:val="auto"/>
                <w:szCs w:val="21"/>
                <w:shd w:val="clear" w:color="auto" w:fill="FFFFFF"/>
              </w:rPr>
            </w:pPr>
            <w:r>
              <w:rPr>
                <w:rFonts w:hint="eastAsia" w:ascii="Times New Roman" w:hAnsi="Times New Roman" w:eastAsia="宋体" w:cs="Times New Roman"/>
                <w:b/>
                <w:bCs/>
                <w:color w:val="auto"/>
                <w:szCs w:val="21"/>
                <w:shd w:val="clear" w:color="auto" w:fill="FFFFFF"/>
              </w:rPr>
              <w:t>P11</w:t>
            </w:r>
          </w:p>
        </w:tc>
      </w:tr>
      <w:tr w14:paraId="45C8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659" w:type="dxa"/>
            <w:tcBorders>
              <w:top w:val="nil"/>
              <w:left w:val="nil"/>
              <w:bottom w:val="single" w:color="auto" w:sz="12" w:space="0"/>
              <w:right w:val="nil"/>
            </w:tcBorders>
          </w:tcPr>
          <w:p w14:paraId="29211467">
            <w:pPr>
              <w:spacing w:line="480" w:lineRule="auto"/>
              <w:rPr>
                <w:rFonts w:ascii="Times New Roman" w:hAnsi="Times New Roman" w:eastAsia="宋体" w:cs="Times New Roman"/>
                <w:b/>
                <w:bCs/>
                <w:color w:val="auto"/>
                <w:szCs w:val="21"/>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5 </w:t>
            </w:r>
            <w:r>
              <w:rPr>
                <w:rFonts w:ascii="Times New Roman" w:hAnsi="Times New Roman" w:eastAsia="宋体" w:cs="Times New Roman"/>
                <w:color w:val="auto"/>
              </w:rPr>
              <w:t>PRISMA 2020 Checklist</w:t>
            </w:r>
            <w:r>
              <w:rPr>
                <w:rFonts w:hint="eastAsia" w:ascii="Times New Roman" w:hAnsi="Times New Roman" w:eastAsia="宋体" w:cs="Times New Roman"/>
                <w:color w:val="auto"/>
              </w:rPr>
              <w:t xml:space="preserve"> </w:t>
            </w:r>
          </w:p>
        </w:tc>
        <w:tc>
          <w:tcPr>
            <w:tcW w:w="1060" w:type="dxa"/>
            <w:tcBorders>
              <w:top w:val="nil"/>
              <w:left w:val="nil"/>
              <w:bottom w:val="single" w:color="auto" w:sz="12" w:space="0"/>
              <w:right w:val="nil"/>
            </w:tcBorders>
          </w:tcPr>
          <w:p w14:paraId="75187188">
            <w:pPr>
              <w:spacing w:line="480" w:lineRule="auto"/>
              <w:jc w:val="center"/>
              <w:rPr>
                <w:rFonts w:ascii="Times New Roman" w:hAnsi="Times New Roman" w:eastAsia="宋体" w:cs="Times New Roman"/>
                <w:b/>
                <w:bCs/>
                <w:color w:val="auto"/>
                <w:szCs w:val="21"/>
                <w:shd w:val="clear" w:color="auto" w:fill="FFFFFF"/>
              </w:rPr>
            </w:pPr>
            <w:r>
              <w:rPr>
                <w:rFonts w:hint="eastAsia" w:ascii="Times New Roman" w:hAnsi="Times New Roman" w:eastAsia="宋体" w:cs="Times New Roman"/>
                <w:b/>
                <w:bCs/>
                <w:color w:val="auto"/>
                <w:szCs w:val="21"/>
                <w:shd w:val="clear" w:color="auto" w:fill="FFFFFF"/>
              </w:rPr>
              <w:t>P12-P15</w:t>
            </w:r>
          </w:p>
        </w:tc>
      </w:tr>
    </w:tbl>
    <w:p w14:paraId="32DE2426">
      <w:pPr>
        <w:spacing w:line="360" w:lineRule="exact"/>
        <w:jc w:val="center"/>
        <w:rPr>
          <w:rFonts w:ascii="Times New Roman" w:hAnsi="Times New Roman" w:eastAsia="Segoe UI" w:cs="Times New Roman"/>
          <w:b/>
          <w:bCs/>
          <w:color w:val="auto"/>
          <w:szCs w:val="21"/>
          <w:shd w:val="clear" w:color="auto" w:fill="FFFFFF"/>
        </w:rPr>
      </w:pPr>
    </w:p>
    <w:p w14:paraId="0F1DA2DE">
      <w:pPr>
        <w:spacing w:line="360" w:lineRule="exact"/>
        <w:jc w:val="center"/>
        <w:rPr>
          <w:rFonts w:ascii="Times New Roman" w:hAnsi="Times New Roman" w:eastAsia="Segoe UI" w:cs="Times New Roman"/>
          <w:b/>
          <w:bCs/>
          <w:color w:val="auto"/>
          <w:szCs w:val="21"/>
          <w:shd w:val="clear" w:color="auto" w:fill="FFFFFF"/>
        </w:rPr>
      </w:pPr>
    </w:p>
    <w:p w14:paraId="7EFDE90C">
      <w:pPr>
        <w:spacing w:line="360" w:lineRule="exact"/>
        <w:jc w:val="left"/>
        <w:rPr>
          <w:rFonts w:ascii="Times New Roman" w:hAnsi="Times New Roman" w:eastAsia="Segoe UI" w:cs="Times New Roman"/>
          <w:b/>
          <w:bCs/>
          <w:color w:val="auto"/>
          <w:szCs w:val="21"/>
          <w:shd w:val="clear" w:color="auto" w:fill="FFFFFF"/>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1</w:t>
      </w:r>
      <w:r>
        <w:rPr>
          <w:rFonts w:hint="eastAsia" w:ascii="Times New Roman" w:hAnsi="Times New Roman" w:eastAsia="宋体" w:cs="Times New Roman"/>
          <w:b/>
          <w:bCs/>
          <w:color w:val="auto"/>
          <w:szCs w:val="21"/>
          <w:shd w:val="clear" w:color="auto" w:fill="FFFFFF"/>
        </w:rPr>
        <w:t xml:space="preserve"> </w:t>
      </w:r>
      <w:r>
        <w:rPr>
          <w:rFonts w:ascii="Times New Roman" w:hAnsi="Times New Roman" w:eastAsia="宋体" w:cs="Times New Roman"/>
          <w:color w:val="auto"/>
          <w:szCs w:val="21"/>
        </w:rPr>
        <w:t>Search strategy</w:t>
      </w:r>
    </w:p>
    <w:p w14:paraId="6DE27FB8">
      <w:pPr>
        <w:spacing w:line="360" w:lineRule="exact"/>
        <w:jc w:val="left"/>
        <w:rPr>
          <w:rFonts w:ascii="Times New Roman" w:hAnsi="Times New Roman" w:eastAsia="宋体" w:cs="Times New Roman"/>
          <w:b/>
          <w:bCs/>
          <w:color w:val="auto"/>
        </w:rPr>
      </w:pPr>
      <w:r>
        <w:rPr>
          <w:rFonts w:ascii="Times New Roman" w:hAnsi="Times New Roman" w:eastAsia="宋体" w:cs="Times New Roman"/>
          <w:b/>
          <w:bCs/>
          <w:color w:val="auto"/>
        </w:rPr>
        <w:t>Table S1</w:t>
      </w:r>
      <w:r>
        <w:rPr>
          <w:rFonts w:hint="eastAsia" w:ascii="Times New Roman" w:hAnsi="Times New Roman" w:eastAsia="宋体" w:cs="Times New Roman"/>
          <w:b/>
          <w:bCs/>
          <w:color w:val="auto"/>
        </w:rPr>
        <w:t>.</w:t>
      </w:r>
      <w:r>
        <w:rPr>
          <w:rFonts w:ascii="Times New Roman" w:hAnsi="Times New Roman" w:eastAsia="宋体" w:cs="Times New Roman"/>
          <w:b/>
          <w:bCs/>
          <w:color w:val="auto"/>
        </w:rPr>
        <w:t xml:space="preserve"> </w:t>
      </w:r>
      <w:r>
        <w:rPr>
          <w:rFonts w:ascii="Times New Roman" w:hAnsi="Times New Roman" w:eastAsia="宋体" w:cs="Times New Roman"/>
          <w:color w:val="auto"/>
        </w:rPr>
        <w:t>Search strategy for PubMed database</w:t>
      </w:r>
    </w:p>
    <w:tbl>
      <w:tblPr>
        <w:tblStyle w:val="5"/>
        <w:tblW w:w="107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1"/>
        <w:gridCol w:w="8545"/>
        <w:gridCol w:w="973"/>
      </w:tblGrid>
      <w:tr w14:paraId="3EE95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single" w:color="auto" w:sz="12" w:space="0"/>
              <w:bottom w:val="single" w:color="auto" w:sz="6" w:space="0"/>
            </w:tcBorders>
            <w:vAlign w:val="center"/>
          </w:tcPr>
          <w:p w14:paraId="254ABA8B">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Search procedure</w:t>
            </w:r>
          </w:p>
        </w:tc>
        <w:tc>
          <w:tcPr>
            <w:tcW w:w="8545" w:type="dxa"/>
            <w:tcBorders>
              <w:top w:val="single" w:color="auto" w:sz="12" w:space="0"/>
              <w:bottom w:val="single" w:color="auto" w:sz="6" w:space="0"/>
            </w:tcBorders>
            <w:vAlign w:val="center"/>
          </w:tcPr>
          <w:p w14:paraId="3EE33459">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Query</w:t>
            </w:r>
          </w:p>
        </w:tc>
        <w:tc>
          <w:tcPr>
            <w:tcW w:w="973" w:type="dxa"/>
            <w:tcBorders>
              <w:top w:val="single" w:color="auto" w:sz="12" w:space="0"/>
              <w:bottom w:val="single" w:color="auto" w:sz="6" w:space="0"/>
            </w:tcBorders>
            <w:vAlign w:val="center"/>
          </w:tcPr>
          <w:p w14:paraId="2D5C099C">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b/>
                <w:bCs/>
                <w:color w:val="auto"/>
                <w:szCs w:val="21"/>
              </w:rPr>
              <w:t>Results</w:t>
            </w:r>
          </w:p>
        </w:tc>
      </w:tr>
      <w:tr w14:paraId="7C001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1A108CD7">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#11</w:t>
            </w:r>
          </w:p>
        </w:tc>
        <w:tc>
          <w:tcPr>
            <w:tcW w:w="8545" w:type="dxa"/>
            <w:tcBorders>
              <w:top w:val="nil"/>
            </w:tcBorders>
            <w:vAlign w:val="center"/>
          </w:tcPr>
          <w:p w14:paraId="07F7D3E0">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(((("Parkinson Disease"[Mesh]) OR (((((((((((Idiopathic Parkinson Disease[Title/Abstract]) OR (Idiopathic Parkinson's Disease[Title/Abstract])) OR (Lewy Body Parkinson Disease[Title/Abstract])) OR (Lewy Body Parkinson's Disease[Title/Abstract])) OR (Paralysis Agitans[Title/Abstract])) OR (Parkinson Disease, Idiopathic[Title/Abstract])) OR (Parkinson's Disease[Title/Abstract])) OR (Parkinson's Disease, Idiopathic[Title/Abstract])) OR (Parkinson's Disease, Lewy Body[Title/Abstract])) OR (Primary Parkinsonism[Title/Abstract])) OR (Parkinsonism, Primary[Title/Abstract]))) AND (((("Quality of Life"[Mesh]) OR ((((Life Quality[Title/Abstract]) OR (Health-Related Quality Of Life[Title/Abstract])) OR (Health Related Quality Of Life[Title/Abstract])) OR (HRQOL[Title/Abstract]))) OR ("Motor Skills"[Mesh])) OR ((((((((Motor Skill[Title/Abstract]) OR (Skill, Motor[Title/Abstract])) OR (Skills, Motor[Title/Abstract])) OR (motor ability[Title/Abstract])) OR (motor performance[Title/Abstract])) OR (movement performance[Title/Abstract])) OR (physical performance[Title/Abstract])) OR (motor function[Title/Abstract])))) AND (((randomized controlled trial[Title/Abstract]) OR (randomized[Title/Abstract])) OR (placebo[Title/Abstract]))) AND ((((((((Aerobic Exercise[Title/Abstract]) OR (Aerobic Exercises[Title/Abstract])) OR (Exercises, Aerobic[Title/Abstract])) OR (treadmill[Title/Abstract])) OR (cycling[Title/Abstract])) OR (walking[Title/Abstract])) OR (dance[Title/Abstract])) OR (Qigong[Title/Abstract])) Sort by: Publication Date</w:t>
            </w:r>
          </w:p>
        </w:tc>
        <w:tc>
          <w:tcPr>
            <w:tcW w:w="973" w:type="dxa"/>
            <w:tcBorders>
              <w:top w:val="nil"/>
            </w:tcBorders>
            <w:vAlign w:val="center"/>
          </w:tcPr>
          <w:p w14:paraId="4987DB97">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170</w:t>
            </w:r>
          </w:p>
        </w:tc>
      </w:tr>
      <w:tr w14:paraId="0AE2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2AA2EAC4">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c>
          <w:tcPr>
            <w:tcW w:w="8545" w:type="dxa"/>
            <w:tcBorders>
              <w:top w:val="nil"/>
            </w:tcBorders>
            <w:vAlign w:val="center"/>
          </w:tcPr>
          <w:p w14:paraId="47152ADC">
            <w:pPr>
              <w:spacing w:line="360" w:lineRule="exact"/>
              <w:rPr>
                <w:rFonts w:ascii="Times New Roman" w:hAnsi="Times New Roman" w:eastAsia="宋体" w:cs="Times New Roman"/>
                <w:color w:val="auto"/>
                <w:szCs w:val="21"/>
              </w:rPr>
            </w:pPr>
            <w:r>
              <w:rPr>
                <w:rFonts w:hint="eastAsia" w:ascii="Times New Roman" w:hAnsi="Times New Roman" w:eastAsia="宋体" w:cs="Times New Roman"/>
                <w:color w:val="auto"/>
                <w:szCs w:val="21"/>
              </w:rPr>
              <w:t>S</w:t>
            </w:r>
            <w:r>
              <w:rPr>
                <w:rFonts w:ascii="Times New Roman" w:hAnsi="Times New Roman" w:eastAsia="宋体" w:cs="Times New Roman"/>
                <w:color w:val="auto"/>
                <w:szCs w:val="21"/>
              </w:rPr>
              <w:t>earch: ((randomized controlled trial[Title/Abstract]) OR (randomized[Title/Abstract])) OR (placebo[Title/Abstract]) Sort by: Publication Date</w:t>
            </w:r>
          </w:p>
        </w:tc>
        <w:tc>
          <w:tcPr>
            <w:tcW w:w="973" w:type="dxa"/>
            <w:tcBorders>
              <w:top w:val="nil"/>
            </w:tcBorders>
            <w:vAlign w:val="center"/>
          </w:tcPr>
          <w:p w14:paraId="121A029B">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915280</w:t>
            </w:r>
          </w:p>
        </w:tc>
      </w:tr>
      <w:tr w14:paraId="74139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35654F05">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#9</w:t>
            </w:r>
          </w:p>
        </w:tc>
        <w:tc>
          <w:tcPr>
            <w:tcW w:w="8545" w:type="dxa"/>
            <w:tcBorders>
              <w:top w:val="nil"/>
            </w:tcBorders>
            <w:vAlign w:val="center"/>
          </w:tcPr>
          <w:p w14:paraId="0A9537FB">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((("Quality of Life"[Mesh]) OR ((((Life Quality[Title/Abstract]) OR (Health-Related Quality Of Life[Title/Abstract])) OR (Health Related Quality Of Life[Title/Abstract])) OR (HRQOL[Title/Abstract]))) OR ("Motor Skills"[Mesh])) OR ((((((((Motor Skill[Title/Abstract]) OR (Skill, Motor[Title/Abstract])) OR (Skills, Motor[Title/Abstract])) OR (motor ability[Title/Abstract])) OR (motor performance[Title/Abstract])) OR (movement performance[Title/Abstract])) OR (physical performance[Title/Abstract])) OR (motor function[Title/Abstract])) Sort by: Publication Date</w:t>
            </w:r>
          </w:p>
        </w:tc>
        <w:tc>
          <w:tcPr>
            <w:tcW w:w="973" w:type="dxa"/>
            <w:tcBorders>
              <w:top w:val="nil"/>
            </w:tcBorders>
            <w:vAlign w:val="center"/>
          </w:tcPr>
          <w:p w14:paraId="19913E66">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424505</w:t>
            </w:r>
          </w:p>
        </w:tc>
      </w:tr>
      <w:tr w14:paraId="0398D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2F2C82EB">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#8</w:t>
            </w:r>
          </w:p>
        </w:tc>
        <w:tc>
          <w:tcPr>
            <w:tcW w:w="8545" w:type="dxa"/>
            <w:tcBorders>
              <w:top w:val="nil"/>
            </w:tcBorders>
            <w:vAlign w:val="center"/>
          </w:tcPr>
          <w:p w14:paraId="59A74A03">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(((((((Motor Skill[Title/Abstract]) OR (Skill, Motor[Title/Abstract])) OR (Skills, Motor[Title/Abstract])) OR (motor ability[Title/Abstract])) OR (motor performance[Title/Abstract])) OR (movement performance[Title/Abstract])) OR (physical performance[Title/Abstract])) OR (motor function[Title/Abstract]) Sort by: Publication Date</w:t>
            </w:r>
          </w:p>
        </w:tc>
        <w:tc>
          <w:tcPr>
            <w:tcW w:w="973" w:type="dxa"/>
            <w:tcBorders>
              <w:top w:val="nil"/>
            </w:tcBorders>
            <w:vAlign w:val="center"/>
          </w:tcPr>
          <w:p w14:paraId="01CF2A5D">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67891</w:t>
            </w:r>
          </w:p>
        </w:tc>
      </w:tr>
      <w:tr w14:paraId="74AFC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19F0E06A">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#7</w:t>
            </w:r>
          </w:p>
        </w:tc>
        <w:tc>
          <w:tcPr>
            <w:tcW w:w="8545" w:type="dxa"/>
            <w:tcBorders>
              <w:top w:val="nil"/>
            </w:tcBorders>
            <w:vAlign w:val="center"/>
          </w:tcPr>
          <w:p w14:paraId="48DE10E0">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"Motor Skills"[Mesh] Sort by: Most Recent</w:t>
            </w:r>
          </w:p>
        </w:tc>
        <w:tc>
          <w:tcPr>
            <w:tcW w:w="973" w:type="dxa"/>
            <w:tcBorders>
              <w:top w:val="nil"/>
            </w:tcBorders>
            <w:vAlign w:val="center"/>
          </w:tcPr>
          <w:p w14:paraId="0A3A2BD2">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27892</w:t>
            </w:r>
          </w:p>
        </w:tc>
      </w:tr>
      <w:tr w14:paraId="1C027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16C63598">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#6</w:t>
            </w:r>
          </w:p>
        </w:tc>
        <w:tc>
          <w:tcPr>
            <w:tcW w:w="8545" w:type="dxa"/>
            <w:tcBorders>
              <w:top w:val="nil"/>
            </w:tcBorders>
            <w:vAlign w:val="center"/>
          </w:tcPr>
          <w:p w14:paraId="4D02C523">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(((Life Quality[Title/Abstract]) OR (Health-Related Quality Of Life[Title/Abstract])) OR (Health Related Quality Of Life[Title/Abstract])) OR (HRQOL[Title/Abstract]) Sort by: Publication Date</w:t>
            </w:r>
          </w:p>
        </w:tc>
        <w:tc>
          <w:tcPr>
            <w:tcW w:w="973" w:type="dxa"/>
            <w:tcBorders>
              <w:top w:val="nil"/>
            </w:tcBorders>
            <w:vAlign w:val="center"/>
          </w:tcPr>
          <w:p w14:paraId="7E519D0A">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83786</w:t>
            </w:r>
          </w:p>
        </w:tc>
      </w:tr>
      <w:tr w14:paraId="5C94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25236FB4">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#5</w:t>
            </w:r>
          </w:p>
        </w:tc>
        <w:tc>
          <w:tcPr>
            <w:tcW w:w="8545" w:type="dxa"/>
            <w:vAlign w:val="center"/>
          </w:tcPr>
          <w:p w14:paraId="5B810962">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"Quality of Life"[Mesh] Sort by: Most Recent</w:t>
            </w:r>
          </w:p>
        </w:tc>
        <w:tc>
          <w:tcPr>
            <w:tcW w:w="973" w:type="dxa"/>
            <w:vAlign w:val="center"/>
          </w:tcPr>
          <w:p w14:paraId="0051C8E6">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313113</w:t>
            </w:r>
          </w:p>
        </w:tc>
      </w:tr>
      <w:tr w14:paraId="05C12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566D74B0">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#4</w:t>
            </w:r>
          </w:p>
        </w:tc>
        <w:tc>
          <w:tcPr>
            <w:tcW w:w="8545" w:type="dxa"/>
            <w:vAlign w:val="center"/>
          </w:tcPr>
          <w:p w14:paraId="40226B30">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(((((((Aerobic Exercise[Title/Abstract]) OR (Aerobic Exercises[Title/Abstract])) OR (Exercises, Aerobic[Title/Abstract])) OR (treadmill[Title/Abstract])) OR (cycling[Title/Abstract])) OR (walking[Title/Abstract])) OR (dance[Title/Abstract])) OR (Qigong[Title/Abstract]) Sort by: Publication Date</w:t>
            </w:r>
          </w:p>
        </w:tc>
        <w:tc>
          <w:tcPr>
            <w:tcW w:w="973" w:type="dxa"/>
            <w:vAlign w:val="center"/>
          </w:tcPr>
          <w:p w14:paraId="0376F5D2">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249053</w:t>
            </w:r>
          </w:p>
        </w:tc>
      </w:tr>
      <w:tr w14:paraId="3745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5D7D9CC8">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#3</w:t>
            </w:r>
          </w:p>
        </w:tc>
        <w:tc>
          <w:tcPr>
            <w:tcW w:w="8545" w:type="dxa"/>
            <w:vAlign w:val="center"/>
          </w:tcPr>
          <w:p w14:paraId="36F48637">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("Parkinson Disease"[Mesh]) OR (((((((((((Idiopathic Parkinson Disease[Title/Abstract]) OR (Idiopathic Parkinson's Disease[Title/Abstract])) OR (Lewy Body Parkinson Disease[Title/Abstract])) OR (Lewy Body Parkinson's Disease[Title/Abstract])) OR (Paralysis Agitans[Title/Abstract])) OR (Parkinson Disease, Idiopathic[Title/Abstract])) OR (Parkinson's Disease[Title/Abstract])) OR (Parkinson's Disease, Idiopathic[Title/Abstract])) OR (Parkinson's Disease, Lewy Body[Title/Abstract])) OR (Primary Parkinsonism[Title/Abstract])) OR (Parkinsonism, Primary[Title/Abstract])) Sort by: Publication Date</w:t>
            </w:r>
          </w:p>
        </w:tc>
        <w:tc>
          <w:tcPr>
            <w:tcW w:w="973" w:type="dxa"/>
            <w:vAlign w:val="center"/>
          </w:tcPr>
          <w:p w14:paraId="5DCDB27D">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147350</w:t>
            </w:r>
          </w:p>
        </w:tc>
      </w:tr>
      <w:tr w14:paraId="21D4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62830F6">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#2</w:t>
            </w:r>
          </w:p>
        </w:tc>
        <w:tc>
          <w:tcPr>
            <w:tcW w:w="8545" w:type="dxa"/>
            <w:vAlign w:val="center"/>
          </w:tcPr>
          <w:p w14:paraId="7EEB5462">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((((((((((Idiopathic Parkinson Disease[Title/Abstract]) OR (Idiopathic Parkinson's Disease[Title/Abstract])) OR (Lewy Body Parkinson Disease[Title/Abstract])) OR (Lewy Body Parkinson's Disease[Title/Abstract])) OR (Paralysis Agitans[Title/Abstract])) OR (Parkinson Disease, Idiopathic[Title/Abstract])) OR (Parkinson's Disease[Title/Abstract])) OR (Parkinson's Disease, Idiopathic[Title/Abstract])) OR (Parkinson's Disease, Lewy Body[Title/Abstract])) OR (Primary Parkinsonism[Title/Abstract])) OR (Parkinsonism, Primary[Title/Abstract]) Sort by: Publication Date</w:t>
            </w:r>
          </w:p>
        </w:tc>
        <w:tc>
          <w:tcPr>
            <w:tcW w:w="973" w:type="dxa"/>
            <w:vAlign w:val="center"/>
          </w:tcPr>
          <w:p w14:paraId="25114018">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127068</w:t>
            </w:r>
          </w:p>
        </w:tc>
      </w:tr>
      <w:tr w14:paraId="3C7EC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bottom w:val="single" w:color="auto" w:sz="12" w:space="0"/>
            </w:tcBorders>
            <w:vAlign w:val="center"/>
          </w:tcPr>
          <w:p w14:paraId="7566058D">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8545" w:type="dxa"/>
            <w:tcBorders>
              <w:bottom w:val="single" w:color="auto" w:sz="12" w:space="0"/>
            </w:tcBorders>
            <w:vAlign w:val="center"/>
          </w:tcPr>
          <w:p w14:paraId="65EFF9C4">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Search: "Parkinson Disease"[Mesh] Sort by: Most Recent</w:t>
            </w:r>
          </w:p>
        </w:tc>
        <w:tc>
          <w:tcPr>
            <w:tcW w:w="973" w:type="dxa"/>
            <w:tcBorders>
              <w:bottom w:val="single" w:color="auto" w:sz="12" w:space="0"/>
            </w:tcBorders>
            <w:vAlign w:val="center"/>
          </w:tcPr>
          <w:p w14:paraId="424DC4AC">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91938</w:t>
            </w:r>
          </w:p>
        </w:tc>
      </w:tr>
    </w:tbl>
    <w:p w14:paraId="66963D7D">
      <w:pPr>
        <w:spacing w:line="360" w:lineRule="exact"/>
        <w:rPr>
          <w:rFonts w:ascii="Times New Roman" w:hAnsi="Times New Roman" w:eastAsia="宋体" w:cs="Times New Roman"/>
          <w:b/>
          <w:bCs/>
          <w:color w:val="auto"/>
        </w:rPr>
      </w:pPr>
    </w:p>
    <w:p w14:paraId="2CC1D70D">
      <w:pPr>
        <w:spacing w:line="360" w:lineRule="exact"/>
        <w:jc w:val="left"/>
        <w:rPr>
          <w:rFonts w:ascii="Times New Roman" w:hAnsi="Times New Roman" w:eastAsia="宋体" w:cs="Times New Roman"/>
          <w:b/>
          <w:bCs/>
          <w:color w:val="auto"/>
        </w:rPr>
      </w:pPr>
      <w:r>
        <w:rPr>
          <w:rFonts w:ascii="Times New Roman" w:hAnsi="Times New Roman" w:eastAsia="宋体" w:cs="Times New Roman"/>
          <w:b/>
          <w:bCs/>
          <w:color w:val="auto"/>
        </w:rPr>
        <w:t>Table S</w:t>
      </w:r>
      <w:r>
        <w:rPr>
          <w:rFonts w:hint="eastAsia" w:ascii="Times New Roman" w:hAnsi="Times New Roman" w:eastAsia="宋体" w:cs="Times New Roman"/>
          <w:b/>
          <w:bCs/>
          <w:color w:val="auto"/>
        </w:rPr>
        <w:t>2.</w:t>
      </w:r>
      <w:r>
        <w:rPr>
          <w:rFonts w:ascii="Times New Roman" w:hAnsi="Times New Roman" w:eastAsia="宋体" w:cs="Times New Roman"/>
          <w:b/>
          <w:bCs/>
          <w:color w:val="auto"/>
        </w:rPr>
        <w:t xml:space="preserve"> </w:t>
      </w:r>
      <w:r>
        <w:rPr>
          <w:rFonts w:ascii="Times New Roman" w:hAnsi="Times New Roman" w:eastAsia="宋体" w:cs="Times New Roman"/>
          <w:color w:val="auto"/>
        </w:rPr>
        <w:t xml:space="preserve">Search strategy for </w:t>
      </w:r>
      <w:r>
        <w:rPr>
          <w:rFonts w:hint="eastAsia" w:ascii="Times New Roman" w:hAnsi="Times New Roman" w:eastAsia="宋体" w:cs="Times New Roman"/>
          <w:color w:val="auto"/>
        </w:rPr>
        <w:t>Embase</w:t>
      </w:r>
      <w:r>
        <w:rPr>
          <w:rFonts w:ascii="Times New Roman" w:hAnsi="Times New Roman" w:eastAsia="宋体" w:cs="Times New Roman"/>
          <w:color w:val="auto"/>
        </w:rPr>
        <w:t xml:space="preserve"> database</w:t>
      </w:r>
    </w:p>
    <w:tbl>
      <w:tblPr>
        <w:tblStyle w:val="5"/>
        <w:tblW w:w="107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1"/>
        <w:gridCol w:w="8523"/>
        <w:gridCol w:w="995"/>
      </w:tblGrid>
      <w:tr w14:paraId="1802D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single" w:color="auto" w:sz="12" w:space="0"/>
              <w:bottom w:val="single" w:color="auto" w:sz="6" w:space="0"/>
            </w:tcBorders>
            <w:vAlign w:val="center"/>
          </w:tcPr>
          <w:p w14:paraId="2363E41E">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Search procedure</w:t>
            </w:r>
          </w:p>
        </w:tc>
        <w:tc>
          <w:tcPr>
            <w:tcW w:w="8523" w:type="dxa"/>
            <w:tcBorders>
              <w:top w:val="single" w:color="auto" w:sz="12" w:space="0"/>
              <w:bottom w:val="single" w:color="auto" w:sz="6" w:space="0"/>
            </w:tcBorders>
            <w:vAlign w:val="center"/>
          </w:tcPr>
          <w:p w14:paraId="4A3316EF">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Query</w:t>
            </w:r>
          </w:p>
        </w:tc>
        <w:tc>
          <w:tcPr>
            <w:tcW w:w="995" w:type="dxa"/>
            <w:tcBorders>
              <w:top w:val="single" w:color="auto" w:sz="12" w:space="0"/>
              <w:bottom w:val="single" w:color="auto" w:sz="6" w:space="0"/>
            </w:tcBorders>
            <w:vAlign w:val="center"/>
          </w:tcPr>
          <w:p w14:paraId="2503A5F8">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b/>
                <w:bCs/>
                <w:color w:val="auto"/>
                <w:szCs w:val="21"/>
              </w:rPr>
              <w:t>Results</w:t>
            </w:r>
          </w:p>
        </w:tc>
      </w:tr>
      <w:tr w14:paraId="70C68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40289849">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3</w:t>
            </w:r>
          </w:p>
        </w:tc>
        <w:tc>
          <w:tcPr>
            <w:tcW w:w="8523" w:type="dxa"/>
            <w:tcBorders>
              <w:top w:val="nil"/>
            </w:tcBorders>
            <w:vAlign w:val="center"/>
          </w:tcPr>
          <w:p w14:paraId="70670F9E">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#3 AND #6 AND #11 AND #12</w:t>
            </w:r>
          </w:p>
        </w:tc>
        <w:tc>
          <w:tcPr>
            <w:tcW w:w="995" w:type="dxa"/>
            <w:tcBorders>
              <w:top w:val="nil"/>
            </w:tcBorders>
            <w:vAlign w:val="center"/>
          </w:tcPr>
          <w:p w14:paraId="3CCF1E34">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618</w:t>
            </w:r>
          </w:p>
        </w:tc>
      </w:tr>
      <w:tr w14:paraId="5E1F8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0BA27B29">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2</w:t>
            </w:r>
          </w:p>
        </w:tc>
        <w:tc>
          <w:tcPr>
            <w:tcW w:w="8523" w:type="dxa"/>
            <w:tcBorders>
              <w:top w:val="nil"/>
            </w:tcBorders>
            <w:vAlign w:val="center"/>
          </w:tcPr>
          <w:p w14:paraId="735B9228">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'randomized controlled trial':ab,ti OR 'randomized':ab,ti OR 'placebo':ab,ti</w:t>
            </w:r>
          </w:p>
        </w:tc>
        <w:tc>
          <w:tcPr>
            <w:tcW w:w="995" w:type="dxa"/>
            <w:tcBorders>
              <w:top w:val="nil"/>
            </w:tcBorders>
            <w:vAlign w:val="center"/>
          </w:tcPr>
          <w:p w14:paraId="1B030690">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1509389</w:t>
            </w:r>
          </w:p>
        </w:tc>
      </w:tr>
      <w:tr w14:paraId="1F0C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7AF8F564">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#11</w:t>
            </w:r>
          </w:p>
        </w:tc>
        <w:tc>
          <w:tcPr>
            <w:tcW w:w="8523" w:type="dxa"/>
            <w:tcBorders>
              <w:top w:val="nil"/>
            </w:tcBorders>
            <w:vAlign w:val="center"/>
          </w:tcPr>
          <w:p w14:paraId="3BEB052C">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#7 OR #8 OR #9 OR #10</w:t>
            </w:r>
          </w:p>
        </w:tc>
        <w:tc>
          <w:tcPr>
            <w:tcW w:w="995" w:type="dxa"/>
            <w:tcBorders>
              <w:top w:val="nil"/>
            </w:tcBorders>
            <w:vAlign w:val="center"/>
          </w:tcPr>
          <w:p w14:paraId="42324EF6">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1020882</w:t>
            </w:r>
          </w:p>
        </w:tc>
      </w:tr>
      <w:tr w14:paraId="5E17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2D9CCDD5">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c>
          <w:tcPr>
            <w:tcW w:w="8523" w:type="dxa"/>
            <w:tcBorders>
              <w:top w:val="nil"/>
            </w:tcBorders>
            <w:vAlign w:val="center"/>
          </w:tcPr>
          <w:p w14:paraId="73912291">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'motor ability':ab,ti OR 'motor control':ab,ti OR 'motor skills':ab,ti OR 'movement performance':ab,ti OR 'physical performance':ab,ti OR 'neuromuscular performance':ab,ti OR 'motor function':ab,ti</w:t>
            </w:r>
          </w:p>
        </w:tc>
        <w:tc>
          <w:tcPr>
            <w:tcW w:w="995" w:type="dxa"/>
            <w:tcBorders>
              <w:top w:val="nil"/>
            </w:tcBorders>
            <w:vAlign w:val="center"/>
          </w:tcPr>
          <w:p w14:paraId="21E80BBD">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111315</w:t>
            </w:r>
          </w:p>
        </w:tc>
      </w:tr>
      <w:tr w14:paraId="085F7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37CA77BF">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#9</w:t>
            </w:r>
          </w:p>
        </w:tc>
        <w:tc>
          <w:tcPr>
            <w:tcW w:w="8523" w:type="dxa"/>
            <w:tcBorders>
              <w:top w:val="nil"/>
            </w:tcBorders>
            <w:vAlign w:val="center"/>
          </w:tcPr>
          <w:p w14:paraId="6D609D25">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'motor performance'/exp</w:t>
            </w:r>
          </w:p>
        </w:tc>
        <w:tc>
          <w:tcPr>
            <w:tcW w:w="995" w:type="dxa"/>
            <w:tcBorders>
              <w:top w:val="nil"/>
            </w:tcBorders>
            <w:vAlign w:val="center"/>
          </w:tcPr>
          <w:p w14:paraId="2E798E93">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111423</w:t>
            </w:r>
          </w:p>
        </w:tc>
      </w:tr>
      <w:tr w14:paraId="3F20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51E15205">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#8</w:t>
            </w:r>
          </w:p>
        </w:tc>
        <w:tc>
          <w:tcPr>
            <w:tcW w:w="8523" w:type="dxa"/>
            <w:tcBorders>
              <w:top w:val="nil"/>
            </w:tcBorders>
            <w:vAlign w:val="center"/>
          </w:tcPr>
          <w:p w14:paraId="4C147E2E">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'life quality':ab,ti OR 'health-related quality of life':ab,ti OR 'health related quality of life':ab,ti OR 'hrqol':ab,ti</w:t>
            </w:r>
          </w:p>
        </w:tc>
        <w:tc>
          <w:tcPr>
            <w:tcW w:w="995" w:type="dxa"/>
            <w:tcBorders>
              <w:top w:val="nil"/>
            </w:tcBorders>
            <w:vAlign w:val="center"/>
          </w:tcPr>
          <w:p w14:paraId="493987EC">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128927</w:t>
            </w:r>
          </w:p>
        </w:tc>
      </w:tr>
      <w:tr w14:paraId="03C2F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536D55A9">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#7</w:t>
            </w:r>
          </w:p>
        </w:tc>
        <w:tc>
          <w:tcPr>
            <w:tcW w:w="8523" w:type="dxa"/>
            <w:tcBorders>
              <w:top w:val="nil"/>
            </w:tcBorders>
            <w:vAlign w:val="center"/>
          </w:tcPr>
          <w:p w14:paraId="247C137B">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'quality of life'/exp</w:t>
            </w:r>
          </w:p>
        </w:tc>
        <w:tc>
          <w:tcPr>
            <w:tcW w:w="995" w:type="dxa"/>
            <w:tcBorders>
              <w:top w:val="nil"/>
            </w:tcBorders>
            <w:vAlign w:val="center"/>
          </w:tcPr>
          <w:p w14:paraId="47041C6A">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839863</w:t>
            </w:r>
          </w:p>
        </w:tc>
      </w:tr>
      <w:tr w14:paraId="6459B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6A0A50F7">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#6</w:t>
            </w:r>
          </w:p>
        </w:tc>
        <w:tc>
          <w:tcPr>
            <w:tcW w:w="8523" w:type="dxa"/>
            <w:tcBorders>
              <w:top w:val="nil"/>
            </w:tcBorders>
            <w:vAlign w:val="center"/>
          </w:tcPr>
          <w:p w14:paraId="28D0F583">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#4 OR #5</w:t>
            </w:r>
          </w:p>
        </w:tc>
        <w:tc>
          <w:tcPr>
            <w:tcW w:w="995" w:type="dxa"/>
            <w:tcBorders>
              <w:top w:val="nil"/>
            </w:tcBorders>
            <w:vAlign w:val="center"/>
          </w:tcPr>
          <w:p w14:paraId="73677E00">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615903</w:t>
            </w:r>
          </w:p>
        </w:tc>
      </w:tr>
      <w:tr w14:paraId="27FEB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60CB2505">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#5</w:t>
            </w:r>
          </w:p>
        </w:tc>
        <w:tc>
          <w:tcPr>
            <w:tcW w:w="8523" w:type="dxa"/>
            <w:vAlign w:val="center"/>
          </w:tcPr>
          <w:p w14:paraId="6C580DE0">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'exercise, physical':ab,ti OR 'exercises, physical':ab,ti OR 'physical exercise':ab,ti OR 'physical exercises':ab,ti OR 'exercise, aerobic':ab,ti OR 'aerobic exercises':ab,ti OR 'exercises, aerobic':ab,ti OR 'acute exercise':ab,ti OR 'acute exercises':ab,ti OR 'exercise, acute':ab,ti OR 'exercises, acute':ab,ti OR 'exercise training':ab,ti OR 'exercise trainings':ab,ti OR 'training, exercise':ab,ti OR 'trainings, exercise':ab,ti OR 'physical activity':ab,ti OR 'activities, physical':ab,ti OR 'activity, physical':ab,ti OR 'physical activities':ab,ti OR 'endurance training':ab,ti OR 'physical fitness':ab,ti OR 'exercise therapy':ab,ti OR 'remedial exercise':ab,ti OR 'exercise therapies':ab,ti OR 'treadmill':ab,ti OR 'cycling':ab,ti OR 'walking':ab,ti OR 'dance':ab,ti OR 'qigong':ab,ti</w:t>
            </w:r>
          </w:p>
        </w:tc>
        <w:tc>
          <w:tcPr>
            <w:tcW w:w="995" w:type="dxa"/>
            <w:vAlign w:val="center"/>
          </w:tcPr>
          <w:p w14:paraId="09193B25">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602817</w:t>
            </w:r>
          </w:p>
        </w:tc>
      </w:tr>
      <w:tr w14:paraId="657C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2850978">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#4</w:t>
            </w:r>
          </w:p>
        </w:tc>
        <w:tc>
          <w:tcPr>
            <w:tcW w:w="8523" w:type="dxa"/>
            <w:vAlign w:val="center"/>
          </w:tcPr>
          <w:p w14:paraId="74C9309C">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'aerobic exercise'/exp</w:t>
            </w:r>
          </w:p>
        </w:tc>
        <w:tc>
          <w:tcPr>
            <w:tcW w:w="995" w:type="dxa"/>
            <w:vAlign w:val="center"/>
          </w:tcPr>
          <w:p w14:paraId="655ABFCA">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30535</w:t>
            </w:r>
          </w:p>
        </w:tc>
      </w:tr>
      <w:tr w14:paraId="47A3F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6C47D8C">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#3</w:t>
            </w:r>
          </w:p>
        </w:tc>
        <w:tc>
          <w:tcPr>
            <w:tcW w:w="8523" w:type="dxa"/>
            <w:vAlign w:val="center"/>
          </w:tcPr>
          <w:p w14:paraId="6B114BA2">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#1 OR #2</w:t>
            </w:r>
          </w:p>
        </w:tc>
        <w:tc>
          <w:tcPr>
            <w:tcW w:w="995" w:type="dxa"/>
            <w:vAlign w:val="center"/>
          </w:tcPr>
          <w:p w14:paraId="118F75B9">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229173</w:t>
            </w:r>
          </w:p>
        </w:tc>
      </w:tr>
      <w:tr w14:paraId="10C0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7FBD792">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#2</w:t>
            </w:r>
          </w:p>
        </w:tc>
        <w:tc>
          <w:tcPr>
            <w:tcW w:w="8523" w:type="dxa"/>
            <w:vAlign w:val="center"/>
          </w:tcPr>
          <w:p w14:paraId="1389E790">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'idiopathic parkinson disease':ab,ti OR 'lewy body parkinson disease':ab,ti OR 'paralysis agitans':ab,ti OR 'parkinson disease, idiopathic':ab,ti OR 'primary parkinsonism':ab,ti OR 'parkinsonism, primary':ab,ti</w:t>
            </w:r>
          </w:p>
        </w:tc>
        <w:tc>
          <w:tcPr>
            <w:tcW w:w="995" w:type="dxa"/>
            <w:vAlign w:val="center"/>
          </w:tcPr>
          <w:p w14:paraId="2C854BF7">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792</w:t>
            </w:r>
          </w:p>
        </w:tc>
      </w:tr>
      <w:tr w14:paraId="3B7C2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bottom w:val="single" w:color="auto" w:sz="12" w:space="0"/>
            </w:tcBorders>
            <w:vAlign w:val="center"/>
          </w:tcPr>
          <w:p w14:paraId="34098ABD">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8523" w:type="dxa"/>
            <w:tcBorders>
              <w:bottom w:val="single" w:color="auto" w:sz="12" w:space="0"/>
            </w:tcBorders>
            <w:vAlign w:val="center"/>
          </w:tcPr>
          <w:p w14:paraId="6D1C4DAC">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'parkinson disease'/exp</w:t>
            </w:r>
          </w:p>
        </w:tc>
        <w:tc>
          <w:tcPr>
            <w:tcW w:w="995" w:type="dxa"/>
            <w:tcBorders>
              <w:bottom w:val="single" w:color="auto" w:sz="12" w:space="0"/>
            </w:tcBorders>
            <w:vAlign w:val="center"/>
          </w:tcPr>
          <w:p w14:paraId="71DCB797">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229090</w:t>
            </w:r>
          </w:p>
        </w:tc>
      </w:tr>
    </w:tbl>
    <w:p w14:paraId="244A31D1">
      <w:pPr>
        <w:spacing w:line="360" w:lineRule="exact"/>
        <w:jc w:val="center"/>
        <w:rPr>
          <w:rFonts w:ascii="Times New Roman" w:hAnsi="Times New Roman" w:eastAsia="宋体" w:cs="Times New Roman"/>
          <w:b/>
          <w:bCs/>
          <w:color w:val="auto"/>
        </w:rPr>
      </w:pPr>
    </w:p>
    <w:p w14:paraId="4D65EDE6">
      <w:pPr>
        <w:spacing w:line="360" w:lineRule="exact"/>
        <w:jc w:val="left"/>
        <w:rPr>
          <w:rFonts w:ascii="Times New Roman" w:hAnsi="Times New Roman" w:eastAsia="宋体" w:cs="Times New Roman"/>
          <w:b/>
          <w:bCs/>
          <w:color w:val="auto"/>
        </w:rPr>
      </w:pPr>
      <w:r>
        <w:rPr>
          <w:rFonts w:ascii="Times New Roman" w:hAnsi="Times New Roman" w:eastAsia="宋体" w:cs="Times New Roman"/>
          <w:b/>
          <w:bCs/>
          <w:color w:val="auto"/>
        </w:rPr>
        <w:t>Table S</w:t>
      </w:r>
      <w:r>
        <w:rPr>
          <w:rFonts w:hint="eastAsia" w:ascii="Times New Roman" w:hAnsi="Times New Roman" w:eastAsia="宋体" w:cs="Times New Roman"/>
          <w:b/>
          <w:bCs/>
          <w:color w:val="auto"/>
        </w:rPr>
        <w:t>3.</w:t>
      </w:r>
      <w:r>
        <w:rPr>
          <w:rFonts w:ascii="Times New Roman" w:hAnsi="Times New Roman" w:eastAsia="宋体" w:cs="Times New Roman"/>
          <w:b/>
          <w:bCs/>
          <w:color w:val="auto"/>
        </w:rPr>
        <w:t xml:space="preserve"> </w:t>
      </w:r>
      <w:r>
        <w:rPr>
          <w:rFonts w:ascii="Times New Roman" w:hAnsi="Times New Roman" w:eastAsia="宋体" w:cs="Times New Roman"/>
          <w:color w:val="auto"/>
        </w:rPr>
        <w:t xml:space="preserve">Search strategy for </w:t>
      </w:r>
      <w:r>
        <w:rPr>
          <w:rFonts w:hint="eastAsia" w:ascii="Times New Roman" w:hAnsi="Times New Roman" w:eastAsia="宋体" w:cs="Times New Roman"/>
          <w:color w:val="auto"/>
        </w:rPr>
        <w:t>Cochrane Library</w:t>
      </w:r>
      <w:r>
        <w:rPr>
          <w:rFonts w:ascii="Times New Roman" w:hAnsi="Times New Roman" w:eastAsia="宋体" w:cs="Times New Roman"/>
          <w:color w:val="auto"/>
        </w:rPr>
        <w:t xml:space="preserve"> database</w:t>
      </w:r>
    </w:p>
    <w:tbl>
      <w:tblPr>
        <w:tblStyle w:val="5"/>
        <w:tblW w:w="107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1"/>
        <w:gridCol w:w="8545"/>
        <w:gridCol w:w="973"/>
      </w:tblGrid>
      <w:tr w14:paraId="71114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single" w:color="auto" w:sz="12" w:space="0"/>
              <w:bottom w:val="single" w:color="auto" w:sz="6" w:space="0"/>
            </w:tcBorders>
            <w:vAlign w:val="center"/>
          </w:tcPr>
          <w:p w14:paraId="5A647BA0">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Search procedure</w:t>
            </w:r>
          </w:p>
        </w:tc>
        <w:tc>
          <w:tcPr>
            <w:tcW w:w="8545" w:type="dxa"/>
            <w:tcBorders>
              <w:top w:val="single" w:color="auto" w:sz="12" w:space="0"/>
              <w:bottom w:val="single" w:color="auto" w:sz="6" w:space="0"/>
            </w:tcBorders>
            <w:vAlign w:val="center"/>
          </w:tcPr>
          <w:p w14:paraId="5BE7989E">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Query</w:t>
            </w:r>
          </w:p>
        </w:tc>
        <w:tc>
          <w:tcPr>
            <w:tcW w:w="973" w:type="dxa"/>
            <w:tcBorders>
              <w:top w:val="single" w:color="auto" w:sz="12" w:space="0"/>
              <w:bottom w:val="single" w:color="auto" w:sz="6" w:space="0"/>
            </w:tcBorders>
            <w:vAlign w:val="center"/>
          </w:tcPr>
          <w:p w14:paraId="5ED6CA07">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b/>
                <w:bCs/>
                <w:color w:val="auto"/>
                <w:szCs w:val="21"/>
              </w:rPr>
              <w:t>Results</w:t>
            </w:r>
          </w:p>
        </w:tc>
      </w:tr>
      <w:tr w14:paraId="7EDDD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3EBF4D06">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#9</w:t>
            </w:r>
          </w:p>
        </w:tc>
        <w:tc>
          <w:tcPr>
            <w:tcW w:w="8545" w:type="dxa"/>
            <w:tcBorders>
              <w:top w:val="nil"/>
            </w:tcBorders>
            <w:vAlign w:val="center"/>
          </w:tcPr>
          <w:p w14:paraId="4BFABD10">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#3 and #4 and #8</w:t>
            </w:r>
          </w:p>
        </w:tc>
        <w:tc>
          <w:tcPr>
            <w:tcW w:w="973" w:type="dxa"/>
            <w:tcBorders>
              <w:top w:val="nil"/>
            </w:tcBorders>
            <w:vAlign w:val="center"/>
          </w:tcPr>
          <w:p w14:paraId="6D33FF81">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1829</w:t>
            </w:r>
          </w:p>
        </w:tc>
      </w:tr>
      <w:tr w14:paraId="512F6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1FD6ABB9">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#8</w:t>
            </w:r>
          </w:p>
        </w:tc>
        <w:tc>
          <w:tcPr>
            <w:tcW w:w="8545" w:type="dxa"/>
            <w:tcBorders>
              <w:top w:val="nil"/>
            </w:tcBorders>
            <w:vAlign w:val="center"/>
          </w:tcPr>
          <w:p w14:paraId="0986ACA8">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#5 or #6 or #7</w:t>
            </w:r>
          </w:p>
        </w:tc>
        <w:tc>
          <w:tcPr>
            <w:tcW w:w="973" w:type="dxa"/>
            <w:tcBorders>
              <w:top w:val="nil"/>
            </w:tcBorders>
            <w:vAlign w:val="center"/>
          </w:tcPr>
          <w:p w14:paraId="0E9A5159">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247058</w:t>
            </w:r>
          </w:p>
        </w:tc>
      </w:tr>
      <w:tr w14:paraId="7D0A2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2355873D">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#7</w:t>
            </w:r>
          </w:p>
        </w:tc>
        <w:tc>
          <w:tcPr>
            <w:tcW w:w="8545" w:type="dxa"/>
            <w:tcBorders>
              <w:top w:val="nil"/>
            </w:tcBorders>
            <w:vAlign w:val="center"/>
          </w:tcPr>
          <w:p w14:paraId="2331EBEE">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(motor function):ti,ab,kw or (motor ability):ti,ab,kw or (motor control):ti,ab,kw or (motor skills):ti,ab,kw or (movement performance):ti,ab,kw or (physical performance):ti,ab,kw or (neuromuscular performance):ti,ab,kw</w:t>
            </w:r>
          </w:p>
        </w:tc>
        <w:tc>
          <w:tcPr>
            <w:tcW w:w="973" w:type="dxa"/>
            <w:tcBorders>
              <w:top w:val="nil"/>
            </w:tcBorders>
            <w:vAlign w:val="center"/>
          </w:tcPr>
          <w:p w14:paraId="4D34C8DA">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65831</w:t>
            </w:r>
          </w:p>
        </w:tc>
      </w:tr>
      <w:tr w14:paraId="6492A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0885D9EE">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#6</w:t>
            </w:r>
          </w:p>
        </w:tc>
        <w:tc>
          <w:tcPr>
            <w:tcW w:w="8545" w:type="dxa"/>
            <w:tcBorders>
              <w:top w:val="nil"/>
            </w:tcBorders>
            <w:vAlign w:val="center"/>
          </w:tcPr>
          <w:p w14:paraId="12063C88">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(Life Quality):ti,ab,kw or (Health-Related Quality Of Life):ti,ab,kw or (Health Related Quality Of Life):ti,ab,kw or (HRQOL):ti,ab,kw</w:t>
            </w:r>
          </w:p>
        </w:tc>
        <w:tc>
          <w:tcPr>
            <w:tcW w:w="973" w:type="dxa"/>
            <w:tcBorders>
              <w:top w:val="nil"/>
            </w:tcBorders>
            <w:vAlign w:val="center"/>
          </w:tcPr>
          <w:p w14:paraId="144CE24F">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192274</w:t>
            </w:r>
          </w:p>
        </w:tc>
      </w:tr>
      <w:tr w14:paraId="38E1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6A0FD43D">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#5</w:t>
            </w:r>
          </w:p>
        </w:tc>
        <w:tc>
          <w:tcPr>
            <w:tcW w:w="8545" w:type="dxa"/>
            <w:vAlign w:val="center"/>
          </w:tcPr>
          <w:p w14:paraId="7C4E23DD">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MeSH descriptor: [Quality of Life] explode all trees</w:t>
            </w:r>
          </w:p>
        </w:tc>
        <w:tc>
          <w:tcPr>
            <w:tcW w:w="973" w:type="dxa"/>
            <w:vAlign w:val="center"/>
          </w:tcPr>
          <w:p w14:paraId="5CC2D137">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45919</w:t>
            </w:r>
          </w:p>
        </w:tc>
      </w:tr>
      <w:tr w14:paraId="18F62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2E06A0FE">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#4</w:t>
            </w:r>
          </w:p>
        </w:tc>
        <w:tc>
          <w:tcPr>
            <w:tcW w:w="8545" w:type="dxa"/>
            <w:vAlign w:val="center"/>
          </w:tcPr>
          <w:p w14:paraId="4F5B0744">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(Exercise, Physical):ti,ab,kw or (Exercises, Physical):ti,ab,kw or (Physical Exercise):ti,ab,kw or (Physical Exercises):ti,ab,kw or (Exercise, Aerobic):ti,ab,kw or (Aerobic Exercise):ti,ab,kw or (Aerobic Exercises):ti,ab,kw or (Exercises, Aerobic):ti,ab,kw or (Acute Exercise):ti,ab,kw or (Acute Exercises):ti,ab,kw or (Exercises, Acute):ti,ab,kw or (Exercise, Acute):ti,ab,kw or (Exercise Training):ti,ab,kw or (Exercise Trainings):ti,ab,kw or (Training, Exercise):ti,ab,kw or (Trainings, Exercise):ti,ab,kw or (Physical Activity):ti,ab,kw or (Activities, Physical):ti,ab,kw or (Activity, Physical):ti,ab,kw or (Physical Activities):ti,ab,kw or (Endurance Training):ti,ab,kw or (Physical Fitness):ti,ab,kw or (Exercise Therapy):ti,ab,kw or (Remedial Exercise):ti,ab,kw or (Exercise Therapies):ti,ab,kw or (treadmill):ti,ab,kw or (cycling):ti,ab,kw or (walking):ti,ab,kw or (dance):ti,ab,kw or (Qigong):ti,ab,kw</w:t>
            </w:r>
          </w:p>
        </w:tc>
        <w:tc>
          <w:tcPr>
            <w:tcW w:w="973" w:type="dxa"/>
            <w:vAlign w:val="center"/>
          </w:tcPr>
          <w:p w14:paraId="7232911E">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187367</w:t>
            </w:r>
          </w:p>
        </w:tc>
      </w:tr>
      <w:tr w14:paraId="7F375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376E2E8A">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#3</w:t>
            </w:r>
          </w:p>
        </w:tc>
        <w:tc>
          <w:tcPr>
            <w:tcW w:w="8545" w:type="dxa"/>
            <w:vAlign w:val="center"/>
          </w:tcPr>
          <w:p w14:paraId="18FC233A">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#1 or #2</w:t>
            </w:r>
          </w:p>
        </w:tc>
        <w:tc>
          <w:tcPr>
            <w:tcW w:w="973" w:type="dxa"/>
            <w:vAlign w:val="center"/>
          </w:tcPr>
          <w:p w14:paraId="1BE0194D">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14249</w:t>
            </w:r>
          </w:p>
        </w:tc>
      </w:tr>
      <w:tr w14:paraId="7782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0A542114">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#2</w:t>
            </w:r>
          </w:p>
        </w:tc>
        <w:tc>
          <w:tcPr>
            <w:tcW w:w="8545" w:type="dxa"/>
            <w:vAlign w:val="center"/>
          </w:tcPr>
          <w:p w14:paraId="5885BF53">
            <w:pPr>
              <w:spacing w:line="360" w:lineRule="exact"/>
              <w:rPr>
                <w:rFonts w:ascii="Times New Roman" w:hAnsi="Times New Roman" w:eastAsia="宋体" w:cs="Times New Roman"/>
                <w:color w:val="auto"/>
                <w:szCs w:val="21"/>
              </w:rPr>
            </w:pPr>
            <w:r>
              <w:rPr>
                <w:rFonts w:ascii="Times New Roman" w:hAnsi="Times New Roman" w:cs="Times New Roman"/>
                <w:color w:val="auto"/>
                <w:szCs w:val="21"/>
              </w:rPr>
              <w:t>(Idiopathic Parkinson Disease):ti,ab,kw or (Idiopathic Parkinson's Disease):ti,ab,kw or (Lewy Body Parkinson Disease):ti,ab,kw or (Lewy Body Parkinson's Disease):ti,ab,kw or (Paralysis Agitans):ti,ab,kw or (Parkinson Disease, Idiopathic):ti,ab,kw or (Parkinson's Disease):ti,ab,kw or (Parkinson's Disease, Idiopathic):ti,ab,kw or (Parkinson's Disease, Lewy Body):ti,ab,kw or (Primary Parkinsonism):ti,ab,kw or (Parkinsonism, Primary):ti,ab,kw</w:t>
            </w:r>
          </w:p>
        </w:tc>
        <w:tc>
          <w:tcPr>
            <w:tcW w:w="973" w:type="dxa"/>
            <w:vAlign w:val="center"/>
          </w:tcPr>
          <w:p w14:paraId="1E09C2CC">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14249</w:t>
            </w:r>
          </w:p>
        </w:tc>
      </w:tr>
      <w:tr w14:paraId="26409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bottom w:val="single" w:color="auto" w:sz="12" w:space="0"/>
            </w:tcBorders>
            <w:vAlign w:val="center"/>
          </w:tcPr>
          <w:p w14:paraId="71B1447C">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8545" w:type="dxa"/>
            <w:tcBorders>
              <w:bottom w:val="single" w:color="auto" w:sz="12" w:space="0"/>
            </w:tcBorders>
            <w:vAlign w:val="center"/>
          </w:tcPr>
          <w:p w14:paraId="389D3791">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MeSH descriptor: [Parkinson Disease] explode all trees</w:t>
            </w:r>
          </w:p>
        </w:tc>
        <w:tc>
          <w:tcPr>
            <w:tcW w:w="973" w:type="dxa"/>
            <w:tcBorders>
              <w:bottom w:val="single" w:color="auto" w:sz="12" w:space="0"/>
            </w:tcBorders>
            <w:vAlign w:val="center"/>
          </w:tcPr>
          <w:p w14:paraId="02698C86">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6377</w:t>
            </w:r>
          </w:p>
        </w:tc>
      </w:tr>
    </w:tbl>
    <w:p w14:paraId="162623E5">
      <w:pPr>
        <w:spacing w:line="360" w:lineRule="exact"/>
        <w:jc w:val="center"/>
        <w:rPr>
          <w:rFonts w:ascii="Times New Roman" w:hAnsi="Times New Roman" w:eastAsia="宋体" w:cs="Times New Roman"/>
          <w:b/>
          <w:bCs/>
          <w:color w:val="auto"/>
        </w:rPr>
      </w:pPr>
    </w:p>
    <w:p w14:paraId="503BB812">
      <w:pPr>
        <w:spacing w:line="360" w:lineRule="exact"/>
        <w:jc w:val="left"/>
        <w:rPr>
          <w:rFonts w:ascii="Times New Roman" w:hAnsi="Times New Roman" w:eastAsia="宋体" w:cs="Times New Roman"/>
          <w:b/>
          <w:bCs/>
          <w:color w:val="auto"/>
        </w:rPr>
      </w:pPr>
      <w:r>
        <w:rPr>
          <w:rFonts w:ascii="Times New Roman" w:hAnsi="Times New Roman" w:eastAsia="宋体" w:cs="Times New Roman"/>
          <w:b/>
          <w:bCs/>
          <w:color w:val="auto"/>
        </w:rPr>
        <w:t>Table S</w:t>
      </w:r>
      <w:r>
        <w:rPr>
          <w:rFonts w:hint="eastAsia" w:ascii="Times New Roman" w:hAnsi="Times New Roman" w:eastAsia="宋体" w:cs="Times New Roman"/>
          <w:b/>
          <w:bCs/>
          <w:color w:val="auto"/>
        </w:rPr>
        <w:t>4.</w:t>
      </w:r>
      <w:r>
        <w:rPr>
          <w:rFonts w:ascii="Times New Roman" w:hAnsi="Times New Roman" w:eastAsia="宋体" w:cs="Times New Roman"/>
          <w:b/>
          <w:bCs/>
          <w:color w:val="auto"/>
        </w:rPr>
        <w:t xml:space="preserve"> </w:t>
      </w:r>
      <w:r>
        <w:rPr>
          <w:rFonts w:ascii="Times New Roman" w:hAnsi="Times New Roman" w:eastAsia="宋体" w:cs="Times New Roman"/>
          <w:color w:val="auto"/>
        </w:rPr>
        <w:t xml:space="preserve">Search strategy for </w:t>
      </w:r>
      <w:r>
        <w:rPr>
          <w:rFonts w:hint="eastAsia" w:ascii="Times New Roman" w:hAnsi="Times New Roman" w:eastAsia="宋体" w:cs="Times New Roman"/>
          <w:color w:val="auto"/>
        </w:rPr>
        <w:t xml:space="preserve">Web of Science </w:t>
      </w:r>
      <w:r>
        <w:rPr>
          <w:rFonts w:ascii="Times New Roman" w:hAnsi="Times New Roman" w:eastAsia="宋体" w:cs="Times New Roman"/>
          <w:color w:val="auto"/>
        </w:rPr>
        <w:t>database</w:t>
      </w:r>
    </w:p>
    <w:tbl>
      <w:tblPr>
        <w:tblStyle w:val="5"/>
        <w:tblW w:w="107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1"/>
        <w:gridCol w:w="8567"/>
        <w:gridCol w:w="951"/>
      </w:tblGrid>
      <w:tr w14:paraId="3E51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single" w:color="auto" w:sz="12" w:space="0"/>
              <w:bottom w:val="single" w:color="auto" w:sz="6" w:space="0"/>
            </w:tcBorders>
            <w:vAlign w:val="center"/>
          </w:tcPr>
          <w:p w14:paraId="1E116701">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Search procedure</w:t>
            </w:r>
          </w:p>
        </w:tc>
        <w:tc>
          <w:tcPr>
            <w:tcW w:w="8567" w:type="dxa"/>
            <w:tcBorders>
              <w:top w:val="single" w:color="auto" w:sz="12" w:space="0"/>
              <w:bottom w:val="single" w:color="auto" w:sz="6" w:space="0"/>
            </w:tcBorders>
            <w:vAlign w:val="center"/>
          </w:tcPr>
          <w:p w14:paraId="1CA94A63">
            <w:pPr>
              <w:spacing w:line="360" w:lineRule="exact"/>
              <w:jc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rPr>
              <w:t>Query</w:t>
            </w:r>
          </w:p>
        </w:tc>
        <w:tc>
          <w:tcPr>
            <w:tcW w:w="951" w:type="dxa"/>
            <w:tcBorders>
              <w:top w:val="single" w:color="auto" w:sz="12" w:space="0"/>
              <w:bottom w:val="single" w:color="auto" w:sz="6" w:space="0"/>
            </w:tcBorders>
            <w:vAlign w:val="center"/>
          </w:tcPr>
          <w:p w14:paraId="25977436">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b/>
                <w:bCs/>
                <w:color w:val="auto"/>
                <w:szCs w:val="21"/>
              </w:rPr>
              <w:t>Results</w:t>
            </w:r>
          </w:p>
        </w:tc>
      </w:tr>
      <w:tr w14:paraId="2BFBF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6887BACD">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#5</w:t>
            </w:r>
          </w:p>
        </w:tc>
        <w:tc>
          <w:tcPr>
            <w:tcW w:w="8567" w:type="dxa"/>
            <w:vAlign w:val="center"/>
          </w:tcPr>
          <w:p w14:paraId="3A164488">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#1 AND #2 AND #3 AND #4 and Preprint Citation Index (Exclude – Database) and Research Commons (Exclude – Database)</w:t>
            </w:r>
          </w:p>
        </w:tc>
        <w:tc>
          <w:tcPr>
            <w:tcW w:w="951" w:type="dxa"/>
            <w:vAlign w:val="center"/>
          </w:tcPr>
          <w:p w14:paraId="034FEB21">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1068</w:t>
            </w:r>
          </w:p>
        </w:tc>
      </w:tr>
      <w:tr w14:paraId="6E59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D19285A">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#4</w:t>
            </w:r>
          </w:p>
        </w:tc>
        <w:tc>
          <w:tcPr>
            <w:tcW w:w="8567" w:type="dxa"/>
            <w:vAlign w:val="center"/>
          </w:tcPr>
          <w:p w14:paraId="492DFBAE">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randomized controlled trial (Topic) or randomized (Topic) or placebo (Topic) and Preprint Citation Index (Exclude – Database) and Research Commons (Exclude – Database)</w:t>
            </w:r>
          </w:p>
        </w:tc>
        <w:tc>
          <w:tcPr>
            <w:tcW w:w="951" w:type="dxa"/>
            <w:vAlign w:val="center"/>
          </w:tcPr>
          <w:p w14:paraId="041D2D23">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1782697</w:t>
            </w:r>
          </w:p>
        </w:tc>
      </w:tr>
      <w:tr w14:paraId="541B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3CE7B26">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#3</w:t>
            </w:r>
          </w:p>
        </w:tc>
        <w:tc>
          <w:tcPr>
            <w:tcW w:w="8567" w:type="dxa"/>
            <w:vAlign w:val="center"/>
          </w:tcPr>
          <w:p w14:paraId="53575E29">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Quality of Life (Topic) or Life Quality (Topic) or Health-Related Quality Of Life (Topic) or Health Related Quality Of Life (Topic) or HRQOL (Topic) or motor function (Topic) or motor ability (Topic) or motor control (Topic) or motor skills (Topic) or movement performance (Topic) or physical performance (Topic) or neuromuscular performance (Topic) and Preprint Citation Index (Exclude – Database) and Research Commons (Exclude – Database)</w:t>
            </w:r>
          </w:p>
        </w:tc>
        <w:tc>
          <w:tcPr>
            <w:tcW w:w="951" w:type="dxa"/>
            <w:vAlign w:val="center"/>
          </w:tcPr>
          <w:p w14:paraId="59C42063">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3261730</w:t>
            </w:r>
          </w:p>
        </w:tc>
      </w:tr>
      <w:tr w14:paraId="4F88D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384432D3">
            <w:pPr>
              <w:spacing w:line="360" w:lineRule="exact"/>
              <w:ind w:firstLine="420" w:firstLineChars="200"/>
              <w:rPr>
                <w:rFonts w:ascii="Times New Roman" w:hAnsi="Times New Roman" w:eastAsia="宋体" w:cs="Times New Roman"/>
                <w:b/>
                <w:bCs/>
                <w:color w:val="auto"/>
                <w:szCs w:val="21"/>
              </w:rPr>
            </w:pPr>
            <w:r>
              <w:rPr>
                <w:rFonts w:ascii="Times New Roman" w:hAnsi="Times New Roman" w:eastAsia="宋体" w:cs="Times New Roman"/>
                <w:color w:val="auto"/>
                <w:szCs w:val="21"/>
              </w:rPr>
              <w:t>#2</w:t>
            </w:r>
          </w:p>
        </w:tc>
        <w:tc>
          <w:tcPr>
            <w:tcW w:w="8567" w:type="dxa"/>
            <w:vAlign w:val="center"/>
          </w:tcPr>
          <w:p w14:paraId="2B5EA783">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Aerobic Exercise (Topic) or Aerobic Exercises (Topic) or Exercises, Aerobic (Topic) or treadmill (Topic) or cycling (Topic) or walking (Topic) or dance (Topic) or Qigong (Topic) and Preprint Citation Index (Exclude – Database) and Research Commons (Exclude – Database)</w:t>
            </w:r>
          </w:p>
        </w:tc>
        <w:tc>
          <w:tcPr>
            <w:tcW w:w="951" w:type="dxa"/>
            <w:vAlign w:val="center"/>
          </w:tcPr>
          <w:p w14:paraId="694D24C7">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3784796</w:t>
            </w:r>
          </w:p>
        </w:tc>
      </w:tr>
      <w:tr w14:paraId="55FB9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bottom w:val="single" w:color="auto" w:sz="12" w:space="0"/>
            </w:tcBorders>
            <w:vAlign w:val="center"/>
          </w:tcPr>
          <w:p w14:paraId="50CBD5A5">
            <w:pPr>
              <w:spacing w:line="360"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8567" w:type="dxa"/>
            <w:tcBorders>
              <w:bottom w:val="single" w:color="auto" w:sz="12" w:space="0"/>
            </w:tcBorders>
            <w:vAlign w:val="center"/>
          </w:tcPr>
          <w:p w14:paraId="36D0074A">
            <w:pPr>
              <w:spacing w:line="360" w:lineRule="exact"/>
              <w:rPr>
                <w:rFonts w:ascii="Times New Roman" w:hAnsi="Times New Roman" w:eastAsia="宋体" w:cs="Times New Roman"/>
                <w:color w:val="auto"/>
                <w:szCs w:val="21"/>
              </w:rPr>
            </w:pPr>
            <w:r>
              <w:rPr>
                <w:rFonts w:ascii="Times New Roman" w:hAnsi="Times New Roman" w:eastAsia="宋体" w:cs="Times New Roman"/>
                <w:color w:val="auto"/>
                <w:szCs w:val="21"/>
              </w:rPr>
              <w:t>Parkinson Disease (Topic) or Idiopathic Parkinson Disease (Topic) or Idiopathic Parkinson's Disease (Topic) or Lewy Body Parkinson Disease (Topic) or Lewy Body Parkinson's Disease (Topic) or Paralysis Agitans (Topic) or Parkinson Disease, Idiopathic (Topic) or Parkinson's Disease (Topic) or Parkinson's Disease, Idiopathic (Topic) or Parkinson's Disease, Lewy Body (Topic) or Primary Parkinsonism (Topic) or Parkinsonism, Primary (Topic) and Preprint Citation Index (Exclude – Database) and Research Commons (Exclude – Database)</w:t>
            </w:r>
          </w:p>
        </w:tc>
        <w:tc>
          <w:tcPr>
            <w:tcW w:w="951" w:type="dxa"/>
            <w:tcBorders>
              <w:bottom w:val="single" w:color="auto" w:sz="12" w:space="0"/>
            </w:tcBorders>
            <w:vAlign w:val="center"/>
          </w:tcPr>
          <w:p w14:paraId="65B46E62">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289048</w:t>
            </w:r>
          </w:p>
        </w:tc>
      </w:tr>
    </w:tbl>
    <w:p w14:paraId="2EF2A597">
      <w:pPr>
        <w:spacing w:line="480" w:lineRule="auto"/>
        <w:rPr>
          <w:rFonts w:ascii="Times New Roman" w:hAnsi="Times New Roman" w:eastAsia="宋体" w:cs="Times New Roman"/>
          <w:b/>
          <w:bCs/>
          <w:color w:val="auto"/>
        </w:rPr>
        <w:sectPr>
          <w:footerReference r:id="rId3" w:type="default"/>
          <w:pgSz w:w="11906" w:h="16838"/>
          <w:pgMar w:top="720" w:right="720" w:bottom="720" w:left="720" w:header="851" w:footer="992" w:gutter="0"/>
          <w:pgNumType w:start="1"/>
          <w:cols w:space="425" w:num="1"/>
          <w:docGrid w:type="lines" w:linePitch="312" w:charSpace="0"/>
        </w:sectPr>
      </w:pPr>
    </w:p>
    <w:p w14:paraId="2DC76A1F">
      <w:pPr>
        <w:spacing w:line="480" w:lineRule="auto"/>
        <w:rPr>
          <w:rFonts w:ascii="Times New Roman" w:hAnsi="Times New Roman" w:eastAsia="宋体" w:cs="Times New Roman"/>
          <w:color w:val="auto"/>
          <w:szCs w:val="21"/>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2</w:t>
      </w:r>
      <w:r>
        <w:rPr>
          <w:rFonts w:hint="eastAsia" w:ascii="Times New Roman" w:hAnsi="Times New Roman" w:eastAsia="宋体" w:cs="Times New Roman"/>
          <w:b/>
          <w:bCs/>
          <w:color w:val="auto"/>
          <w:szCs w:val="21"/>
          <w:shd w:val="clear" w:color="auto" w:fill="FFFFFF"/>
        </w:rPr>
        <w:t xml:space="preserve"> </w:t>
      </w:r>
      <w:r>
        <w:rPr>
          <w:rFonts w:ascii="Times New Roman" w:hAnsi="Times New Roman" w:eastAsia="宋体" w:cs="Times New Roman"/>
          <w:color w:val="auto"/>
          <w:szCs w:val="21"/>
        </w:rPr>
        <w:t>Basic characteristics of the included studies</w:t>
      </w:r>
    </w:p>
    <w:tbl>
      <w:tblPr>
        <w:tblStyle w:val="4"/>
        <w:tblW w:w="15410" w:type="dxa"/>
        <w:tblInd w:w="0" w:type="dxa"/>
        <w:tblLayout w:type="fixed"/>
        <w:tblCellMar>
          <w:top w:w="0" w:type="dxa"/>
          <w:left w:w="28" w:type="dxa"/>
          <w:bottom w:w="0" w:type="dxa"/>
          <w:right w:w="28" w:type="dxa"/>
        </w:tblCellMar>
      </w:tblPr>
      <w:tblGrid>
        <w:gridCol w:w="1902"/>
        <w:gridCol w:w="1128"/>
        <w:gridCol w:w="768"/>
        <w:gridCol w:w="1307"/>
        <w:gridCol w:w="1560"/>
        <w:gridCol w:w="1152"/>
        <w:gridCol w:w="888"/>
        <w:gridCol w:w="5772"/>
        <w:gridCol w:w="933"/>
      </w:tblGrid>
      <w:tr w14:paraId="5E936962">
        <w:tblPrEx>
          <w:tblCellMar>
            <w:top w:w="0" w:type="dxa"/>
            <w:left w:w="28" w:type="dxa"/>
            <w:bottom w:w="0" w:type="dxa"/>
            <w:right w:w="28" w:type="dxa"/>
          </w:tblCellMar>
        </w:tblPrEx>
        <w:trPr>
          <w:trHeight w:val="283" w:hRule="atLeast"/>
        </w:trPr>
        <w:tc>
          <w:tcPr>
            <w:tcW w:w="1902" w:type="dxa"/>
            <w:vMerge w:val="restart"/>
            <w:tcBorders>
              <w:top w:val="single" w:color="auto" w:sz="12" w:space="0"/>
            </w:tcBorders>
            <w:vAlign w:val="center"/>
          </w:tcPr>
          <w:p w14:paraId="563F000D">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study</w:t>
            </w:r>
          </w:p>
        </w:tc>
        <w:tc>
          <w:tcPr>
            <w:tcW w:w="1128" w:type="dxa"/>
            <w:vMerge w:val="restart"/>
            <w:tcBorders>
              <w:top w:val="single" w:color="auto" w:sz="12" w:space="0"/>
            </w:tcBorders>
            <w:noWrap/>
            <w:vAlign w:val="center"/>
          </w:tcPr>
          <w:p w14:paraId="49F1D5ED">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country</w:t>
            </w:r>
          </w:p>
        </w:tc>
        <w:tc>
          <w:tcPr>
            <w:tcW w:w="4787" w:type="dxa"/>
            <w:gridSpan w:val="4"/>
            <w:tcBorders>
              <w:top w:val="single" w:color="auto" w:sz="12" w:space="0"/>
              <w:bottom w:val="single" w:color="auto" w:sz="6" w:space="0"/>
              <w:right w:val="single" w:color="FFFFFF" w:sz="48" w:space="0"/>
            </w:tcBorders>
            <w:noWrap/>
            <w:vAlign w:val="center"/>
          </w:tcPr>
          <w:p w14:paraId="5DA8D1D1">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characteristic of subject</w:t>
            </w:r>
            <w:r>
              <w:rPr>
                <w:rFonts w:hint="eastAsia" w:ascii="Times New Roman" w:hAnsi="Times New Roman" w:eastAsia="宋体" w:cs="Times New Roman"/>
                <w:b/>
                <w:bCs/>
                <w:color w:val="auto"/>
                <w:szCs w:val="21"/>
                <w:lang w:bidi="ar"/>
              </w:rPr>
              <w:t>s</w:t>
            </w:r>
          </w:p>
        </w:tc>
        <w:tc>
          <w:tcPr>
            <w:tcW w:w="6660" w:type="dxa"/>
            <w:gridSpan w:val="2"/>
            <w:tcBorders>
              <w:top w:val="single" w:color="auto" w:sz="12" w:space="0"/>
              <w:left w:val="single" w:color="FFFFFF" w:sz="48" w:space="0"/>
              <w:bottom w:val="single" w:color="auto" w:sz="6" w:space="0"/>
            </w:tcBorders>
            <w:noWrap/>
            <w:vAlign w:val="center"/>
          </w:tcPr>
          <w:p w14:paraId="30862E45">
            <w:pPr>
              <w:tabs>
                <w:tab w:val="left" w:pos="1788"/>
              </w:tabs>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intervention inform</w:t>
            </w:r>
            <w:r>
              <w:rPr>
                <w:rFonts w:hint="eastAsia" w:ascii="Times New Roman" w:hAnsi="Times New Roman" w:eastAsia="宋体" w:cs="Times New Roman"/>
                <w:b/>
                <w:bCs/>
                <w:color w:val="auto"/>
                <w:szCs w:val="21"/>
                <w:lang w:bidi="ar"/>
              </w:rPr>
              <w:t>at</w:t>
            </w:r>
            <w:r>
              <w:rPr>
                <w:rFonts w:ascii="Times New Roman" w:hAnsi="Times New Roman" w:eastAsia="宋体" w:cs="Times New Roman"/>
                <w:b/>
                <w:bCs/>
                <w:color w:val="auto"/>
                <w:szCs w:val="21"/>
                <w:lang w:bidi="ar"/>
              </w:rPr>
              <w:t>ion</w:t>
            </w:r>
          </w:p>
        </w:tc>
        <w:tc>
          <w:tcPr>
            <w:tcW w:w="933" w:type="dxa"/>
            <w:vMerge w:val="restart"/>
            <w:tcBorders>
              <w:top w:val="single" w:color="auto" w:sz="12" w:space="0"/>
              <w:bottom w:val="single" w:color="auto" w:sz="6" w:space="0"/>
            </w:tcBorders>
            <w:vAlign w:val="center"/>
          </w:tcPr>
          <w:p w14:paraId="26A9E3C3">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outcome measure</w:t>
            </w:r>
            <w:r>
              <w:rPr>
                <w:rFonts w:hint="eastAsia" w:ascii="Times New Roman" w:hAnsi="Times New Roman" w:eastAsia="宋体" w:cs="Times New Roman"/>
                <w:b/>
                <w:bCs/>
                <w:color w:val="auto"/>
                <w:szCs w:val="21"/>
                <w:lang w:bidi="ar"/>
              </w:rPr>
              <w:t>s</w:t>
            </w:r>
          </w:p>
        </w:tc>
      </w:tr>
      <w:tr w14:paraId="4FCBB395">
        <w:tblPrEx>
          <w:tblCellMar>
            <w:top w:w="0" w:type="dxa"/>
            <w:left w:w="28" w:type="dxa"/>
            <w:bottom w:w="0" w:type="dxa"/>
            <w:right w:w="28" w:type="dxa"/>
          </w:tblCellMar>
        </w:tblPrEx>
        <w:trPr>
          <w:trHeight w:val="283" w:hRule="atLeast"/>
        </w:trPr>
        <w:tc>
          <w:tcPr>
            <w:tcW w:w="1902" w:type="dxa"/>
            <w:vMerge w:val="continue"/>
            <w:tcBorders>
              <w:bottom w:val="single" w:color="auto" w:sz="6" w:space="0"/>
            </w:tcBorders>
            <w:vAlign w:val="center"/>
          </w:tcPr>
          <w:p w14:paraId="583EC19F">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bottom w:val="single" w:color="auto" w:sz="6" w:space="0"/>
            </w:tcBorders>
            <w:noWrap/>
            <w:vAlign w:val="center"/>
          </w:tcPr>
          <w:p w14:paraId="7A96D59D">
            <w:pPr>
              <w:spacing w:line="400" w:lineRule="exact"/>
              <w:jc w:val="center"/>
              <w:textAlignment w:val="center"/>
              <w:rPr>
                <w:rFonts w:ascii="Times New Roman" w:hAnsi="Times New Roman" w:eastAsia="宋体" w:cs="Times New Roman"/>
                <w:color w:val="auto"/>
                <w:szCs w:val="21"/>
              </w:rPr>
            </w:pPr>
          </w:p>
        </w:tc>
        <w:tc>
          <w:tcPr>
            <w:tcW w:w="768" w:type="dxa"/>
            <w:tcBorders>
              <w:top w:val="single" w:color="auto" w:sz="6" w:space="0"/>
              <w:bottom w:val="single" w:color="auto" w:sz="6" w:space="0"/>
            </w:tcBorders>
            <w:noWrap/>
            <w:vAlign w:val="center"/>
          </w:tcPr>
          <w:p w14:paraId="078DD49C">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number</w:t>
            </w:r>
          </w:p>
        </w:tc>
        <w:tc>
          <w:tcPr>
            <w:tcW w:w="1307" w:type="dxa"/>
            <w:tcBorders>
              <w:top w:val="single" w:color="auto" w:sz="6" w:space="0"/>
              <w:bottom w:val="single" w:color="auto" w:sz="6" w:space="0"/>
            </w:tcBorders>
            <w:noWrap/>
            <w:vAlign w:val="center"/>
          </w:tcPr>
          <w:p w14:paraId="67221FCA">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age</w:t>
            </w:r>
          </w:p>
        </w:tc>
        <w:tc>
          <w:tcPr>
            <w:tcW w:w="1560" w:type="dxa"/>
            <w:tcBorders>
              <w:top w:val="single" w:color="auto" w:sz="6" w:space="0"/>
              <w:bottom w:val="single" w:color="auto" w:sz="6" w:space="0"/>
            </w:tcBorders>
            <w:noWrap/>
            <w:vAlign w:val="center"/>
          </w:tcPr>
          <w:p w14:paraId="232A6E4A">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disease stage</w:t>
            </w:r>
          </w:p>
        </w:tc>
        <w:tc>
          <w:tcPr>
            <w:tcW w:w="1152" w:type="dxa"/>
            <w:tcBorders>
              <w:top w:val="single" w:color="auto" w:sz="6" w:space="0"/>
              <w:bottom w:val="single" w:color="auto" w:sz="6" w:space="0"/>
              <w:right w:val="single" w:color="FFFFFF" w:sz="48" w:space="0"/>
            </w:tcBorders>
            <w:noWrap/>
            <w:vAlign w:val="center"/>
          </w:tcPr>
          <w:p w14:paraId="2DD5C18F">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disease dur</w:t>
            </w:r>
            <w:r>
              <w:rPr>
                <w:rFonts w:hint="eastAsia" w:ascii="Times New Roman" w:hAnsi="Times New Roman" w:eastAsia="宋体" w:cs="Times New Roman"/>
                <w:b/>
                <w:bCs/>
                <w:color w:val="auto"/>
                <w:szCs w:val="21"/>
                <w:lang w:bidi="ar"/>
              </w:rPr>
              <w:t>at</w:t>
            </w:r>
            <w:r>
              <w:rPr>
                <w:rFonts w:ascii="Times New Roman" w:hAnsi="Times New Roman" w:eastAsia="宋体" w:cs="Times New Roman"/>
                <w:b/>
                <w:bCs/>
                <w:color w:val="auto"/>
                <w:szCs w:val="21"/>
                <w:lang w:bidi="ar"/>
              </w:rPr>
              <w:t>ion</w:t>
            </w:r>
          </w:p>
        </w:tc>
        <w:tc>
          <w:tcPr>
            <w:tcW w:w="888" w:type="dxa"/>
            <w:tcBorders>
              <w:top w:val="single" w:color="auto" w:sz="6" w:space="0"/>
              <w:left w:val="single" w:color="FFFFFF" w:sz="48" w:space="0"/>
              <w:bottom w:val="single" w:color="auto" w:sz="6" w:space="0"/>
            </w:tcBorders>
            <w:noWrap/>
            <w:vAlign w:val="center"/>
          </w:tcPr>
          <w:p w14:paraId="7C6F5905">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type of exercise</w:t>
            </w:r>
          </w:p>
        </w:tc>
        <w:tc>
          <w:tcPr>
            <w:tcW w:w="5772" w:type="dxa"/>
            <w:tcBorders>
              <w:top w:val="single" w:color="auto" w:sz="6" w:space="0"/>
              <w:bottom w:val="single" w:color="auto" w:sz="6" w:space="0"/>
            </w:tcBorders>
            <w:noWrap/>
            <w:vAlign w:val="center"/>
          </w:tcPr>
          <w:p w14:paraId="56B71F5C">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b/>
                <w:bCs/>
                <w:color w:val="auto"/>
                <w:szCs w:val="21"/>
                <w:lang w:bidi="ar"/>
              </w:rPr>
              <w:t>characteristics of intervention</w:t>
            </w:r>
          </w:p>
        </w:tc>
        <w:tc>
          <w:tcPr>
            <w:tcW w:w="933" w:type="dxa"/>
            <w:vMerge w:val="continue"/>
            <w:tcBorders>
              <w:top w:val="single" w:color="auto" w:sz="6" w:space="0"/>
              <w:bottom w:val="single" w:color="auto" w:sz="6" w:space="0"/>
            </w:tcBorders>
          </w:tcPr>
          <w:p w14:paraId="4A3AE0B7">
            <w:pPr>
              <w:spacing w:line="400" w:lineRule="exact"/>
              <w:jc w:val="center"/>
              <w:textAlignment w:val="center"/>
              <w:rPr>
                <w:rFonts w:ascii="Times New Roman" w:hAnsi="Times New Roman" w:eastAsia="宋体" w:cs="Times New Roman"/>
                <w:color w:val="auto"/>
                <w:szCs w:val="21"/>
              </w:rPr>
            </w:pPr>
          </w:p>
        </w:tc>
      </w:tr>
      <w:tr w14:paraId="65DE99DE">
        <w:tblPrEx>
          <w:tblCellMar>
            <w:top w:w="0" w:type="dxa"/>
            <w:left w:w="28" w:type="dxa"/>
            <w:bottom w:w="0" w:type="dxa"/>
            <w:right w:w="28" w:type="dxa"/>
          </w:tblCellMar>
        </w:tblPrEx>
        <w:trPr>
          <w:trHeight w:val="283" w:hRule="atLeast"/>
        </w:trPr>
        <w:tc>
          <w:tcPr>
            <w:tcW w:w="1902" w:type="dxa"/>
            <w:vMerge w:val="restart"/>
            <w:tcBorders>
              <w:top w:val="single" w:color="auto" w:sz="6" w:space="0"/>
              <w:bottom w:val="single" w:color="auto" w:sz="12" w:space="0"/>
            </w:tcBorders>
          </w:tcPr>
          <w:p w14:paraId="54B5329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Duncan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{"citationID":"5yMEU5x3","properties":{"formattedCitation":"\\super 1\\nosupersub{}","plainCitation":"1","noteIndex":0},"citationItems":[{"id":1183,"uris":["http://zotero.org/users/local/9LWqYmzn/items/459SQG6F"],"itemData":{"id":1183,"type":"article-journal","abstract":"Objective: To determine the effects of participation in a 2-year community-based dance class on disease severity and functional mobility in people with Parkinson disease (PD). Design: Randomized controlled trial. Settings/Location: Dance classes took place in a community-based location. Outcome measures were collected in a university laboratory. Patients: Ten individuals with PD were randomly assigned to the Argentine tango (AT) group (n = 5 [4 men]; mean age – standard deviation, 69.6 – 6.6 years) or the control group (n = 5 [4 men]; mean age – standard deviation, 66 – 11.0 years). Interventions: The AT group participated in a community-based AT class for 1 hour twice weekly for 2 years. Control group participants were given no prescribed exercise. Blinded assessments occurred at baseline and 12 and 24 months. Outcome measures: Movement Disorder Society-Uniﬁed Parkinson Disease Rating Scale (MDS-UPDRS) III, Mini-Balance Evaluation Systems Test (Mini-BESTest), gait velocity (forward and backward), Timed Up and Go and dual-task Timed Up and Go, Six-Minute Walk Test (6MWT), MDS-UPDRS II, MDS-UPDRS I, and Freezing of Gait Questionnaire.\nResults: There were no differences between groups at baseline. A signiﬁcant group-by-time interaction (F [2,8] = 17.59; p &lt; 0.0001) was noted for the MDS-UPDRS III, with the AT group having lower scores at 12 and 24 months than the controls. Signiﬁcant interactions were also noted for the Mini-BESTest, MDS-UPDRS II and I, and 6MWT.\nConclusion: This is believed to be one of the longest-duration studies to examine the effects of exercise on PD. Participation in community-based dance classes over 2 years was associated with improvements in motor and nonmotor symptom severity, performance on activities of daily living, and balance in a small group of people with PD. This is noteworthy given the progressive nature of PD and the fact that the control group declined on some outcome measures over 2 years.","container-title":"The Journal of Alternative and Complementary Medicine","DOI":"10.1089/acm.2012.0774","ISSN":"1075-5535, 1557-7708","issue":"10","journalAbbreviation":"The Journal of Alternative and Complementary Medicine","language":"en","note":"中科院分区基础版: 医学4区\nTLDR: Participation in community-based dance classes over 2 years was associated with improvements in motor and nonmotor symptom severity, performance on activities of daily living, and balance in a small group of people with PD.","page":"757-763","source":"DOI.org (Crossref)","title":"Are the effects of community-based dance on parkinson disease severity, balance, and functional mobility reduced with time? A 2-year prospective pilot study","title-short":"Are the Effects of Community-Based Dance on Parkinson Disease Severity, Balance, and Functional Mobility Reduced with Time?","volume":"20","author":[{"family":"Duncan","given":"Ryan P."},{"family":"Earhart","given":"Gammon M."}],"issued":{"date-parts":[["2014",10]]},"citation-key":"duncanAreEffectsCommunitybased2014"}}],"schema":"https://github.com/citation-style-language/schema/raw/master/csl-citation.json"}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(2014)</w:t>
            </w:r>
          </w:p>
        </w:tc>
        <w:tc>
          <w:tcPr>
            <w:tcW w:w="1128" w:type="dxa"/>
            <w:vMerge w:val="restart"/>
            <w:tcBorders>
              <w:top w:val="single" w:color="auto" w:sz="6" w:space="0"/>
            </w:tcBorders>
            <w:noWrap/>
          </w:tcPr>
          <w:p w14:paraId="4661E3E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America</w:t>
            </w:r>
          </w:p>
        </w:tc>
        <w:tc>
          <w:tcPr>
            <w:tcW w:w="768" w:type="dxa"/>
            <w:tcBorders>
              <w:top w:val="single" w:color="auto" w:sz="6" w:space="0"/>
            </w:tcBorders>
            <w:noWrap/>
          </w:tcPr>
          <w:p w14:paraId="3470FF1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IG:5</w:t>
            </w:r>
          </w:p>
        </w:tc>
        <w:tc>
          <w:tcPr>
            <w:tcW w:w="1307" w:type="dxa"/>
            <w:tcBorders>
              <w:top w:val="single" w:color="auto" w:sz="6" w:space="0"/>
            </w:tcBorders>
            <w:noWrap/>
          </w:tcPr>
          <w:p w14:paraId="6DF6FDF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69.6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6.6</w:t>
            </w:r>
          </w:p>
        </w:tc>
        <w:tc>
          <w:tcPr>
            <w:tcW w:w="1560" w:type="dxa"/>
            <w:tcBorders>
              <w:top w:val="single" w:color="auto" w:sz="6" w:space="0"/>
            </w:tcBorders>
            <w:noWrap/>
          </w:tcPr>
          <w:p w14:paraId="3779695C">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0.5</w:t>
            </w:r>
          </w:p>
        </w:tc>
        <w:tc>
          <w:tcPr>
            <w:tcW w:w="1152" w:type="dxa"/>
            <w:tcBorders>
              <w:top w:val="single" w:color="auto" w:sz="6" w:space="0"/>
            </w:tcBorders>
            <w:noWrap/>
          </w:tcPr>
          <w:p w14:paraId="47CBC1A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7.5</w:t>
            </w:r>
          </w:p>
        </w:tc>
        <w:tc>
          <w:tcPr>
            <w:tcW w:w="888" w:type="dxa"/>
            <w:tcBorders>
              <w:top w:val="single" w:color="auto" w:sz="6" w:space="0"/>
            </w:tcBorders>
            <w:noWrap/>
          </w:tcPr>
          <w:p w14:paraId="6ED18F6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Dance</w:t>
            </w:r>
          </w:p>
        </w:tc>
        <w:tc>
          <w:tcPr>
            <w:tcW w:w="5772" w:type="dxa"/>
            <w:tcBorders>
              <w:top w:val="single" w:color="auto" w:sz="6" w:space="0"/>
            </w:tcBorders>
            <w:noWrap/>
          </w:tcPr>
          <w:p w14:paraId="7876DA19">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104 weeks, 2 times/week, 60 minutes</w:t>
            </w:r>
          </w:p>
        </w:tc>
        <w:tc>
          <w:tcPr>
            <w:tcW w:w="933" w:type="dxa"/>
            <w:vMerge w:val="restart"/>
            <w:tcBorders>
              <w:top w:val="single" w:color="auto" w:sz="6" w:space="0"/>
              <w:bottom w:val="single" w:color="auto" w:sz="12" w:space="0"/>
            </w:tcBorders>
          </w:tcPr>
          <w:p w14:paraId="0299EB25">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①②③④</w:t>
            </w:r>
          </w:p>
        </w:tc>
      </w:tr>
      <w:tr w14:paraId="2E96A611">
        <w:tblPrEx>
          <w:tblCellMar>
            <w:top w:w="0" w:type="dxa"/>
            <w:left w:w="28" w:type="dxa"/>
            <w:bottom w:w="0" w:type="dxa"/>
            <w:right w:w="28" w:type="dxa"/>
          </w:tblCellMar>
        </w:tblPrEx>
        <w:trPr>
          <w:trHeight w:val="283" w:hRule="atLeast"/>
        </w:trPr>
        <w:tc>
          <w:tcPr>
            <w:tcW w:w="1902" w:type="dxa"/>
            <w:vMerge w:val="continue"/>
            <w:tcBorders>
              <w:top w:val="single" w:color="auto" w:sz="12" w:space="0"/>
              <w:bottom w:val="nil"/>
            </w:tcBorders>
          </w:tcPr>
          <w:p w14:paraId="27C1D908">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bottom w:val="nil"/>
            </w:tcBorders>
            <w:noWrap/>
          </w:tcPr>
          <w:p w14:paraId="52AFCA4B">
            <w:pPr>
              <w:spacing w:line="400" w:lineRule="exact"/>
              <w:jc w:val="center"/>
              <w:textAlignment w:val="center"/>
              <w:rPr>
                <w:rFonts w:ascii="Times New Roman" w:hAnsi="Times New Roman" w:eastAsia="宋体" w:cs="Times New Roman"/>
                <w:color w:val="auto"/>
                <w:szCs w:val="21"/>
              </w:rPr>
            </w:pPr>
          </w:p>
        </w:tc>
        <w:tc>
          <w:tcPr>
            <w:tcW w:w="768" w:type="dxa"/>
            <w:tcBorders>
              <w:bottom w:val="nil"/>
            </w:tcBorders>
            <w:noWrap/>
          </w:tcPr>
          <w:p w14:paraId="3CF0768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CG:5</w:t>
            </w:r>
          </w:p>
        </w:tc>
        <w:tc>
          <w:tcPr>
            <w:tcW w:w="1307" w:type="dxa"/>
            <w:tcBorders>
              <w:bottom w:val="nil"/>
            </w:tcBorders>
            <w:noWrap/>
          </w:tcPr>
          <w:p w14:paraId="7000570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66.0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11.0</w:t>
            </w:r>
          </w:p>
        </w:tc>
        <w:tc>
          <w:tcPr>
            <w:tcW w:w="1560" w:type="dxa"/>
            <w:tcBorders>
              <w:bottom w:val="nil"/>
            </w:tcBorders>
            <w:noWrap/>
          </w:tcPr>
          <w:p w14:paraId="5818CCD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0.5</w:t>
            </w:r>
          </w:p>
        </w:tc>
        <w:tc>
          <w:tcPr>
            <w:tcW w:w="1152" w:type="dxa"/>
            <w:tcBorders>
              <w:bottom w:val="nil"/>
            </w:tcBorders>
            <w:noWrap/>
          </w:tcPr>
          <w:p w14:paraId="4A782236">
            <w:pPr>
              <w:spacing w:line="400" w:lineRule="exac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11.0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3.9</w:t>
            </w:r>
          </w:p>
        </w:tc>
        <w:tc>
          <w:tcPr>
            <w:tcW w:w="888" w:type="dxa"/>
            <w:tcBorders>
              <w:bottom w:val="nil"/>
            </w:tcBorders>
            <w:noWrap/>
          </w:tcPr>
          <w:p w14:paraId="7DC548F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bottom w:val="nil"/>
            </w:tcBorders>
            <w:noWrap/>
            <w:vAlign w:val="center"/>
          </w:tcPr>
          <w:p w14:paraId="148DBD72">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single" w:color="auto" w:sz="12" w:space="0"/>
              <w:bottom w:val="nil"/>
            </w:tcBorders>
          </w:tcPr>
          <w:p w14:paraId="1CA9866C">
            <w:pPr>
              <w:spacing w:line="400" w:lineRule="exact"/>
              <w:jc w:val="center"/>
              <w:rPr>
                <w:rFonts w:ascii="Times New Roman" w:hAnsi="Times New Roman" w:eastAsia="微软雅黑" w:cs="Times New Roman"/>
                <w:color w:val="auto"/>
                <w:szCs w:val="21"/>
                <w:lang w:bidi="ar"/>
              </w:rPr>
            </w:pPr>
          </w:p>
        </w:tc>
      </w:tr>
      <w:tr w14:paraId="0426A715">
        <w:tblPrEx>
          <w:tblCellMar>
            <w:top w:w="0" w:type="dxa"/>
            <w:left w:w="28" w:type="dxa"/>
            <w:bottom w:w="0" w:type="dxa"/>
            <w:right w:w="28" w:type="dxa"/>
          </w:tblCellMar>
        </w:tblPrEx>
        <w:trPr>
          <w:trHeight w:val="283" w:hRule="atLeast"/>
        </w:trPr>
        <w:tc>
          <w:tcPr>
            <w:tcW w:w="1902" w:type="dxa"/>
            <w:vMerge w:val="restart"/>
            <w:tcBorders>
              <w:top w:val="nil"/>
            </w:tcBorders>
          </w:tcPr>
          <w:p w14:paraId="646DA2E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Li</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{"citationID":"IWLwW2yP","properties":{"formattedCitation":"\\super 2\\nosupersub{}","plainCitation":"2","noteIndex":0},"citationItems":[{"id":1185,"uris":["http://zotero.org/users/local/9LWqYmzn/items/R36YI84F"],"itemData":{"id":1185,"type":"article-journal","abstract":"The objective of this study was to investigate the therapeutic effect of Wuqinxi Qigong vs. stretching on single- and dual-task gait, motor symptoms, and quality of life in people with mild and moderate Parkinson’s disease (PD). This single-blind, randomized control trial included 40 participants with idiopathic PD who were randomized into the Wuqinxi Qigong (WQ) group or stretching group. Participants completed 12 weeks (two sessions/week) of intervention. The primary outcomes were gait parameters when performing single-task (comfortable pace) and dualtask (obstacle crossing, serial-3 subtraction and backward digit span) walking, including gait speed, stride length, and double support percentage. The secondary outcomes were ratings from the Movement Disorder Society Uniﬁed Parkinson’s Disease Rating Scale (MDS-UPDRS), results of the timed-up-and-go test (TUGT), results of the Mini-Balance Evaluation Systems Test (MiniBESTest), and responses from the 39-item Parkinson’s Disease Questionnaire (PDQ-39). All measures were assessed pre- and post-intervention. The WQ group demonstrated increased gait speed (p = 0.000) during the single task, and increased stride length (p = 0.001, p = 0.021) during the single-task and serial-3 subtraction task. Double support percentage signiﬁcantly decreased (p = 0.004) in the WQ group during the obstacle crossing task, and also decreased (p = 0.045) in the stretching group during the single-task. TUGT (p = 0.005), MiniBESTest (p = 0.023) and PDQ-39 (p = 0.043) in the WQ group signiﬁcantly improved, and both groups showed signiﬁcant improvement in MDS-UPDRS after intervention. Wuqinxi Qigong is an effective method to improve single- and dual-task gait. While both exercises improve motor symptoms, Wuqinxi Qigong results in better mobility, balance and quality of life compared to stretching alone.","container-title":"International Journal of Environmental Research and Public Health","DOI":"10.3390/ijerph19138042","ISSN":"1660-4601","issue":"13","journalAbbreviation":"Int. J. Environ. Res. Public Health","language":"en","license":"https://creativecommons.org/licenses/by/4.0/","note":"中科院分区基础版: 医学3区\nTLDR: While both exercises improve motor symptoms, Wuqinxi Qigong results in better mobility, balance and quality of life compared to stretching alone, and both groups showed significant improvement in MDS-UPDRS after intervention.","page":"8042","source":"DOI.org (Crossref)","title":"Comparison of wuqinxi qigong with stretching on single- and dual-task gait, motor symptoms and quality of life in parkinson’s disease: A preliminary randomized control study","title-short":"Comparison of Wuqinxi Qigong with Stretching on Single- and Dual-Task Gait, Motor Symptoms and Quality of Life in Parkinson’s Disease","volume":"19","author":[{"family":"Li","given":"Zhenlan"},{"family":"Wang","given":"Tian"},{"family":"Shen","given":"Mengyue"},{"family":"Song","given":"Tao"},{"family":"He","given":"Jie"},{"family":"Guo","given":"Wei"},{"family":"Wang","given":"Zhen"},{"family":"Zhuang","given":"Jie"}],"issued":{"date-parts":[["2022",6,30]]},"citation-key":"liComparisonWuqinxiQigong2022"}}],"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w:t>
            </w:r>
            <w:r>
              <w:rPr>
                <w:rFonts w:ascii="Times New Roman" w:hAnsi="Times New Roman" w:eastAsia="宋体" w:cs="Times New Roman"/>
                <w:color w:val="auto"/>
                <w:szCs w:val="21"/>
                <w:lang w:bidi="ar"/>
              </w:rPr>
              <w:fldChar w:fldCharType="end"/>
            </w:r>
          </w:p>
          <w:p w14:paraId="5D106C9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（2022）</w:t>
            </w:r>
          </w:p>
        </w:tc>
        <w:tc>
          <w:tcPr>
            <w:tcW w:w="1128" w:type="dxa"/>
            <w:vMerge w:val="restart"/>
            <w:tcBorders>
              <w:top w:val="nil"/>
            </w:tcBorders>
            <w:noWrap/>
          </w:tcPr>
          <w:p w14:paraId="5A2388F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China</w:t>
            </w:r>
          </w:p>
        </w:tc>
        <w:tc>
          <w:tcPr>
            <w:tcW w:w="768" w:type="dxa"/>
            <w:tcBorders>
              <w:top w:val="nil"/>
              <w:bottom w:val="nil"/>
            </w:tcBorders>
            <w:noWrap/>
          </w:tcPr>
          <w:p w14:paraId="2049717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IG:20</w:t>
            </w:r>
          </w:p>
        </w:tc>
        <w:tc>
          <w:tcPr>
            <w:tcW w:w="1307" w:type="dxa"/>
            <w:tcBorders>
              <w:top w:val="nil"/>
              <w:bottom w:val="nil"/>
            </w:tcBorders>
            <w:noWrap/>
          </w:tcPr>
          <w:p w14:paraId="3C9211D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4.0</w:t>
            </w:r>
          </w:p>
        </w:tc>
        <w:tc>
          <w:tcPr>
            <w:tcW w:w="1560" w:type="dxa"/>
            <w:vMerge w:val="restart"/>
            <w:tcBorders>
              <w:top w:val="nil"/>
              <w:bottom w:val="nil"/>
            </w:tcBorders>
            <w:noWrap/>
          </w:tcPr>
          <w:p w14:paraId="4AC2F60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w:t>
            </w:r>
            <w:r>
              <w:rPr>
                <w:rFonts w:hint="eastAsia" w:ascii="Times New Roman" w:hAnsi="Times New Roman" w:eastAsia="宋体" w:cs="Times New Roman"/>
                <w:color w:val="auto"/>
                <w:szCs w:val="21"/>
                <w:lang w:bidi="ar"/>
              </w:rPr>
              <w:t>-</w:t>
            </w:r>
            <w:r>
              <w:rPr>
                <w:rFonts w:ascii="Times New Roman" w:hAnsi="Times New Roman" w:eastAsia="宋体" w:cs="Times New Roman"/>
                <w:color w:val="auto"/>
                <w:szCs w:val="21"/>
                <w:lang w:bidi="ar"/>
              </w:rPr>
              <w:t>3</w:t>
            </w:r>
          </w:p>
        </w:tc>
        <w:tc>
          <w:tcPr>
            <w:tcW w:w="1152" w:type="dxa"/>
            <w:tcBorders>
              <w:top w:val="nil"/>
              <w:bottom w:val="nil"/>
            </w:tcBorders>
            <w:noWrap/>
          </w:tcPr>
          <w:p w14:paraId="3465B96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4.1</w:t>
            </w:r>
          </w:p>
        </w:tc>
        <w:tc>
          <w:tcPr>
            <w:tcW w:w="888" w:type="dxa"/>
            <w:tcBorders>
              <w:top w:val="nil"/>
              <w:bottom w:val="nil"/>
            </w:tcBorders>
            <w:noWrap/>
          </w:tcPr>
          <w:p w14:paraId="3D872B4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Qigong</w:t>
            </w:r>
          </w:p>
        </w:tc>
        <w:tc>
          <w:tcPr>
            <w:tcW w:w="5772" w:type="dxa"/>
            <w:tcBorders>
              <w:top w:val="nil"/>
              <w:bottom w:val="nil"/>
            </w:tcBorders>
          </w:tcPr>
          <w:p w14:paraId="0593B10A">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30–70% HRmax (RPE 6–12), 12 weeks, 2 times/week, 90 minutes</w:t>
            </w:r>
          </w:p>
        </w:tc>
        <w:tc>
          <w:tcPr>
            <w:tcW w:w="933" w:type="dxa"/>
            <w:vMerge w:val="restart"/>
            <w:tcBorders>
              <w:top w:val="nil"/>
              <w:bottom w:val="nil"/>
            </w:tcBorders>
          </w:tcPr>
          <w:p w14:paraId="0DFB7E3D">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①②④⑥</w:t>
            </w:r>
          </w:p>
        </w:tc>
      </w:tr>
      <w:tr w14:paraId="212C5A57">
        <w:tblPrEx>
          <w:tblCellMar>
            <w:top w:w="0" w:type="dxa"/>
            <w:left w:w="28" w:type="dxa"/>
            <w:bottom w:w="0" w:type="dxa"/>
            <w:right w:w="28" w:type="dxa"/>
          </w:tblCellMar>
        </w:tblPrEx>
        <w:trPr>
          <w:trHeight w:val="283" w:hRule="atLeast"/>
        </w:trPr>
        <w:tc>
          <w:tcPr>
            <w:tcW w:w="1902" w:type="dxa"/>
            <w:vMerge w:val="continue"/>
            <w:tcBorders>
              <w:bottom w:val="nil"/>
            </w:tcBorders>
          </w:tcPr>
          <w:p w14:paraId="59E47797">
            <w:pPr>
              <w:spacing w:line="400" w:lineRule="exact"/>
              <w:jc w:val="center"/>
              <w:textAlignment w:val="center"/>
              <w:rPr>
                <w:rFonts w:ascii="Times New Roman" w:hAnsi="Times New Roman" w:eastAsia="宋体" w:cs="Times New Roman"/>
                <w:color w:val="auto"/>
                <w:szCs w:val="21"/>
                <w:lang w:bidi="ar"/>
              </w:rPr>
            </w:pPr>
          </w:p>
        </w:tc>
        <w:tc>
          <w:tcPr>
            <w:tcW w:w="1128" w:type="dxa"/>
            <w:vMerge w:val="continue"/>
            <w:tcBorders>
              <w:bottom w:val="nil"/>
            </w:tcBorders>
            <w:noWrap/>
          </w:tcPr>
          <w:p w14:paraId="2CCCC714">
            <w:pPr>
              <w:spacing w:line="400" w:lineRule="exact"/>
              <w:jc w:val="center"/>
              <w:rPr>
                <w:rFonts w:ascii="Times New Roman" w:hAnsi="Times New Roman" w:eastAsia="宋体" w:cs="Times New Roman"/>
                <w:color w:val="auto"/>
                <w:szCs w:val="21"/>
              </w:rPr>
            </w:pPr>
          </w:p>
        </w:tc>
        <w:tc>
          <w:tcPr>
            <w:tcW w:w="768" w:type="dxa"/>
            <w:tcBorders>
              <w:top w:val="nil"/>
              <w:bottom w:val="nil"/>
            </w:tcBorders>
            <w:noWrap/>
          </w:tcPr>
          <w:p w14:paraId="46FE215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CG:20</w:t>
            </w:r>
          </w:p>
        </w:tc>
        <w:tc>
          <w:tcPr>
            <w:tcW w:w="1307" w:type="dxa"/>
            <w:tcBorders>
              <w:top w:val="nil"/>
              <w:bottom w:val="nil"/>
            </w:tcBorders>
            <w:noWrap/>
          </w:tcPr>
          <w:p w14:paraId="1E51964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70.0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5.6</w:t>
            </w:r>
          </w:p>
        </w:tc>
        <w:tc>
          <w:tcPr>
            <w:tcW w:w="1560" w:type="dxa"/>
            <w:vMerge w:val="continue"/>
            <w:tcBorders>
              <w:top w:val="nil"/>
              <w:bottom w:val="nil"/>
            </w:tcBorders>
            <w:noWrap/>
          </w:tcPr>
          <w:p w14:paraId="3AFE871F">
            <w:pPr>
              <w:spacing w:line="400" w:lineRule="exact"/>
              <w:jc w:val="center"/>
              <w:textAlignment w:val="center"/>
              <w:rPr>
                <w:rFonts w:ascii="Times New Roman" w:hAnsi="Times New Roman" w:eastAsia="宋体" w:cs="Times New Roman"/>
                <w:color w:val="auto"/>
                <w:szCs w:val="21"/>
                <w:lang w:bidi="ar"/>
              </w:rPr>
            </w:pPr>
          </w:p>
        </w:tc>
        <w:tc>
          <w:tcPr>
            <w:tcW w:w="1152" w:type="dxa"/>
            <w:tcBorders>
              <w:top w:val="nil"/>
              <w:bottom w:val="nil"/>
            </w:tcBorders>
            <w:noWrap/>
          </w:tcPr>
          <w:p w14:paraId="519270A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4.6</w:t>
            </w:r>
          </w:p>
        </w:tc>
        <w:tc>
          <w:tcPr>
            <w:tcW w:w="888" w:type="dxa"/>
            <w:tcBorders>
              <w:top w:val="nil"/>
              <w:bottom w:val="nil"/>
            </w:tcBorders>
            <w:noWrap/>
          </w:tcPr>
          <w:p w14:paraId="79F7851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top w:val="nil"/>
              <w:bottom w:val="nil"/>
            </w:tcBorders>
          </w:tcPr>
          <w:p w14:paraId="27B98A77">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stretching exercises</w:t>
            </w:r>
            <w:r>
              <w:rPr>
                <w:rFonts w:hint="eastAsia" w:ascii="Times New Roman" w:hAnsi="Times New Roman" w:eastAsia="宋体" w:cs="Times New Roman"/>
                <w:color w:val="auto"/>
                <w:szCs w:val="21"/>
                <w:lang w:bidi="ar"/>
              </w:rPr>
              <w:t>(</w:t>
            </w:r>
            <w:r>
              <w:rPr>
                <w:rFonts w:ascii="Times New Roman" w:hAnsi="Times New Roman" w:eastAsia="宋体" w:cs="Times New Roman"/>
                <w:color w:val="auto"/>
                <w:szCs w:val="21"/>
                <w:lang w:bidi="ar"/>
              </w:rPr>
              <w:t>12 weeks, 2 times/week, 90 minutes</w:t>
            </w:r>
            <w:r>
              <w:rPr>
                <w:rFonts w:hint="eastAsia" w:ascii="Times New Roman" w:hAnsi="Times New Roman" w:eastAsia="宋体" w:cs="Times New Roman"/>
                <w:color w:val="auto"/>
                <w:szCs w:val="21"/>
                <w:lang w:bidi="ar"/>
              </w:rPr>
              <w:t>)</w:t>
            </w:r>
          </w:p>
        </w:tc>
        <w:tc>
          <w:tcPr>
            <w:tcW w:w="933" w:type="dxa"/>
            <w:vMerge w:val="continue"/>
            <w:tcBorders>
              <w:top w:val="nil"/>
              <w:bottom w:val="nil"/>
            </w:tcBorders>
          </w:tcPr>
          <w:p w14:paraId="1401B93F">
            <w:pPr>
              <w:spacing w:line="400" w:lineRule="exact"/>
              <w:jc w:val="center"/>
              <w:rPr>
                <w:rFonts w:ascii="Times New Roman" w:hAnsi="Times New Roman" w:eastAsia="微软雅黑" w:cs="Times New Roman"/>
                <w:color w:val="auto"/>
                <w:szCs w:val="21"/>
                <w:lang w:bidi="ar"/>
              </w:rPr>
            </w:pPr>
          </w:p>
        </w:tc>
      </w:tr>
      <w:tr w14:paraId="1F1B956F">
        <w:tblPrEx>
          <w:tblCellMar>
            <w:top w:w="0" w:type="dxa"/>
            <w:left w:w="28" w:type="dxa"/>
            <w:bottom w:w="0" w:type="dxa"/>
            <w:right w:w="28" w:type="dxa"/>
          </w:tblCellMar>
        </w:tblPrEx>
        <w:trPr>
          <w:trHeight w:val="283" w:hRule="atLeast"/>
        </w:trPr>
        <w:tc>
          <w:tcPr>
            <w:tcW w:w="1902" w:type="dxa"/>
            <w:vMerge w:val="restart"/>
            <w:tcBorders>
              <w:top w:val="nil"/>
            </w:tcBorders>
          </w:tcPr>
          <w:p w14:paraId="3D9274C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Carvalho</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{"citationID":"PCLRzClM","properties":{"formattedCitation":"\\super 3\\nosupersub{}","plainCitation":"3","noteIndex":0},"citationItems":[{"id":1187,"uris":["http://zotero.org/users/local/9LWqYmzn/items/WK36VWR2"],"itemData":{"id":1187,"type":"article-journal","abstract":"Introduction: Physical rehabilitation is commonly used in patients with Parkinson’s disease (PD) to improve their health and alleviate the symptoms.\nObjective: We compared the effects of three programs, strength training (ST), aerobic training (AT), and physiotherapy, on motor symptoms, functional capacity, and electroencephalographic (EEG) activity in PD patients.\nMethods: Twenty-two patients were recruited and randomized into three groups: AT (70% of maximum heart rate), ST (80% of one repetition maximum), and physiotherapy (in groups). Subjects participated in their respective interventions twice a week for 12 weeks. The assessments included measures of disease symptoms (Unified Parkinson’s Disease Rating Scale [UPDRS]), functional capacity (Senior Fitness Test), and EEG before and after 12 weeks of intervention.\nResults: The PD motor symptoms (UPDRS-III) in the group of patients who performed ST and AT improved by 27.5% (effect size [ES]=1.25, confidence interval [CI]=-0.11, 2.25) and 35% (ES=1.34, CI=-0.16, 2.58), respectively, in contrast to the physiotherapy group, which showed a 2.9% improvement (ES=0.07, CI=-0.85, 0.99). Furthermore, the functional capacity of all three groups improved after the intervention. The mean frequency of the EEG analysis mainly showed the effect of the interventions on the groups (F=11.50, P=0.0001).\nConclusion: ST and AT in patients with PD are associated with improved outcomes in disease symptoms and functional capacity.","call-number":"2","container-title":"Clinical Interventions in Aging","DOI":"10.2147/CIA.S68779","ISSN":"1178-1998","journalAbbreviation":"CIA","language":"en","license":"http://creativecommons.org/licenses/by-nc/3.0/","note":"JCR分区: Q2\n中科院分区升级版: 医学2区\n中科院分区基础版: 医学3区\n影响因子: 3.7\n5年影响因子: 4.3","page":"183","source":"3.7","title":"Comparison of strength training, aerobic training, and additional physical therapy as supplementary treatments for parkinson&amp;rsquo;s disease: Pilot study","title-short":"Comparison of strength training, aerobic training, and additional physical therapy as supplementary treatments for Parkinson&amp;rsquo;s disease","author":[{"family":"Alessandro Carvalho","given":"Alessandro"},{"family":"Barbirato","given":"Dannyel"},{"family":"Santos","given":"Tony"},{"family":"Coutinho","given":"Evandro"},{"family":"Laks","given":"Jerson"},{"family":"Deslandes","given":"Andrea"},{"family":"Araujo","given":"Narahyana"},{"family":"Martins","given":"Jose"},{"family":"Cavalcanti","given":"Jose"}],"issued":{"date-parts":[["2015",1]]},"citation-key":"alessandrocarvalhoComparisonStrengthTraining2015"}}],"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3</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（2015）</w:t>
            </w:r>
          </w:p>
        </w:tc>
        <w:tc>
          <w:tcPr>
            <w:tcW w:w="1128" w:type="dxa"/>
            <w:vMerge w:val="restart"/>
            <w:tcBorders>
              <w:top w:val="nil"/>
            </w:tcBorders>
            <w:noWrap/>
          </w:tcPr>
          <w:p w14:paraId="3696C07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Brazil</w:t>
            </w:r>
          </w:p>
        </w:tc>
        <w:tc>
          <w:tcPr>
            <w:tcW w:w="768" w:type="dxa"/>
            <w:tcBorders>
              <w:top w:val="nil"/>
              <w:bottom w:val="nil"/>
            </w:tcBorders>
            <w:noWrap/>
          </w:tcPr>
          <w:p w14:paraId="5062B50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IG:5</w:t>
            </w:r>
          </w:p>
        </w:tc>
        <w:tc>
          <w:tcPr>
            <w:tcW w:w="1307" w:type="dxa"/>
            <w:tcBorders>
              <w:top w:val="nil"/>
              <w:bottom w:val="nil"/>
            </w:tcBorders>
            <w:noWrap/>
          </w:tcPr>
          <w:p w14:paraId="75C89E6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64.8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11.9</w:t>
            </w:r>
          </w:p>
        </w:tc>
        <w:tc>
          <w:tcPr>
            <w:tcW w:w="1560" w:type="dxa"/>
            <w:tcBorders>
              <w:top w:val="nil"/>
              <w:bottom w:val="nil"/>
            </w:tcBorders>
            <w:noWrap/>
          </w:tcPr>
          <w:p w14:paraId="2C7261E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0.5</w:t>
            </w:r>
          </w:p>
        </w:tc>
        <w:tc>
          <w:tcPr>
            <w:tcW w:w="1152" w:type="dxa"/>
            <w:tcBorders>
              <w:top w:val="nil"/>
              <w:bottom w:val="nil"/>
            </w:tcBorders>
            <w:noWrap/>
          </w:tcPr>
          <w:p w14:paraId="3B22146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1.5</w:t>
            </w:r>
          </w:p>
        </w:tc>
        <w:tc>
          <w:tcPr>
            <w:tcW w:w="888" w:type="dxa"/>
            <w:tcBorders>
              <w:top w:val="nil"/>
              <w:bottom w:val="nil"/>
            </w:tcBorders>
            <w:noWrap/>
          </w:tcPr>
          <w:p w14:paraId="2575DCE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TT</w:t>
            </w:r>
          </w:p>
        </w:tc>
        <w:tc>
          <w:tcPr>
            <w:tcW w:w="5772" w:type="dxa"/>
            <w:tcBorders>
              <w:top w:val="nil"/>
            </w:tcBorders>
          </w:tcPr>
          <w:p w14:paraId="35A8852D">
            <w:pPr>
              <w:spacing w:line="400" w:lineRule="exact"/>
              <w:jc w:val="left"/>
              <w:textAlignment w:val="center"/>
              <w:rPr>
                <w:rFonts w:ascii="Times New Roman" w:hAnsi="Times New Roman" w:eastAsia="Segoe UI" w:cs="Times New Roman"/>
                <w:color w:val="auto"/>
                <w:szCs w:val="21"/>
                <w:shd w:val="clear" w:color="auto" w:fill="FFFFFF"/>
              </w:rPr>
            </w:pPr>
            <w:r>
              <w:rPr>
                <w:rFonts w:ascii="Times New Roman" w:hAnsi="Times New Roman" w:eastAsia="宋体" w:cs="Times New Roman"/>
                <w:color w:val="auto"/>
                <w:szCs w:val="21"/>
                <w:lang w:bidi="ar"/>
              </w:rPr>
              <w:t>60% VO</w:t>
            </w:r>
            <w:r>
              <w:rPr>
                <w:rFonts w:hint="eastAsia" w:ascii="Times New Roman" w:hAnsi="Times New Roman" w:eastAsia="宋体" w:cs="Times New Roman"/>
                <w:color w:val="auto"/>
                <w:szCs w:val="21"/>
                <w:vertAlign w:val="subscript"/>
                <w:lang w:bidi="ar"/>
              </w:rPr>
              <w:t>2</w:t>
            </w:r>
            <w:r>
              <w:rPr>
                <w:rFonts w:ascii="Times New Roman" w:hAnsi="Times New Roman" w:eastAsia="宋体" w:cs="Times New Roman"/>
                <w:color w:val="auto"/>
                <w:szCs w:val="21"/>
                <w:lang w:bidi="ar"/>
              </w:rPr>
              <w:t>max or 70% HRmax, 12 weeks, 2 times/week, 40 minutes</w:t>
            </w:r>
          </w:p>
        </w:tc>
        <w:tc>
          <w:tcPr>
            <w:tcW w:w="933" w:type="dxa"/>
            <w:vMerge w:val="restart"/>
            <w:tcBorders>
              <w:top w:val="nil"/>
              <w:bottom w:val="nil"/>
            </w:tcBorders>
          </w:tcPr>
          <w:p w14:paraId="1D09E179">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w:t>
            </w:r>
          </w:p>
        </w:tc>
      </w:tr>
      <w:tr w14:paraId="08BC0D79">
        <w:tblPrEx>
          <w:tblCellMar>
            <w:top w:w="0" w:type="dxa"/>
            <w:left w:w="28" w:type="dxa"/>
            <w:bottom w:w="0" w:type="dxa"/>
            <w:right w:w="28" w:type="dxa"/>
          </w:tblCellMar>
        </w:tblPrEx>
        <w:trPr>
          <w:trHeight w:val="283" w:hRule="atLeast"/>
        </w:trPr>
        <w:tc>
          <w:tcPr>
            <w:tcW w:w="1902" w:type="dxa"/>
            <w:vMerge w:val="continue"/>
            <w:tcBorders>
              <w:bottom w:val="nil"/>
            </w:tcBorders>
          </w:tcPr>
          <w:p w14:paraId="004078D4">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bottom w:val="nil"/>
            </w:tcBorders>
            <w:noWrap/>
          </w:tcPr>
          <w:p w14:paraId="446804A7">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658757E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CG:9</w:t>
            </w:r>
          </w:p>
        </w:tc>
        <w:tc>
          <w:tcPr>
            <w:tcW w:w="1307" w:type="dxa"/>
            <w:tcBorders>
              <w:top w:val="nil"/>
              <w:bottom w:val="nil"/>
            </w:tcBorders>
            <w:noWrap/>
          </w:tcPr>
          <w:p w14:paraId="1443397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62.1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11.7</w:t>
            </w:r>
          </w:p>
        </w:tc>
        <w:tc>
          <w:tcPr>
            <w:tcW w:w="1560" w:type="dxa"/>
            <w:tcBorders>
              <w:top w:val="nil"/>
              <w:bottom w:val="nil"/>
            </w:tcBorders>
            <w:noWrap/>
          </w:tcPr>
          <w:p w14:paraId="7200653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0.5</w:t>
            </w:r>
          </w:p>
        </w:tc>
        <w:tc>
          <w:tcPr>
            <w:tcW w:w="1152" w:type="dxa"/>
            <w:tcBorders>
              <w:top w:val="nil"/>
              <w:bottom w:val="nil"/>
            </w:tcBorders>
            <w:noWrap/>
          </w:tcPr>
          <w:p w14:paraId="1436F646">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4.3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2.8</w:t>
            </w:r>
          </w:p>
        </w:tc>
        <w:tc>
          <w:tcPr>
            <w:tcW w:w="888" w:type="dxa"/>
            <w:tcBorders>
              <w:top w:val="nil"/>
              <w:bottom w:val="nil"/>
            </w:tcBorders>
            <w:noWrap/>
          </w:tcPr>
          <w:p w14:paraId="1B929D7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CON</w:t>
            </w:r>
          </w:p>
        </w:tc>
        <w:tc>
          <w:tcPr>
            <w:tcW w:w="5772" w:type="dxa"/>
            <w:tcBorders>
              <w:bottom w:val="nil"/>
            </w:tcBorders>
          </w:tcPr>
          <w:p w14:paraId="62AED2DD">
            <w:pPr>
              <w:spacing w:line="400" w:lineRule="exact"/>
              <w:jc w:val="left"/>
              <w:textAlignment w:val="center"/>
              <w:rPr>
                <w:rFonts w:ascii="Times New Roman" w:hAnsi="Times New Roman" w:eastAsia="宋体" w:cs="Times New Roman"/>
                <w:color w:val="auto"/>
                <w:szCs w:val="21"/>
                <w:lang w:bidi="ar"/>
              </w:rPr>
            </w:pPr>
            <w:r>
              <w:rPr>
                <w:rFonts w:hint="eastAsia" w:ascii="Times New Roman" w:hAnsi="Times New Roman" w:eastAsia="宋体" w:cs="Times New Roman"/>
                <w:color w:val="auto"/>
                <w:szCs w:val="21"/>
                <w:lang w:bidi="ar"/>
              </w:rPr>
              <w:t>c</w:t>
            </w:r>
            <w:r>
              <w:rPr>
                <w:rFonts w:ascii="Times New Roman" w:hAnsi="Times New Roman" w:eastAsia="宋体" w:cs="Times New Roman"/>
                <w:color w:val="auto"/>
                <w:szCs w:val="21"/>
                <w:lang w:bidi="ar"/>
              </w:rPr>
              <w:t>onventional physiotherapy</w:t>
            </w:r>
          </w:p>
        </w:tc>
        <w:tc>
          <w:tcPr>
            <w:tcW w:w="933" w:type="dxa"/>
            <w:vMerge w:val="continue"/>
            <w:tcBorders>
              <w:top w:val="nil"/>
              <w:bottom w:val="nil"/>
            </w:tcBorders>
          </w:tcPr>
          <w:p w14:paraId="67DC47D1">
            <w:pPr>
              <w:spacing w:line="400" w:lineRule="exact"/>
              <w:jc w:val="center"/>
              <w:rPr>
                <w:rFonts w:ascii="Times New Roman" w:hAnsi="Times New Roman" w:eastAsia="微软雅黑" w:cs="Times New Roman"/>
                <w:color w:val="auto"/>
                <w:szCs w:val="21"/>
                <w:lang w:bidi="ar"/>
              </w:rPr>
            </w:pPr>
          </w:p>
        </w:tc>
      </w:tr>
      <w:tr w14:paraId="582075BC">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315D87B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Sage</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{"citationID":"c96m5kjc","properties":{"formattedCitation":"\\super 4\\nosupersub{}","plainCitation":"4","noteIndex":0},"citationItems":[{"id":1189,"uris":["http://zotero.org/users/local/9LWqYmzn/items/FUANT4TD"],"itemData":{"id":1189,"type":"article-journal","abstract":"Abstract\n            The current study compared lower‐limb aerobic training and sensory attention focused exercise (PD SAFEx) to a non‐exercise control group with the overall objective of determining which strategy would have a greater benefit for Parkinson's disease (PD) symptoms and gait. PD SAFEx was developed to focus on sensorimotor deficits identified in PD with the aim of increasing sensory feedback and body awareness, while the lower‐limb aerobic training utilized a specially designed semi‐recumbent elliptical device. Intervention groups (PD SAFEx, n = 18; aerobic, n = 13) exercised three times/week for 10–12 weeks, while nonexercise control participants (n = 15) maintained their regular activity level for 12 weeks. Outcome measures included the Unified Parkinson's disease rating scale motor section (UPDRS) administered by a blinded clinician; a posture and gait (PG) score (total of UPDRS items 27–31); the Timed‐Up‐and‐Go (TUG); and spatiotemporal aspects of self‐paced gait. PD SAFEx resulted in an improved UPDRS, PG score, and TUG (reached significance when participants with poor attendance were excluded) but not self‐paced gait. The lower‐limb aerobic training led to increased step length and velocity but had no change to disease severity. Since gait improvements were not combined with symptomatic changes, lower‐limb aerobic exercise may not be optimal for individuals with PD. Conversely, sensory‐based exercise (PD SAFEx) was beneficial, and led to improvement in symptoms and functional movement control. © 2009 Movement Disorder Society","call-number":"1","container-title":"Movement Disorders","DOI":"10.1002/mds.22469","ISSN":"0885-3185, 1531-8257","issue":"8","journalAbbreviation":"Mov. Disord.","language":"en","license":"http://onlinelibrary.wiley.com/termsAndConditions#vor","note":"JCR分区: Q1\n中科院分区升级版: 医学1区\n中科院分区基础版: 医学1区\n影响因子: 7.6\n5年影响因子: 7.8\nTLDR: Since gait improvements were not combined with symptomatic changes, lower‐limb aerobic exercise may not be optimal for individuals with PD, and sensory‐based exercise (PD SAFEx) was beneficial, and led to improvement in symptoms and functional movement control.","page":"1132-1138","source":"7.6","title":"Symptom and gait changes after sensory attention focused exercise vs aerobic training in parkinson's disease","volume":"24","author":[{"family":"Sage","given":"Michael D."},{"family":"Almeida","given":"Quincy J."}],"issued":{"date-parts":[["2009",6,15]]},"citation-key":"sageSymptomGaitChanges2009a"}}],"schema":"https://github.com/citation-style-language/schema/raw/master/csl-citation.json"}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4</w:t>
            </w:r>
            <w:r>
              <w:rPr>
                <w:rFonts w:ascii="Times New Roman" w:hAnsi="Times New Roman" w:eastAsia="宋体" w:cs="Times New Roman"/>
                <w:color w:val="auto"/>
                <w:szCs w:val="21"/>
                <w:lang w:bidi="ar"/>
              </w:rPr>
              <w:fldChar w:fldCharType="end"/>
            </w:r>
          </w:p>
          <w:p w14:paraId="6C2B55A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(2009)</w:t>
            </w:r>
          </w:p>
        </w:tc>
        <w:tc>
          <w:tcPr>
            <w:tcW w:w="1128" w:type="dxa"/>
            <w:vMerge w:val="restart"/>
            <w:tcBorders>
              <w:top w:val="nil"/>
              <w:bottom w:val="nil"/>
            </w:tcBorders>
            <w:noWrap/>
          </w:tcPr>
          <w:p w14:paraId="55811AD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Canada</w:t>
            </w:r>
          </w:p>
        </w:tc>
        <w:tc>
          <w:tcPr>
            <w:tcW w:w="768" w:type="dxa"/>
            <w:tcBorders>
              <w:top w:val="nil"/>
              <w:bottom w:val="nil"/>
            </w:tcBorders>
          </w:tcPr>
          <w:p w14:paraId="54F0899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IG:13</w:t>
            </w:r>
          </w:p>
        </w:tc>
        <w:tc>
          <w:tcPr>
            <w:tcW w:w="1307" w:type="dxa"/>
            <w:tcBorders>
              <w:top w:val="nil"/>
              <w:bottom w:val="nil"/>
            </w:tcBorders>
            <w:noWrap/>
          </w:tcPr>
          <w:p w14:paraId="2ADB68F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65.1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9.3</w:t>
            </w:r>
          </w:p>
        </w:tc>
        <w:tc>
          <w:tcPr>
            <w:tcW w:w="1560" w:type="dxa"/>
            <w:vMerge w:val="restart"/>
            <w:tcBorders>
              <w:top w:val="nil"/>
            </w:tcBorders>
            <w:noWrap/>
          </w:tcPr>
          <w:p w14:paraId="3E573A1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NR</w:t>
            </w:r>
          </w:p>
        </w:tc>
        <w:tc>
          <w:tcPr>
            <w:tcW w:w="1152" w:type="dxa"/>
            <w:tcBorders>
              <w:top w:val="nil"/>
              <w:bottom w:val="nil"/>
            </w:tcBorders>
            <w:noWrap/>
          </w:tcPr>
          <w:p w14:paraId="335BE36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3.2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2.9</w:t>
            </w:r>
          </w:p>
        </w:tc>
        <w:tc>
          <w:tcPr>
            <w:tcW w:w="888" w:type="dxa"/>
            <w:tcBorders>
              <w:top w:val="nil"/>
              <w:bottom w:val="nil"/>
            </w:tcBorders>
          </w:tcPr>
          <w:p w14:paraId="672F29C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AE</w:t>
            </w:r>
          </w:p>
        </w:tc>
        <w:tc>
          <w:tcPr>
            <w:tcW w:w="5772" w:type="dxa"/>
            <w:tcBorders>
              <w:top w:val="nil"/>
              <w:bottom w:val="nil"/>
            </w:tcBorders>
          </w:tcPr>
          <w:p w14:paraId="17637956">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60–75% HRmax (RPE &lt;5/10), 12 weeks, 3 times/week, 30 minutes</w:t>
            </w:r>
          </w:p>
        </w:tc>
        <w:tc>
          <w:tcPr>
            <w:tcW w:w="933" w:type="dxa"/>
            <w:vMerge w:val="restart"/>
            <w:tcBorders>
              <w:top w:val="nil"/>
              <w:bottom w:val="nil"/>
            </w:tcBorders>
          </w:tcPr>
          <w:p w14:paraId="5E32A63E">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①④</w:t>
            </w:r>
          </w:p>
        </w:tc>
      </w:tr>
      <w:tr w14:paraId="7D80B561">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705185A2">
            <w:pPr>
              <w:spacing w:line="400" w:lineRule="exact"/>
              <w:jc w:val="center"/>
              <w:rPr>
                <w:rFonts w:ascii="Times New Roman" w:hAnsi="Times New Roman" w:eastAsia="宋体" w:cs="Times New Roman"/>
                <w:color w:val="auto"/>
                <w:szCs w:val="21"/>
                <w:lang w:bidi="ar"/>
              </w:rPr>
            </w:pPr>
          </w:p>
        </w:tc>
        <w:tc>
          <w:tcPr>
            <w:tcW w:w="1128" w:type="dxa"/>
            <w:vMerge w:val="continue"/>
            <w:tcBorders>
              <w:top w:val="nil"/>
              <w:bottom w:val="nil"/>
            </w:tcBorders>
            <w:noWrap/>
          </w:tcPr>
          <w:p w14:paraId="02809DFA">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tcPr>
          <w:p w14:paraId="1B3938B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CG:15</w:t>
            </w:r>
          </w:p>
        </w:tc>
        <w:tc>
          <w:tcPr>
            <w:tcW w:w="1307" w:type="dxa"/>
            <w:tcBorders>
              <w:top w:val="nil"/>
              <w:bottom w:val="nil"/>
            </w:tcBorders>
            <w:noWrap/>
          </w:tcPr>
          <w:p w14:paraId="7D40B2F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68.6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8.7</w:t>
            </w:r>
          </w:p>
        </w:tc>
        <w:tc>
          <w:tcPr>
            <w:tcW w:w="1560" w:type="dxa"/>
            <w:vMerge w:val="continue"/>
            <w:tcBorders>
              <w:bottom w:val="nil"/>
            </w:tcBorders>
            <w:noWrap/>
          </w:tcPr>
          <w:p w14:paraId="361ECEAD">
            <w:pPr>
              <w:spacing w:line="400" w:lineRule="exact"/>
              <w:jc w:val="center"/>
              <w:textAlignment w:val="center"/>
              <w:rPr>
                <w:rFonts w:ascii="Times New Roman" w:hAnsi="Times New Roman" w:eastAsia="宋体" w:cs="Times New Roman"/>
                <w:color w:val="auto"/>
                <w:szCs w:val="21"/>
                <w:lang w:bidi="ar"/>
              </w:rPr>
            </w:pPr>
          </w:p>
        </w:tc>
        <w:tc>
          <w:tcPr>
            <w:tcW w:w="1152" w:type="dxa"/>
            <w:tcBorders>
              <w:top w:val="nil"/>
              <w:bottom w:val="nil"/>
            </w:tcBorders>
            <w:noWrap/>
          </w:tcPr>
          <w:p w14:paraId="56EBA2F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2.2</w:t>
            </w:r>
          </w:p>
        </w:tc>
        <w:tc>
          <w:tcPr>
            <w:tcW w:w="888" w:type="dxa"/>
            <w:tcBorders>
              <w:top w:val="nil"/>
              <w:bottom w:val="nil"/>
            </w:tcBorders>
          </w:tcPr>
          <w:p w14:paraId="28D852B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tcPr>
          <w:p w14:paraId="0DEB41E1">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154B1C13">
            <w:pPr>
              <w:spacing w:line="400" w:lineRule="exact"/>
              <w:jc w:val="center"/>
              <w:rPr>
                <w:rFonts w:ascii="Times New Roman" w:hAnsi="Times New Roman" w:eastAsia="微软雅黑" w:cs="Times New Roman"/>
                <w:color w:val="auto"/>
                <w:szCs w:val="21"/>
                <w:lang w:bidi="ar"/>
              </w:rPr>
            </w:pPr>
          </w:p>
        </w:tc>
      </w:tr>
      <w:tr w14:paraId="434E94B3">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4DBB3815">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Shanahan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{"citationID":"WAyky4i0","properties":{"formattedCitation":"\\super 5\\nosupersub{}","plainCitation":"5","noteIndex":0},"citationItems":[{"id":1191,"uris":["http://zotero.org/users/local/9LWqYmzn/items/2KFZ5RU3"],"itemData":{"id":1191,"type":"article-journal","call-number":"2","container-title":"Archives of Physical Medicine and Rehabilitation","DOI":"10.1016/j.apmr.2017.02.017","ISSN":"00039993","issue":"9","journalAbbreviation":"Arch. Phys. Med. Rehabil.","language":"en","note":"JCR分区: Q1\n中科院分区升级版: 医学2区\n中科院分区基础版: 医学3区\n影响因子: 3.7\n5年影响因子: 4.1\nTLDR: For people with mild to moderately severe PD, set dancing is feasible and enjoyable and may improve quality of life.","page":"1744-1751","source":"3.7","title":"Dancing for parkinson disease: A randomized trial of irish set dancing compared with usual care","title-short":"Dancing for Parkinson Disease","volume":"98","author":[{"family":"Shanahan","given":"Joanne"},{"family":"Morris","given":"Meg E."},{"family":"Bhriain","given":"Orfhlaith Ni"},{"family":"Volpe","given":"Daniele"},{"family":"Lynch","given":"Tim"},{"family":"Clifford","given":"Amanda M."}],"issued":{"date-parts":[["2017",9]]},"citation-key":"shanahanDancingParkinsonDisease2017a"}}],"schema":"https://github.com/citation-style-language/schema/raw/master/csl-citation.json"}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5</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（2017）</w:t>
            </w:r>
          </w:p>
        </w:tc>
        <w:tc>
          <w:tcPr>
            <w:tcW w:w="1128" w:type="dxa"/>
            <w:vMerge w:val="restart"/>
            <w:tcBorders>
              <w:top w:val="nil"/>
              <w:bottom w:val="nil"/>
            </w:tcBorders>
            <w:noWrap/>
          </w:tcPr>
          <w:p w14:paraId="2263628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Ireland</w:t>
            </w:r>
          </w:p>
        </w:tc>
        <w:tc>
          <w:tcPr>
            <w:tcW w:w="768" w:type="dxa"/>
            <w:tcBorders>
              <w:top w:val="nil"/>
              <w:bottom w:val="nil"/>
            </w:tcBorders>
          </w:tcPr>
          <w:p w14:paraId="59C8D52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IG:20</w:t>
            </w:r>
          </w:p>
        </w:tc>
        <w:tc>
          <w:tcPr>
            <w:tcW w:w="1307" w:type="dxa"/>
            <w:tcBorders>
              <w:top w:val="nil"/>
              <w:bottom w:val="nil"/>
            </w:tcBorders>
            <w:noWrap/>
          </w:tcPr>
          <w:p w14:paraId="08A509E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69.0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10.0</w:t>
            </w:r>
          </w:p>
        </w:tc>
        <w:tc>
          <w:tcPr>
            <w:tcW w:w="1560" w:type="dxa"/>
            <w:tcBorders>
              <w:top w:val="nil"/>
              <w:bottom w:val="nil"/>
            </w:tcBorders>
            <w:noWrap/>
          </w:tcPr>
          <w:p w14:paraId="3E7A0EF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1.3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1.0</w:t>
            </w:r>
          </w:p>
        </w:tc>
        <w:tc>
          <w:tcPr>
            <w:tcW w:w="1152" w:type="dxa"/>
            <w:tcBorders>
              <w:top w:val="nil"/>
              <w:bottom w:val="nil"/>
            </w:tcBorders>
            <w:noWrap/>
          </w:tcPr>
          <w:p w14:paraId="6B9C824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6.0</w:t>
            </w:r>
          </w:p>
        </w:tc>
        <w:tc>
          <w:tcPr>
            <w:tcW w:w="888" w:type="dxa"/>
            <w:tcBorders>
              <w:top w:val="nil"/>
              <w:bottom w:val="nil"/>
            </w:tcBorders>
            <w:noWrap/>
          </w:tcPr>
          <w:p w14:paraId="6E3EBD4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Dance</w:t>
            </w:r>
          </w:p>
        </w:tc>
        <w:tc>
          <w:tcPr>
            <w:tcW w:w="5772" w:type="dxa"/>
            <w:tcBorders>
              <w:top w:val="nil"/>
              <w:bottom w:val="nil"/>
            </w:tcBorders>
          </w:tcPr>
          <w:p w14:paraId="77EF29F9">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10 weeks, 1 time/week, 90 minutes</w:t>
            </w:r>
          </w:p>
        </w:tc>
        <w:tc>
          <w:tcPr>
            <w:tcW w:w="933" w:type="dxa"/>
            <w:vMerge w:val="restart"/>
            <w:tcBorders>
              <w:top w:val="nil"/>
              <w:bottom w:val="nil"/>
            </w:tcBorders>
          </w:tcPr>
          <w:p w14:paraId="2D2A1AB0">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①②③⑥</w:t>
            </w:r>
          </w:p>
        </w:tc>
      </w:tr>
      <w:tr w14:paraId="3A568E91">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38AB6ACC">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232CF0CC">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tcPr>
          <w:p w14:paraId="0E1E900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CG:21</w:t>
            </w:r>
          </w:p>
        </w:tc>
        <w:tc>
          <w:tcPr>
            <w:tcW w:w="1307" w:type="dxa"/>
            <w:tcBorders>
              <w:top w:val="nil"/>
              <w:bottom w:val="nil"/>
            </w:tcBorders>
            <w:noWrap/>
          </w:tcPr>
          <w:p w14:paraId="45887F8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69.0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8.0</w:t>
            </w:r>
          </w:p>
        </w:tc>
        <w:tc>
          <w:tcPr>
            <w:tcW w:w="1560" w:type="dxa"/>
            <w:tcBorders>
              <w:top w:val="nil"/>
              <w:bottom w:val="nil"/>
            </w:tcBorders>
            <w:noWrap/>
          </w:tcPr>
          <w:p w14:paraId="2090A10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1.0</w:t>
            </w:r>
          </w:p>
        </w:tc>
        <w:tc>
          <w:tcPr>
            <w:tcW w:w="1152" w:type="dxa"/>
            <w:tcBorders>
              <w:top w:val="nil"/>
              <w:bottom w:val="nil"/>
            </w:tcBorders>
            <w:noWrap/>
          </w:tcPr>
          <w:p w14:paraId="677F4F1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5.8</w:t>
            </w:r>
          </w:p>
        </w:tc>
        <w:tc>
          <w:tcPr>
            <w:tcW w:w="888" w:type="dxa"/>
            <w:tcBorders>
              <w:top w:val="nil"/>
              <w:bottom w:val="nil"/>
            </w:tcBorders>
            <w:noWrap/>
          </w:tcPr>
          <w:p w14:paraId="1A0AA16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tcPr>
          <w:p w14:paraId="24DF3AD9">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22E15A6B">
            <w:pPr>
              <w:spacing w:line="400" w:lineRule="exact"/>
              <w:jc w:val="center"/>
              <w:rPr>
                <w:rFonts w:ascii="Times New Roman" w:hAnsi="Times New Roman" w:eastAsia="微软雅黑" w:cs="Times New Roman"/>
                <w:color w:val="auto"/>
                <w:szCs w:val="21"/>
                <w:lang w:bidi="ar"/>
              </w:rPr>
            </w:pPr>
          </w:p>
        </w:tc>
      </w:tr>
      <w:tr w14:paraId="1D764BFB">
        <w:tblPrEx>
          <w:tblCellMar>
            <w:top w:w="0" w:type="dxa"/>
            <w:left w:w="28" w:type="dxa"/>
            <w:bottom w:w="0" w:type="dxa"/>
            <w:right w:w="28" w:type="dxa"/>
          </w:tblCellMar>
        </w:tblPrEx>
        <w:trPr>
          <w:trHeight w:val="283" w:hRule="atLeast"/>
        </w:trPr>
        <w:tc>
          <w:tcPr>
            <w:tcW w:w="1902" w:type="dxa"/>
            <w:vMerge w:val="restart"/>
            <w:tcBorders>
              <w:top w:val="nil"/>
              <w:bottom w:val="nil"/>
            </w:tcBorders>
            <w:vAlign w:val="center"/>
          </w:tcPr>
          <w:p w14:paraId="25A8266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Tollár</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{"citationID":"eQtdDgQI","properties":{"formattedCitation":"\\super 6\\nosupersub{}","plainCitation":"6","noteIndex":0},"citationItems":[{"id":1062,"uris":["http://zotero.org/users/local/9LWqYmzn/items/UHQ8IHBN"],"itemData":{"id":1062,"type":"article-journal","abstract":"&lt;b&gt;&lt;i&gt;Objectives:&lt;/i&gt;&lt;/b&gt; To directly compare the effects of agility exergaming (EXE) and stationary cycling (CYC) exercise training on Parkinson’s disease (PD) patients’ mobility and clinical symptoms. &lt;b&gt;&lt;i&gt;Design:&lt;/i&gt;&lt;/b&gt; Randomized clinical trial. &lt;b&gt;&lt;i&gt;Setting:&lt;/i&gt;&lt;/b&gt; Outpatient physiotherapy clinic in a hospital. &lt;b&gt;&lt;i&gt;Participants:&lt;/i&gt;&lt;/b&gt; Seventy-four stage 2–3, nondemented PD patients were included in this study. &lt;b&gt;&lt;i&gt;Intervention:&lt;/i&gt;&lt;/b&gt; The groups were as follows: EXE (&lt;i&gt;n&lt;/i&gt; = 25), CYC (&lt;i&gt;n&lt;/i&gt; = 25), and a wait-listed control group (CON; &lt;i&gt;n&lt;/i&gt; = 24). The EXE and CYC groups exercised 5×/week for 5 weeks, matched at 80% of the age-predicted maximal heart rate. &lt;b&gt;&lt;i&gt;Main Outcomes:&lt;/i&gt;&lt;/b&gt; The primary outcome was the Movement Disorders Society Unified Parkinson’s Disease Rating Scale (UPDRS-II) score. Secondary outcomes were Parkinson’s Disease Quastionnaire-39 (PDQ-39), the Beck Depression Inventory (BDI), the Schwab and England Activities of Daily Living (SE-ADL) scale, Euro-Quality of Life-5 Dimensions (EQ-5D) questionnaire, the Berg Balance Scale (BBS), the Balance Evaluation Systems Test (BESTest), the Tinetti Assessment Tool (TAT), the Dynamic Gait Index, the 6-min walk test (6MWT), and standing posturography. &lt;b&gt;&lt;i&gt;Results:&lt;/i&gt;&lt;/b&gt; After treatment, UPDRS-II scores improved (mean change: EXE, –4.5 points; CYC, –3.2 points). The results for the other outcomes (EXE and CYC, respectively) were: PDQ, 13 and 17%; BDI, –2.5 and –2.1 points; 6MWT, 129.6 and 141.6 m; and EQ-5D, 12 and 9% (all &lt;i&gt;p&lt;/i&gt; &amp;#x3c; 0.05, but there was no difference between groups). EXE vs. CYC resulted in improved SE-ADL (8.4 and 4.0 points, effect size [ES]: 0.12), BBS (8.8 and 4.2 points, ES: 0.44), and 2 measures of posturography (ES: 0.11 and 0.21) (&lt;i&gt;p&lt;/i&gt; &amp;#x3c; 0.05). BESTtest, TAT, the Dynamic Gait Index, and 4 out of 6 posturography measures did not change (&lt;i&gt;p&lt;/i&gt; &amp;#x3e; 0.05). &lt;b&gt;&lt;i&gt;Conclusion:&lt;/i&gt;&lt;/b&gt; Two highly different exercise programs resulted in similar improvement of most motor and clinical symptoms in PD patients.","call-number":"3","container-title":"Gerontology","DOI":"10.1159/000493127","ISSN":"0304-324X, 1423-0003","issue":"2","journalAbbreviation":"Gerontology","language":"en","license":"https://www.karger.com/Services/SiteLicenses","note":"JCR分区: Q3\n中科院分区升级版: 医学3区\n中科院分区基础版: 医学3区\n影响因子: 3.0\n5年影响因子: 4.0\nTLDR: Two highly different exercise programs resulted in similar improvement of most motor and clinical symptoms in PD patients.","page":"120-127","source":"3.0","title":"Vastly different exercise programs similarly improve parkinsonian symptoms: A randomized clinical trial","title-short":"Vastly Different Exercise Programs Similarly Improve Parkinsonian Symptoms","volume":"65","author":[{"family":"Tollár","given":"József"},{"family":"Nagy","given":"Ferenc"},{"family":"Hortobágyi","given":"Tibor"}],"issued":{"date-parts":[["2019"]]},"citation-key":"tollarVastlyDifferentExercise2019"}}],"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6</w:t>
            </w:r>
            <w:r>
              <w:rPr>
                <w:rFonts w:ascii="Times New Roman" w:hAnsi="Times New Roman" w:eastAsia="宋体" w:cs="Times New Roman"/>
                <w:color w:val="auto"/>
                <w:szCs w:val="21"/>
                <w:lang w:bidi="ar"/>
              </w:rPr>
              <w:fldChar w:fldCharType="end"/>
            </w:r>
          </w:p>
          <w:p w14:paraId="3ED5C2B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（2018）</w:t>
            </w:r>
          </w:p>
        </w:tc>
        <w:tc>
          <w:tcPr>
            <w:tcW w:w="1128" w:type="dxa"/>
            <w:vMerge w:val="restart"/>
            <w:tcBorders>
              <w:top w:val="nil"/>
              <w:bottom w:val="nil"/>
            </w:tcBorders>
            <w:noWrap/>
            <w:vAlign w:val="center"/>
          </w:tcPr>
          <w:p w14:paraId="299CA28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Netherlands</w:t>
            </w:r>
          </w:p>
          <w:p w14:paraId="7913F506">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vAlign w:val="center"/>
          </w:tcPr>
          <w:p w14:paraId="0DABDB2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IG:25</w:t>
            </w:r>
          </w:p>
        </w:tc>
        <w:tc>
          <w:tcPr>
            <w:tcW w:w="1307" w:type="dxa"/>
            <w:tcBorders>
              <w:top w:val="nil"/>
              <w:bottom w:val="nil"/>
            </w:tcBorders>
            <w:noWrap/>
            <w:vAlign w:val="center"/>
          </w:tcPr>
          <w:p w14:paraId="1503E15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70.6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4.1</w:t>
            </w:r>
          </w:p>
        </w:tc>
        <w:tc>
          <w:tcPr>
            <w:tcW w:w="1560" w:type="dxa"/>
            <w:tcBorders>
              <w:top w:val="nil"/>
              <w:bottom w:val="nil"/>
            </w:tcBorders>
            <w:noWrap/>
            <w:vAlign w:val="center"/>
          </w:tcPr>
          <w:p w14:paraId="50E926A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2.4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0.5</w:t>
            </w:r>
          </w:p>
        </w:tc>
        <w:tc>
          <w:tcPr>
            <w:tcW w:w="1152" w:type="dxa"/>
            <w:tcBorders>
              <w:top w:val="nil"/>
              <w:bottom w:val="nil"/>
            </w:tcBorders>
            <w:noWrap/>
            <w:vAlign w:val="center"/>
          </w:tcPr>
          <w:p w14:paraId="1B7C3F7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2.2</w:t>
            </w:r>
          </w:p>
        </w:tc>
        <w:tc>
          <w:tcPr>
            <w:tcW w:w="888" w:type="dxa"/>
            <w:tcBorders>
              <w:top w:val="nil"/>
              <w:bottom w:val="nil"/>
            </w:tcBorders>
            <w:noWrap/>
            <w:vAlign w:val="center"/>
          </w:tcPr>
          <w:p w14:paraId="089B829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Cycling</w:t>
            </w:r>
          </w:p>
        </w:tc>
        <w:tc>
          <w:tcPr>
            <w:tcW w:w="5772" w:type="dxa"/>
            <w:tcBorders>
              <w:top w:val="nil"/>
              <w:bottom w:val="nil"/>
            </w:tcBorders>
            <w:vAlign w:val="center"/>
          </w:tcPr>
          <w:p w14:paraId="50EC88FB">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80% HRmax, 5 weeks, 5 times/week, 60 minutes</w:t>
            </w:r>
          </w:p>
        </w:tc>
        <w:tc>
          <w:tcPr>
            <w:tcW w:w="933" w:type="dxa"/>
            <w:vMerge w:val="restart"/>
            <w:tcBorders>
              <w:top w:val="nil"/>
              <w:bottom w:val="nil"/>
            </w:tcBorders>
            <w:vAlign w:val="center"/>
          </w:tcPr>
          <w:p w14:paraId="1D4FE7A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微软雅黑" w:cs="Times New Roman"/>
                <w:color w:val="auto"/>
                <w:szCs w:val="21"/>
                <w:lang w:bidi="ar"/>
              </w:rPr>
              <w:t>③⑤</w:t>
            </w:r>
          </w:p>
        </w:tc>
      </w:tr>
      <w:tr w14:paraId="595A4893">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5E4DA802">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64334E09">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vAlign w:val="center"/>
          </w:tcPr>
          <w:p w14:paraId="1F458C0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CG:24</w:t>
            </w:r>
          </w:p>
        </w:tc>
        <w:tc>
          <w:tcPr>
            <w:tcW w:w="1307" w:type="dxa"/>
            <w:tcBorders>
              <w:top w:val="nil"/>
              <w:bottom w:val="nil"/>
            </w:tcBorders>
            <w:noWrap/>
            <w:vAlign w:val="center"/>
          </w:tcPr>
          <w:p w14:paraId="4A19E3C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w:t>
            </w:r>
            <w:r>
              <w:rPr>
                <w:rFonts w:hint="eastAsia" w:ascii="Times New Roman" w:hAnsi="Times New Roman" w:eastAsia="宋体" w:cs="Times New Roman"/>
                <w:color w:val="auto"/>
                <w:szCs w:val="21"/>
                <w:lang w:bidi="ar"/>
              </w:rPr>
              <w:t>3</w:t>
            </w:r>
          </w:p>
        </w:tc>
        <w:tc>
          <w:tcPr>
            <w:tcW w:w="1560" w:type="dxa"/>
            <w:tcBorders>
              <w:top w:val="nil"/>
              <w:bottom w:val="nil"/>
            </w:tcBorders>
            <w:noWrap/>
            <w:vAlign w:val="center"/>
          </w:tcPr>
          <w:p w14:paraId="5E45019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2.4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0.5</w:t>
            </w:r>
          </w:p>
        </w:tc>
        <w:tc>
          <w:tcPr>
            <w:tcW w:w="1152" w:type="dxa"/>
            <w:tcBorders>
              <w:top w:val="nil"/>
              <w:bottom w:val="nil"/>
            </w:tcBorders>
            <w:noWrap/>
            <w:vAlign w:val="center"/>
          </w:tcPr>
          <w:p w14:paraId="185B010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2.2</w:t>
            </w:r>
          </w:p>
        </w:tc>
        <w:tc>
          <w:tcPr>
            <w:tcW w:w="888" w:type="dxa"/>
            <w:tcBorders>
              <w:top w:val="nil"/>
              <w:bottom w:val="nil"/>
            </w:tcBorders>
            <w:noWrap/>
            <w:vAlign w:val="center"/>
          </w:tcPr>
          <w:p w14:paraId="764451F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top w:val="nil"/>
              <w:bottom w:val="nil"/>
            </w:tcBorders>
          </w:tcPr>
          <w:p w14:paraId="3608A547">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04B97215">
            <w:pPr>
              <w:spacing w:line="400" w:lineRule="exact"/>
              <w:jc w:val="center"/>
              <w:rPr>
                <w:rFonts w:ascii="Times New Roman" w:hAnsi="Times New Roman" w:eastAsia="微软雅黑" w:cs="Times New Roman"/>
                <w:color w:val="auto"/>
                <w:szCs w:val="21"/>
                <w:lang w:bidi="ar"/>
              </w:rPr>
            </w:pPr>
          </w:p>
        </w:tc>
      </w:tr>
      <w:tr w14:paraId="19272D35">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779F0B0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CHANG</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{"citationID":"51DK9HVG","properties":{"formattedCitation":"\\super 7\\nosupersub{}","plainCitation":"7","noteIndex":0},"citationItems":[{"id":1009,"uris":["http://zotero.org/users/local/9LWqYmzn/items/JKP7X7AM"],"itemData":{"id":1009,"type":"article-journal","call-number":"3","container-title":"European Journal of Physical and Rehabilitation Medicine","DOI":"10.23736/S1973-9087.24.08166-8","ISSN":"19739087, 19739095","issue":"4","journalAbbreviation":"Eur J Phys Rehabil Med","language":"en","note":"JCR分区: Q1\n中科院分区升级版: 医学3区\n中科院分区基础版: 医学4区\n影响因子: 3.4\n5年影响因子: 3.3\nTLDR: The present study supported the distinct effectiveness of Tai Chi Chuan and aerobic exercise for improving motor symptoms and providing neurocognitive benefits in PD patients.","source":"3.4","title":"Distinct effects of long-term tai chi chuan and aerobic exercise interventions on motor and neurocognitive performance in early-stage parkinson's disease: A randomized controlled trial","title-short":"Distinct effects of long-term Tai Chi Chuan and aerobic exercise interventions on motor and neurocognitive performance in early-stage Parkinson's disease","URL":"https://www.minervamedica.it/index2.php?show=R33Y2024N04A0621","volume":"60","author":[{"family":"Chang","given":"Cheng-Liang"},{"family":"Lin","given":"Tsu-Kung"},{"family":"Pan","given":"Chien-Yu"},{"family":"Wang","given":"Tsai-Chiao"},{"family":"Tseng","given":"Yu-Ting"},{"family":"Chien","given":"Chung-Yao"},{"family":"Tsai","given":"Chia-Liang"}],"accessed":{"date-parts":[["2025",9,18]]},"issued":{"date-parts":[["2024",8]]},"citation-key":"changDistinctEffectsLongterm2024"}}],"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7</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（2024）</w:t>
            </w:r>
          </w:p>
        </w:tc>
        <w:tc>
          <w:tcPr>
            <w:tcW w:w="1128" w:type="dxa"/>
            <w:vMerge w:val="restart"/>
            <w:tcBorders>
              <w:top w:val="nil"/>
              <w:bottom w:val="nil"/>
            </w:tcBorders>
            <w:noWrap/>
          </w:tcPr>
          <w:p w14:paraId="2B775E1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China</w:t>
            </w:r>
          </w:p>
        </w:tc>
        <w:tc>
          <w:tcPr>
            <w:tcW w:w="768" w:type="dxa"/>
            <w:tcBorders>
              <w:top w:val="nil"/>
              <w:bottom w:val="nil"/>
            </w:tcBorders>
          </w:tcPr>
          <w:p w14:paraId="1D618215">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IG:14</w:t>
            </w:r>
          </w:p>
        </w:tc>
        <w:tc>
          <w:tcPr>
            <w:tcW w:w="1307" w:type="dxa"/>
            <w:tcBorders>
              <w:top w:val="nil"/>
              <w:bottom w:val="nil"/>
            </w:tcBorders>
            <w:noWrap/>
          </w:tcPr>
          <w:p w14:paraId="40C81E6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64.4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7.4</w:t>
            </w:r>
          </w:p>
        </w:tc>
        <w:tc>
          <w:tcPr>
            <w:tcW w:w="1560" w:type="dxa"/>
            <w:vMerge w:val="restart"/>
            <w:tcBorders>
              <w:top w:val="nil"/>
              <w:bottom w:val="nil"/>
            </w:tcBorders>
            <w:noWrap/>
          </w:tcPr>
          <w:p w14:paraId="5843D0F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NR</w:t>
            </w:r>
          </w:p>
        </w:tc>
        <w:tc>
          <w:tcPr>
            <w:tcW w:w="1152" w:type="dxa"/>
            <w:tcBorders>
              <w:top w:val="nil"/>
              <w:bottom w:val="nil"/>
            </w:tcBorders>
            <w:noWrap/>
          </w:tcPr>
          <w:p w14:paraId="3CB3F19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7.9</w:t>
            </w:r>
          </w:p>
        </w:tc>
        <w:tc>
          <w:tcPr>
            <w:tcW w:w="888" w:type="dxa"/>
            <w:tcBorders>
              <w:top w:val="nil"/>
              <w:bottom w:val="nil"/>
            </w:tcBorders>
            <w:noWrap/>
          </w:tcPr>
          <w:p w14:paraId="5E4701B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Cycling</w:t>
            </w:r>
          </w:p>
        </w:tc>
        <w:tc>
          <w:tcPr>
            <w:tcW w:w="5772" w:type="dxa"/>
            <w:tcBorders>
              <w:top w:val="nil"/>
              <w:bottom w:val="nil"/>
            </w:tcBorders>
          </w:tcPr>
          <w:p w14:paraId="651ACD75">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70–75% HRR, 12 weeks, 3 times/week, 30 minutes</w:t>
            </w:r>
          </w:p>
        </w:tc>
        <w:tc>
          <w:tcPr>
            <w:tcW w:w="933" w:type="dxa"/>
            <w:vMerge w:val="restart"/>
            <w:tcBorders>
              <w:top w:val="nil"/>
              <w:bottom w:val="nil"/>
            </w:tcBorders>
          </w:tcPr>
          <w:p w14:paraId="5048EFDF">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w:t>
            </w:r>
          </w:p>
        </w:tc>
      </w:tr>
      <w:tr w14:paraId="6CEA1800">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0EFE1303">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442C1BE1">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tcPr>
          <w:p w14:paraId="6B364CA5">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CG:13</w:t>
            </w:r>
          </w:p>
        </w:tc>
        <w:tc>
          <w:tcPr>
            <w:tcW w:w="1307" w:type="dxa"/>
            <w:tcBorders>
              <w:top w:val="nil"/>
              <w:bottom w:val="nil"/>
            </w:tcBorders>
            <w:noWrap/>
          </w:tcPr>
          <w:p w14:paraId="1D2741D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63.2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8.0</w:t>
            </w:r>
          </w:p>
        </w:tc>
        <w:tc>
          <w:tcPr>
            <w:tcW w:w="1560" w:type="dxa"/>
            <w:vMerge w:val="continue"/>
            <w:tcBorders>
              <w:top w:val="nil"/>
              <w:bottom w:val="nil"/>
            </w:tcBorders>
            <w:noWrap/>
          </w:tcPr>
          <w:p w14:paraId="06159E2A">
            <w:pPr>
              <w:spacing w:line="400" w:lineRule="exact"/>
              <w:jc w:val="center"/>
              <w:rPr>
                <w:rFonts w:ascii="Times New Roman" w:hAnsi="Times New Roman" w:eastAsia="宋体" w:cs="Times New Roman"/>
                <w:color w:val="auto"/>
                <w:szCs w:val="21"/>
              </w:rPr>
            </w:pPr>
          </w:p>
        </w:tc>
        <w:tc>
          <w:tcPr>
            <w:tcW w:w="1152" w:type="dxa"/>
            <w:tcBorders>
              <w:top w:val="nil"/>
              <w:bottom w:val="nil"/>
            </w:tcBorders>
            <w:noWrap/>
          </w:tcPr>
          <w:p w14:paraId="0661688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6.7</w:t>
            </w:r>
          </w:p>
        </w:tc>
        <w:tc>
          <w:tcPr>
            <w:tcW w:w="888" w:type="dxa"/>
            <w:tcBorders>
              <w:top w:val="nil"/>
              <w:bottom w:val="nil"/>
            </w:tcBorders>
            <w:noWrap/>
          </w:tcPr>
          <w:p w14:paraId="61F4EB5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tcPr>
          <w:p w14:paraId="0BF688E9">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0BEF0D9E">
            <w:pPr>
              <w:spacing w:line="400" w:lineRule="exact"/>
              <w:jc w:val="center"/>
              <w:rPr>
                <w:rFonts w:ascii="Times New Roman" w:hAnsi="Times New Roman" w:eastAsia="微软雅黑" w:cs="Times New Roman"/>
                <w:color w:val="auto"/>
                <w:szCs w:val="21"/>
                <w:lang w:bidi="ar"/>
              </w:rPr>
            </w:pPr>
          </w:p>
        </w:tc>
      </w:tr>
      <w:tr w14:paraId="748770BF">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6BA79B4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Sacheli</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{"citationID":"uqvs17xL","properties":{"formattedCitation":"\\super 8\\nosupersub{}","plainCitation":"8","noteIndex":0},"citationItems":[{"id":1193,"uris":["http://zotero.org/users/local/9LWqYmzn/items/MF8IH2YA"],"itemData":{"id":1193,"type":"article-journal","abstract":"Abstract\n            \n              Background\n              The objective of this study was to examine the effects of aerobic exercise on evoked dopamine release and activity of the ventral striatum using positron emission tomography and functional magnetic resonance imaging in Parkinson's disease (PD).\n            \n            \n              Methods\n              \n                Thirty‐five participants were randomly allocated to a 36‐session aerobic exercise or control intervention. Each participant underwent an functional magnetic resonance imaging scan while playing a reward task before and after the intervention to determine the effect of exercise on the activity of the ventral striatum in anticipation of reward. A subset of participants (n = 25) completed [\n                11\n                C] raclopride positron emission tomography scans to determine the effect of aerobic exercise on repetitive transcranial magnetic stimulation‐evoked release of endogenous dopamine in the dorsal striatum. All participants completed motor (MDS‐UPDRS part III, finger tapping, Timed‐up‐and‐go) and nonmotor assessments (Starkstein Apathy Scale, Beck Depression Inventory, reaction time, Positive and Negative Affect Schedule, Trail Making Test [A and B], and Montreal Cognitive Assessment) before and after the interventions.\n              \n            \n            \n              Results\n              \n                The aerobic group exhibited increased activity in the ventral striatum during functional magnetic resonance imaging in anticipation of 75% probability of reward (\n                P\n                = 0.01). The aerobic group also demonstrated increased repetitive transcranial magnetic stimulation‐evoked dopamine release in the caudate nucleus (\n                P\n                = 0.04) and increased baseline nondisplaceable binding potential in the posterior putamen of the less affected repetitive transcranial magnetic stimulation‐stimulated hemisphere measured by position emission tomography (\n                P\n                = 0.03).\n              \n            \n            \n              Conclusions\n              Aerobic exercise alters the responsivity of the ventral striatum, likely related to changes to the mesolimbic dopaminergic pathway, and increases evoked dopamine release in the caudate nucleus. This suggests that the therapeutic benefits of exercise are in part related to corticostriatal plasticity and enhanced dopamine release. © 2019 International Parkinson and Movement Disorder Society","call-number":"1","container-title":"Movement Disorders","DOI":"10.1002/mds.27865","ISSN":"0885-3185, 1531-8257","issue":"12","journalAbbreviation":"Mov. Disord.","language":"en","note":"JCR分区: Q1\n中科院分区升级版: 医学1区\n中科院分区基础版: 医学1区\n影响因子: 7.6\n5年影响因子: 7.8\nTLDR: The objective of this study was to examine the effects of aerobic exercise on evoked dopamine release and activity of the ventral striatum using positron emission tomography and functional magnetic resonance imaging in Parkinson's disease.","page":"1891-1900","source":"7.6","title":"Exercise increases caudate dopamine release and ventral striatal activation in parkinson's disease","volume":"34","author":[{"family":"Sacheli","given":"Matthew A."},{"family":"Neva","given":"Jason L."},{"family":"Lakhani","given":"Bimal"},{"family":"Murray","given":"Danielle K."},{"family":"Vafai","given":"Nasim"},{"family":"Shahinfard","given":"Elham"},{"family":"English","given":"Carolyn"},{"family":"McCormick","given":"Siobhan"},{"family":"Dinelle","given":"Katie"},{"family":"Neilson","given":"Nicole"},{"family":"McKenzie","given":"Jessamyn"},{"family":"Schulzer","given":"Michael"},{"family":"McKenzie","given":"Don C."},{"family":"Appel‐Cresswell","given":"Silke"},{"family":"McKeown","given":"Martin J."},{"family":"Boyd","given":"Lara A."},{"family":"Sossi","given":"Vesna"},{"family":"Stoessl","given":"A. Jon"}],"issued":{"date-parts":[["2019",12]]},"citation-key":"sacheliExerciseIncreasesCaudate2019a"}}],"schema":"https://github.com/citation-style-language/schema/raw/master/csl-citation.json"}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8</w:t>
            </w:r>
            <w:r>
              <w:rPr>
                <w:rFonts w:ascii="Times New Roman" w:hAnsi="Times New Roman" w:eastAsia="宋体" w:cs="Times New Roman"/>
                <w:color w:val="auto"/>
                <w:szCs w:val="21"/>
                <w:lang w:bidi="ar"/>
              </w:rPr>
              <w:fldChar w:fldCharType="end"/>
            </w:r>
          </w:p>
          <w:p w14:paraId="17FCE68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(2019)</w:t>
            </w:r>
          </w:p>
        </w:tc>
        <w:tc>
          <w:tcPr>
            <w:tcW w:w="1128" w:type="dxa"/>
            <w:vMerge w:val="restart"/>
            <w:tcBorders>
              <w:top w:val="nil"/>
              <w:bottom w:val="nil"/>
            </w:tcBorders>
            <w:noWrap/>
          </w:tcPr>
          <w:p w14:paraId="5C25C7D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Canada</w:t>
            </w:r>
          </w:p>
        </w:tc>
        <w:tc>
          <w:tcPr>
            <w:tcW w:w="768" w:type="dxa"/>
            <w:tcBorders>
              <w:top w:val="nil"/>
              <w:bottom w:val="nil"/>
            </w:tcBorders>
            <w:noWrap/>
          </w:tcPr>
          <w:p w14:paraId="3070D01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IG:20</w:t>
            </w:r>
          </w:p>
        </w:tc>
        <w:tc>
          <w:tcPr>
            <w:tcW w:w="1307" w:type="dxa"/>
            <w:tcBorders>
              <w:top w:val="nil"/>
              <w:bottom w:val="nil"/>
            </w:tcBorders>
            <w:noWrap/>
          </w:tcPr>
          <w:p w14:paraId="72EC9AC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66.8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6.0</w:t>
            </w:r>
          </w:p>
        </w:tc>
        <w:tc>
          <w:tcPr>
            <w:tcW w:w="1560" w:type="dxa"/>
            <w:vMerge w:val="restart"/>
            <w:tcBorders>
              <w:top w:val="nil"/>
              <w:bottom w:val="nil"/>
            </w:tcBorders>
            <w:noWrap/>
          </w:tcPr>
          <w:p w14:paraId="79FBF2D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1-3</w:t>
            </w:r>
          </w:p>
        </w:tc>
        <w:tc>
          <w:tcPr>
            <w:tcW w:w="1152" w:type="dxa"/>
            <w:tcBorders>
              <w:top w:val="nil"/>
              <w:bottom w:val="nil"/>
            </w:tcBorders>
            <w:noWrap/>
          </w:tcPr>
          <w:p w14:paraId="519FA42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3.9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2.9</w:t>
            </w:r>
          </w:p>
        </w:tc>
        <w:tc>
          <w:tcPr>
            <w:tcW w:w="888" w:type="dxa"/>
            <w:tcBorders>
              <w:top w:val="nil"/>
              <w:bottom w:val="nil"/>
            </w:tcBorders>
            <w:noWrap/>
          </w:tcPr>
          <w:p w14:paraId="74685C3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Cycling</w:t>
            </w:r>
          </w:p>
        </w:tc>
        <w:tc>
          <w:tcPr>
            <w:tcW w:w="5772" w:type="dxa"/>
            <w:tcBorders>
              <w:top w:val="nil"/>
              <w:bottom w:val="nil"/>
            </w:tcBorders>
          </w:tcPr>
          <w:p w14:paraId="62A71FE5">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60–80% VO</w:t>
            </w:r>
            <w:r>
              <w:rPr>
                <w:rFonts w:hint="eastAsia" w:ascii="Times New Roman" w:hAnsi="Times New Roman" w:eastAsia="宋体" w:cs="Times New Roman"/>
                <w:color w:val="auto"/>
                <w:szCs w:val="21"/>
                <w:vertAlign w:val="subscript"/>
                <w:lang w:bidi="ar"/>
              </w:rPr>
              <w:t>2</w:t>
            </w:r>
            <w:r>
              <w:rPr>
                <w:rFonts w:ascii="Times New Roman" w:hAnsi="Times New Roman" w:eastAsia="宋体" w:cs="Times New Roman"/>
                <w:color w:val="auto"/>
                <w:szCs w:val="21"/>
                <w:lang w:bidi="ar"/>
              </w:rPr>
              <w:t>max, 12 weeks, 3 times/week, 40–60 minutes</w:t>
            </w:r>
          </w:p>
        </w:tc>
        <w:tc>
          <w:tcPr>
            <w:tcW w:w="933" w:type="dxa"/>
            <w:vMerge w:val="restart"/>
            <w:tcBorders>
              <w:top w:val="nil"/>
              <w:bottom w:val="nil"/>
            </w:tcBorders>
          </w:tcPr>
          <w:p w14:paraId="407F73BA">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①④</w:t>
            </w:r>
          </w:p>
        </w:tc>
      </w:tr>
      <w:tr w14:paraId="2BE3DC92">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0AFD48D9">
            <w:pPr>
              <w:spacing w:line="400" w:lineRule="exact"/>
              <w:jc w:val="center"/>
              <w:rPr>
                <w:rFonts w:ascii="Times New Roman" w:hAnsi="Times New Roman" w:eastAsia="宋体" w:cs="Times New Roman"/>
                <w:color w:val="auto"/>
                <w:szCs w:val="21"/>
                <w:lang w:bidi="ar"/>
              </w:rPr>
            </w:pPr>
          </w:p>
        </w:tc>
        <w:tc>
          <w:tcPr>
            <w:tcW w:w="1128" w:type="dxa"/>
            <w:vMerge w:val="continue"/>
            <w:tcBorders>
              <w:top w:val="nil"/>
              <w:bottom w:val="nil"/>
            </w:tcBorders>
            <w:noWrap/>
          </w:tcPr>
          <w:p w14:paraId="31E0713E">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noWrap/>
          </w:tcPr>
          <w:p w14:paraId="0A652B2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CG:15</w:t>
            </w:r>
          </w:p>
        </w:tc>
        <w:tc>
          <w:tcPr>
            <w:tcW w:w="1307" w:type="dxa"/>
            <w:tcBorders>
              <w:top w:val="nil"/>
              <w:bottom w:val="nil"/>
            </w:tcBorders>
            <w:noWrap/>
          </w:tcPr>
          <w:p w14:paraId="6634F93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8.5</w:t>
            </w:r>
          </w:p>
        </w:tc>
        <w:tc>
          <w:tcPr>
            <w:tcW w:w="1560" w:type="dxa"/>
            <w:vMerge w:val="continue"/>
            <w:tcBorders>
              <w:top w:val="nil"/>
              <w:bottom w:val="nil"/>
            </w:tcBorders>
            <w:noWrap/>
          </w:tcPr>
          <w:p w14:paraId="1948A2F9">
            <w:pPr>
              <w:spacing w:line="400" w:lineRule="exact"/>
              <w:jc w:val="center"/>
              <w:rPr>
                <w:rFonts w:ascii="Times New Roman" w:hAnsi="Times New Roman" w:eastAsia="宋体" w:cs="Times New Roman"/>
                <w:color w:val="auto"/>
                <w:szCs w:val="21"/>
                <w:lang w:bidi="ar"/>
              </w:rPr>
            </w:pPr>
          </w:p>
        </w:tc>
        <w:tc>
          <w:tcPr>
            <w:tcW w:w="1152" w:type="dxa"/>
            <w:tcBorders>
              <w:top w:val="nil"/>
              <w:bottom w:val="nil"/>
            </w:tcBorders>
            <w:noWrap/>
          </w:tcPr>
          <w:p w14:paraId="12A0D99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4.3</w:t>
            </w:r>
          </w:p>
        </w:tc>
        <w:tc>
          <w:tcPr>
            <w:tcW w:w="888" w:type="dxa"/>
            <w:tcBorders>
              <w:top w:val="nil"/>
              <w:bottom w:val="nil"/>
            </w:tcBorders>
            <w:noWrap/>
          </w:tcPr>
          <w:p w14:paraId="3FC832F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top w:val="nil"/>
              <w:bottom w:val="nil"/>
            </w:tcBorders>
          </w:tcPr>
          <w:p w14:paraId="7E5942DD">
            <w:pPr>
              <w:spacing w:line="400" w:lineRule="exact"/>
              <w:jc w:val="left"/>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41671D82">
            <w:pPr>
              <w:spacing w:line="400" w:lineRule="exact"/>
              <w:jc w:val="center"/>
              <w:rPr>
                <w:rFonts w:ascii="Times New Roman" w:hAnsi="Times New Roman" w:eastAsia="微软雅黑" w:cs="Times New Roman"/>
                <w:color w:val="auto"/>
                <w:szCs w:val="21"/>
                <w:lang w:bidi="ar"/>
              </w:rPr>
            </w:pPr>
          </w:p>
        </w:tc>
      </w:tr>
      <w:tr w14:paraId="62690ABE">
        <w:tblPrEx>
          <w:tblCellMar>
            <w:top w:w="0" w:type="dxa"/>
            <w:left w:w="28" w:type="dxa"/>
            <w:bottom w:w="0" w:type="dxa"/>
            <w:right w:w="28" w:type="dxa"/>
          </w:tblCellMar>
        </w:tblPrEx>
        <w:trPr>
          <w:trHeight w:val="90" w:hRule="atLeast"/>
        </w:trPr>
        <w:tc>
          <w:tcPr>
            <w:tcW w:w="1902" w:type="dxa"/>
            <w:vMerge w:val="restart"/>
            <w:tcBorders>
              <w:top w:val="nil"/>
              <w:bottom w:val="nil"/>
            </w:tcBorders>
          </w:tcPr>
          <w:p w14:paraId="5F91866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Cakit</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{"citationID":"iXKX5maY","properties":{"formattedCitation":"\\super 9\\nosupersub{}","plainCitation":"9","noteIndex":0},"citationItems":[{"id":1195,"uris":["http://zotero.org/users/local/9LWqYmzn/items/TEGMYZUM"],"itemData":{"id":1195,"type":"article-journal","abstract":"Objective: To detect the effectiveness of incremental speed-dependent treadmill training on postural instability, dynamic balance and fear of falling in patients with idiopathic Parkinson’s disease. Design: Randomized controlled trial. Setting: Ankara Education and Research Hospital, 2nd PM&amp;R Clinic, Cardiopulmonary Rehabilitation Unit. Subjects: Fifty-four patients with idiopathic Parkinson’s disease in stage 2 or 3 of the Hoehn Yahr staging entered, and 31 patients (21 training, 10 control) had outcome data. Interventions: Postural instability of patients with Parkinson’s disease was assessed using the motor component of the Uniﬁed Parkinson’s Disease Rating Scale (UPDRS), Berg Balance Test, Dynamic Gait Index and Falls Efﬁcacy Scale. Twenty-one patients with Parkinson’s disease participated in an eight-week exercise programme using incremental speed-dependent treadmill training. Before and after the training programme, balance, gait, fear of falling and walking distance and speed on treadmill were assessed in both Parkinson’s disease groups. Main measures: Walking distance and speed on treadmill, UPDRS, Berg Balance Test, Dynamic Gait Index and Falls Efﬁcacy Scale.\nResults: Initial total walking distance of the training group on treadmill was 266.45 82.14 m and this was progressively increased to 726.36 93.1 m after 16 training session (P 0.001). Tolerated maximum speed of the training group on treadmill at baseline was 1.9 0.75 km/h and improved to 2.61 0.77 km/h (P 0.001). Berg Balance Test, Dynamic Gait Index and Falls Efﬁcacy Scale scores of the training group were improved signiﬁcantly after the training programme (P 0.01). There was no signiﬁcant improvement in any of the outcome measurements in the control group (P 0.05).\nConclusions: Speciﬁc exercise programmes using incremental speed-dependent treadmill training may improve mobility, reduce postural instability and fear of falling in patients with Parkinson’s disease.","call-number":"3","container-title":"Clinical Rehabilitation","DOI":"10.1177/0269215507077269","ISSN":"0269-2155, 1477-0873","issue":"8","journalAbbreviation":"Clin. Rehabil.","language":"en","license":"https://journals.sagepub.com/page/policies/text-and-data-mining-license","note":"JCR分区: Q1\n中科院分区升级版: 医学3区\n中科院分区基础版: 医学3区\n影响因子: 2.9\n5年影响因子: 3.7\nTLDR: Specific exercise programmes using incremental speed-dependent treadmill training may improve mobility, reduce postural instability and fear of falling in patients with Parkinson's disease.","page":"698-705","source":"2.9","title":"The effects of incremental speed-dependent treadmill training on postural instability and fear of falling in parkinson's disease","volume":"21","author":[{"family":"Cakit","given":"Burcu Duyur"},{"family":"Saracoglu","given":"Meryem"},{"family":"Genc","given":"Hakan"},{"family":"Erdem","given":"Hatice Rana"},{"family":"Inan","given":"Levent"}],"issued":{"date-parts":[["2007",8]]},"citation-key":"cakitEffectsIncrementalSpeeddependent2007"}}],"schema":"https://github.com/citation-style-language/schema/raw/master/csl-citation.json"}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9</w:t>
            </w:r>
            <w:r>
              <w:rPr>
                <w:rFonts w:ascii="Times New Roman" w:hAnsi="Times New Roman" w:eastAsia="宋体" w:cs="Times New Roman"/>
                <w:color w:val="auto"/>
                <w:szCs w:val="21"/>
                <w:lang w:bidi="ar"/>
              </w:rPr>
              <w:fldChar w:fldCharType="end"/>
            </w:r>
          </w:p>
          <w:p w14:paraId="6CDF2F6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(2007)</w:t>
            </w:r>
          </w:p>
        </w:tc>
        <w:tc>
          <w:tcPr>
            <w:tcW w:w="1128" w:type="dxa"/>
            <w:vMerge w:val="restart"/>
            <w:tcBorders>
              <w:top w:val="nil"/>
              <w:bottom w:val="nil"/>
            </w:tcBorders>
            <w:noWrap/>
          </w:tcPr>
          <w:p w14:paraId="492A95E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Turkey</w:t>
            </w:r>
          </w:p>
        </w:tc>
        <w:tc>
          <w:tcPr>
            <w:tcW w:w="768" w:type="dxa"/>
            <w:tcBorders>
              <w:top w:val="nil"/>
              <w:bottom w:val="nil"/>
            </w:tcBorders>
            <w:noWrap/>
          </w:tcPr>
          <w:p w14:paraId="01C49E3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IG:20</w:t>
            </w:r>
          </w:p>
        </w:tc>
        <w:tc>
          <w:tcPr>
            <w:tcW w:w="1307" w:type="dxa"/>
            <w:tcBorders>
              <w:top w:val="nil"/>
              <w:bottom w:val="nil"/>
            </w:tcBorders>
            <w:noWrap/>
          </w:tcPr>
          <w:p w14:paraId="6EF5CC9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71.8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6.4</w:t>
            </w:r>
          </w:p>
        </w:tc>
        <w:tc>
          <w:tcPr>
            <w:tcW w:w="1560" w:type="dxa"/>
            <w:vMerge w:val="restart"/>
            <w:tcBorders>
              <w:top w:val="nil"/>
              <w:bottom w:val="nil"/>
            </w:tcBorders>
          </w:tcPr>
          <w:p w14:paraId="66B784D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2-3</w:t>
            </w:r>
          </w:p>
        </w:tc>
        <w:tc>
          <w:tcPr>
            <w:tcW w:w="1152" w:type="dxa"/>
            <w:tcBorders>
              <w:top w:val="nil"/>
              <w:bottom w:val="nil"/>
            </w:tcBorders>
            <w:noWrap/>
          </w:tcPr>
          <w:p w14:paraId="296F385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2.9</w:t>
            </w:r>
          </w:p>
        </w:tc>
        <w:tc>
          <w:tcPr>
            <w:tcW w:w="888" w:type="dxa"/>
            <w:tcBorders>
              <w:top w:val="nil"/>
              <w:bottom w:val="nil"/>
            </w:tcBorders>
            <w:noWrap/>
          </w:tcPr>
          <w:p w14:paraId="2AD1497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TT</w:t>
            </w:r>
          </w:p>
        </w:tc>
        <w:tc>
          <w:tcPr>
            <w:tcW w:w="5772" w:type="dxa"/>
            <w:tcBorders>
              <w:top w:val="nil"/>
              <w:bottom w:val="nil"/>
            </w:tcBorders>
          </w:tcPr>
          <w:p w14:paraId="39FBDDE7">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8 weeks, 2 times/week, 25–35 minutes</w:t>
            </w:r>
          </w:p>
        </w:tc>
        <w:tc>
          <w:tcPr>
            <w:tcW w:w="933" w:type="dxa"/>
            <w:vMerge w:val="restart"/>
            <w:tcBorders>
              <w:top w:val="nil"/>
              <w:bottom w:val="nil"/>
            </w:tcBorders>
          </w:tcPr>
          <w:p w14:paraId="0E7CBCF0">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⑤</w:t>
            </w:r>
          </w:p>
        </w:tc>
      </w:tr>
      <w:tr w14:paraId="2B94AF23">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72CE06C4">
            <w:pPr>
              <w:spacing w:line="400" w:lineRule="exact"/>
              <w:jc w:val="center"/>
              <w:rPr>
                <w:rFonts w:ascii="Times New Roman" w:hAnsi="Times New Roman" w:eastAsia="宋体" w:cs="Times New Roman"/>
                <w:color w:val="auto"/>
                <w:szCs w:val="21"/>
              </w:rPr>
            </w:pPr>
          </w:p>
        </w:tc>
        <w:tc>
          <w:tcPr>
            <w:tcW w:w="1128" w:type="dxa"/>
            <w:vMerge w:val="continue"/>
            <w:tcBorders>
              <w:top w:val="nil"/>
              <w:bottom w:val="nil"/>
            </w:tcBorders>
            <w:noWrap/>
          </w:tcPr>
          <w:p w14:paraId="64E6950C">
            <w:pPr>
              <w:spacing w:line="400" w:lineRule="exact"/>
              <w:jc w:val="center"/>
              <w:rPr>
                <w:rFonts w:ascii="Times New Roman" w:hAnsi="Times New Roman" w:eastAsia="宋体" w:cs="Times New Roman"/>
                <w:color w:val="auto"/>
                <w:szCs w:val="21"/>
              </w:rPr>
            </w:pPr>
          </w:p>
        </w:tc>
        <w:tc>
          <w:tcPr>
            <w:tcW w:w="768" w:type="dxa"/>
            <w:tcBorders>
              <w:top w:val="nil"/>
              <w:bottom w:val="nil"/>
            </w:tcBorders>
            <w:noWrap/>
          </w:tcPr>
          <w:p w14:paraId="7CF0D35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CG:10</w:t>
            </w:r>
          </w:p>
        </w:tc>
        <w:tc>
          <w:tcPr>
            <w:tcW w:w="1307" w:type="dxa"/>
            <w:tcBorders>
              <w:top w:val="nil"/>
              <w:bottom w:val="nil"/>
            </w:tcBorders>
            <w:noWrap/>
          </w:tcPr>
          <w:p w14:paraId="3DE86C4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71.8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6.4</w:t>
            </w:r>
          </w:p>
        </w:tc>
        <w:tc>
          <w:tcPr>
            <w:tcW w:w="1560" w:type="dxa"/>
            <w:vMerge w:val="continue"/>
            <w:tcBorders>
              <w:top w:val="nil"/>
              <w:bottom w:val="nil"/>
            </w:tcBorders>
          </w:tcPr>
          <w:p w14:paraId="188D9D35">
            <w:pPr>
              <w:spacing w:line="400" w:lineRule="exact"/>
              <w:jc w:val="center"/>
              <w:textAlignment w:val="center"/>
              <w:rPr>
                <w:rFonts w:ascii="Times New Roman" w:hAnsi="Times New Roman" w:eastAsia="宋体" w:cs="Times New Roman"/>
                <w:color w:val="auto"/>
                <w:szCs w:val="21"/>
                <w:lang w:bidi="ar"/>
              </w:rPr>
            </w:pPr>
          </w:p>
        </w:tc>
        <w:tc>
          <w:tcPr>
            <w:tcW w:w="1152" w:type="dxa"/>
            <w:tcBorders>
              <w:top w:val="nil"/>
              <w:bottom w:val="nil"/>
            </w:tcBorders>
            <w:noWrap/>
          </w:tcPr>
          <w:p w14:paraId="0BD4B87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2.9</w:t>
            </w:r>
          </w:p>
        </w:tc>
        <w:tc>
          <w:tcPr>
            <w:tcW w:w="888" w:type="dxa"/>
            <w:tcBorders>
              <w:top w:val="nil"/>
              <w:bottom w:val="nil"/>
            </w:tcBorders>
            <w:noWrap/>
          </w:tcPr>
          <w:p w14:paraId="7AB4BE1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top w:val="nil"/>
              <w:bottom w:val="nil"/>
            </w:tcBorders>
          </w:tcPr>
          <w:p w14:paraId="02EE2A11">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05D08541">
            <w:pPr>
              <w:spacing w:line="400" w:lineRule="exact"/>
              <w:jc w:val="center"/>
              <w:rPr>
                <w:rFonts w:ascii="Times New Roman" w:hAnsi="Times New Roman" w:eastAsia="微软雅黑" w:cs="Times New Roman"/>
                <w:color w:val="auto"/>
                <w:szCs w:val="21"/>
                <w:lang w:bidi="ar"/>
              </w:rPr>
            </w:pPr>
          </w:p>
        </w:tc>
      </w:tr>
      <w:tr w14:paraId="4F07BD12">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020F95B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van der Kolk</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{"citationID":"5wZqmVQK","properties":{"formattedCitation":"\\super 10\\nosupersub{}","plainCitation":"10","noteIndex":0},"citationItems":[{"id":1066,"uris":["http://zotero.org/users/local/9LWqYmzn/items/2MJ54ED4"],"itemData":{"id":1066,"type":"article-journal","abstract":"Background High-intensity aerobic exercise might attenuate the symptoms of Parkinson’s disease, but high-quality evidence is scarce. Moreover, long-term adherence remains challenging. We aimed to evaluate the effectiveness of aerobic exercise—gamified and delivered at home, to promote adherence—on relieving motor symptoms in patients with Parkinson’s disease with mild disease severity who were on common treatment regimes.","container-title":"The Lancet Neurology","DOI":"10.1016/S1474-4422(19)30285-6","ISSN":"14744422","issue":"11","journalAbbreviation":"The Lancet Neurology","language":"en","note":"JCR分区: Q1\n中科院分区升级版: 医学1区\n中科院分区基础版: 医学1区\n影响因子: 45.5\n5年影响因子: 56.2\nTLDR: The effectiveness of aerobic exercise-gamified and delivered at home, to promote adherence-on relieving motor symptoms in patients with Parkinson's disease with mild disease severity who were on common treatment regimes is evaluated.","page":"998-1008","source":"DOI.org (Crossref)","title":"Effectiveness of home-based and remotely supervised aerobic exercise in parkinson's disease: A double-blind, randomised controlled trial","title-short":"Effectiveness of home-based and remotely supervised aerobic exercise in Parkinson's disease","volume":"18","author":[{"family":"Van Der Kolk","given":"Nicolien M"},{"family":"De Vries","given":"Nienke M"},{"family":"Kessels","given":"Roy P C"},{"family":"Joosten","given":"Hilde"},{"family":"Zwinderman","given":"Aeilko H"},{"family":"Post","given":"Bart"},{"family":"Bloem","given":"Bastiaan R"}],"issued":{"date-parts":[["2019",11]]},"citation-key":"vanderkolkEffectivenessHomebasedRemotely2019"}}],"schema":"https://github.com/citation-style-language/schema/raw/master/csl-citation.json"}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10</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(2019)</w:t>
            </w:r>
          </w:p>
        </w:tc>
        <w:tc>
          <w:tcPr>
            <w:tcW w:w="1128" w:type="dxa"/>
            <w:vMerge w:val="restart"/>
            <w:tcBorders>
              <w:top w:val="nil"/>
              <w:bottom w:val="nil"/>
            </w:tcBorders>
            <w:noWrap/>
          </w:tcPr>
          <w:p w14:paraId="2AF061E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Netherlands</w:t>
            </w:r>
          </w:p>
        </w:tc>
        <w:tc>
          <w:tcPr>
            <w:tcW w:w="768" w:type="dxa"/>
            <w:tcBorders>
              <w:top w:val="nil"/>
              <w:bottom w:val="nil"/>
            </w:tcBorders>
            <w:noWrap/>
          </w:tcPr>
          <w:p w14:paraId="62E945E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IG:61</w:t>
            </w:r>
          </w:p>
        </w:tc>
        <w:tc>
          <w:tcPr>
            <w:tcW w:w="1307" w:type="dxa"/>
            <w:tcBorders>
              <w:top w:val="nil"/>
              <w:bottom w:val="nil"/>
            </w:tcBorders>
            <w:noWrap/>
          </w:tcPr>
          <w:p w14:paraId="2A2CB496">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59.3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8.3</w:t>
            </w:r>
          </w:p>
        </w:tc>
        <w:tc>
          <w:tcPr>
            <w:tcW w:w="1560" w:type="dxa"/>
            <w:vMerge w:val="restart"/>
            <w:tcBorders>
              <w:top w:val="nil"/>
              <w:bottom w:val="nil"/>
            </w:tcBorders>
          </w:tcPr>
          <w:p w14:paraId="101896B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1-2</w:t>
            </w:r>
          </w:p>
        </w:tc>
        <w:tc>
          <w:tcPr>
            <w:tcW w:w="1152" w:type="dxa"/>
            <w:tcBorders>
              <w:top w:val="nil"/>
              <w:bottom w:val="nil"/>
            </w:tcBorders>
            <w:noWrap/>
          </w:tcPr>
          <w:p w14:paraId="1A59C09F">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color w:val="auto"/>
                <w:szCs w:val="21"/>
                <w:lang w:bidi="ar"/>
              </w:rPr>
              <w:t>3.4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1.5</w:t>
            </w:r>
          </w:p>
        </w:tc>
        <w:tc>
          <w:tcPr>
            <w:tcW w:w="888" w:type="dxa"/>
            <w:tcBorders>
              <w:top w:val="nil"/>
              <w:bottom w:val="nil"/>
            </w:tcBorders>
            <w:noWrap/>
          </w:tcPr>
          <w:p w14:paraId="003F4FB5">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Cycling</w:t>
            </w:r>
          </w:p>
        </w:tc>
        <w:tc>
          <w:tcPr>
            <w:tcW w:w="5772" w:type="dxa"/>
            <w:tcBorders>
              <w:top w:val="nil"/>
            </w:tcBorders>
          </w:tcPr>
          <w:p w14:paraId="17E19239">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 xml:space="preserve">50–80% HRR, </w:t>
            </w:r>
            <w:r>
              <w:rPr>
                <w:rFonts w:hint="eastAsia" w:ascii="Times New Roman" w:hAnsi="Times New Roman" w:eastAsia="宋体" w:cs="Times New Roman"/>
                <w:color w:val="auto"/>
                <w:szCs w:val="21"/>
              </w:rPr>
              <w:t>24</w:t>
            </w:r>
            <w:r>
              <w:rPr>
                <w:rFonts w:ascii="Times New Roman" w:hAnsi="Times New Roman" w:eastAsia="宋体" w:cs="Times New Roman"/>
                <w:color w:val="auto"/>
                <w:szCs w:val="21"/>
              </w:rPr>
              <w:t xml:space="preserve"> weeks,≥</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3 times/week, 30–45 minutes</w:t>
            </w:r>
          </w:p>
        </w:tc>
        <w:tc>
          <w:tcPr>
            <w:tcW w:w="933" w:type="dxa"/>
            <w:vMerge w:val="restart"/>
            <w:tcBorders>
              <w:top w:val="nil"/>
              <w:bottom w:val="nil"/>
            </w:tcBorders>
          </w:tcPr>
          <w:p w14:paraId="43B3426A">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①②③⑥</w:t>
            </w:r>
          </w:p>
        </w:tc>
      </w:tr>
      <w:tr w14:paraId="56D53E0B">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76ED426A">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0719C569">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02B70C0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CG:64</w:t>
            </w:r>
          </w:p>
        </w:tc>
        <w:tc>
          <w:tcPr>
            <w:tcW w:w="1307" w:type="dxa"/>
            <w:tcBorders>
              <w:top w:val="nil"/>
              <w:bottom w:val="nil"/>
            </w:tcBorders>
            <w:noWrap/>
          </w:tcPr>
          <w:p w14:paraId="435491C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59.4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9.3</w:t>
            </w:r>
          </w:p>
        </w:tc>
        <w:tc>
          <w:tcPr>
            <w:tcW w:w="1560" w:type="dxa"/>
            <w:vMerge w:val="continue"/>
            <w:tcBorders>
              <w:top w:val="nil"/>
              <w:bottom w:val="nil"/>
            </w:tcBorders>
          </w:tcPr>
          <w:p w14:paraId="1E694C19">
            <w:pPr>
              <w:spacing w:line="400" w:lineRule="exact"/>
              <w:jc w:val="center"/>
              <w:rPr>
                <w:rFonts w:ascii="Times New Roman" w:hAnsi="Times New Roman" w:eastAsia="宋体" w:cs="Times New Roman"/>
                <w:color w:val="auto"/>
                <w:szCs w:val="21"/>
              </w:rPr>
            </w:pPr>
          </w:p>
        </w:tc>
        <w:tc>
          <w:tcPr>
            <w:tcW w:w="1152" w:type="dxa"/>
            <w:tcBorders>
              <w:top w:val="nil"/>
              <w:bottom w:val="nil"/>
            </w:tcBorders>
            <w:noWrap/>
          </w:tcPr>
          <w:p w14:paraId="48992C87">
            <w:pPr>
              <w:spacing w:line="400" w:lineRule="exact"/>
              <w:jc w:val="center"/>
              <w:textAlignment w:val="center"/>
              <w:rPr>
                <w:rFonts w:ascii="Times New Roman" w:hAnsi="Times New Roman" w:eastAsia="宋体" w:cs="Times New Roman"/>
                <w:b/>
                <w:bCs/>
                <w:color w:val="auto"/>
                <w:szCs w:val="21"/>
              </w:rPr>
            </w:pPr>
            <w:r>
              <w:rPr>
                <w:rFonts w:ascii="Times New Roman" w:hAnsi="Times New Roman" w:eastAsia="宋体" w:cs="Times New Roman"/>
                <w:color w:val="auto"/>
                <w:szCs w:val="21"/>
                <w:lang w:bidi="ar"/>
              </w:rPr>
              <w:t>3.2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1.3</w:t>
            </w:r>
          </w:p>
        </w:tc>
        <w:tc>
          <w:tcPr>
            <w:tcW w:w="888" w:type="dxa"/>
            <w:tcBorders>
              <w:top w:val="nil"/>
              <w:bottom w:val="nil"/>
            </w:tcBorders>
            <w:noWrap/>
          </w:tcPr>
          <w:p w14:paraId="374E21E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bottom w:val="nil"/>
            </w:tcBorders>
          </w:tcPr>
          <w:p w14:paraId="4B77026B">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stretching exercises</w:t>
            </w:r>
            <w:r>
              <w:rPr>
                <w:rFonts w:hint="eastAsia" w:ascii="Times New Roman" w:hAnsi="Times New Roman" w:eastAsia="宋体" w:cs="Times New Roman"/>
                <w:color w:val="auto"/>
                <w:szCs w:val="21"/>
                <w:lang w:bidi="ar"/>
              </w:rPr>
              <w:t>(24</w:t>
            </w:r>
            <w:r>
              <w:rPr>
                <w:rFonts w:ascii="Times New Roman" w:hAnsi="Times New Roman" w:eastAsia="宋体" w:cs="Times New Roman"/>
                <w:color w:val="auto"/>
                <w:szCs w:val="21"/>
                <w:lang w:bidi="ar"/>
              </w:rPr>
              <w:t xml:space="preserve"> weeks, </w:t>
            </w:r>
            <w:r>
              <w:rPr>
                <w:rFonts w:hint="eastAsia" w:ascii="Times New Roman" w:hAnsi="Times New Roman" w:eastAsia="宋体" w:cs="Times New Roman"/>
                <w:color w:val="auto"/>
                <w:szCs w:val="21"/>
                <w:lang w:bidi="ar"/>
              </w:rPr>
              <w:t>3</w:t>
            </w:r>
            <w:r>
              <w:rPr>
                <w:rFonts w:ascii="Times New Roman" w:hAnsi="Times New Roman" w:eastAsia="宋体" w:cs="Times New Roman"/>
                <w:color w:val="auto"/>
                <w:szCs w:val="21"/>
                <w:lang w:bidi="ar"/>
              </w:rPr>
              <w:t xml:space="preserve"> times/week, </w:t>
            </w:r>
            <w:r>
              <w:rPr>
                <w:rFonts w:hint="eastAsia" w:ascii="Times New Roman" w:hAnsi="Times New Roman" w:eastAsia="宋体" w:cs="Times New Roman"/>
                <w:color w:val="auto"/>
                <w:szCs w:val="21"/>
                <w:lang w:bidi="ar"/>
              </w:rPr>
              <w:t>30</w:t>
            </w:r>
            <w:r>
              <w:rPr>
                <w:rFonts w:ascii="Times New Roman" w:hAnsi="Times New Roman" w:eastAsia="宋体" w:cs="Times New Roman"/>
                <w:color w:val="auto"/>
                <w:szCs w:val="21"/>
                <w:lang w:bidi="ar"/>
              </w:rPr>
              <w:t xml:space="preserve"> minutes</w:t>
            </w:r>
            <w:r>
              <w:rPr>
                <w:rFonts w:hint="eastAsia" w:ascii="Times New Roman" w:hAnsi="Times New Roman" w:eastAsia="宋体" w:cs="Times New Roman"/>
                <w:color w:val="auto"/>
                <w:szCs w:val="21"/>
                <w:lang w:bidi="ar"/>
              </w:rPr>
              <w:t>)</w:t>
            </w:r>
          </w:p>
        </w:tc>
        <w:tc>
          <w:tcPr>
            <w:tcW w:w="933" w:type="dxa"/>
            <w:vMerge w:val="continue"/>
            <w:tcBorders>
              <w:top w:val="nil"/>
              <w:bottom w:val="nil"/>
            </w:tcBorders>
          </w:tcPr>
          <w:p w14:paraId="2FA48D80">
            <w:pPr>
              <w:spacing w:line="400" w:lineRule="exact"/>
              <w:jc w:val="center"/>
              <w:rPr>
                <w:rFonts w:ascii="Times New Roman" w:hAnsi="Times New Roman" w:eastAsia="微软雅黑" w:cs="Times New Roman"/>
                <w:color w:val="auto"/>
                <w:szCs w:val="21"/>
                <w:lang w:bidi="ar"/>
              </w:rPr>
            </w:pPr>
          </w:p>
        </w:tc>
      </w:tr>
      <w:tr w14:paraId="6558FBB1">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4DB9FDF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Nadeau</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{"citationID":"K6mv1DgL","properties":{"formattedCitation":"\\super 11\\nosupersub{}","plainCitation":"11","noteIndex":0},"citationItems":[{"id":1197,"uris":["http://zotero.org/users/local/9LWqYmzn/items/7MCHG9IS"],"itemData":{"id":1197,"type":"article-journal","abstract":"Purpose: Recent studies suggest that walking on a treadmill improves gait, mobility, and quality of life of patients with Parkinson’s disease (PD). Still, there is a need for largerscale randomized controlled studies that demonstrate the advantages of treadmill training (TT) with control groups that receive similar amounts of attention. Moreover, to date, no study has combined speed and incline as parameters of progression. The aim of the study was to evaluate the effects of 24 weeks of TT, with and without the use of incline, on gait, mobility and quality of life in patients with PD.\nMethods: The sample comprised 34 patients with PD, at Hoehn-Yahr stage 1.5 or 2. Participants were randomized to Speed TT, Mixed TT, and Control groups. The intervention consisted of 72 one-hour exercise sessions over 24 weeks. The main outcome measures are the MDS-UPDRS, the 39-item PD questionnaire, spatiotemporal parameters of gait and 6-minute walking distance. The measures were taken at baseline, mid-term and after 6 months.\nResults: Both TT groups improved in terms of speed, cadence, and stride length during self-selected walking conditions at the study endpoint. Both groups also showed improvements in distance traveled. Only the Mixed TT group improved their quality of life. The Control group showed no progress.\nConclusions: Participants in this study showed significant improvements in walking speed and walking endurance following six months of TT. Improvements were observed after three months of intensive TT and persisted at six months. It appears that individuals with poorer baseline performance may benefit most from TT.","call-number":"2","container-title":"Medicine &amp; Science in Sports &amp; Exercise","DOI":"10.1249/MSS.0000000000000144","ISSN":"0195-9131","issue":"4","journalAbbreviation":"Med. Sci. Sports Exercise","language":"en","note":"JCR分区: Q1\n中科院分区升级版: 医学2区\n中科院分区基础版: 医学2区\n影响因子: 3.9\n5年影响因子: 5.2\nTLDR: It appears that individuals with poorer baseline performance may benefit most from TT, and significant improvements in walking speed and walking endurance after 6 months of TT are shown.","page":"645-655","source":"3.9","title":"Effects of 24 wk of treadmill training on gait performance in parkinson’s disease","volume":"46","author":[{"family":"Nadeau","given":"Alexandra"},{"family":"Pourcher","given":"Emmanuelle"},{"family":"Corbeil","given":"Philippe"}],"issued":{"date-parts":[["2014",4]]},"citation-key":"nadeauEffects24Wk2014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11</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（2014）</w:t>
            </w:r>
          </w:p>
        </w:tc>
        <w:tc>
          <w:tcPr>
            <w:tcW w:w="1128" w:type="dxa"/>
            <w:vMerge w:val="restart"/>
            <w:tcBorders>
              <w:top w:val="nil"/>
              <w:bottom w:val="nil"/>
            </w:tcBorders>
            <w:noWrap/>
          </w:tcPr>
          <w:p w14:paraId="7350E1F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Canada</w:t>
            </w:r>
          </w:p>
        </w:tc>
        <w:tc>
          <w:tcPr>
            <w:tcW w:w="768" w:type="dxa"/>
            <w:tcBorders>
              <w:top w:val="nil"/>
              <w:bottom w:val="nil"/>
            </w:tcBorders>
            <w:noWrap/>
          </w:tcPr>
          <w:p w14:paraId="00FAB16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IG:12</w:t>
            </w:r>
          </w:p>
        </w:tc>
        <w:tc>
          <w:tcPr>
            <w:tcW w:w="1307" w:type="dxa"/>
            <w:tcBorders>
              <w:top w:val="nil"/>
              <w:bottom w:val="nil"/>
            </w:tcBorders>
            <w:noWrap/>
          </w:tcPr>
          <w:p w14:paraId="2C73A37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64.0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6.6</w:t>
            </w:r>
          </w:p>
        </w:tc>
        <w:tc>
          <w:tcPr>
            <w:tcW w:w="1560" w:type="dxa"/>
            <w:tcBorders>
              <w:top w:val="nil"/>
              <w:bottom w:val="nil"/>
            </w:tcBorders>
            <w:noWrap/>
          </w:tcPr>
          <w:p w14:paraId="6B53D6A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1.9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0.2</w:t>
            </w:r>
          </w:p>
        </w:tc>
        <w:tc>
          <w:tcPr>
            <w:tcW w:w="1152" w:type="dxa"/>
            <w:vMerge w:val="restart"/>
            <w:tcBorders>
              <w:top w:val="nil"/>
              <w:bottom w:val="nil"/>
            </w:tcBorders>
            <w:noWrap/>
          </w:tcPr>
          <w:p w14:paraId="0A5F1E7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NR</w:t>
            </w:r>
          </w:p>
        </w:tc>
        <w:tc>
          <w:tcPr>
            <w:tcW w:w="888" w:type="dxa"/>
            <w:tcBorders>
              <w:top w:val="nil"/>
              <w:bottom w:val="nil"/>
            </w:tcBorders>
            <w:noWrap/>
          </w:tcPr>
          <w:p w14:paraId="7E1FE62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TT</w:t>
            </w:r>
          </w:p>
        </w:tc>
        <w:tc>
          <w:tcPr>
            <w:tcW w:w="5772" w:type="dxa"/>
            <w:tcBorders>
              <w:top w:val="nil"/>
            </w:tcBorders>
          </w:tcPr>
          <w:p w14:paraId="28CE930F">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75% HRmax, 24 weeks, 3 times/week, 60 minutes</w:t>
            </w:r>
          </w:p>
        </w:tc>
        <w:tc>
          <w:tcPr>
            <w:tcW w:w="933" w:type="dxa"/>
            <w:vMerge w:val="restart"/>
            <w:tcBorders>
              <w:top w:val="nil"/>
              <w:bottom w:val="nil"/>
            </w:tcBorders>
          </w:tcPr>
          <w:p w14:paraId="17EC7534">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①③⑥</w:t>
            </w:r>
          </w:p>
        </w:tc>
      </w:tr>
      <w:tr w14:paraId="398646BA">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21BCB129">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5EE52F09">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194A4E8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CG:11</w:t>
            </w:r>
          </w:p>
        </w:tc>
        <w:tc>
          <w:tcPr>
            <w:tcW w:w="1307" w:type="dxa"/>
            <w:tcBorders>
              <w:top w:val="nil"/>
              <w:bottom w:val="nil"/>
            </w:tcBorders>
            <w:noWrap/>
          </w:tcPr>
          <w:p w14:paraId="52B2635C">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64.3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5.6</w:t>
            </w:r>
          </w:p>
        </w:tc>
        <w:tc>
          <w:tcPr>
            <w:tcW w:w="1560" w:type="dxa"/>
            <w:tcBorders>
              <w:top w:val="nil"/>
              <w:bottom w:val="nil"/>
            </w:tcBorders>
            <w:noWrap/>
          </w:tcPr>
          <w:p w14:paraId="209A989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1.9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0.2</w:t>
            </w:r>
          </w:p>
        </w:tc>
        <w:tc>
          <w:tcPr>
            <w:tcW w:w="1152" w:type="dxa"/>
            <w:vMerge w:val="continue"/>
            <w:tcBorders>
              <w:top w:val="nil"/>
              <w:bottom w:val="nil"/>
            </w:tcBorders>
            <w:noWrap/>
          </w:tcPr>
          <w:p w14:paraId="65DD90DB">
            <w:pPr>
              <w:spacing w:line="400" w:lineRule="exact"/>
              <w:jc w:val="center"/>
              <w:rPr>
                <w:rFonts w:ascii="Times New Roman" w:hAnsi="Times New Roman" w:eastAsia="宋体" w:cs="Times New Roman"/>
                <w:color w:val="auto"/>
                <w:szCs w:val="21"/>
              </w:rPr>
            </w:pPr>
          </w:p>
        </w:tc>
        <w:tc>
          <w:tcPr>
            <w:tcW w:w="888" w:type="dxa"/>
            <w:tcBorders>
              <w:top w:val="nil"/>
              <w:bottom w:val="nil"/>
            </w:tcBorders>
            <w:noWrap/>
          </w:tcPr>
          <w:p w14:paraId="000B08E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bottom w:val="nil"/>
            </w:tcBorders>
          </w:tcPr>
          <w:p w14:paraId="4260B273">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12AAB249">
            <w:pPr>
              <w:spacing w:line="400" w:lineRule="exact"/>
              <w:jc w:val="center"/>
              <w:rPr>
                <w:rFonts w:ascii="Times New Roman" w:hAnsi="Times New Roman" w:eastAsia="微软雅黑" w:cs="Times New Roman"/>
                <w:color w:val="auto"/>
                <w:szCs w:val="21"/>
                <w:lang w:bidi="ar"/>
              </w:rPr>
            </w:pPr>
          </w:p>
        </w:tc>
      </w:tr>
      <w:tr w14:paraId="1CFC05B9">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6F542DD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Shen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{"citationID":"Z8gAKSrl","properties":{"formattedCitation":"\\super 12\\nosupersub{}","plainCitation":"12","noteIndex":0},"citationItems":[{"id":1199,"uris":["http://zotero.org/users/local/9LWqYmzn/items/IVGL9RZU"],"itemData":{"id":1199,"type":"article-journal","abstract":"Introduction. Parkinson’s disease (PD) is a chronic degenerative disease of the central nervous system common in middle-aged and elderly people, which has a serious impact on patients’ cognitive and motor functions. Exercise can improve the nonmotor symptoms of PD patients, but the optimal type of exercise for the cognitive function of patients is unclear. Therefore, the purpose of this study is the impact of 12 weeks of Wuqinxi exercise on the cognitive and motor function in PD patients. Methods. Thirty PD patients participated in the study and were randomly assigned to two groups: Wuqinxi group (n = 15) or stretching group (n = 15). All the participants performed a 12-week exercise program twice a week, 90 min/session. The assessments were conducted before and after exercise intervention, included cognitive function (frontal assessment battery (FAB); Stroop test I and II), motor functions (Unified Parkinson’s Disease Rating Scale Part III (UPDRS-III); timed up and go (TUG)). Results. We found the FAB and Stroop I scores were significantly higher in the Wuqinxi group than in the stretching group. Participants in the Wuqinxi group significantly improved their UPDRS-III (17.73 ± 9.88) and TUG (10.50 ± 1.79) score after 12 weeks of training intervention. Conclusion. The results show that the use of Wuqinxi for rehabilitation therapy for cognition is feasible, widely accepted, and effective in patients with Parkinson’s disease. This study provides preliminary evidence for further large-scale and controlled studies.","container-title":"Evidence-Based Complementary and Alternative Medicine","DOI":"10.1155/2021/8833736","ISSN":"1741-4288, 1741-427X","journalAbbreviation":"Evidence-Based Complementary and Alternative Medicine","language":"en","license":"https://creativecommons.org/licenses/by/4.0/","note":"中科院分区基础版: 医学4区\nTLDR: The results show that the use of Wuqinxi for rehabilitation therapy for cognition is feasible, widely accepted, and effective in patients with Parkinson's disease.","page":"1-7","source":"DOI.org (Crossref)","title":"The feasibility and positive effects of wuqinxi exercise on the cognitive and motor functions of patients with parkinson’s disease: A pilot study","title-short":"The Feasibility and Positive Effects of Wuqinxi Exercise on the Cognitive and Motor Functions of Patients with Parkinson’s Disease","volume":"2021","author":[{"family":"Shen","given":"Mengyue"},{"family":"Pi","given":"Yan-Ling"},{"family":"Li","given":"Zhenlan"},{"family":"Song","given":"Tao"},{"family":"Jie","given":"Kuncheng"},{"family":"Wang","given":"Tian"},{"family":"Guo","given":"Wei"},{"family":"Zhuang","given":"Jie"},{"family":"Wang","given":"Zhen"}],"editor":[{"family":"Liu","given":"Jiao"}],"issued":{"date-parts":[["2021",3,29]]},"citation-key":"shenFeasibilityPositiveEffects2021"}}],"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12</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(2021)</w:t>
            </w:r>
          </w:p>
        </w:tc>
        <w:tc>
          <w:tcPr>
            <w:tcW w:w="1128" w:type="dxa"/>
            <w:vMerge w:val="restart"/>
            <w:tcBorders>
              <w:top w:val="nil"/>
              <w:bottom w:val="nil"/>
            </w:tcBorders>
            <w:noWrap/>
          </w:tcPr>
          <w:p w14:paraId="0B6FEDB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China</w:t>
            </w:r>
          </w:p>
        </w:tc>
        <w:tc>
          <w:tcPr>
            <w:tcW w:w="768" w:type="dxa"/>
            <w:tcBorders>
              <w:top w:val="nil"/>
              <w:bottom w:val="nil"/>
            </w:tcBorders>
            <w:noWrap/>
          </w:tcPr>
          <w:p w14:paraId="5FFE95E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IG:15</w:t>
            </w:r>
          </w:p>
        </w:tc>
        <w:tc>
          <w:tcPr>
            <w:tcW w:w="1307" w:type="dxa"/>
            <w:tcBorders>
              <w:top w:val="nil"/>
              <w:bottom w:val="nil"/>
            </w:tcBorders>
            <w:noWrap/>
          </w:tcPr>
          <w:p w14:paraId="44C9FA1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68.7</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4.3</w:t>
            </w:r>
          </w:p>
        </w:tc>
        <w:tc>
          <w:tcPr>
            <w:tcW w:w="1560" w:type="dxa"/>
            <w:tcBorders>
              <w:top w:val="nil"/>
              <w:bottom w:val="nil"/>
            </w:tcBorders>
            <w:noWrap/>
          </w:tcPr>
          <w:p w14:paraId="138C142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1.9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0.8</w:t>
            </w:r>
          </w:p>
        </w:tc>
        <w:tc>
          <w:tcPr>
            <w:tcW w:w="1152" w:type="dxa"/>
            <w:tcBorders>
              <w:top w:val="nil"/>
              <w:bottom w:val="nil"/>
            </w:tcBorders>
            <w:noWrap/>
          </w:tcPr>
          <w:p w14:paraId="7FEE072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4.5</w:t>
            </w:r>
          </w:p>
        </w:tc>
        <w:tc>
          <w:tcPr>
            <w:tcW w:w="888" w:type="dxa"/>
            <w:tcBorders>
              <w:top w:val="nil"/>
              <w:bottom w:val="nil"/>
            </w:tcBorders>
            <w:noWrap/>
          </w:tcPr>
          <w:p w14:paraId="6995BEC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Qigong</w:t>
            </w:r>
          </w:p>
        </w:tc>
        <w:tc>
          <w:tcPr>
            <w:tcW w:w="5772" w:type="dxa"/>
            <w:tcBorders>
              <w:top w:val="nil"/>
            </w:tcBorders>
          </w:tcPr>
          <w:p w14:paraId="30C4E77B">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12 weeks, 2 times/week, 90 minutes</w:t>
            </w:r>
          </w:p>
        </w:tc>
        <w:tc>
          <w:tcPr>
            <w:tcW w:w="933" w:type="dxa"/>
            <w:vMerge w:val="restart"/>
            <w:tcBorders>
              <w:top w:val="nil"/>
              <w:bottom w:val="nil"/>
            </w:tcBorders>
          </w:tcPr>
          <w:p w14:paraId="0CF137F2">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①④</w:t>
            </w:r>
          </w:p>
        </w:tc>
      </w:tr>
      <w:tr w14:paraId="502E5570">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0B7456A3">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092C692F">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07CBEBD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CG:15</w:t>
            </w:r>
          </w:p>
        </w:tc>
        <w:tc>
          <w:tcPr>
            <w:tcW w:w="1307" w:type="dxa"/>
            <w:tcBorders>
              <w:top w:val="nil"/>
              <w:bottom w:val="nil"/>
            </w:tcBorders>
            <w:noWrap/>
          </w:tcPr>
          <w:p w14:paraId="35247B8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66.9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3.4</w:t>
            </w:r>
          </w:p>
        </w:tc>
        <w:tc>
          <w:tcPr>
            <w:tcW w:w="1560" w:type="dxa"/>
            <w:tcBorders>
              <w:top w:val="nil"/>
              <w:bottom w:val="nil"/>
            </w:tcBorders>
            <w:noWrap/>
          </w:tcPr>
          <w:p w14:paraId="53A4397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0.7</w:t>
            </w:r>
          </w:p>
        </w:tc>
        <w:tc>
          <w:tcPr>
            <w:tcW w:w="1152" w:type="dxa"/>
            <w:tcBorders>
              <w:top w:val="nil"/>
              <w:bottom w:val="nil"/>
            </w:tcBorders>
            <w:noWrap/>
          </w:tcPr>
          <w:p w14:paraId="5E3C9BDC">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7.0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3.9</w:t>
            </w:r>
          </w:p>
        </w:tc>
        <w:tc>
          <w:tcPr>
            <w:tcW w:w="888" w:type="dxa"/>
            <w:tcBorders>
              <w:top w:val="nil"/>
              <w:bottom w:val="nil"/>
            </w:tcBorders>
            <w:noWrap/>
          </w:tcPr>
          <w:p w14:paraId="563431C5">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CON</w:t>
            </w:r>
          </w:p>
        </w:tc>
        <w:tc>
          <w:tcPr>
            <w:tcW w:w="5772" w:type="dxa"/>
            <w:tcBorders>
              <w:bottom w:val="nil"/>
            </w:tcBorders>
          </w:tcPr>
          <w:p w14:paraId="2B662D28">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stretching exercises</w:t>
            </w:r>
            <w:r>
              <w:rPr>
                <w:rFonts w:hint="eastAsia" w:ascii="Times New Roman" w:hAnsi="Times New Roman" w:eastAsia="宋体" w:cs="Times New Roman"/>
                <w:color w:val="auto"/>
                <w:szCs w:val="21"/>
                <w:lang w:bidi="ar"/>
              </w:rPr>
              <w:t>(</w:t>
            </w:r>
            <w:r>
              <w:rPr>
                <w:rFonts w:ascii="Times New Roman" w:hAnsi="Times New Roman" w:eastAsia="宋体" w:cs="Times New Roman"/>
                <w:color w:val="auto"/>
                <w:szCs w:val="21"/>
                <w:lang w:bidi="ar"/>
              </w:rPr>
              <w:t>12 weeks, 2 times/week, 90 minutes</w:t>
            </w:r>
            <w:r>
              <w:rPr>
                <w:rFonts w:hint="eastAsia" w:ascii="Times New Roman" w:hAnsi="Times New Roman" w:eastAsia="宋体" w:cs="Times New Roman"/>
                <w:color w:val="auto"/>
                <w:szCs w:val="21"/>
                <w:lang w:bidi="ar"/>
              </w:rPr>
              <w:t>)</w:t>
            </w:r>
          </w:p>
        </w:tc>
        <w:tc>
          <w:tcPr>
            <w:tcW w:w="933" w:type="dxa"/>
            <w:vMerge w:val="continue"/>
            <w:tcBorders>
              <w:top w:val="nil"/>
              <w:bottom w:val="nil"/>
            </w:tcBorders>
          </w:tcPr>
          <w:p w14:paraId="09DF222A">
            <w:pPr>
              <w:spacing w:line="400" w:lineRule="exact"/>
              <w:jc w:val="center"/>
              <w:rPr>
                <w:rFonts w:ascii="Times New Roman" w:hAnsi="Times New Roman" w:eastAsia="微软雅黑" w:cs="Times New Roman"/>
                <w:color w:val="auto"/>
                <w:szCs w:val="21"/>
                <w:lang w:bidi="ar"/>
              </w:rPr>
            </w:pPr>
          </w:p>
        </w:tc>
      </w:tr>
      <w:tr w14:paraId="5D131A95">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1C907BA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Volpe</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{"citationID":"PBF8GYZP","properties":{"formattedCitation":"\\super 13\\nosupersub{}","plainCitation":"13","noteIndex":0},"citationItems":[{"id":1074,"uris":["http://zotero.org/users/local/9LWqYmzn/items/RGC65YGN"],"itemData":{"id":1074,"type":"article-journal","abstract":"Background: People with idiopathic Parkinson’s disease (PD) frequently have low activity levels, poor mobility and reduced quality of life. Although increased physical activity may improve mobility, balance and wellbeing, adherence to exercises and activity programs over the longer term can be challenging, particularly for older people with progressive neurological conditions such as PD. Physical activities that are engaging and enjoyable, such as dancing, might enhance adherence over the long term. The objective of this study was to evaluate the feasibility of a randomized controlled trial of Irish set dancing compared with routine physiotherapy for people with mild to moderately severe PD.\nMethods: Twenty-four people with idiopathic PD referred for movement rehabilitation were randomized to receive standard physiotherapy exercises or Irish set dancing classes once per week plus a weekly home program for 6 months (12 in each group). The feasibility and safety of the proposed RCT protocol was the main focus of this evaluation. The primary outcome was motor disability measured by the motor component of the UPDRS, which was assessed prior to and after therapy by trained assessors blinded to group assignment. The Timed Up and Go, the Berg Balance Scale and the modified Freezing of Gait Questionnaire were secondary measures. Quality of life of the people with PD was evaluated using the PDQ-39.\nResults: Both the Irish set dancing and physiotherapy exercise program were shown to be feasible and safe. There were no differences between groups in the rate of adverse events such as falls, serious injuries, death or rates of admission to hospital. The physiotherapists who provided usual care remained blind to group allocation, with no change in their standard clinical practice. Compliance and adherence to both the exercise and dance programs were very high and attrition rates were low over the 6 months of therapy. Although improvements were made in both groups, the dance group showed superior results to standard physiotherapy in relation to freezing of gait, balance and motor disability.\nConclusions: Irish dancing and physiotherapy were both safe and feasible in this sample from Venice, with good adherence over a comparatively long time period of 6 months. A larger multi-centre trial is now warranted to establish whether Irish set dancing is more effective than routine physiotherapy for enhancing mobility, balance and quality of life in people living with idiopathic PD. Trial registration: EudraCT number 2012-005769-11","call-number":"2","container-title":"BMC Geriatrics","DOI":"10.1186/1471-2318-13-54","ISSN":"1471-2318","issue":"1","journalAbbreviation":"BMC Geriatr.","language":"en","license":"http://www.springer.com/tdm","note":"JCR分区: Q2\n中科院分区升级版: 医学2区\n中科院分区基础版: 医学3区\n影响因子: 3.8\n5年影响因子: 4.5\nTLDR: A larger multi-centre trial is now warranted to establish whether Irish set dancing is more effective than routine physiotherapy for enhancing mobility, balance and quality of life in people living with idiopathic PD.","page":"54","source":"3.8","title":"A comparison of Irish set dancing and exercises for people with Parkinson’s disease: A phase II feasibility study","title-short":"A comparison of Irish set dancing and exercises for people with Parkinson’s disease","volume":"13","author":[{"family":"Volpe","given":"Daniele"},{"family":"Signorini","given":"Matteo"},{"family":"Marchetto","given":"Anna"},{"family":"Lynch","given":"Timothy"},{"family":"Morris","given":"Meg E"}],"issued":{"date-parts":[["2013",12]]},"citation-key":"volpeComparisonIrishSet2013"}}],"schema":"https://github.com/citation-style-language/schema/raw/master/csl-citation.json"}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13</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(2013)</w:t>
            </w:r>
          </w:p>
        </w:tc>
        <w:tc>
          <w:tcPr>
            <w:tcW w:w="1128" w:type="dxa"/>
            <w:vMerge w:val="restart"/>
            <w:tcBorders>
              <w:top w:val="nil"/>
              <w:bottom w:val="nil"/>
            </w:tcBorders>
            <w:noWrap/>
          </w:tcPr>
          <w:p w14:paraId="6DE4D14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Italy</w:t>
            </w:r>
          </w:p>
        </w:tc>
        <w:tc>
          <w:tcPr>
            <w:tcW w:w="768" w:type="dxa"/>
            <w:tcBorders>
              <w:top w:val="nil"/>
              <w:bottom w:val="nil"/>
            </w:tcBorders>
            <w:noWrap/>
          </w:tcPr>
          <w:p w14:paraId="7E3E0E5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IG:12</w:t>
            </w:r>
          </w:p>
        </w:tc>
        <w:tc>
          <w:tcPr>
            <w:tcW w:w="1307" w:type="dxa"/>
            <w:tcBorders>
              <w:top w:val="nil"/>
              <w:bottom w:val="nil"/>
            </w:tcBorders>
            <w:noWrap/>
          </w:tcPr>
          <w:p w14:paraId="2DB95FF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61.6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4.5</w:t>
            </w:r>
          </w:p>
        </w:tc>
        <w:tc>
          <w:tcPr>
            <w:tcW w:w="1560" w:type="dxa"/>
            <w:tcBorders>
              <w:top w:val="nil"/>
              <w:bottom w:val="nil"/>
            </w:tcBorders>
          </w:tcPr>
          <w:p w14:paraId="3BA2AB3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0.4</w:t>
            </w:r>
          </w:p>
        </w:tc>
        <w:tc>
          <w:tcPr>
            <w:tcW w:w="1152" w:type="dxa"/>
            <w:tcBorders>
              <w:top w:val="nil"/>
              <w:bottom w:val="nil"/>
            </w:tcBorders>
            <w:noWrap/>
          </w:tcPr>
          <w:p w14:paraId="6A904BA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9.0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3.6</w:t>
            </w:r>
          </w:p>
        </w:tc>
        <w:tc>
          <w:tcPr>
            <w:tcW w:w="888" w:type="dxa"/>
            <w:tcBorders>
              <w:top w:val="nil"/>
              <w:bottom w:val="nil"/>
            </w:tcBorders>
            <w:noWrap/>
          </w:tcPr>
          <w:p w14:paraId="3CB42A1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Dance</w:t>
            </w:r>
          </w:p>
        </w:tc>
        <w:tc>
          <w:tcPr>
            <w:tcW w:w="5772" w:type="dxa"/>
            <w:tcBorders>
              <w:top w:val="nil"/>
              <w:bottom w:val="nil"/>
            </w:tcBorders>
          </w:tcPr>
          <w:p w14:paraId="66C003C1">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24 weeks, 1 time/week, 90 minutes</w:t>
            </w:r>
          </w:p>
        </w:tc>
        <w:tc>
          <w:tcPr>
            <w:tcW w:w="933" w:type="dxa"/>
            <w:vMerge w:val="restart"/>
            <w:tcBorders>
              <w:top w:val="nil"/>
              <w:bottom w:val="nil"/>
            </w:tcBorders>
          </w:tcPr>
          <w:p w14:paraId="6F5CFAEC">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①⑤⑥</w:t>
            </w:r>
          </w:p>
        </w:tc>
      </w:tr>
      <w:tr w14:paraId="70B11DD7">
        <w:tblPrEx>
          <w:tblCellMar>
            <w:top w:w="0" w:type="dxa"/>
            <w:left w:w="28" w:type="dxa"/>
            <w:bottom w:w="0" w:type="dxa"/>
            <w:right w:w="28" w:type="dxa"/>
          </w:tblCellMar>
        </w:tblPrEx>
        <w:trPr>
          <w:trHeight w:val="90" w:hRule="atLeast"/>
        </w:trPr>
        <w:tc>
          <w:tcPr>
            <w:tcW w:w="1902" w:type="dxa"/>
            <w:vMerge w:val="continue"/>
            <w:tcBorders>
              <w:top w:val="nil"/>
              <w:bottom w:val="nil"/>
            </w:tcBorders>
          </w:tcPr>
          <w:p w14:paraId="40EFA0DE">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43FB3D37">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1868354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CG:12</w:t>
            </w:r>
          </w:p>
        </w:tc>
        <w:tc>
          <w:tcPr>
            <w:tcW w:w="1307" w:type="dxa"/>
            <w:tcBorders>
              <w:top w:val="nil"/>
              <w:bottom w:val="nil"/>
            </w:tcBorders>
            <w:noWrap/>
          </w:tcPr>
          <w:p w14:paraId="70D0DDE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65.0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5.3</w:t>
            </w:r>
          </w:p>
        </w:tc>
        <w:tc>
          <w:tcPr>
            <w:tcW w:w="1560" w:type="dxa"/>
            <w:tcBorders>
              <w:top w:val="nil"/>
              <w:bottom w:val="nil"/>
            </w:tcBorders>
          </w:tcPr>
          <w:p w14:paraId="17DCC899">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0.4</w:t>
            </w:r>
          </w:p>
        </w:tc>
        <w:tc>
          <w:tcPr>
            <w:tcW w:w="1152" w:type="dxa"/>
            <w:tcBorders>
              <w:top w:val="nil"/>
              <w:bottom w:val="nil"/>
            </w:tcBorders>
            <w:noWrap/>
          </w:tcPr>
          <w:p w14:paraId="0C08508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8.9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2.5</w:t>
            </w:r>
          </w:p>
        </w:tc>
        <w:tc>
          <w:tcPr>
            <w:tcW w:w="888" w:type="dxa"/>
            <w:tcBorders>
              <w:top w:val="nil"/>
              <w:bottom w:val="nil"/>
            </w:tcBorders>
            <w:noWrap/>
          </w:tcPr>
          <w:p w14:paraId="3607093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tcPr>
          <w:p w14:paraId="46F859B8">
            <w:pPr>
              <w:spacing w:line="400" w:lineRule="exact"/>
              <w:jc w:val="left"/>
              <w:rPr>
                <w:rFonts w:ascii="Times New Roman" w:hAnsi="Times New Roman" w:eastAsia="宋体" w:cs="Times New Roman"/>
                <w:color w:val="auto"/>
                <w:szCs w:val="21"/>
              </w:rPr>
            </w:pPr>
            <w:r>
              <w:rPr>
                <w:rFonts w:hint="eastAsia" w:ascii="Times New Roman" w:hAnsi="Times New Roman" w:eastAsia="宋体" w:cs="Times New Roman"/>
                <w:color w:val="auto"/>
                <w:szCs w:val="21"/>
                <w:lang w:bidi="ar"/>
              </w:rPr>
              <w:t>c</w:t>
            </w:r>
            <w:r>
              <w:rPr>
                <w:rFonts w:ascii="Times New Roman" w:hAnsi="Times New Roman" w:eastAsia="宋体" w:cs="Times New Roman"/>
                <w:color w:val="auto"/>
                <w:szCs w:val="21"/>
                <w:lang w:bidi="ar"/>
              </w:rPr>
              <w:t>onventional physiotherapy</w:t>
            </w:r>
          </w:p>
        </w:tc>
        <w:tc>
          <w:tcPr>
            <w:tcW w:w="933" w:type="dxa"/>
            <w:vMerge w:val="continue"/>
            <w:tcBorders>
              <w:top w:val="nil"/>
              <w:bottom w:val="nil"/>
            </w:tcBorders>
          </w:tcPr>
          <w:p w14:paraId="4096B52C">
            <w:pPr>
              <w:spacing w:line="400" w:lineRule="exact"/>
              <w:jc w:val="center"/>
              <w:rPr>
                <w:rFonts w:ascii="Times New Roman" w:hAnsi="Times New Roman" w:eastAsia="微软雅黑" w:cs="Times New Roman"/>
                <w:color w:val="auto"/>
                <w:szCs w:val="21"/>
                <w:lang w:bidi="ar"/>
              </w:rPr>
            </w:pPr>
          </w:p>
        </w:tc>
      </w:tr>
      <w:tr w14:paraId="1B6ABE21">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55D2BE89">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Ventura</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{"citationID":"k5cSO4rr","properties":{"formattedCitation":"\\super 14\\nosupersub{}","plainCitation":"14","noteIndex":0},"citationItems":[{"id":1072,"uris":["http://zotero.org/users/local/9LWqYmzn/items/EB9VL6YB"],"itemData":{"id":1072,"type":"article-journal","call-number":"3","container-title":"Contemporary Clinical Trials","DOI":"10.1016/j.cct.2016.10.001","ISSN":"15517144","journalAbbreviation":"Contemp. Clin. Trials","language":"en","note":"JCR分区: Q3\n中科院分区升级版: 医学3区\n中科院分区基础版: 医学4区\n影响因子: 1.9\n5年影响因子: 2.1\nTLDR: It is suggested that dance has potential to improve multiple outcomes in people with PD and future trials should consider co-primary outcomes given potential benefits in motor, cognitive and emotion/QOL domains.","page":"50-55","source":"1.9","title":"A pilot study to evaluate multi-dimensional effects of dance for people with parkinson's disease","volume":"51","author":[{"family":"Ventura","given":"Maria I."},{"family":"Barnes","given":"Deborah E."},{"family":"Ross","given":"Jessica M."},{"family":"Lanni","given":"Kimberly E."},{"family":"Sigvardt","given":"Karen A."},{"family":"Disbrow","given":"Elizabeth A."}],"issued":{"date-parts":[["2016",11]]},"citation-key":"venturaPilotStudyEvaluate2016"}}],"schema":"https://github.com/citation-style-language/schema/raw/master/csl-citation.json"}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14</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(2016)</w:t>
            </w:r>
          </w:p>
        </w:tc>
        <w:tc>
          <w:tcPr>
            <w:tcW w:w="1128" w:type="dxa"/>
            <w:vMerge w:val="restart"/>
            <w:tcBorders>
              <w:top w:val="nil"/>
              <w:bottom w:val="nil"/>
            </w:tcBorders>
            <w:noWrap/>
          </w:tcPr>
          <w:p w14:paraId="10E46A4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America</w:t>
            </w:r>
          </w:p>
        </w:tc>
        <w:tc>
          <w:tcPr>
            <w:tcW w:w="768" w:type="dxa"/>
            <w:tcBorders>
              <w:top w:val="nil"/>
              <w:bottom w:val="nil"/>
            </w:tcBorders>
            <w:noWrap/>
          </w:tcPr>
          <w:p w14:paraId="25CF18B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IG:8</w:t>
            </w:r>
          </w:p>
        </w:tc>
        <w:tc>
          <w:tcPr>
            <w:tcW w:w="1307" w:type="dxa"/>
            <w:tcBorders>
              <w:top w:val="nil"/>
              <w:bottom w:val="nil"/>
            </w:tcBorders>
            <w:noWrap/>
          </w:tcPr>
          <w:p w14:paraId="14F2F66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71.8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3.6</w:t>
            </w:r>
          </w:p>
        </w:tc>
        <w:tc>
          <w:tcPr>
            <w:tcW w:w="1560" w:type="dxa"/>
            <w:vMerge w:val="restart"/>
            <w:tcBorders>
              <w:top w:val="nil"/>
              <w:bottom w:val="nil"/>
            </w:tcBorders>
          </w:tcPr>
          <w:p w14:paraId="47E468F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1-2</w:t>
            </w:r>
          </w:p>
        </w:tc>
        <w:tc>
          <w:tcPr>
            <w:tcW w:w="1152" w:type="dxa"/>
            <w:tcBorders>
              <w:top w:val="nil"/>
              <w:bottom w:val="nil"/>
            </w:tcBorders>
            <w:noWrap/>
          </w:tcPr>
          <w:p w14:paraId="209AF25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3.1</w:t>
            </w:r>
          </w:p>
        </w:tc>
        <w:tc>
          <w:tcPr>
            <w:tcW w:w="888" w:type="dxa"/>
            <w:tcBorders>
              <w:top w:val="nil"/>
              <w:bottom w:val="nil"/>
            </w:tcBorders>
            <w:noWrap/>
          </w:tcPr>
          <w:p w14:paraId="734FD90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Dance</w:t>
            </w:r>
          </w:p>
        </w:tc>
        <w:tc>
          <w:tcPr>
            <w:tcW w:w="5772" w:type="dxa"/>
            <w:tcBorders>
              <w:top w:val="nil"/>
              <w:bottom w:val="nil"/>
            </w:tcBorders>
          </w:tcPr>
          <w:p w14:paraId="5946EC0A">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10 weeks, 1 time/week, 75 minutes</w:t>
            </w:r>
          </w:p>
        </w:tc>
        <w:tc>
          <w:tcPr>
            <w:tcW w:w="933" w:type="dxa"/>
            <w:vMerge w:val="restart"/>
            <w:tcBorders>
              <w:top w:val="nil"/>
              <w:bottom w:val="nil"/>
            </w:tcBorders>
          </w:tcPr>
          <w:p w14:paraId="10DA2283">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④⑥</w:t>
            </w:r>
          </w:p>
        </w:tc>
      </w:tr>
      <w:tr w14:paraId="3FFB1E0B">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690CB6DA">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27CFB23F">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65F5E7B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CG:7</w:t>
            </w:r>
          </w:p>
        </w:tc>
        <w:tc>
          <w:tcPr>
            <w:tcW w:w="1307" w:type="dxa"/>
            <w:tcBorders>
              <w:top w:val="nil"/>
              <w:bottom w:val="nil"/>
            </w:tcBorders>
            <w:noWrap/>
          </w:tcPr>
          <w:p w14:paraId="25C62BB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70.4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5.5</w:t>
            </w:r>
          </w:p>
        </w:tc>
        <w:tc>
          <w:tcPr>
            <w:tcW w:w="1560" w:type="dxa"/>
            <w:vMerge w:val="continue"/>
            <w:tcBorders>
              <w:top w:val="nil"/>
              <w:bottom w:val="nil"/>
            </w:tcBorders>
          </w:tcPr>
          <w:p w14:paraId="3E890BF0">
            <w:pPr>
              <w:spacing w:line="400" w:lineRule="exact"/>
              <w:jc w:val="center"/>
              <w:rPr>
                <w:rFonts w:ascii="Times New Roman" w:hAnsi="Times New Roman" w:eastAsia="宋体" w:cs="Times New Roman"/>
                <w:color w:val="auto"/>
                <w:szCs w:val="21"/>
              </w:rPr>
            </w:pPr>
          </w:p>
        </w:tc>
        <w:tc>
          <w:tcPr>
            <w:tcW w:w="1152" w:type="dxa"/>
            <w:tcBorders>
              <w:top w:val="nil"/>
              <w:bottom w:val="nil"/>
            </w:tcBorders>
            <w:noWrap/>
          </w:tcPr>
          <w:p w14:paraId="2A9BCFF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4.3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2.6</w:t>
            </w:r>
          </w:p>
        </w:tc>
        <w:tc>
          <w:tcPr>
            <w:tcW w:w="888" w:type="dxa"/>
            <w:tcBorders>
              <w:top w:val="nil"/>
              <w:bottom w:val="nil"/>
            </w:tcBorders>
            <w:noWrap/>
          </w:tcPr>
          <w:p w14:paraId="36858E5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CON</w:t>
            </w:r>
          </w:p>
        </w:tc>
        <w:tc>
          <w:tcPr>
            <w:tcW w:w="5772" w:type="dxa"/>
            <w:tcBorders>
              <w:top w:val="nil"/>
              <w:bottom w:val="nil"/>
            </w:tcBorders>
          </w:tcPr>
          <w:p w14:paraId="3CB2A37B">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2C367389">
            <w:pPr>
              <w:spacing w:line="400" w:lineRule="exact"/>
              <w:jc w:val="center"/>
              <w:rPr>
                <w:rFonts w:ascii="Times New Roman" w:hAnsi="Times New Roman" w:eastAsia="微软雅黑" w:cs="Times New Roman"/>
                <w:color w:val="auto"/>
                <w:szCs w:val="21"/>
                <w:lang w:bidi="ar"/>
              </w:rPr>
            </w:pPr>
          </w:p>
        </w:tc>
      </w:tr>
      <w:tr w14:paraId="0B8B00F5">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1FBC6C95">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Duncan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{"citationID":"JLziuLvV","properties":{"formattedCitation":"\\super 15\\nosupersub{}","plainCitation":"15","noteIndex":0},"citationItems":[{"id":1201,"uris":["http://zotero.org/users/local/9LWqYmzn/items/HV8W9KHR"],"itemData":{"id":1201,"type":"article-journal","abstract":"Background. Tango dancing has been effective in improving measures of physical function in people with Parkinson disease (PD). However, all previous studies were institution-based, tested participants on medication, and employed short-term interventions. Objective. To determine the effects of a 12-month community-based tango program for individuals with PD on disease severity and physical function. Methods. Sixty-two participants were randomly assigned to a twice weekly, community-based Argentine Tango program or a Control group (no intervention). Participants were assessed off antiParkinson medication at baseline, 3, 6, and 12 months. The primary outcome measure was the Movement Disorders Society–Unified Parkinson Disease Rating Scale 3 (MDS-UPDRS-3). Secondary outcome measures were the MDS-UPDRS-1, MDS-UPDRS-2, MiniBESTest balance test; Freezing of Gait Questionnaire (FOG_Q); 6-Minute Walk Test (6MWT); gait velocity for comfortable forward, fast as possible forward, dual task, and backward walking; and Nine-Hole Peg Test (9HPT). Results. Groups were not different at baseline. Overall, the Tango group improved whereas the Control group showed little change on most measures. For the MDS-UPDRS-3, there was no significant change in the Control group from baseline to 12 months, whereas the Tango group had a reduction of 28.7% (12.8 points). There were significant group by time interactions for MDS-UPDRS-3, MiniBESTest, FOG_Q, 6MWT, forward and dual task walking velocities, and 9HPT in favor of the dance group. Conclusions. Improvements in the Tango group were apparent off medication, suggesting that long-term participation in tango may modify progression of disability in PD.","call-number":"2","container-title":"Neurorehabilitation and Neural Repair","DOI":"10.1177/1545968311421614","ISSN":"1545-9683, 1552-6844","issue":"2","journalAbbreviation":"Neurorehabil. Neural Repair","language":"en","note":"JCR分区: Q1\n中科院分区升级版: 医学2区\n中科院分区基础版: 医学3区\n影响因子: 3.7\n5年影响因子: 4.8","page":"132-143","source":"3.7","title":"Randomized controlled trial of community-based dancing to modify disease progression in parkinson disease","volume":"26","author":[{"family":"Duncan","given":"Ryan P."},{"family":"Earhart","given":"Gammon M."}],"issued":{"date-parts":[["2012",2]]},"citation-key":"duncanRandomizedControlledTrial2012a"}}],"schema":"https://github.com/citation-style-language/schema/raw/master/csl-citation.json"}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15</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(2012)</w:t>
            </w:r>
          </w:p>
        </w:tc>
        <w:tc>
          <w:tcPr>
            <w:tcW w:w="1128" w:type="dxa"/>
            <w:vMerge w:val="restart"/>
            <w:tcBorders>
              <w:top w:val="nil"/>
              <w:bottom w:val="nil"/>
            </w:tcBorders>
            <w:noWrap/>
          </w:tcPr>
          <w:p w14:paraId="1A9E48C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America</w:t>
            </w:r>
          </w:p>
        </w:tc>
        <w:tc>
          <w:tcPr>
            <w:tcW w:w="768" w:type="dxa"/>
            <w:tcBorders>
              <w:top w:val="nil"/>
              <w:bottom w:val="nil"/>
            </w:tcBorders>
            <w:noWrap/>
          </w:tcPr>
          <w:p w14:paraId="455ABA0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IG:26</w:t>
            </w:r>
          </w:p>
        </w:tc>
        <w:tc>
          <w:tcPr>
            <w:tcW w:w="1307" w:type="dxa"/>
            <w:tcBorders>
              <w:top w:val="nil"/>
              <w:bottom w:val="nil"/>
            </w:tcBorders>
            <w:noWrap/>
          </w:tcPr>
          <w:p w14:paraId="44A09B0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69.3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1.9</w:t>
            </w:r>
          </w:p>
        </w:tc>
        <w:tc>
          <w:tcPr>
            <w:tcW w:w="1560" w:type="dxa"/>
            <w:tcBorders>
              <w:top w:val="nil"/>
              <w:bottom w:val="nil"/>
            </w:tcBorders>
            <w:noWrap/>
          </w:tcPr>
          <w:p w14:paraId="6068439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0.1</w:t>
            </w:r>
          </w:p>
        </w:tc>
        <w:tc>
          <w:tcPr>
            <w:tcW w:w="1152" w:type="dxa"/>
            <w:tcBorders>
              <w:top w:val="nil"/>
              <w:bottom w:val="nil"/>
            </w:tcBorders>
            <w:noWrap/>
          </w:tcPr>
          <w:p w14:paraId="1AF6E9B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1.1</w:t>
            </w:r>
          </w:p>
        </w:tc>
        <w:tc>
          <w:tcPr>
            <w:tcW w:w="888" w:type="dxa"/>
            <w:tcBorders>
              <w:top w:val="nil"/>
              <w:bottom w:val="nil"/>
            </w:tcBorders>
            <w:noWrap/>
          </w:tcPr>
          <w:p w14:paraId="0D70680C">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 xml:space="preserve">Dance </w:t>
            </w:r>
          </w:p>
        </w:tc>
        <w:tc>
          <w:tcPr>
            <w:tcW w:w="5772" w:type="dxa"/>
            <w:tcBorders>
              <w:top w:val="nil"/>
              <w:bottom w:val="nil"/>
            </w:tcBorders>
          </w:tcPr>
          <w:p w14:paraId="2C545D0B">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 xml:space="preserve">52 weeks, 2 times/week, 60 minutes </w:t>
            </w:r>
          </w:p>
        </w:tc>
        <w:tc>
          <w:tcPr>
            <w:tcW w:w="933" w:type="dxa"/>
            <w:vMerge w:val="restart"/>
            <w:tcBorders>
              <w:top w:val="nil"/>
              <w:bottom w:val="nil"/>
            </w:tcBorders>
          </w:tcPr>
          <w:p w14:paraId="3B8229D1">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①②③</w:t>
            </w:r>
          </w:p>
        </w:tc>
      </w:tr>
      <w:tr w14:paraId="0190BA98">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6EB07C29">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039823D7">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7EA394CA">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CG:26</w:t>
            </w:r>
          </w:p>
        </w:tc>
        <w:tc>
          <w:tcPr>
            <w:tcW w:w="1307" w:type="dxa"/>
            <w:tcBorders>
              <w:top w:val="nil"/>
              <w:bottom w:val="nil"/>
            </w:tcBorders>
            <w:noWrap/>
          </w:tcPr>
          <w:p w14:paraId="6490179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69.0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1.5</w:t>
            </w:r>
          </w:p>
        </w:tc>
        <w:tc>
          <w:tcPr>
            <w:tcW w:w="1560" w:type="dxa"/>
            <w:tcBorders>
              <w:top w:val="nil"/>
              <w:bottom w:val="nil"/>
            </w:tcBorders>
            <w:noWrap/>
          </w:tcPr>
          <w:p w14:paraId="06E6192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H&amp;Y 2.5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0.1</w:t>
            </w:r>
          </w:p>
        </w:tc>
        <w:tc>
          <w:tcPr>
            <w:tcW w:w="1152" w:type="dxa"/>
            <w:tcBorders>
              <w:top w:val="nil"/>
              <w:bottom w:val="nil"/>
            </w:tcBorders>
            <w:noWrap/>
          </w:tcPr>
          <w:p w14:paraId="445EEAF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7.0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1.0</w:t>
            </w:r>
          </w:p>
        </w:tc>
        <w:tc>
          <w:tcPr>
            <w:tcW w:w="888" w:type="dxa"/>
            <w:tcBorders>
              <w:top w:val="nil"/>
              <w:bottom w:val="nil"/>
            </w:tcBorders>
            <w:noWrap/>
          </w:tcPr>
          <w:p w14:paraId="0868053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tcPr>
          <w:p w14:paraId="199D6E92">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47A78B1D">
            <w:pPr>
              <w:spacing w:line="400" w:lineRule="exact"/>
              <w:jc w:val="center"/>
              <w:rPr>
                <w:rFonts w:ascii="Times New Roman" w:hAnsi="Times New Roman" w:eastAsia="微软雅黑" w:cs="Times New Roman"/>
                <w:color w:val="auto"/>
                <w:szCs w:val="21"/>
                <w:lang w:bidi="ar"/>
              </w:rPr>
            </w:pPr>
          </w:p>
        </w:tc>
      </w:tr>
      <w:tr w14:paraId="2045F690">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285311A4">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Wang</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{"citationID":"lzxfer2f","properties":{"formattedCitation":"\\super 16\\nosupersub{}","plainCitation":"16","noteIndex":0},"citationItems":[{"id":1089,"uris":["http://zotero.org/users/local/9LWqYmzn/items/HJD2YMAD"],"itemData":{"id":1089,"type":"article-journal","abstract":"Objective\n              . This study was designed to evaluate the effect of Wuqinxi after one session and 12‐week intervention on hand dexterity in patients with Parkinson’s disease (PD).\n              Methods\n              . Forty‐six elderly participants with mild‐to‐moderate PD were randomly assigned to the groups trained with Wuqinxi (\n              n\n               = 23) or stretching (\n              n\n               = 23). All participants practiced 60 min session of either of these exercises, 2 sessions a week for 12 weeks in standing position. The score of Purdue Pegboard Test (PPT) and time for Soda Pop Test (SPT) were performed to assess hand dexterity and motor function along assessing the 39 items of Parkinson’s Disease Questionnaire before and after 12‐week interventions. In addition, the PPT scores were compared before vs. after one session of either of these two exercise modes.\n              Results\n              . Single session with either Wuqinxi or stretching exercise tended to improve PPT scores in PD patients. Furthermore, the improved SPT time was significant (\n              P\n              &lt; 0.01) following 12‐week training interventions with Wuqinxi (−1.32 ± 0.38 sec) or stretching (−0.89 ± 0.16 sec), which showed no group difference (\n              P\n              = 0.734). However, only the participants in Wuqinxi group significantly improved the PPT scores of the dominant hand (+0.61 ± 1.34), both hand (+1.83 ± 3.13) and assemble (+2.04 ± 3.44) performance after 12‐week training intervention. In parallel with improved hand dexterity and motor function, 12‐week Wuqinxi training also significantly improved the patient’s emotional wellbeing.\n              Conclusion\n              . The Wuqinxi intervention could be safely and effectively applied to improve hand dexterity following single‐session exercise or 12‐week training, which were accompanied by improved quality of life in patients with mild‐to‐moderate PD.","container-title":"Evidence-Based Complementary and Alternative Medicine","DOI":"10.1155/2020/8352176","ISSN":"1741-427X, 1741-4288","issue":"1","journalAbbreviation":"Evidence-Based Complementary and Alternative Medicine","language":"en","note":"中科院分区基础版: 医学4区\nTLDR: The Wuqinxi intervention could be safely and effectively applied to improve hand dexterity following single-session exercise or 12-week training, which were accompanied by improved quality of life in patients with mild-to-moderate PD.","page":"8352176","source":"DOI.org (Crossref)","title":"Wuqinxi exercise improves hand dexterity in patients with parkinson’s disease","volume":"2020","author":[{"family":"Wang","given":"Tian"},{"family":"Xiao","given":"Guiping"},{"family":"Li","given":"Zhenlan"},{"family":"Jie","given":"Kuncheng"},{"family":"Shen","given":"Mengyue"},{"family":"Jiang","given":"Yan"},{"family":"Wang","given":"Zhen"},{"family":"Shi","given":"Xiangrong"},{"family":"Zhuang","given":"Jie"}],"editor":[{"family":"Liu","given":"Jiao"}],"issued":{"date-parts":[["2020",1]]},"citation-key":"wangWuqinxiExerciseImproves2020"}}],"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16</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 xml:space="preserve">(2020) </w:t>
            </w:r>
          </w:p>
        </w:tc>
        <w:tc>
          <w:tcPr>
            <w:tcW w:w="1128" w:type="dxa"/>
            <w:vMerge w:val="restart"/>
            <w:tcBorders>
              <w:top w:val="nil"/>
              <w:bottom w:val="nil"/>
            </w:tcBorders>
            <w:noWrap/>
          </w:tcPr>
          <w:p w14:paraId="15D891C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China</w:t>
            </w:r>
          </w:p>
        </w:tc>
        <w:tc>
          <w:tcPr>
            <w:tcW w:w="768" w:type="dxa"/>
            <w:tcBorders>
              <w:top w:val="nil"/>
              <w:bottom w:val="nil"/>
            </w:tcBorders>
            <w:noWrap/>
          </w:tcPr>
          <w:p w14:paraId="305E46EB">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IG:23</w:t>
            </w:r>
          </w:p>
        </w:tc>
        <w:tc>
          <w:tcPr>
            <w:tcW w:w="1307" w:type="dxa"/>
            <w:tcBorders>
              <w:top w:val="nil"/>
              <w:bottom w:val="nil"/>
            </w:tcBorders>
            <w:noWrap/>
          </w:tcPr>
          <w:p w14:paraId="2BD3749C">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67.0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5.6</w:t>
            </w:r>
          </w:p>
        </w:tc>
        <w:tc>
          <w:tcPr>
            <w:tcW w:w="1560" w:type="dxa"/>
            <w:vMerge w:val="restart"/>
            <w:tcBorders>
              <w:top w:val="nil"/>
              <w:bottom w:val="nil"/>
            </w:tcBorders>
          </w:tcPr>
          <w:p w14:paraId="6A2D4E96">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1-3</w:t>
            </w:r>
          </w:p>
        </w:tc>
        <w:tc>
          <w:tcPr>
            <w:tcW w:w="1152" w:type="dxa"/>
            <w:tcBorders>
              <w:top w:val="nil"/>
              <w:bottom w:val="nil"/>
            </w:tcBorders>
            <w:noWrap/>
          </w:tcPr>
          <w:p w14:paraId="672CC4BE">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3.1</w:t>
            </w:r>
          </w:p>
        </w:tc>
        <w:tc>
          <w:tcPr>
            <w:tcW w:w="888" w:type="dxa"/>
            <w:tcBorders>
              <w:top w:val="nil"/>
              <w:bottom w:val="nil"/>
            </w:tcBorders>
            <w:noWrap/>
          </w:tcPr>
          <w:p w14:paraId="3B8492ED">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Qigong</w:t>
            </w:r>
          </w:p>
        </w:tc>
        <w:tc>
          <w:tcPr>
            <w:tcW w:w="5772" w:type="dxa"/>
            <w:tcBorders>
              <w:top w:val="nil"/>
              <w:bottom w:val="nil"/>
            </w:tcBorders>
          </w:tcPr>
          <w:p w14:paraId="68056922">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12 weeks, 2 times/week, 60 minutes</w:t>
            </w:r>
          </w:p>
        </w:tc>
        <w:tc>
          <w:tcPr>
            <w:tcW w:w="933" w:type="dxa"/>
            <w:vMerge w:val="restart"/>
            <w:tcBorders>
              <w:top w:val="nil"/>
              <w:bottom w:val="nil"/>
            </w:tcBorders>
          </w:tcPr>
          <w:p w14:paraId="329F31CB">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⑥</w:t>
            </w:r>
          </w:p>
        </w:tc>
      </w:tr>
      <w:tr w14:paraId="1B114411">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3710C688">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noWrap/>
          </w:tcPr>
          <w:p w14:paraId="199D2F8B">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3E359CB2">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CG:23</w:t>
            </w:r>
          </w:p>
        </w:tc>
        <w:tc>
          <w:tcPr>
            <w:tcW w:w="1307" w:type="dxa"/>
            <w:tcBorders>
              <w:top w:val="nil"/>
              <w:bottom w:val="nil"/>
            </w:tcBorders>
            <w:noWrap/>
          </w:tcPr>
          <w:p w14:paraId="29C9312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67.1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6.1</w:t>
            </w:r>
          </w:p>
        </w:tc>
        <w:tc>
          <w:tcPr>
            <w:tcW w:w="1560" w:type="dxa"/>
            <w:vMerge w:val="continue"/>
            <w:tcBorders>
              <w:top w:val="nil"/>
              <w:bottom w:val="nil"/>
            </w:tcBorders>
          </w:tcPr>
          <w:p w14:paraId="266F92DD">
            <w:pPr>
              <w:spacing w:line="400" w:lineRule="exact"/>
              <w:jc w:val="center"/>
              <w:rPr>
                <w:rFonts w:ascii="Times New Roman" w:hAnsi="Times New Roman" w:eastAsia="宋体" w:cs="Times New Roman"/>
                <w:color w:val="auto"/>
                <w:szCs w:val="21"/>
              </w:rPr>
            </w:pPr>
          </w:p>
        </w:tc>
        <w:tc>
          <w:tcPr>
            <w:tcW w:w="1152" w:type="dxa"/>
            <w:tcBorders>
              <w:top w:val="nil"/>
              <w:bottom w:val="nil"/>
            </w:tcBorders>
            <w:noWrap/>
          </w:tcPr>
          <w:p w14:paraId="2161FF21">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3.8</w:t>
            </w:r>
          </w:p>
        </w:tc>
        <w:tc>
          <w:tcPr>
            <w:tcW w:w="888" w:type="dxa"/>
            <w:tcBorders>
              <w:top w:val="nil"/>
              <w:bottom w:val="nil"/>
            </w:tcBorders>
            <w:noWrap/>
          </w:tcPr>
          <w:p w14:paraId="47855C78">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tcPr>
          <w:p w14:paraId="62394C5F">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stretching exercises</w:t>
            </w:r>
            <w:r>
              <w:rPr>
                <w:rFonts w:hint="eastAsia" w:ascii="Times New Roman" w:hAnsi="Times New Roman" w:eastAsia="宋体" w:cs="Times New Roman"/>
                <w:color w:val="auto"/>
                <w:szCs w:val="21"/>
                <w:lang w:bidi="ar"/>
              </w:rPr>
              <w:t>(</w:t>
            </w:r>
            <w:r>
              <w:rPr>
                <w:rFonts w:ascii="Times New Roman" w:hAnsi="Times New Roman" w:eastAsia="宋体" w:cs="Times New Roman"/>
                <w:color w:val="auto"/>
                <w:szCs w:val="21"/>
                <w:lang w:bidi="ar"/>
              </w:rPr>
              <w:t>12 weeks, 2 times/week, 60 minutes</w:t>
            </w:r>
            <w:r>
              <w:rPr>
                <w:rFonts w:hint="eastAsia" w:ascii="Times New Roman" w:hAnsi="Times New Roman" w:eastAsia="宋体" w:cs="Times New Roman"/>
                <w:color w:val="auto"/>
                <w:szCs w:val="21"/>
                <w:lang w:bidi="ar"/>
              </w:rPr>
              <w:t>)</w:t>
            </w:r>
          </w:p>
        </w:tc>
        <w:tc>
          <w:tcPr>
            <w:tcW w:w="933" w:type="dxa"/>
            <w:vMerge w:val="continue"/>
            <w:tcBorders>
              <w:top w:val="nil"/>
              <w:bottom w:val="nil"/>
            </w:tcBorders>
          </w:tcPr>
          <w:p w14:paraId="4B33BE1D">
            <w:pPr>
              <w:spacing w:line="400" w:lineRule="exact"/>
              <w:jc w:val="center"/>
              <w:rPr>
                <w:rFonts w:ascii="Times New Roman" w:hAnsi="Times New Roman" w:eastAsia="微软雅黑" w:cs="Times New Roman"/>
                <w:color w:val="auto"/>
                <w:szCs w:val="21"/>
                <w:lang w:bidi="ar"/>
              </w:rPr>
            </w:pPr>
          </w:p>
        </w:tc>
      </w:tr>
      <w:tr w14:paraId="546C4D48">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006CF86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Canning</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{"citationID":"UcNcOVwr","properties":{"formattedCitation":"\\super 17\\nosupersub{}","plainCitation":"17","noteIndex":0},"citationItems":[{"id":993,"uris":["http://zotero.org/users/local/9LWqYmzn/items/YETLR6HW"],"itemData":{"id":993,"type":"article-journal","abstract":"Objective: To investigate the feasibility and effectiveness of six weeks of home-based treadmill training in people with mild Parkinson’s disease. Design: Pilot randomized controlled trial of a six-week intervention followed by a further six weeks follow-up. Setting: Home-based treadmill training with outcome measures taken at a hospital clinic. Participants: Twenty cognitively intact participants with mild Parkinson’s disease and gait disturbance. Two participants from the treadmill training group and one from the control group dropped out. Interventions: The treadmill training group undertook a semi-supervised home-based programme of treadmill walking for 20–40 minutes, four times a week for six weeks. The control group received usual care. Main outcome measures: The feasibility of the intervention was assessed by recording exercise adherence and acceptability, exercise intensity, fatigue, muscle soreness and adverse events. The primary outcome measure of efficacy was walking capacity (6-minute walk test distance).\nResults: Home-based treadmill training was feasible, acceptable and safe with participants completing 78% (SD 36) of the prescribed training sessions. The treadmill training group did not improve their walking capacity compared to the control group. The treadmill training group showed a greater improvement than the control group in fatigue at post test (P = 0.04) and in quality of life at six weeks follow-up testing (P = 0.02).\nConclusions: Semi-supervised home-based treadmill training is a feasible and safe form of exercise for cognitively intact people with mild Parkinson’s disease. Further investigation regarding the effectiveness of home-based treadmill training is warranted.","call-number":"3","container-title":"Clinical Rehabilitation","DOI":"10.1177/0269215511432652","ISSN":"0269-2155, 1477-0873","issue":"9","journalAbbreviation":"Clin Rehabil","language":"en","note":"TLDR: Semi-supervised home-based treadmill training is a feasible and safe form of exercise for cognitively intact people with mild Parkinson’s disease and in quality of life at six weeks follow-up testing.","page":"817-826","source":"2.9","title":"Home-based treadmill training for individuals with parkinson’s disease: A randomized controlled pilot trial","title-short":"Home-based treadmill training for individuals with Parkinson’s disease","volume":"26","author":[{"family":"Canning","given":"Colleen G"},{"family":"Allen","given":"Natalie E"},{"family":"Dean","given":"Catherine M"},{"family":"Goh","given":"Lina"},{"family":"Fung","given":"Victor Sc"}],"issued":{"date-parts":[["2012",9]]},"citation-key":"canningHomebasedTreadmillTraining2012"}}],"schema":"https://github.com/citation-style-language/schema/raw/master/csl-citation.json"}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17</w:t>
            </w:r>
            <w:r>
              <w:rPr>
                <w:rFonts w:ascii="Times New Roman" w:hAnsi="Times New Roman" w:eastAsia="宋体" w:cs="Times New Roman"/>
                <w:color w:val="auto"/>
                <w:szCs w:val="21"/>
                <w:lang w:bidi="ar"/>
              </w:rPr>
              <w:fldChar w:fldCharType="end"/>
            </w:r>
          </w:p>
          <w:p w14:paraId="6F81373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(2011)</w:t>
            </w:r>
          </w:p>
        </w:tc>
        <w:tc>
          <w:tcPr>
            <w:tcW w:w="1128" w:type="dxa"/>
            <w:vMerge w:val="restart"/>
            <w:tcBorders>
              <w:top w:val="nil"/>
              <w:bottom w:val="nil"/>
            </w:tcBorders>
          </w:tcPr>
          <w:p w14:paraId="4B2F351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Australia</w:t>
            </w:r>
          </w:p>
        </w:tc>
        <w:tc>
          <w:tcPr>
            <w:tcW w:w="768" w:type="dxa"/>
            <w:tcBorders>
              <w:top w:val="nil"/>
              <w:bottom w:val="nil"/>
            </w:tcBorders>
            <w:noWrap/>
          </w:tcPr>
          <w:p w14:paraId="6D153E2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IG:9</w:t>
            </w:r>
          </w:p>
        </w:tc>
        <w:tc>
          <w:tcPr>
            <w:tcW w:w="1307" w:type="dxa"/>
            <w:tcBorders>
              <w:top w:val="nil"/>
              <w:bottom w:val="nil"/>
            </w:tcBorders>
            <w:noWrap/>
          </w:tcPr>
          <w:p w14:paraId="62FF175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60.7</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5.9</w:t>
            </w:r>
          </w:p>
        </w:tc>
        <w:tc>
          <w:tcPr>
            <w:tcW w:w="1560" w:type="dxa"/>
            <w:vMerge w:val="restart"/>
            <w:tcBorders>
              <w:top w:val="nil"/>
            </w:tcBorders>
          </w:tcPr>
          <w:p w14:paraId="6F3054E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1-2</w:t>
            </w:r>
          </w:p>
        </w:tc>
        <w:tc>
          <w:tcPr>
            <w:tcW w:w="1152" w:type="dxa"/>
            <w:tcBorders>
              <w:top w:val="nil"/>
              <w:bottom w:val="nil"/>
            </w:tcBorders>
            <w:noWrap/>
          </w:tcPr>
          <w:p w14:paraId="2C350C8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4.0</w:t>
            </w:r>
          </w:p>
        </w:tc>
        <w:tc>
          <w:tcPr>
            <w:tcW w:w="888" w:type="dxa"/>
            <w:tcBorders>
              <w:top w:val="nil"/>
              <w:bottom w:val="nil"/>
            </w:tcBorders>
            <w:noWrap/>
          </w:tcPr>
          <w:p w14:paraId="0A2DD03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TT</w:t>
            </w:r>
          </w:p>
        </w:tc>
        <w:tc>
          <w:tcPr>
            <w:tcW w:w="5772" w:type="dxa"/>
            <w:tcBorders>
              <w:top w:val="nil"/>
              <w:bottom w:val="nil"/>
            </w:tcBorders>
            <w:noWrap/>
          </w:tcPr>
          <w:p w14:paraId="1A9A750D">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60–80% 6MWT speed, 6 weeks, 4 times/week, 30–40 minutes</w:t>
            </w:r>
          </w:p>
        </w:tc>
        <w:tc>
          <w:tcPr>
            <w:tcW w:w="933" w:type="dxa"/>
            <w:vMerge w:val="restart"/>
            <w:tcBorders>
              <w:top w:val="nil"/>
              <w:bottom w:val="nil"/>
            </w:tcBorders>
          </w:tcPr>
          <w:p w14:paraId="328932BD">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①③⑥</w:t>
            </w:r>
          </w:p>
        </w:tc>
      </w:tr>
      <w:tr w14:paraId="59828194">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59DDAE14">
            <w:pPr>
              <w:spacing w:line="400" w:lineRule="exact"/>
              <w:jc w:val="center"/>
              <w:textAlignment w:val="center"/>
              <w:rPr>
                <w:rFonts w:ascii="Times New Roman" w:hAnsi="Times New Roman" w:eastAsia="宋体" w:cs="Times New Roman"/>
                <w:color w:val="auto"/>
                <w:szCs w:val="21"/>
              </w:rPr>
            </w:pPr>
          </w:p>
        </w:tc>
        <w:tc>
          <w:tcPr>
            <w:tcW w:w="1128" w:type="dxa"/>
            <w:vMerge w:val="continue"/>
            <w:tcBorders>
              <w:top w:val="nil"/>
              <w:bottom w:val="nil"/>
            </w:tcBorders>
          </w:tcPr>
          <w:p w14:paraId="286C16D3">
            <w:pPr>
              <w:spacing w:line="400" w:lineRule="exact"/>
              <w:jc w:val="center"/>
              <w:textAlignment w:val="center"/>
              <w:rPr>
                <w:rFonts w:ascii="Times New Roman" w:hAnsi="Times New Roman" w:eastAsia="宋体" w:cs="Times New Roman"/>
                <w:color w:val="auto"/>
                <w:szCs w:val="21"/>
              </w:rPr>
            </w:pPr>
          </w:p>
        </w:tc>
        <w:tc>
          <w:tcPr>
            <w:tcW w:w="768" w:type="dxa"/>
            <w:tcBorders>
              <w:top w:val="nil"/>
              <w:bottom w:val="nil"/>
            </w:tcBorders>
            <w:noWrap/>
          </w:tcPr>
          <w:p w14:paraId="55B4632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CG:9</w:t>
            </w:r>
          </w:p>
        </w:tc>
        <w:tc>
          <w:tcPr>
            <w:tcW w:w="1307" w:type="dxa"/>
            <w:tcBorders>
              <w:top w:val="nil"/>
              <w:bottom w:val="nil"/>
            </w:tcBorders>
            <w:noWrap/>
          </w:tcPr>
          <w:p w14:paraId="044CF2D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62.9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9.9</w:t>
            </w:r>
          </w:p>
        </w:tc>
        <w:tc>
          <w:tcPr>
            <w:tcW w:w="1560" w:type="dxa"/>
            <w:vMerge w:val="continue"/>
            <w:tcBorders>
              <w:bottom w:val="nil"/>
            </w:tcBorders>
            <w:noWrap/>
          </w:tcPr>
          <w:p w14:paraId="170BE404">
            <w:pPr>
              <w:spacing w:line="400" w:lineRule="exact"/>
              <w:jc w:val="center"/>
              <w:rPr>
                <w:rFonts w:ascii="Times New Roman" w:hAnsi="Times New Roman" w:eastAsia="宋体" w:cs="Times New Roman"/>
                <w:color w:val="auto"/>
                <w:szCs w:val="21"/>
                <w:lang w:bidi="ar"/>
              </w:rPr>
            </w:pPr>
          </w:p>
        </w:tc>
        <w:tc>
          <w:tcPr>
            <w:tcW w:w="1152" w:type="dxa"/>
            <w:tcBorders>
              <w:top w:val="nil"/>
              <w:bottom w:val="nil"/>
            </w:tcBorders>
            <w:noWrap/>
          </w:tcPr>
          <w:p w14:paraId="3E3727B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4.1</w:t>
            </w:r>
          </w:p>
        </w:tc>
        <w:tc>
          <w:tcPr>
            <w:tcW w:w="888" w:type="dxa"/>
            <w:tcBorders>
              <w:top w:val="nil"/>
              <w:bottom w:val="nil"/>
            </w:tcBorders>
            <w:noWrap/>
          </w:tcPr>
          <w:p w14:paraId="64FCB05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top w:val="nil"/>
              <w:bottom w:val="nil"/>
            </w:tcBorders>
            <w:noWrap/>
          </w:tcPr>
          <w:p w14:paraId="4D06C1CA">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174552B4">
            <w:pPr>
              <w:spacing w:line="400" w:lineRule="exact"/>
              <w:jc w:val="center"/>
              <w:rPr>
                <w:rFonts w:ascii="Times New Roman" w:hAnsi="Times New Roman" w:eastAsia="微软雅黑" w:cs="Times New Roman"/>
                <w:color w:val="auto"/>
                <w:szCs w:val="21"/>
                <w:lang w:bidi="ar"/>
              </w:rPr>
            </w:pPr>
          </w:p>
        </w:tc>
      </w:tr>
      <w:tr w14:paraId="0EB5A4B4">
        <w:tblPrEx>
          <w:tblCellMar>
            <w:top w:w="0" w:type="dxa"/>
            <w:left w:w="28" w:type="dxa"/>
            <w:bottom w:w="0" w:type="dxa"/>
            <w:right w:w="28" w:type="dxa"/>
          </w:tblCellMar>
        </w:tblPrEx>
        <w:trPr>
          <w:trHeight w:val="283" w:hRule="atLeast"/>
        </w:trPr>
        <w:tc>
          <w:tcPr>
            <w:tcW w:w="1902" w:type="dxa"/>
            <w:vMerge w:val="restart"/>
            <w:tcBorders>
              <w:top w:val="nil"/>
              <w:bottom w:val="nil"/>
            </w:tcBorders>
          </w:tcPr>
          <w:p w14:paraId="7EB201D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Romenets</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{"citationID":"j800fAj2","properties":{"formattedCitation":"\\super 18\\nosupersub{}","plainCitation":"18","noteIndex":0},"citationItems":[{"id":1203,"uris":["http://zotero.org/users/local/9LWqYmzn/items/LR378NQ2"],"itemData":{"id":1203,"type":"article-journal","abstract":"Objective: To determine effects of Argentine tango on motor and non-motor manifestations of Parkinson’s disease. Design: Randomized control trial. Participants: Forty patients with idiopathic Parkinson’s disease. Setting: Movement disorder clinic and dance studio. Intervention: Two randomized groups: group (N = 18) with 24 partnered tango classes, and control self-directed exercise group (N = 15). Main outcomes measures: The primary outcome was overall motor severity. Secondary outcomes included other motor measures, balance, cognition, fatigue, apathy, depression and quality of life.","call-number":"3","container-title":"Complementary Therapies in Medicine","DOI":"10.1016/j.ctim.2015.01.015","ISSN":"09652299","issue":"2","journalAbbreviation":"Complement. Ther. Med.","language":"en","note":"JCR分区: Q1\n中科院分区升级版: 医学3区\n中科院分区基础版: 医学4区\n影响因子: 3.5\n5年影响因子: 3.8","page":"175-184","source":"3.5","title":"Tango for treatment of motor and non-motor manifestations in parkinson's disease: A randomized control study","title-short":"Tango for treatment of motor and non-motor manifestations in Parkinson's disease","volume":"23","author":[{"family":"Rios Romenets","given":"Silvia"},{"family":"Anang","given":"Julius"},{"family":"Fereshtehnejad","given":"Seyed-Mohammad"},{"family":"Pelletier","given":"Amelie"},{"family":"Postuma","given":"Ronald"}],"issued":{"date-parts":[["2015",4]]},"citation-key":"riosromenetsTangoTreatmentMotor2015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18</w:t>
            </w:r>
            <w:r>
              <w:rPr>
                <w:rFonts w:ascii="Times New Roman" w:hAnsi="Times New Roman" w:eastAsia="宋体" w:cs="Times New Roman"/>
                <w:color w:val="auto"/>
                <w:szCs w:val="21"/>
                <w:lang w:bidi="ar"/>
              </w:rPr>
              <w:fldChar w:fldCharType="end"/>
            </w:r>
            <w:r>
              <w:rPr>
                <w:rFonts w:ascii="Times New Roman" w:hAnsi="Times New Roman" w:eastAsia="宋体" w:cs="Times New Roman"/>
                <w:color w:val="auto"/>
                <w:szCs w:val="21"/>
                <w:lang w:bidi="ar"/>
              </w:rPr>
              <w:br w:type="textWrapping"/>
            </w:r>
            <w:r>
              <w:rPr>
                <w:rFonts w:ascii="Times New Roman" w:hAnsi="Times New Roman" w:eastAsia="宋体" w:cs="Times New Roman"/>
                <w:color w:val="auto"/>
                <w:szCs w:val="21"/>
                <w:lang w:bidi="ar"/>
              </w:rPr>
              <w:t>(2015)</w:t>
            </w:r>
          </w:p>
        </w:tc>
        <w:tc>
          <w:tcPr>
            <w:tcW w:w="1128" w:type="dxa"/>
            <w:vMerge w:val="restart"/>
            <w:tcBorders>
              <w:top w:val="nil"/>
              <w:bottom w:val="nil"/>
            </w:tcBorders>
            <w:noWrap/>
          </w:tcPr>
          <w:p w14:paraId="0DFCED8C">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Canada</w:t>
            </w:r>
          </w:p>
        </w:tc>
        <w:tc>
          <w:tcPr>
            <w:tcW w:w="768" w:type="dxa"/>
            <w:tcBorders>
              <w:top w:val="nil"/>
              <w:bottom w:val="nil"/>
            </w:tcBorders>
            <w:noWrap/>
          </w:tcPr>
          <w:p w14:paraId="3B31CAE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IG:18</w:t>
            </w:r>
          </w:p>
        </w:tc>
        <w:tc>
          <w:tcPr>
            <w:tcW w:w="1307" w:type="dxa"/>
            <w:tcBorders>
              <w:top w:val="nil"/>
              <w:bottom w:val="nil"/>
            </w:tcBorders>
            <w:noWrap/>
          </w:tcPr>
          <w:p w14:paraId="0042F9B6">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64.3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8.1</w:t>
            </w:r>
          </w:p>
        </w:tc>
        <w:tc>
          <w:tcPr>
            <w:tcW w:w="1560" w:type="dxa"/>
            <w:vMerge w:val="restart"/>
            <w:tcBorders>
              <w:top w:val="nil"/>
              <w:bottom w:val="nil"/>
            </w:tcBorders>
          </w:tcPr>
          <w:p w14:paraId="2472682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1-3</w:t>
            </w:r>
          </w:p>
        </w:tc>
        <w:tc>
          <w:tcPr>
            <w:tcW w:w="1152" w:type="dxa"/>
            <w:tcBorders>
              <w:top w:val="nil"/>
              <w:bottom w:val="nil"/>
            </w:tcBorders>
            <w:noWrap/>
          </w:tcPr>
          <w:p w14:paraId="54125A03">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7.7</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4.6</w:t>
            </w:r>
          </w:p>
        </w:tc>
        <w:tc>
          <w:tcPr>
            <w:tcW w:w="888" w:type="dxa"/>
            <w:tcBorders>
              <w:top w:val="nil"/>
              <w:bottom w:val="nil"/>
            </w:tcBorders>
            <w:noWrap/>
          </w:tcPr>
          <w:p w14:paraId="5F14160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Dance</w:t>
            </w:r>
          </w:p>
        </w:tc>
        <w:tc>
          <w:tcPr>
            <w:tcW w:w="5772" w:type="dxa"/>
            <w:tcBorders>
              <w:top w:val="nil"/>
              <w:bottom w:val="nil"/>
            </w:tcBorders>
            <w:noWrap/>
          </w:tcPr>
          <w:p w14:paraId="209D1A4D">
            <w:pPr>
              <w:spacing w:line="400" w:lineRule="exact"/>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rPr>
              <w:t>12 weeks, 2 times/week, 60 minutes</w:t>
            </w:r>
          </w:p>
        </w:tc>
        <w:tc>
          <w:tcPr>
            <w:tcW w:w="933" w:type="dxa"/>
            <w:vMerge w:val="restart"/>
            <w:tcBorders>
              <w:top w:val="nil"/>
              <w:bottom w:val="nil"/>
            </w:tcBorders>
          </w:tcPr>
          <w:p w14:paraId="4606D211">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①②④⑥</w:t>
            </w:r>
          </w:p>
        </w:tc>
      </w:tr>
      <w:tr w14:paraId="1A52C88D">
        <w:tblPrEx>
          <w:tblCellMar>
            <w:top w:w="0" w:type="dxa"/>
            <w:left w:w="28" w:type="dxa"/>
            <w:bottom w:w="0" w:type="dxa"/>
            <w:right w:w="28" w:type="dxa"/>
          </w:tblCellMar>
        </w:tblPrEx>
        <w:trPr>
          <w:trHeight w:val="283" w:hRule="atLeast"/>
        </w:trPr>
        <w:tc>
          <w:tcPr>
            <w:tcW w:w="1902" w:type="dxa"/>
            <w:vMerge w:val="continue"/>
            <w:tcBorders>
              <w:top w:val="nil"/>
              <w:bottom w:val="nil"/>
            </w:tcBorders>
          </w:tcPr>
          <w:p w14:paraId="697C4EA7">
            <w:pPr>
              <w:spacing w:line="400" w:lineRule="exact"/>
              <w:jc w:val="center"/>
              <w:rPr>
                <w:rFonts w:ascii="Times New Roman" w:hAnsi="Times New Roman" w:eastAsia="宋体" w:cs="Times New Roman"/>
                <w:color w:val="auto"/>
                <w:szCs w:val="21"/>
              </w:rPr>
            </w:pPr>
          </w:p>
        </w:tc>
        <w:tc>
          <w:tcPr>
            <w:tcW w:w="1128" w:type="dxa"/>
            <w:vMerge w:val="continue"/>
            <w:tcBorders>
              <w:top w:val="nil"/>
              <w:bottom w:val="nil"/>
            </w:tcBorders>
            <w:noWrap/>
          </w:tcPr>
          <w:p w14:paraId="60E23E86">
            <w:pPr>
              <w:spacing w:line="400" w:lineRule="exact"/>
              <w:jc w:val="center"/>
              <w:rPr>
                <w:rFonts w:ascii="Times New Roman" w:hAnsi="Times New Roman" w:eastAsia="宋体" w:cs="Times New Roman"/>
                <w:color w:val="auto"/>
                <w:szCs w:val="21"/>
              </w:rPr>
            </w:pPr>
          </w:p>
        </w:tc>
        <w:tc>
          <w:tcPr>
            <w:tcW w:w="768" w:type="dxa"/>
            <w:tcBorders>
              <w:top w:val="nil"/>
              <w:bottom w:val="nil"/>
            </w:tcBorders>
            <w:noWrap/>
          </w:tcPr>
          <w:p w14:paraId="62857D0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CG:15</w:t>
            </w:r>
          </w:p>
        </w:tc>
        <w:tc>
          <w:tcPr>
            <w:tcW w:w="1307" w:type="dxa"/>
            <w:tcBorders>
              <w:top w:val="nil"/>
              <w:bottom w:val="nil"/>
            </w:tcBorders>
            <w:noWrap/>
          </w:tcPr>
          <w:p w14:paraId="361B953F">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63.2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9.9</w:t>
            </w:r>
          </w:p>
        </w:tc>
        <w:tc>
          <w:tcPr>
            <w:tcW w:w="1560" w:type="dxa"/>
            <w:vMerge w:val="continue"/>
            <w:tcBorders>
              <w:top w:val="nil"/>
              <w:bottom w:val="nil"/>
            </w:tcBorders>
          </w:tcPr>
          <w:p w14:paraId="5B3961D5">
            <w:pPr>
              <w:spacing w:line="400" w:lineRule="exact"/>
              <w:jc w:val="center"/>
              <w:rPr>
                <w:rFonts w:ascii="Times New Roman" w:hAnsi="Times New Roman" w:eastAsia="宋体" w:cs="Times New Roman"/>
                <w:color w:val="auto"/>
                <w:szCs w:val="21"/>
              </w:rPr>
            </w:pPr>
          </w:p>
        </w:tc>
        <w:tc>
          <w:tcPr>
            <w:tcW w:w="1152" w:type="dxa"/>
            <w:tcBorders>
              <w:top w:val="nil"/>
              <w:bottom w:val="nil"/>
            </w:tcBorders>
            <w:noWrap/>
          </w:tcPr>
          <w:p w14:paraId="436B2150">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5.5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4.4</w:t>
            </w:r>
          </w:p>
        </w:tc>
        <w:tc>
          <w:tcPr>
            <w:tcW w:w="888" w:type="dxa"/>
            <w:tcBorders>
              <w:top w:val="nil"/>
              <w:bottom w:val="nil"/>
            </w:tcBorders>
            <w:noWrap/>
          </w:tcPr>
          <w:p w14:paraId="7FE9DA57">
            <w:pPr>
              <w:spacing w:line="400" w:lineRule="exact"/>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szCs w:val="21"/>
                <w:lang w:bidi="ar"/>
              </w:rPr>
              <w:t>CON</w:t>
            </w:r>
          </w:p>
        </w:tc>
        <w:tc>
          <w:tcPr>
            <w:tcW w:w="5772" w:type="dxa"/>
            <w:tcBorders>
              <w:top w:val="nil"/>
              <w:bottom w:val="nil"/>
            </w:tcBorders>
            <w:noWrap/>
          </w:tcPr>
          <w:p w14:paraId="496A4B78">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Borders>
              <w:top w:val="nil"/>
              <w:bottom w:val="nil"/>
            </w:tcBorders>
          </w:tcPr>
          <w:p w14:paraId="0DDE0AD8">
            <w:pPr>
              <w:spacing w:line="400" w:lineRule="exact"/>
              <w:jc w:val="center"/>
              <w:rPr>
                <w:rFonts w:ascii="Times New Roman" w:hAnsi="Times New Roman" w:eastAsia="微软雅黑" w:cs="Times New Roman"/>
                <w:color w:val="auto"/>
                <w:szCs w:val="21"/>
                <w:lang w:bidi="ar"/>
              </w:rPr>
            </w:pPr>
          </w:p>
        </w:tc>
      </w:tr>
      <w:tr w14:paraId="655FB93F">
        <w:tblPrEx>
          <w:tblCellMar>
            <w:top w:w="0" w:type="dxa"/>
            <w:left w:w="28" w:type="dxa"/>
            <w:bottom w:w="0" w:type="dxa"/>
            <w:right w:w="28" w:type="dxa"/>
          </w:tblCellMar>
        </w:tblPrEx>
        <w:trPr>
          <w:trHeight w:val="283" w:hRule="atLeast"/>
        </w:trPr>
        <w:tc>
          <w:tcPr>
            <w:tcW w:w="1902" w:type="dxa"/>
            <w:vMerge w:val="restart"/>
            <w:tcBorders>
              <w:top w:val="nil"/>
            </w:tcBorders>
          </w:tcPr>
          <w:p w14:paraId="74E4990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Ganesan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{"citationID":"FjCH2yGk","properties":{"formattedCitation":"\\super 19\\nosupersub{}","plainCitation":"19","noteIndex":0},"citationItems":[{"id":1205,"uris":["http://zotero.org/users/local/9LWqYmzn/items/8723GBC7"],"itemData":{"id":1205,"type":"article-journal","abstract":"Objective: To investigate the role of conventional gait training and partial weighte supported treadmill gait training (PWSTT) in improving the balance of patients with Parkinson disease (PD). Design: Prospective randomized controlled design. Setting: National-level university tertiary hospital for mental health and neurosciences. Patients: Sixty patients with PD fulﬁlling the United Kingdom Brain Bank PD diagnostic criteria were recruited from the neurology outpatient department and movement disorder clinic.\nMethodology: The patients were randomly assigned into 3 equal groups: (1) a control group that only received a stable dosage of dopaminomimetic drugs; (2) a conventional gait training (CGT) group that received a stable dosage of dopaminomimetic drugs and conventional gait training; and (3) a PWSTT group that received a stable dosage of dopaminomimetic drugs and PWSTT with unloading of 20% of body weight. The sessions for the CGT and PWSTT groups were provided for 30 minutes per day, 4 days per week, for 4 weeks (16 sessions). Outcome measures: The Uniﬁed Parkinson Disease Rating Scale (UPDRS) motor score, dynamic posturography, Berg Balance Scale, and Tinetti performance-oriented mobility assessment (POMA) were used as main outcome measures.\nResults: A signiﬁcant interaction effect was observed in the UPDRS motor score, mediolateral index, Berg Balance Scale, limits of stability (LOS) total score, POMA gait score, and balance score. Post-hoc analysis showed that in comparison with the control group, the PWSTT group had a signiﬁcantly better UPDRS motor score, balance indices, LOS in 8 directions, POMA gait, and balance score. The CGT group had a signiﬁcantly better POMA gait score compared with control subjects. Compared with the CGT group, the PWSTT group had a signiﬁcantly better UPDRS motor score, mediolateral index, POMA gait score, and LOS total score.\nConclusion: PWSTT may be a better interventional choice than CGT for gait and balance rehabilitation in patients with PD.","call-number":"4","container-title":"PM&amp;R","DOI":"10.1016/j.pmrj.2013.08.604","ISSN":"1934-1482, 1934-1563","issue":"1","journalAbbreviation":"PM&amp;R","language":"en","note":"JCR分区: Q1\n中科院分区升级版: 医学4区\n中科院分区基础版: 医学4区\n影响因子: 2.8\n5年影响因子: 2.5","page":"22-33","source":"2.8","title":"Effect of partial weight–supported treadmill gait training on balance in patients with parkinson disease","volume":"6","author":[{"family":"Ganesan","given":"Mohan"},{"family":"Sathyaprabha","given":"Talakad N."},{"family":"Gupta","given":"Anupam"},{"family":"Pal","given":"Pramod Kumar"}],"issued":{"date-parts":[["2014",1]]},"citation-key":"ganesanEffectPartialWeight2014a"}}],"schema":"https://github.com/citation-style-language/schema/raw/master/csl-citation.json"}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19</w:t>
            </w:r>
            <w:r>
              <w:rPr>
                <w:rFonts w:ascii="Times New Roman" w:hAnsi="Times New Roman" w:eastAsia="宋体" w:cs="Times New Roman"/>
                <w:color w:val="auto"/>
                <w:szCs w:val="21"/>
                <w:lang w:bidi="ar"/>
              </w:rPr>
              <w:fldChar w:fldCharType="end"/>
            </w:r>
          </w:p>
          <w:p w14:paraId="00CF3FD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(2014)</w:t>
            </w:r>
          </w:p>
        </w:tc>
        <w:tc>
          <w:tcPr>
            <w:tcW w:w="1128" w:type="dxa"/>
            <w:vMerge w:val="restart"/>
            <w:tcBorders>
              <w:top w:val="nil"/>
            </w:tcBorders>
            <w:noWrap/>
          </w:tcPr>
          <w:p w14:paraId="29CFF71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India</w:t>
            </w:r>
          </w:p>
        </w:tc>
        <w:tc>
          <w:tcPr>
            <w:tcW w:w="768" w:type="dxa"/>
            <w:tcBorders>
              <w:top w:val="nil"/>
              <w:bottom w:val="nil"/>
            </w:tcBorders>
            <w:noWrap/>
          </w:tcPr>
          <w:p w14:paraId="2A46EFB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IG:20</w:t>
            </w:r>
          </w:p>
        </w:tc>
        <w:tc>
          <w:tcPr>
            <w:tcW w:w="1307" w:type="dxa"/>
            <w:tcBorders>
              <w:top w:val="nil"/>
              <w:bottom w:val="nil"/>
            </w:tcBorders>
            <w:noWrap/>
          </w:tcPr>
          <w:p w14:paraId="7E682ED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57.6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9.1</w:t>
            </w:r>
          </w:p>
        </w:tc>
        <w:tc>
          <w:tcPr>
            <w:tcW w:w="1560" w:type="dxa"/>
            <w:vMerge w:val="restart"/>
            <w:tcBorders>
              <w:top w:val="nil"/>
            </w:tcBorders>
          </w:tcPr>
          <w:p w14:paraId="7DD8E18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2-2.5</w:t>
            </w:r>
          </w:p>
        </w:tc>
        <w:tc>
          <w:tcPr>
            <w:tcW w:w="1152" w:type="dxa"/>
            <w:tcBorders>
              <w:top w:val="nil"/>
              <w:bottom w:val="nil"/>
            </w:tcBorders>
            <w:noWrap/>
          </w:tcPr>
          <w:p w14:paraId="044FDE5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5.7</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3.9</w:t>
            </w:r>
          </w:p>
        </w:tc>
        <w:tc>
          <w:tcPr>
            <w:tcW w:w="888" w:type="dxa"/>
            <w:tcBorders>
              <w:top w:val="nil"/>
              <w:bottom w:val="nil"/>
            </w:tcBorders>
            <w:noWrap/>
          </w:tcPr>
          <w:p w14:paraId="0712812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TT</w:t>
            </w:r>
          </w:p>
        </w:tc>
        <w:tc>
          <w:tcPr>
            <w:tcW w:w="5772" w:type="dxa"/>
            <w:tcBorders>
              <w:top w:val="nil"/>
            </w:tcBorders>
            <w:noWrap/>
          </w:tcPr>
          <w:p w14:paraId="6BF1C088">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4 weeks, 4 times/week, 30 minutes</w:t>
            </w:r>
          </w:p>
        </w:tc>
        <w:tc>
          <w:tcPr>
            <w:tcW w:w="933" w:type="dxa"/>
            <w:vMerge w:val="restart"/>
            <w:tcBorders>
              <w:top w:val="nil"/>
            </w:tcBorders>
          </w:tcPr>
          <w:p w14:paraId="34741BEA">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①⑤</w:t>
            </w:r>
          </w:p>
        </w:tc>
      </w:tr>
      <w:tr w14:paraId="0C8CB7CB">
        <w:tblPrEx>
          <w:tblCellMar>
            <w:top w:w="0" w:type="dxa"/>
            <w:left w:w="28" w:type="dxa"/>
            <w:bottom w:w="0" w:type="dxa"/>
            <w:right w:w="28" w:type="dxa"/>
          </w:tblCellMar>
        </w:tblPrEx>
        <w:trPr>
          <w:trHeight w:val="283" w:hRule="atLeast"/>
        </w:trPr>
        <w:tc>
          <w:tcPr>
            <w:tcW w:w="1902" w:type="dxa"/>
            <w:vMerge w:val="continue"/>
          </w:tcPr>
          <w:p w14:paraId="24528C8A">
            <w:pPr>
              <w:spacing w:line="400" w:lineRule="exact"/>
              <w:jc w:val="center"/>
              <w:textAlignment w:val="center"/>
              <w:rPr>
                <w:rFonts w:ascii="Times New Roman" w:hAnsi="Times New Roman" w:eastAsia="宋体" w:cs="Times New Roman"/>
                <w:color w:val="auto"/>
                <w:szCs w:val="21"/>
                <w:lang w:bidi="ar"/>
              </w:rPr>
            </w:pPr>
          </w:p>
        </w:tc>
        <w:tc>
          <w:tcPr>
            <w:tcW w:w="1128" w:type="dxa"/>
            <w:vMerge w:val="continue"/>
            <w:noWrap/>
          </w:tcPr>
          <w:p w14:paraId="0DE65E21">
            <w:pPr>
              <w:spacing w:line="400" w:lineRule="exact"/>
              <w:jc w:val="center"/>
              <w:textAlignment w:val="center"/>
              <w:rPr>
                <w:rFonts w:ascii="Times New Roman" w:hAnsi="Times New Roman" w:eastAsia="宋体" w:cs="Times New Roman"/>
                <w:color w:val="auto"/>
                <w:szCs w:val="21"/>
                <w:lang w:bidi="ar"/>
              </w:rPr>
            </w:pPr>
          </w:p>
        </w:tc>
        <w:tc>
          <w:tcPr>
            <w:tcW w:w="768" w:type="dxa"/>
            <w:tcBorders>
              <w:top w:val="nil"/>
              <w:bottom w:val="nil"/>
            </w:tcBorders>
            <w:noWrap/>
          </w:tcPr>
          <w:p w14:paraId="59B5E33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CG:20</w:t>
            </w:r>
          </w:p>
        </w:tc>
        <w:tc>
          <w:tcPr>
            <w:tcW w:w="1307" w:type="dxa"/>
            <w:tcBorders>
              <w:top w:val="nil"/>
              <w:bottom w:val="nil"/>
            </w:tcBorders>
            <w:noWrap/>
          </w:tcPr>
          <w:p w14:paraId="31DA9CE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59.1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6.8</w:t>
            </w:r>
          </w:p>
        </w:tc>
        <w:tc>
          <w:tcPr>
            <w:tcW w:w="1560" w:type="dxa"/>
            <w:vMerge w:val="continue"/>
            <w:tcBorders>
              <w:bottom w:val="nil"/>
            </w:tcBorders>
          </w:tcPr>
          <w:p w14:paraId="2AC247A6">
            <w:pPr>
              <w:spacing w:line="400" w:lineRule="exact"/>
              <w:jc w:val="center"/>
              <w:textAlignment w:val="center"/>
              <w:rPr>
                <w:rFonts w:ascii="Times New Roman" w:hAnsi="Times New Roman" w:eastAsia="宋体" w:cs="Times New Roman"/>
                <w:color w:val="auto"/>
                <w:szCs w:val="21"/>
                <w:lang w:bidi="ar"/>
              </w:rPr>
            </w:pPr>
          </w:p>
        </w:tc>
        <w:tc>
          <w:tcPr>
            <w:tcW w:w="1152" w:type="dxa"/>
            <w:tcBorders>
              <w:top w:val="nil"/>
              <w:bottom w:val="nil"/>
            </w:tcBorders>
            <w:noWrap/>
          </w:tcPr>
          <w:p w14:paraId="7A437D3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3.4</w:t>
            </w:r>
          </w:p>
        </w:tc>
        <w:tc>
          <w:tcPr>
            <w:tcW w:w="888" w:type="dxa"/>
            <w:tcBorders>
              <w:top w:val="nil"/>
              <w:bottom w:val="nil"/>
            </w:tcBorders>
            <w:noWrap/>
          </w:tcPr>
          <w:p w14:paraId="0A26FBD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14978F84">
            <w:pPr>
              <w:spacing w:line="400" w:lineRule="exact"/>
              <w:jc w:val="left"/>
              <w:textAlignment w:val="center"/>
              <w:rPr>
                <w:rFonts w:ascii="Times New Roman" w:hAnsi="Times New Roman" w:eastAsia="宋体" w:cs="Times New Roman"/>
                <w:color w:val="auto"/>
                <w:szCs w:val="21"/>
                <w:lang w:bidi="ar"/>
              </w:rPr>
            </w:pPr>
            <w:r>
              <w:rPr>
                <w:rFonts w:hint="eastAsia" w:ascii="Times New Roman" w:hAnsi="Times New Roman" w:eastAsia="宋体" w:cs="Times New Roman"/>
                <w:color w:val="auto"/>
                <w:szCs w:val="21"/>
                <w:lang w:bidi="ar"/>
              </w:rPr>
              <w:t>c</w:t>
            </w:r>
            <w:r>
              <w:rPr>
                <w:rFonts w:ascii="Times New Roman" w:hAnsi="Times New Roman" w:eastAsia="宋体" w:cs="Times New Roman"/>
                <w:color w:val="auto"/>
                <w:szCs w:val="21"/>
                <w:lang w:bidi="ar"/>
              </w:rPr>
              <w:t>onventional physiotherapy</w:t>
            </w:r>
          </w:p>
        </w:tc>
        <w:tc>
          <w:tcPr>
            <w:tcW w:w="933" w:type="dxa"/>
            <w:vMerge w:val="continue"/>
          </w:tcPr>
          <w:p w14:paraId="156987D5">
            <w:pPr>
              <w:spacing w:line="400" w:lineRule="exact"/>
              <w:jc w:val="center"/>
              <w:rPr>
                <w:rFonts w:ascii="Times New Roman" w:hAnsi="Times New Roman" w:eastAsia="微软雅黑" w:cs="Times New Roman"/>
                <w:color w:val="auto"/>
                <w:szCs w:val="21"/>
                <w:lang w:bidi="ar"/>
              </w:rPr>
            </w:pPr>
          </w:p>
        </w:tc>
      </w:tr>
      <w:tr w14:paraId="51AF5D62">
        <w:tblPrEx>
          <w:tblCellMar>
            <w:top w:w="0" w:type="dxa"/>
            <w:left w:w="28" w:type="dxa"/>
            <w:bottom w:w="0" w:type="dxa"/>
            <w:right w:w="28" w:type="dxa"/>
          </w:tblCellMar>
        </w:tblPrEx>
        <w:trPr>
          <w:trHeight w:val="283" w:hRule="atLeast"/>
        </w:trPr>
        <w:tc>
          <w:tcPr>
            <w:tcW w:w="1902" w:type="dxa"/>
            <w:vMerge w:val="restart"/>
          </w:tcPr>
          <w:p w14:paraId="0D73B02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Cugusi</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{"citationID":"7sy4PFbj","properties":{"formattedCitation":"\\super 20\\nosupersub{}","plainCitation":"20","noteIndex":0},"citationItems":[{"id":1207,"uris":["http://zotero.org/users/local/9LWqYmzn/items/RR6CJSB7"],"itemData":{"id":1207,"type":"article-journal","abstract":"BACKGROUND: Several studies have clearly shown that physical exercise can reduce the progression of motor symptoms in Parkinson’s Disease (PD). However, little is known about the effects of a Nordic Walking (NW) program in PD patients.\nOBJECTIVE: To determine the effects of a NW program on motor and non-motor symptoms, functional performances and body composition in PD patients.\nMETHODS: Twenty PD patients (16M, 4F, 67.3 ± 7.8 years) were enrolled and randomly assigned to NW group (NWg, n = 10) and Control group (Cg, n = 10). The training consisted in 2 sessions per week for 12 weeks. Training effects were assessed by functional and instrumental tests and motor and non-motor symptoms were assessed by UPDRS-III, Hoehn and Yahr scale, PD Fatigue Scale, Beck Depression Inventory-II, Starkstein Apathy Scale, and Non-Motor Symptoms Scale.\nRESULTS: Signiﬁcant changes in resting HR, in walked distance (p &lt; 0.05), and in lower limbs muscles strength (p &lt; 0.005) were observed in NWg. Both balance abilities and safety with mobility were increased (p &lt; 0.005). Signiﬁcant variations in some circumferences and body composition were registered. Finally, a signiﬁcant improvement in motor and non-motor symptoms was detected: UPDRS-III, HY scale, PFS-16, BDI-II, SAS, NMSS.\nCONCLUSIONS: A tailored exercise program including NW proved to be an effective way to improve daily activities and both motor and non-motor symptoms in PD patients.","container-title":"NeuroRehabilitation: An International, Interdisciplinary Journal","DOI":"10.3233/NRE-151257","ISSN":"1053-8135, 1878-6448","issue":"2","journalAbbreviation":"NeuroRehabilitation: An International, Interdisciplinary Journal","language":"en","note":"TLDR: A tailored exercise program including Nordic Walking proved to be an effective way to improve daily activities and both motor and non-motor symptoms in PD patients.","page":"245-254","source":"DOI.org (Crossref)","title":"Effects of a nordic walking program on motor and non-motor symptoms, functional performance and body composition in patients with parkinson’s disease","volume":"37","author":[{"family":"Cugusi","given":"Lucia"},{"family":"Solla","given":"Paolo"},{"family":"Serpe","given":"Roberto"},{"family":"Carzedda","given":"Tatiana"},{"family":"Piras","given":"Luisa"},{"family":"Oggianu","given":"Marcello"},{"family":"Gabba","given":"Silvia"},{"family":"Di Blasio","given":"Andrea"},{"family":"Bergamin","given":"Marco"},{"family":"Cannas","given":"Antonino"},{"family":"Marrosu","given":"Francesco"},{"family":"Mercuro","given":"Giuseppe"}],"issued":{"date-parts":[["2015",10,15]]},"citation-key":"cugusiEffectsNordicWalking2015"}}],"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20</w:t>
            </w:r>
            <w:r>
              <w:rPr>
                <w:rFonts w:ascii="Times New Roman" w:hAnsi="Times New Roman" w:eastAsia="宋体" w:cs="Times New Roman"/>
                <w:color w:val="auto"/>
                <w:szCs w:val="21"/>
                <w:lang w:bidi="ar"/>
              </w:rPr>
              <w:fldChar w:fldCharType="end"/>
            </w:r>
          </w:p>
          <w:p w14:paraId="2A3A887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(2015)</w:t>
            </w:r>
          </w:p>
        </w:tc>
        <w:tc>
          <w:tcPr>
            <w:tcW w:w="1128" w:type="dxa"/>
            <w:vMerge w:val="restart"/>
            <w:noWrap/>
          </w:tcPr>
          <w:p w14:paraId="2292EA9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Italy</w:t>
            </w:r>
          </w:p>
        </w:tc>
        <w:tc>
          <w:tcPr>
            <w:tcW w:w="768" w:type="dxa"/>
            <w:tcBorders>
              <w:top w:val="nil"/>
              <w:bottom w:val="nil"/>
            </w:tcBorders>
            <w:noWrap/>
          </w:tcPr>
          <w:p w14:paraId="793E921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IG:10</w:t>
            </w:r>
          </w:p>
        </w:tc>
        <w:tc>
          <w:tcPr>
            <w:tcW w:w="1307" w:type="dxa"/>
            <w:tcBorders>
              <w:top w:val="nil"/>
              <w:bottom w:val="nil"/>
            </w:tcBorders>
            <w:noWrap/>
          </w:tcPr>
          <w:p w14:paraId="7078A55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68.1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8.7</w:t>
            </w:r>
          </w:p>
        </w:tc>
        <w:tc>
          <w:tcPr>
            <w:tcW w:w="1560" w:type="dxa"/>
            <w:vMerge w:val="restart"/>
            <w:tcBorders>
              <w:top w:val="nil"/>
            </w:tcBorders>
          </w:tcPr>
          <w:p w14:paraId="5F6C2B5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1-3</w:t>
            </w:r>
          </w:p>
        </w:tc>
        <w:tc>
          <w:tcPr>
            <w:tcW w:w="1152" w:type="dxa"/>
            <w:tcBorders>
              <w:top w:val="nil"/>
              <w:bottom w:val="nil"/>
            </w:tcBorders>
            <w:noWrap/>
          </w:tcPr>
          <w:p w14:paraId="53C8552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2.0</w:t>
            </w:r>
          </w:p>
        </w:tc>
        <w:tc>
          <w:tcPr>
            <w:tcW w:w="888" w:type="dxa"/>
            <w:tcBorders>
              <w:top w:val="nil"/>
              <w:bottom w:val="nil"/>
            </w:tcBorders>
            <w:noWrap/>
          </w:tcPr>
          <w:p w14:paraId="4777356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NW</w:t>
            </w:r>
          </w:p>
        </w:tc>
        <w:tc>
          <w:tcPr>
            <w:tcW w:w="5772" w:type="dxa"/>
            <w:noWrap/>
          </w:tcPr>
          <w:p w14:paraId="434946ED">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60–80% HRR, 12 weeks, 2 times/week, 60 minutes</w:t>
            </w:r>
          </w:p>
        </w:tc>
        <w:tc>
          <w:tcPr>
            <w:tcW w:w="933" w:type="dxa"/>
            <w:vMerge w:val="restart"/>
          </w:tcPr>
          <w:p w14:paraId="6D32D201">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①③④⑤</w:t>
            </w:r>
          </w:p>
        </w:tc>
      </w:tr>
      <w:tr w14:paraId="41534E1A">
        <w:tblPrEx>
          <w:tblCellMar>
            <w:top w:w="0" w:type="dxa"/>
            <w:left w:w="28" w:type="dxa"/>
            <w:bottom w:w="0" w:type="dxa"/>
            <w:right w:w="28" w:type="dxa"/>
          </w:tblCellMar>
        </w:tblPrEx>
        <w:trPr>
          <w:trHeight w:val="283" w:hRule="atLeast"/>
        </w:trPr>
        <w:tc>
          <w:tcPr>
            <w:tcW w:w="1902" w:type="dxa"/>
            <w:vMerge w:val="continue"/>
          </w:tcPr>
          <w:p w14:paraId="4F9E5D88">
            <w:pPr>
              <w:spacing w:line="400" w:lineRule="exact"/>
              <w:jc w:val="center"/>
              <w:textAlignment w:val="center"/>
              <w:rPr>
                <w:rFonts w:ascii="Times New Roman" w:hAnsi="Times New Roman" w:eastAsia="宋体" w:cs="Times New Roman"/>
                <w:color w:val="auto"/>
                <w:szCs w:val="21"/>
                <w:lang w:bidi="ar"/>
              </w:rPr>
            </w:pPr>
          </w:p>
        </w:tc>
        <w:tc>
          <w:tcPr>
            <w:tcW w:w="1128" w:type="dxa"/>
            <w:vMerge w:val="continue"/>
            <w:noWrap/>
          </w:tcPr>
          <w:p w14:paraId="0976F796">
            <w:pPr>
              <w:spacing w:line="400" w:lineRule="exact"/>
              <w:jc w:val="center"/>
              <w:textAlignment w:val="center"/>
              <w:rPr>
                <w:rFonts w:ascii="Times New Roman" w:hAnsi="Times New Roman" w:eastAsia="宋体" w:cs="Times New Roman"/>
                <w:color w:val="auto"/>
                <w:szCs w:val="21"/>
                <w:lang w:bidi="ar"/>
              </w:rPr>
            </w:pPr>
          </w:p>
        </w:tc>
        <w:tc>
          <w:tcPr>
            <w:tcW w:w="768" w:type="dxa"/>
            <w:tcBorders>
              <w:top w:val="nil"/>
              <w:bottom w:val="nil"/>
            </w:tcBorders>
            <w:noWrap/>
          </w:tcPr>
          <w:p w14:paraId="3404EC6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CG:10</w:t>
            </w:r>
          </w:p>
        </w:tc>
        <w:tc>
          <w:tcPr>
            <w:tcW w:w="1307" w:type="dxa"/>
            <w:tcBorders>
              <w:top w:val="nil"/>
              <w:bottom w:val="nil"/>
            </w:tcBorders>
            <w:noWrap/>
          </w:tcPr>
          <w:p w14:paraId="3BEE7DD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66.6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7.3</w:t>
            </w:r>
          </w:p>
        </w:tc>
        <w:tc>
          <w:tcPr>
            <w:tcW w:w="1560" w:type="dxa"/>
            <w:vMerge w:val="continue"/>
            <w:tcBorders>
              <w:bottom w:val="nil"/>
            </w:tcBorders>
          </w:tcPr>
          <w:p w14:paraId="475D9690">
            <w:pPr>
              <w:spacing w:line="400" w:lineRule="exact"/>
              <w:jc w:val="center"/>
              <w:textAlignment w:val="center"/>
              <w:rPr>
                <w:rFonts w:ascii="Times New Roman" w:hAnsi="Times New Roman" w:eastAsia="宋体" w:cs="Times New Roman"/>
                <w:color w:val="auto"/>
                <w:szCs w:val="21"/>
                <w:lang w:bidi="ar"/>
              </w:rPr>
            </w:pPr>
          </w:p>
        </w:tc>
        <w:tc>
          <w:tcPr>
            <w:tcW w:w="1152" w:type="dxa"/>
            <w:tcBorders>
              <w:top w:val="nil"/>
              <w:bottom w:val="nil"/>
            </w:tcBorders>
            <w:noWrap/>
          </w:tcPr>
          <w:p w14:paraId="6C65F1C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7.0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4.0</w:t>
            </w:r>
          </w:p>
        </w:tc>
        <w:tc>
          <w:tcPr>
            <w:tcW w:w="888" w:type="dxa"/>
            <w:tcBorders>
              <w:top w:val="nil"/>
              <w:bottom w:val="nil"/>
            </w:tcBorders>
            <w:noWrap/>
          </w:tcPr>
          <w:p w14:paraId="1DF8FC2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73EDC85E">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usual care and usual daily activities</w:t>
            </w:r>
          </w:p>
        </w:tc>
        <w:tc>
          <w:tcPr>
            <w:tcW w:w="933" w:type="dxa"/>
            <w:vMerge w:val="continue"/>
          </w:tcPr>
          <w:p w14:paraId="042CAF72">
            <w:pPr>
              <w:spacing w:line="400" w:lineRule="exact"/>
              <w:jc w:val="center"/>
              <w:rPr>
                <w:rFonts w:ascii="Times New Roman" w:hAnsi="Times New Roman" w:eastAsia="微软雅黑" w:cs="Times New Roman"/>
                <w:color w:val="auto"/>
                <w:szCs w:val="21"/>
                <w:lang w:bidi="ar"/>
              </w:rPr>
            </w:pPr>
          </w:p>
        </w:tc>
      </w:tr>
      <w:tr w14:paraId="5628BEF7">
        <w:tblPrEx>
          <w:tblCellMar>
            <w:top w:w="0" w:type="dxa"/>
            <w:left w:w="28" w:type="dxa"/>
            <w:bottom w:w="0" w:type="dxa"/>
            <w:right w:w="28" w:type="dxa"/>
          </w:tblCellMar>
        </w:tblPrEx>
        <w:trPr>
          <w:trHeight w:val="283" w:hRule="atLeast"/>
        </w:trPr>
        <w:tc>
          <w:tcPr>
            <w:tcW w:w="1902" w:type="dxa"/>
            <w:vMerge w:val="restart"/>
          </w:tcPr>
          <w:p w14:paraId="33E8234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Altmann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{"citationID":"BagyTx2u","properties":{"formattedCitation":"\\super 21\\nosupersub{}","plainCitation":"21","noteIndex":0},"citationItems":[{"id":1209,"uris":["http://zotero.org/users/local/9LWqYmzn/items/2U6IGDMN"],"itemData":{"id":1209,"type":"article-journal","abstract":"Abstract\n            \n              Objectives:\n              Parkinson’s disease (PD) results in a range of non-motor deficits that can affect mood, cognition, and language, and many of these issues are unresponsive to pharmacological intervention. Aerobic exercise can improve mood and cognition in healthy older adults, although only a few studies have examined exercise effects on these domains in PD. The current study assesses the effects of aerobic exercise on aspects of cognition, mood, and language production in people with PD.\n              Methods:\n              This study compares the effects of aerobic exercise to stretch-balance training and a no-contact control group in participants with idiopathic PD. The aerobic and stretch-balance groups trained three times a week for 16 weeks, while controls continued normal activities. Outcome measures included disease severity, mood, cognition (speed of processing, memory, and executive function), and language production (picture descriptions). Cognition and language were assessed in single and dual task conditions.\n              Results:\n              Depressive symptoms increased only in the control group (\n              p\n              &lt;.02). Executive function improved in the aerobic exercise group only in the single task (\n              p\n              =.007) and declined in controls in the dual task. Completeness of picture descriptions improved significantly more in the aerobic group than in the stretch-balance group (\n              p\n              &lt;.02).\n              Conclusions:\n              Aerobic exercise is a viable intervention for PD that can be protective against increased depressive symptoms, and can improve several non-motor domains, including executive dysfunction and related aspects of language production. (\n              JINS\n              , 2016,\n              22\n              , 878–889)","call-number":"3","container-title":"Journal of the International Neuropsychological Society","DOI":"10.1017/S135561771600076X","ISSN":"1355-6177, 1469-7661","issue":"9","journalAbbreviation":"J. Int. Neuropsychol. Soc.","language":"en","license":"https://www.cambridge.org/core/terms","note":"JCR分区: Q2\n中科院分区升级版: 心理学3区\n中科院分区基础版: 医学3区\n影响因子: 2.6\n5年影响因子: 2.7\nTLDR: Aerobic exercise is a viable intervention for PD that can be protective against increased depressive symptoms, and can improve several non-motor domains, including executive dysfunction and related aspects of language production.","page":"878-889","source":"2.6","title":"Aerobic exercise improves mood, cognition, and language function in parkinson’s disease: Results of a controlled study","title-short":"Aerobic Exercise Improves Mood, Cognition, and Language Function in Parkinson’s Disease","volume":"22","author":[{"family":"Altmann","given":"Lori J.P."},{"family":"Stegemöller","given":"Elizabeth"},{"family":"Hazamy","given":"Audrey A."},{"family":"Wilson","given":"Jonathan P."},{"family":"Bowers","given":"Dawn"},{"family":"Okun","given":"Michael S."},{"family":"Hass","given":"Chris J."}],"issued":{"date-parts":[["2016",10]]},"citation-key":"altmannAerobicExerciseImproves2016"}}],"schema":"https://github.com/citation-style-language/schema/raw/master/csl-citation.json"}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21</w:t>
            </w:r>
            <w:r>
              <w:rPr>
                <w:rFonts w:ascii="Times New Roman" w:hAnsi="Times New Roman" w:eastAsia="宋体" w:cs="Times New Roman"/>
                <w:color w:val="auto"/>
                <w:szCs w:val="21"/>
                <w:lang w:bidi="ar"/>
              </w:rPr>
              <w:fldChar w:fldCharType="end"/>
            </w:r>
          </w:p>
          <w:p w14:paraId="6B9EEB0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(2016)</w:t>
            </w:r>
          </w:p>
        </w:tc>
        <w:tc>
          <w:tcPr>
            <w:tcW w:w="1128" w:type="dxa"/>
            <w:vMerge w:val="restart"/>
            <w:noWrap/>
          </w:tcPr>
          <w:p w14:paraId="4AAA81B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America</w:t>
            </w:r>
          </w:p>
        </w:tc>
        <w:tc>
          <w:tcPr>
            <w:tcW w:w="768" w:type="dxa"/>
            <w:tcBorders>
              <w:top w:val="nil"/>
              <w:bottom w:val="nil"/>
            </w:tcBorders>
            <w:noWrap/>
          </w:tcPr>
          <w:p w14:paraId="0A4043F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IG:11</w:t>
            </w:r>
          </w:p>
        </w:tc>
        <w:tc>
          <w:tcPr>
            <w:tcW w:w="1307" w:type="dxa"/>
            <w:tcBorders>
              <w:top w:val="nil"/>
              <w:bottom w:val="nil"/>
            </w:tcBorders>
            <w:noWrap/>
          </w:tcPr>
          <w:p w14:paraId="5E7B604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62.8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8.6</w:t>
            </w:r>
          </w:p>
        </w:tc>
        <w:tc>
          <w:tcPr>
            <w:tcW w:w="1560" w:type="dxa"/>
            <w:vMerge w:val="restart"/>
            <w:tcBorders>
              <w:top w:val="nil"/>
            </w:tcBorders>
          </w:tcPr>
          <w:p w14:paraId="3E2A251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1-3</w:t>
            </w:r>
          </w:p>
        </w:tc>
        <w:tc>
          <w:tcPr>
            <w:tcW w:w="1152" w:type="dxa"/>
            <w:vMerge w:val="restart"/>
            <w:tcBorders>
              <w:top w:val="nil"/>
              <w:bottom w:val="nil"/>
            </w:tcBorders>
            <w:noWrap/>
          </w:tcPr>
          <w:p w14:paraId="71DDC94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NR</w:t>
            </w:r>
          </w:p>
        </w:tc>
        <w:tc>
          <w:tcPr>
            <w:tcW w:w="888" w:type="dxa"/>
            <w:tcBorders>
              <w:top w:val="nil"/>
              <w:bottom w:val="nil"/>
            </w:tcBorders>
            <w:noWrap/>
          </w:tcPr>
          <w:p w14:paraId="647EC40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TT</w:t>
            </w:r>
          </w:p>
        </w:tc>
        <w:tc>
          <w:tcPr>
            <w:tcW w:w="5772" w:type="dxa"/>
            <w:noWrap/>
          </w:tcPr>
          <w:p w14:paraId="6E329B9A">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50–75% HRR, 16 weeks, 3 times/week, 20–45 minutes</w:t>
            </w:r>
          </w:p>
        </w:tc>
        <w:tc>
          <w:tcPr>
            <w:tcW w:w="933" w:type="dxa"/>
            <w:vMerge w:val="restart"/>
          </w:tcPr>
          <w:p w14:paraId="26884E18">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w:t>
            </w:r>
          </w:p>
        </w:tc>
      </w:tr>
      <w:tr w14:paraId="6FA11707">
        <w:tblPrEx>
          <w:tblCellMar>
            <w:top w:w="0" w:type="dxa"/>
            <w:left w:w="28" w:type="dxa"/>
            <w:bottom w:w="0" w:type="dxa"/>
            <w:right w:w="28" w:type="dxa"/>
          </w:tblCellMar>
        </w:tblPrEx>
        <w:trPr>
          <w:trHeight w:val="283" w:hRule="atLeast"/>
        </w:trPr>
        <w:tc>
          <w:tcPr>
            <w:tcW w:w="1902" w:type="dxa"/>
            <w:vMerge w:val="continue"/>
          </w:tcPr>
          <w:p w14:paraId="7432F82C">
            <w:pPr>
              <w:spacing w:line="400" w:lineRule="exact"/>
              <w:jc w:val="center"/>
              <w:textAlignment w:val="center"/>
              <w:rPr>
                <w:rFonts w:ascii="Times New Roman" w:hAnsi="Times New Roman" w:eastAsia="宋体" w:cs="Times New Roman"/>
                <w:color w:val="auto"/>
                <w:szCs w:val="21"/>
                <w:lang w:bidi="ar"/>
              </w:rPr>
            </w:pPr>
          </w:p>
        </w:tc>
        <w:tc>
          <w:tcPr>
            <w:tcW w:w="1128" w:type="dxa"/>
            <w:vMerge w:val="continue"/>
            <w:noWrap/>
          </w:tcPr>
          <w:p w14:paraId="6267A625">
            <w:pPr>
              <w:spacing w:line="400" w:lineRule="exact"/>
              <w:jc w:val="center"/>
              <w:textAlignment w:val="center"/>
              <w:rPr>
                <w:rFonts w:ascii="Times New Roman" w:hAnsi="Times New Roman" w:eastAsia="宋体" w:cs="Times New Roman"/>
                <w:color w:val="auto"/>
                <w:szCs w:val="21"/>
                <w:lang w:bidi="ar"/>
              </w:rPr>
            </w:pPr>
          </w:p>
        </w:tc>
        <w:tc>
          <w:tcPr>
            <w:tcW w:w="768" w:type="dxa"/>
            <w:tcBorders>
              <w:top w:val="nil"/>
              <w:bottom w:val="nil"/>
            </w:tcBorders>
            <w:noWrap/>
          </w:tcPr>
          <w:p w14:paraId="3D5DC48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CG:10</w:t>
            </w:r>
          </w:p>
        </w:tc>
        <w:tc>
          <w:tcPr>
            <w:tcW w:w="1307" w:type="dxa"/>
            <w:tcBorders>
              <w:top w:val="nil"/>
              <w:bottom w:val="nil"/>
            </w:tcBorders>
            <w:noWrap/>
          </w:tcPr>
          <w:p w14:paraId="5148C51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9.8</w:t>
            </w:r>
          </w:p>
        </w:tc>
        <w:tc>
          <w:tcPr>
            <w:tcW w:w="1560" w:type="dxa"/>
            <w:vMerge w:val="continue"/>
            <w:tcBorders>
              <w:bottom w:val="nil"/>
            </w:tcBorders>
          </w:tcPr>
          <w:p w14:paraId="6FBD9B41">
            <w:pPr>
              <w:spacing w:line="400" w:lineRule="exact"/>
              <w:jc w:val="center"/>
              <w:textAlignment w:val="center"/>
              <w:rPr>
                <w:rFonts w:ascii="Times New Roman" w:hAnsi="Times New Roman" w:eastAsia="宋体" w:cs="Times New Roman"/>
                <w:color w:val="auto"/>
                <w:szCs w:val="21"/>
                <w:lang w:bidi="ar"/>
              </w:rPr>
            </w:pPr>
          </w:p>
        </w:tc>
        <w:tc>
          <w:tcPr>
            <w:tcW w:w="1152" w:type="dxa"/>
            <w:vMerge w:val="continue"/>
            <w:tcBorders>
              <w:top w:val="nil"/>
              <w:bottom w:val="nil"/>
            </w:tcBorders>
            <w:noWrap/>
          </w:tcPr>
          <w:p w14:paraId="57FA0AA4">
            <w:pPr>
              <w:spacing w:line="400" w:lineRule="exact"/>
              <w:jc w:val="center"/>
              <w:textAlignment w:val="center"/>
              <w:rPr>
                <w:rFonts w:ascii="Times New Roman" w:hAnsi="Times New Roman" w:eastAsia="宋体" w:cs="Times New Roman"/>
                <w:color w:val="auto"/>
                <w:szCs w:val="21"/>
                <w:lang w:bidi="ar"/>
              </w:rPr>
            </w:pPr>
          </w:p>
        </w:tc>
        <w:tc>
          <w:tcPr>
            <w:tcW w:w="888" w:type="dxa"/>
            <w:tcBorders>
              <w:top w:val="nil"/>
              <w:bottom w:val="nil"/>
            </w:tcBorders>
            <w:noWrap/>
          </w:tcPr>
          <w:p w14:paraId="2E77238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2B99AAE3">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usual care and usual daily activities</w:t>
            </w:r>
          </w:p>
        </w:tc>
        <w:tc>
          <w:tcPr>
            <w:tcW w:w="933" w:type="dxa"/>
            <w:vMerge w:val="continue"/>
          </w:tcPr>
          <w:p w14:paraId="413D8195">
            <w:pPr>
              <w:spacing w:line="400" w:lineRule="exact"/>
              <w:jc w:val="center"/>
              <w:rPr>
                <w:rFonts w:ascii="Times New Roman" w:hAnsi="Times New Roman" w:eastAsia="微软雅黑" w:cs="Times New Roman"/>
                <w:color w:val="auto"/>
                <w:szCs w:val="21"/>
                <w:lang w:bidi="ar"/>
              </w:rPr>
            </w:pPr>
          </w:p>
        </w:tc>
      </w:tr>
      <w:tr w14:paraId="0727591F">
        <w:tblPrEx>
          <w:tblCellMar>
            <w:top w:w="0" w:type="dxa"/>
            <w:left w:w="28" w:type="dxa"/>
            <w:bottom w:w="0" w:type="dxa"/>
            <w:right w:w="28" w:type="dxa"/>
          </w:tblCellMar>
        </w:tblPrEx>
        <w:trPr>
          <w:trHeight w:val="283" w:hRule="atLeast"/>
        </w:trPr>
        <w:tc>
          <w:tcPr>
            <w:tcW w:w="1902" w:type="dxa"/>
            <w:vMerge w:val="restart"/>
          </w:tcPr>
          <w:p w14:paraId="11FD68F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Hackney</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{"citationID":"LWtQP85z","properties":{"formattedCitation":"\\super 22\\nosupersub{}","plainCitation":"22","noteIndex":0},"citationItems":[{"id":1211,"uris":["http://zotero.org/users/local/9LWqYmzn/items/PVQVSD62"],"itemData":{"id":1211,"type":"article-journal","abstract":"Objective: The basal ganglia may be selectively activated during rhythmic, metered movement such as tango dancing, which may improve motor control in individuals with Parkinson’s disease. Other partner dances may be more suitable and preferable for those with Parkinson’s disease. The purpose of this study was to compare the effects of tango, waltz/ foxtrot and no intervention on functional motor control in individuals with Parkinson’s disease. Design: This study employed a randomized, between-subject, prospective, repeated measures design. Subjects/patients: Fifty-eight people with mild-moderate Parkinson’s disease participated.\nMethods: Participants were randomly assigned to tango, waltz/foxtrot or no intervention (control) groups. Those in the dance groups attended 1-h classes twice a week, completing 20 lessons in 13 weeks. Balance, functional mobility, forward and backward walking were evaluated before and after the intervention.\nResults: Both dance groups improved more than the control group, which did not improve. The tango and waltz/foxtrot groups improved significantly on the Berg Balance Scale, 6-minute walk distance, and backward stride length. The tango group improved as much or more than those in the waltz/foxtrot group on several measures.\nConclusion: Tango may target deficits associated with Parkinson’s disease more than waltz/foxtrot, but both dances may benefit balance and locomotion.","call-number":"4","container-title":"Journal of Rehabilitation Medicine","DOI":"10.2340/16501977-0362","ISSN":"1650-1977","issue":"6","journalAbbreviation":"J. Rehabil. Med.","language":"en","note":"JCR分区: Q1\n中科院分区升级版: 医学4区\n中科院分区基础版: 医学4区\n影响因子: 2.3\n5年影响因子: 3.1\nTLDR: Tango may target deficits associated with Parkinson's disease more than waltz/foxtrot, but both dances may benefit balance and locomotion.","page":"475-481","source":"2.3","title":"Effects of dance on movement control in parkinson’s disease: A comparison of argentine tango and American ballroom","title-short":"Effects of dance on movement control in Parkinson’s disease","volume":"41","author":[{"family":"Hackney","given":"Me"},{"family":"Earhart","given":"Gm"}],"issued":{"date-parts":[["2009"]]},"citation-key":"hackneyEffectsDanceMovement2009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22</w:t>
            </w:r>
            <w:r>
              <w:rPr>
                <w:rFonts w:ascii="Times New Roman" w:hAnsi="Times New Roman" w:eastAsia="宋体" w:cs="Times New Roman"/>
                <w:color w:val="auto"/>
                <w:szCs w:val="21"/>
                <w:lang w:bidi="ar"/>
              </w:rPr>
              <w:fldChar w:fldCharType="end"/>
            </w:r>
          </w:p>
          <w:p w14:paraId="41AFDA1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(2009)</w:t>
            </w:r>
          </w:p>
        </w:tc>
        <w:tc>
          <w:tcPr>
            <w:tcW w:w="1128" w:type="dxa"/>
            <w:vMerge w:val="restart"/>
            <w:noWrap/>
          </w:tcPr>
          <w:p w14:paraId="124D82F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America</w:t>
            </w:r>
          </w:p>
        </w:tc>
        <w:tc>
          <w:tcPr>
            <w:tcW w:w="768" w:type="dxa"/>
            <w:tcBorders>
              <w:top w:val="nil"/>
              <w:bottom w:val="nil"/>
            </w:tcBorders>
            <w:noWrap/>
          </w:tcPr>
          <w:p w14:paraId="42A5E77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IG:31</w:t>
            </w:r>
          </w:p>
        </w:tc>
        <w:tc>
          <w:tcPr>
            <w:tcW w:w="1307" w:type="dxa"/>
            <w:tcBorders>
              <w:top w:val="nil"/>
              <w:bottom w:val="nil"/>
            </w:tcBorders>
            <w:noWrap/>
          </w:tcPr>
          <w:p w14:paraId="71ADA0B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8.1</w:t>
            </w:r>
          </w:p>
        </w:tc>
        <w:tc>
          <w:tcPr>
            <w:tcW w:w="1560" w:type="dxa"/>
            <w:tcBorders>
              <w:top w:val="nil"/>
              <w:bottom w:val="nil"/>
            </w:tcBorders>
          </w:tcPr>
          <w:p w14:paraId="2CFC4AB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 2.0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0.7</w:t>
            </w:r>
          </w:p>
        </w:tc>
        <w:tc>
          <w:tcPr>
            <w:tcW w:w="1152" w:type="dxa"/>
            <w:tcBorders>
              <w:top w:val="nil"/>
              <w:bottom w:val="nil"/>
            </w:tcBorders>
            <w:noWrap/>
          </w:tcPr>
          <w:p w14:paraId="65CA9F5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8.2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5.7</w:t>
            </w:r>
          </w:p>
        </w:tc>
        <w:tc>
          <w:tcPr>
            <w:tcW w:w="888" w:type="dxa"/>
            <w:tcBorders>
              <w:top w:val="nil"/>
              <w:bottom w:val="nil"/>
            </w:tcBorders>
            <w:noWrap/>
          </w:tcPr>
          <w:p w14:paraId="29500FD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Dance</w:t>
            </w:r>
          </w:p>
        </w:tc>
        <w:tc>
          <w:tcPr>
            <w:tcW w:w="5772" w:type="dxa"/>
            <w:noWrap/>
          </w:tcPr>
          <w:p w14:paraId="7F7D9F1F">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13 weeks, 2 times/week, 60 minutes</w:t>
            </w:r>
          </w:p>
        </w:tc>
        <w:tc>
          <w:tcPr>
            <w:tcW w:w="933" w:type="dxa"/>
            <w:vMerge w:val="restart"/>
          </w:tcPr>
          <w:p w14:paraId="114E628C">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①③④⑤</w:t>
            </w:r>
          </w:p>
        </w:tc>
      </w:tr>
      <w:tr w14:paraId="4F6779A3">
        <w:tblPrEx>
          <w:tblCellMar>
            <w:top w:w="0" w:type="dxa"/>
            <w:left w:w="28" w:type="dxa"/>
            <w:bottom w:w="0" w:type="dxa"/>
            <w:right w:w="28" w:type="dxa"/>
          </w:tblCellMar>
        </w:tblPrEx>
        <w:trPr>
          <w:trHeight w:val="283" w:hRule="atLeast"/>
        </w:trPr>
        <w:tc>
          <w:tcPr>
            <w:tcW w:w="1902" w:type="dxa"/>
            <w:vMerge w:val="continue"/>
          </w:tcPr>
          <w:p w14:paraId="0B92BFF3">
            <w:pPr>
              <w:spacing w:line="400" w:lineRule="exact"/>
              <w:jc w:val="center"/>
              <w:rPr>
                <w:rFonts w:ascii="Times New Roman" w:hAnsi="Times New Roman" w:eastAsia="宋体" w:cs="Times New Roman"/>
                <w:color w:val="auto"/>
                <w:szCs w:val="21"/>
                <w:lang w:bidi="ar"/>
              </w:rPr>
            </w:pPr>
          </w:p>
        </w:tc>
        <w:tc>
          <w:tcPr>
            <w:tcW w:w="1128" w:type="dxa"/>
            <w:vMerge w:val="continue"/>
            <w:noWrap/>
          </w:tcPr>
          <w:p w14:paraId="17DA7DE9">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noWrap/>
          </w:tcPr>
          <w:p w14:paraId="341D02B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CG:17</w:t>
            </w:r>
          </w:p>
        </w:tc>
        <w:tc>
          <w:tcPr>
            <w:tcW w:w="1307" w:type="dxa"/>
            <w:tcBorders>
              <w:top w:val="nil"/>
              <w:bottom w:val="nil"/>
            </w:tcBorders>
            <w:noWrap/>
          </w:tcPr>
          <w:p w14:paraId="57FD699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66.5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11.5</w:t>
            </w:r>
          </w:p>
        </w:tc>
        <w:tc>
          <w:tcPr>
            <w:tcW w:w="1560" w:type="dxa"/>
            <w:tcBorders>
              <w:top w:val="nil"/>
              <w:bottom w:val="nil"/>
            </w:tcBorders>
          </w:tcPr>
          <w:p w14:paraId="2FC79FA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 2.2</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0.8</w:t>
            </w:r>
          </w:p>
        </w:tc>
        <w:tc>
          <w:tcPr>
            <w:tcW w:w="1152" w:type="dxa"/>
            <w:tcBorders>
              <w:top w:val="nil"/>
              <w:bottom w:val="nil"/>
            </w:tcBorders>
            <w:noWrap/>
          </w:tcPr>
          <w:p w14:paraId="18451B3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4.1</w:t>
            </w:r>
          </w:p>
        </w:tc>
        <w:tc>
          <w:tcPr>
            <w:tcW w:w="888" w:type="dxa"/>
            <w:tcBorders>
              <w:top w:val="nil"/>
              <w:bottom w:val="nil"/>
            </w:tcBorders>
            <w:noWrap/>
          </w:tcPr>
          <w:p w14:paraId="2E32F53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73F6E539">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Pr>
          <w:p w14:paraId="61C4A129">
            <w:pPr>
              <w:spacing w:line="400" w:lineRule="exact"/>
              <w:jc w:val="center"/>
              <w:rPr>
                <w:rFonts w:ascii="Times New Roman" w:hAnsi="Times New Roman" w:eastAsia="微软雅黑" w:cs="Times New Roman"/>
                <w:color w:val="auto"/>
                <w:szCs w:val="21"/>
                <w:lang w:bidi="ar"/>
              </w:rPr>
            </w:pPr>
          </w:p>
        </w:tc>
      </w:tr>
      <w:tr w14:paraId="1241740F">
        <w:tblPrEx>
          <w:tblCellMar>
            <w:top w:w="0" w:type="dxa"/>
            <w:left w:w="28" w:type="dxa"/>
            <w:bottom w:w="0" w:type="dxa"/>
            <w:right w:w="28" w:type="dxa"/>
          </w:tblCellMar>
        </w:tblPrEx>
        <w:trPr>
          <w:trHeight w:val="283" w:hRule="atLeast"/>
        </w:trPr>
        <w:tc>
          <w:tcPr>
            <w:tcW w:w="1902" w:type="dxa"/>
            <w:vMerge w:val="restart"/>
          </w:tcPr>
          <w:p w14:paraId="4FB2309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Lee</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{"citationID":"sx20TavS","properties":{"formattedCitation":"\\super 23\\nosupersub{}","plainCitation":"23","noteIndex":0},"citationItems":[{"id":1213,"uris":["http://zotero.org/users/local/9LWqYmzn/items/W7AH49GS"],"itemData":{"id":1213,"type":"article-journal","container-title":"EXPLORE","DOI":"10.1016/j.explore.2017.11.002","ISSN":"15508307","issue":"3","journalAbbreviation":"EXPLORE","language":"en","note":"TLDR: Findings suggest that Turo PD training might improve the symptoms of PD patients.","page":"216-223","source":"DOI.org (Crossref)","title":"Turo (qi dance) program for parkinson’s disease patients: Randomized, assessor blind, waiting-list control, partial crossover study","title-short":"Turo (Qi Dance) Program for Parkinson’s Disease Patients","volume":"14","author":[{"family":"Lee","given":"Hwa-Jin"},{"family":"Kim","given":"Song-Yi"},{"family":"Chae","given":"Younbyoung"},{"family":"Kim","given":"Mi-Young"},{"family":"Yin","given":"Changshik"},{"family":"Jung","given":"Woo-Sang"},{"family":"Cho","given":"Ki-Ho"},{"family":"Kim","given":"Seung-Nam"},{"family":"Park","given":"Hi-Joon"},{"family":"Lee","given":"Hyejung"}],"issued":{"date-parts":[["2018",5]]},"citation-key":"leeTuroQiDance2018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23</w:t>
            </w:r>
            <w:r>
              <w:rPr>
                <w:rFonts w:ascii="Times New Roman" w:hAnsi="Times New Roman" w:eastAsia="宋体" w:cs="Times New Roman"/>
                <w:color w:val="auto"/>
                <w:szCs w:val="21"/>
                <w:lang w:bidi="ar"/>
              </w:rPr>
              <w:fldChar w:fldCharType="end"/>
            </w:r>
          </w:p>
          <w:p w14:paraId="01FEEA8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(2017)</w:t>
            </w:r>
          </w:p>
        </w:tc>
        <w:tc>
          <w:tcPr>
            <w:tcW w:w="1128" w:type="dxa"/>
            <w:vMerge w:val="restart"/>
            <w:noWrap/>
          </w:tcPr>
          <w:p w14:paraId="2B78C09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Korea</w:t>
            </w:r>
          </w:p>
        </w:tc>
        <w:tc>
          <w:tcPr>
            <w:tcW w:w="768" w:type="dxa"/>
            <w:tcBorders>
              <w:top w:val="nil"/>
              <w:bottom w:val="nil"/>
            </w:tcBorders>
            <w:noWrap/>
          </w:tcPr>
          <w:p w14:paraId="528168D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IG:25</w:t>
            </w:r>
          </w:p>
        </w:tc>
        <w:tc>
          <w:tcPr>
            <w:tcW w:w="1307" w:type="dxa"/>
            <w:tcBorders>
              <w:top w:val="nil"/>
              <w:bottom w:val="nil"/>
            </w:tcBorders>
            <w:noWrap/>
          </w:tcPr>
          <w:p w14:paraId="49A057A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65.8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7.2</w:t>
            </w:r>
          </w:p>
        </w:tc>
        <w:tc>
          <w:tcPr>
            <w:tcW w:w="1560" w:type="dxa"/>
            <w:vMerge w:val="restart"/>
            <w:tcBorders>
              <w:top w:val="nil"/>
            </w:tcBorders>
          </w:tcPr>
          <w:p w14:paraId="2750519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1-3</w:t>
            </w:r>
          </w:p>
        </w:tc>
        <w:tc>
          <w:tcPr>
            <w:tcW w:w="1152" w:type="dxa"/>
            <w:tcBorders>
              <w:top w:val="nil"/>
              <w:bottom w:val="nil"/>
            </w:tcBorders>
            <w:noWrap/>
          </w:tcPr>
          <w:p w14:paraId="4F566A6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4.5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3.3</w:t>
            </w:r>
          </w:p>
        </w:tc>
        <w:tc>
          <w:tcPr>
            <w:tcW w:w="888" w:type="dxa"/>
            <w:tcBorders>
              <w:top w:val="nil"/>
              <w:bottom w:val="nil"/>
            </w:tcBorders>
            <w:noWrap/>
          </w:tcPr>
          <w:p w14:paraId="413D419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Dance</w:t>
            </w:r>
          </w:p>
        </w:tc>
        <w:tc>
          <w:tcPr>
            <w:tcW w:w="5772" w:type="dxa"/>
            <w:noWrap/>
          </w:tcPr>
          <w:p w14:paraId="66094871">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8 weeks, 2 times/week, 60 minutes</w:t>
            </w:r>
          </w:p>
        </w:tc>
        <w:tc>
          <w:tcPr>
            <w:tcW w:w="933" w:type="dxa"/>
            <w:vMerge w:val="restart"/>
          </w:tcPr>
          <w:p w14:paraId="0D2CFF0E">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①⑤</w:t>
            </w:r>
          </w:p>
        </w:tc>
      </w:tr>
      <w:tr w14:paraId="1EF851A8">
        <w:tblPrEx>
          <w:tblCellMar>
            <w:top w:w="0" w:type="dxa"/>
            <w:left w:w="28" w:type="dxa"/>
            <w:bottom w:w="0" w:type="dxa"/>
            <w:right w:w="28" w:type="dxa"/>
          </w:tblCellMar>
        </w:tblPrEx>
        <w:trPr>
          <w:trHeight w:val="283" w:hRule="atLeast"/>
        </w:trPr>
        <w:tc>
          <w:tcPr>
            <w:tcW w:w="1902" w:type="dxa"/>
            <w:vMerge w:val="continue"/>
          </w:tcPr>
          <w:p w14:paraId="740E3139">
            <w:pPr>
              <w:spacing w:line="400" w:lineRule="exact"/>
              <w:jc w:val="center"/>
              <w:rPr>
                <w:rFonts w:ascii="Times New Roman" w:hAnsi="Times New Roman" w:eastAsia="宋体" w:cs="Times New Roman"/>
                <w:color w:val="auto"/>
                <w:szCs w:val="21"/>
                <w:lang w:bidi="ar"/>
              </w:rPr>
            </w:pPr>
          </w:p>
        </w:tc>
        <w:tc>
          <w:tcPr>
            <w:tcW w:w="1128" w:type="dxa"/>
            <w:vMerge w:val="continue"/>
            <w:noWrap/>
          </w:tcPr>
          <w:p w14:paraId="5F834660">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noWrap/>
          </w:tcPr>
          <w:p w14:paraId="4A2FB5A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CG:16</w:t>
            </w:r>
          </w:p>
        </w:tc>
        <w:tc>
          <w:tcPr>
            <w:tcW w:w="1307" w:type="dxa"/>
            <w:tcBorders>
              <w:top w:val="nil"/>
              <w:bottom w:val="nil"/>
            </w:tcBorders>
            <w:noWrap/>
          </w:tcPr>
          <w:p w14:paraId="2358AD4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65.7</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6.4</w:t>
            </w:r>
          </w:p>
        </w:tc>
        <w:tc>
          <w:tcPr>
            <w:tcW w:w="1560" w:type="dxa"/>
            <w:vMerge w:val="continue"/>
            <w:tcBorders>
              <w:bottom w:val="nil"/>
            </w:tcBorders>
          </w:tcPr>
          <w:p w14:paraId="1BFC1599">
            <w:pPr>
              <w:spacing w:line="400" w:lineRule="exact"/>
              <w:jc w:val="center"/>
              <w:textAlignment w:val="center"/>
              <w:rPr>
                <w:rFonts w:ascii="Times New Roman" w:hAnsi="Times New Roman" w:eastAsia="宋体" w:cs="Times New Roman"/>
                <w:color w:val="auto"/>
                <w:szCs w:val="21"/>
                <w:lang w:bidi="ar"/>
              </w:rPr>
            </w:pPr>
          </w:p>
        </w:tc>
        <w:tc>
          <w:tcPr>
            <w:tcW w:w="1152" w:type="dxa"/>
            <w:tcBorders>
              <w:top w:val="nil"/>
              <w:bottom w:val="nil"/>
            </w:tcBorders>
            <w:noWrap/>
          </w:tcPr>
          <w:p w14:paraId="30D546C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4.4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3.0</w:t>
            </w:r>
          </w:p>
        </w:tc>
        <w:tc>
          <w:tcPr>
            <w:tcW w:w="888" w:type="dxa"/>
            <w:tcBorders>
              <w:top w:val="nil"/>
              <w:bottom w:val="nil"/>
            </w:tcBorders>
            <w:noWrap/>
          </w:tcPr>
          <w:p w14:paraId="010922F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568F8CC3">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Pr>
          <w:p w14:paraId="5C17FAAB">
            <w:pPr>
              <w:spacing w:line="400" w:lineRule="exact"/>
              <w:jc w:val="center"/>
              <w:rPr>
                <w:rFonts w:ascii="Times New Roman" w:hAnsi="Times New Roman" w:eastAsia="微软雅黑" w:cs="Times New Roman"/>
                <w:color w:val="auto"/>
                <w:szCs w:val="21"/>
                <w:lang w:bidi="ar"/>
              </w:rPr>
            </w:pPr>
          </w:p>
        </w:tc>
      </w:tr>
      <w:tr w14:paraId="5301FB97">
        <w:tblPrEx>
          <w:tblCellMar>
            <w:top w:w="0" w:type="dxa"/>
            <w:left w:w="28" w:type="dxa"/>
            <w:bottom w:w="0" w:type="dxa"/>
            <w:right w:w="28" w:type="dxa"/>
          </w:tblCellMar>
        </w:tblPrEx>
        <w:trPr>
          <w:trHeight w:val="283" w:hRule="atLeast"/>
        </w:trPr>
        <w:tc>
          <w:tcPr>
            <w:tcW w:w="1902" w:type="dxa"/>
            <w:vMerge w:val="restart"/>
          </w:tcPr>
          <w:p w14:paraId="3761643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Wan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{"citationID":"fOk64gMK","properties":{"formattedCitation":"\\super 24\\nosupersub{}","plainCitation":"24","noteIndex":0},"citationItems":[{"id":1084,"uris":["http://zotero.org/users/local/9LWqYmzn/items/LZ3GAQRJ"],"itemData":{"id":1084,"type":"article-journal","abstract":"Purpose: To measure motor function improvements in patients with Parkinson’s disease (PD) using Health Qigong exercises. Patients and Methods: Fifty-two PD patients (Hoehn and Yahr stages I to IV) were randomly divided into experimental and control groups. Twenty-six PD patients in the experimental group were intervened with routine medicine and fitness Qigong exercise. The other 26 PD patients as the control group were treated only with regular medication. Twelve-week intervention had been conducted for the study, and participants completed the scheduled exercises 4 times per week for 60 minutes each time. Data which included the onelegged blind balance, physical coordination, and gait was collected before, during, and after the intervention. Comparisons were made between the experimental and control groups through the repeated measures analysis of variance.\nResults: A total of 40 participants (77% response rate) completed the study. There was no significant difference in baseline data. After 12 weeks of Health Qigong therapy, the length of time the one-legged blind balance test had increased (P &lt; 0.01), and the time it took to TUG test was reduced (P &lt; 0.01). Joint range of motion and gait significantly improved. The control group’s there were no significant differences in the above variables, except for joint range of motion, which decreased.\nConclusion: Health Qigong exercises can significantly improve physical functions in patients with PD, especially for the balance ability, gait, joint range of motion in patients with PD. It can reduce their activity risk factor and improve their quality of life.","call-number":"3","container-title":"Journal of Multidisciplinary Healthcare","DOI":"10.2147/JMDH.S303945","ISSN":"1178-2390","journalAbbreviation":"JMDH","language":"en","license":"http://creativecommons.org/licenses/by-nc/3.0/","note":"JCR分区: Q2\n中科院分区升级版: 医学3区\n中科院分区基础版: 医学4区\n影响因子: 2.4\n5年影响因子: 2.8\nTLDR: Health Qigong exercises can significantly improve physical functions in patients with Parkinson’s disease, especially for the balance ability, gait, joint range of motion, and jointrange of motion in Patients with PD.","page":"941-950","source":"2.4","title":"Effects of health qigong exercises on physical function on patients with parkinson’s disease","volume":"Volume 14","author":[{"family":"Wan","given":"Zhirong"},{"family":"Liu","given":"Xiaolei"},{"family":"Yang","given":"Hui"},{"family":"Li","given":"Fang"},{"family":"Yu","given":"Lingling"},{"family":"Li","given":"Lei"},{"family":"Wang","given":"Yulin"},{"family":"Jiang","given":"Hao"},{"family":"Zou","given":"Junjie"},{"family":"Du","given":"Jichen"}],"issued":{"date-parts":[["2021",4]]},"citation-key":"wanEffectsHealthQigong2021"}}],"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24</w:t>
            </w:r>
            <w:r>
              <w:rPr>
                <w:rFonts w:ascii="Times New Roman" w:hAnsi="Times New Roman" w:eastAsia="宋体" w:cs="Times New Roman"/>
                <w:color w:val="auto"/>
                <w:szCs w:val="21"/>
                <w:lang w:bidi="ar"/>
              </w:rPr>
              <w:fldChar w:fldCharType="end"/>
            </w:r>
          </w:p>
          <w:p w14:paraId="2E4E3EB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(2021)</w:t>
            </w:r>
          </w:p>
        </w:tc>
        <w:tc>
          <w:tcPr>
            <w:tcW w:w="1128" w:type="dxa"/>
            <w:vMerge w:val="restart"/>
            <w:noWrap/>
          </w:tcPr>
          <w:p w14:paraId="0AC8B6D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China</w:t>
            </w:r>
          </w:p>
        </w:tc>
        <w:tc>
          <w:tcPr>
            <w:tcW w:w="768" w:type="dxa"/>
            <w:tcBorders>
              <w:top w:val="nil"/>
              <w:bottom w:val="nil"/>
            </w:tcBorders>
            <w:noWrap/>
          </w:tcPr>
          <w:p w14:paraId="511A3C94">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IG:20</w:t>
            </w:r>
          </w:p>
        </w:tc>
        <w:tc>
          <w:tcPr>
            <w:tcW w:w="1307" w:type="dxa"/>
            <w:tcBorders>
              <w:top w:val="nil"/>
              <w:bottom w:val="nil"/>
            </w:tcBorders>
            <w:noWrap/>
          </w:tcPr>
          <w:p w14:paraId="7692CCA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65.0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7.8</w:t>
            </w:r>
          </w:p>
        </w:tc>
        <w:tc>
          <w:tcPr>
            <w:tcW w:w="1560" w:type="dxa"/>
            <w:vMerge w:val="restart"/>
            <w:tcBorders>
              <w:top w:val="nil"/>
            </w:tcBorders>
          </w:tcPr>
          <w:p w14:paraId="78C15F0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1-4</w:t>
            </w:r>
          </w:p>
        </w:tc>
        <w:tc>
          <w:tcPr>
            <w:tcW w:w="1152" w:type="dxa"/>
            <w:tcBorders>
              <w:top w:val="nil"/>
              <w:bottom w:val="nil"/>
            </w:tcBorders>
            <w:noWrap/>
          </w:tcPr>
          <w:p w14:paraId="2D66A8D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3.6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1.5</w:t>
            </w:r>
          </w:p>
        </w:tc>
        <w:tc>
          <w:tcPr>
            <w:tcW w:w="888" w:type="dxa"/>
            <w:tcBorders>
              <w:top w:val="nil"/>
              <w:bottom w:val="nil"/>
            </w:tcBorders>
            <w:noWrap/>
          </w:tcPr>
          <w:p w14:paraId="566732B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Qigong</w:t>
            </w:r>
          </w:p>
        </w:tc>
        <w:tc>
          <w:tcPr>
            <w:tcW w:w="5772" w:type="dxa"/>
            <w:noWrap/>
          </w:tcPr>
          <w:p w14:paraId="501179AF">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12 weeks, 4 times/week, 60 minutes</w:t>
            </w:r>
          </w:p>
        </w:tc>
        <w:tc>
          <w:tcPr>
            <w:tcW w:w="933" w:type="dxa"/>
            <w:vMerge w:val="restart"/>
          </w:tcPr>
          <w:p w14:paraId="49761B4B">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④</w:t>
            </w:r>
          </w:p>
        </w:tc>
      </w:tr>
      <w:tr w14:paraId="06160BDE">
        <w:tblPrEx>
          <w:tblCellMar>
            <w:top w:w="0" w:type="dxa"/>
            <w:left w:w="28" w:type="dxa"/>
            <w:bottom w:w="0" w:type="dxa"/>
            <w:right w:w="28" w:type="dxa"/>
          </w:tblCellMar>
        </w:tblPrEx>
        <w:trPr>
          <w:trHeight w:val="283" w:hRule="atLeast"/>
        </w:trPr>
        <w:tc>
          <w:tcPr>
            <w:tcW w:w="1902" w:type="dxa"/>
            <w:vMerge w:val="continue"/>
          </w:tcPr>
          <w:p w14:paraId="0E1DA68D">
            <w:pPr>
              <w:spacing w:line="400" w:lineRule="exact"/>
              <w:jc w:val="center"/>
              <w:rPr>
                <w:rFonts w:ascii="Times New Roman" w:hAnsi="Times New Roman" w:eastAsia="宋体" w:cs="Times New Roman"/>
                <w:color w:val="auto"/>
                <w:szCs w:val="21"/>
                <w:lang w:bidi="ar"/>
              </w:rPr>
            </w:pPr>
          </w:p>
        </w:tc>
        <w:tc>
          <w:tcPr>
            <w:tcW w:w="1128" w:type="dxa"/>
            <w:vMerge w:val="continue"/>
            <w:noWrap/>
          </w:tcPr>
          <w:p w14:paraId="228B28C5">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noWrap/>
          </w:tcPr>
          <w:p w14:paraId="4FA7D43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CG:20</w:t>
            </w:r>
          </w:p>
        </w:tc>
        <w:tc>
          <w:tcPr>
            <w:tcW w:w="1307" w:type="dxa"/>
            <w:tcBorders>
              <w:top w:val="nil"/>
              <w:bottom w:val="nil"/>
            </w:tcBorders>
            <w:noWrap/>
          </w:tcPr>
          <w:p w14:paraId="7485738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7.5</w:t>
            </w:r>
          </w:p>
        </w:tc>
        <w:tc>
          <w:tcPr>
            <w:tcW w:w="1560" w:type="dxa"/>
            <w:vMerge w:val="continue"/>
            <w:tcBorders>
              <w:bottom w:val="nil"/>
            </w:tcBorders>
          </w:tcPr>
          <w:p w14:paraId="3EAF2185">
            <w:pPr>
              <w:spacing w:line="400" w:lineRule="exact"/>
              <w:jc w:val="center"/>
              <w:rPr>
                <w:rFonts w:ascii="Times New Roman" w:hAnsi="Times New Roman" w:eastAsia="宋体" w:cs="Times New Roman"/>
                <w:color w:val="auto"/>
                <w:szCs w:val="21"/>
                <w:lang w:bidi="ar"/>
              </w:rPr>
            </w:pPr>
          </w:p>
        </w:tc>
        <w:tc>
          <w:tcPr>
            <w:tcW w:w="1152" w:type="dxa"/>
            <w:tcBorders>
              <w:top w:val="nil"/>
              <w:bottom w:val="nil"/>
            </w:tcBorders>
            <w:noWrap/>
          </w:tcPr>
          <w:p w14:paraId="5FA5CCC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3.3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1.7</w:t>
            </w:r>
          </w:p>
        </w:tc>
        <w:tc>
          <w:tcPr>
            <w:tcW w:w="888" w:type="dxa"/>
            <w:tcBorders>
              <w:top w:val="nil"/>
              <w:bottom w:val="nil"/>
            </w:tcBorders>
            <w:noWrap/>
          </w:tcPr>
          <w:p w14:paraId="76AE940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22711221">
            <w:pPr>
              <w:spacing w:line="400" w:lineRule="exact"/>
              <w:jc w:val="left"/>
              <w:rPr>
                <w:rFonts w:ascii="Times New Roman" w:hAnsi="Times New Roman" w:eastAsia="宋体" w:cs="Times New Roman"/>
                <w:color w:val="auto"/>
                <w:szCs w:val="21"/>
                <w:lang w:bidi="ar"/>
              </w:rPr>
            </w:pPr>
            <w:r>
              <w:rPr>
                <w:rFonts w:hint="eastAsia" w:ascii="Times New Roman" w:hAnsi="Times New Roman" w:eastAsia="宋体" w:cs="Times New Roman"/>
                <w:color w:val="auto"/>
                <w:szCs w:val="21"/>
                <w:lang w:bidi="ar"/>
              </w:rPr>
              <w:t>c</w:t>
            </w:r>
            <w:r>
              <w:rPr>
                <w:rFonts w:ascii="Times New Roman" w:hAnsi="Times New Roman" w:eastAsia="宋体" w:cs="Times New Roman"/>
                <w:color w:val="auto"/>
                <w:szCs w:val="21"/>
                <w:lang w:bidi="ar"/>
              </w:rPr>
              <w:t>onventional physiotherapy</w:t>
            </w:r>
          </w:p>
        </w:tc>
        <w:tc>
          <w:tcPr>
            <w:tcW w:w="933" w:type="dxa"/>
            <w:vMerge w:val="continue"/>
          </w:tcPr>
          <w:p w14:paraId="66D14A23">
            <w:pPr>
              <w:spacing w:line="400" w:lineRule="exact"/>
              <w:jc w:val="center"/>
              <w:rPr>
                <w:rFonts w:ascii="Times New Roman" w:hAnsi="Times New Roman" w:eastAsia="微软雅黑" w:cs="Times New Roman"/>
                <w:color w:val="auto"/>
                <w:szCs w:val="21"/>
                <w:lang w:bidi="ar"/>
              </w:rPr>
            </w:pPr>
          </w:p>
        </w:tc>
      </w:tr>
      <w:tr w14:paraId="77B2D098">
        <w:tblPrEx>
          <w:tblCellMar>
            <w:top w:w="0" w:type="dxa"/>
            <w:left w:w="28" w:type="dxa"/>
            <w:bottom w:w="0" w:type="dxa"/>
            <w:right w:w="28" w:type="dxa"/>
          </w:tblCellMar>
        </w:tblPrEx>
        <w:trPr>
          <w:trHeight w:val="283" w:hRule="atLeast"/>
        </w:trPr>
        <w:tc>
          <w:tcPr>
            <w:tcW w:w="1902" w:type="dxa"/>
            <w:vMerge w:val="restart"/>
          </w:tcPr>
          <w:p w14:paraId="16D1ED6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Hashimoto</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{"citationID":"felwTDKX","properties":{"formattedCitation":"\\super 25\\nosupersub{}","plainCitation":"25","noteIndex":0},"citationItems":[{"id":1215,"uris":["http://zotero.org/users/local/9LWqYmzn/items/L3I92EJ5"],"itemData":{"id":1215,"type":"article-journal","abstract":"Objective: To examine the effectiveness of dance on motor functions, cognitive functions, and mental symptoms of Parkinson’s disease (PD). Design: This study employed a quasi-randomised, between-group design. Setting: Dance, PD exercise, and all assessments were performed in community halls in different regions of Japan. Participants: Forty-six mild-moderate PD patients participated. Intervention: Six PD patient associations that agreed to participate in the study were randomly assigned to a dance group, PD exercise group, or non-intervention group. The dance and PD exercise groups performed one 60-min session per week for 12 weeks. Control group patients continued with their normal lives. All groups were assessed before and after the intervention. Main outcome measures: We used the Timed Up-and-Go Test (TUG) and Berg Balance Scale (BBS) to assess motor function, the Frontal Assessment Battery at bedside (FAB) and Mental Rotation Task (MRT) to assess cognitive function, and the Apathy Scale (AS) and Self-rating Depression Scale (SDS) to assess mental symptoms of PD. The Uniﬁed Parkinson’s Disease Rating Scale (UPDRS) was used for general assessment of PD.","call-number":"3","container-title":"Complementary Therapies in Medicine","DOI":"10.1016/j.ctim.2015.01.010","ISSN":"09652299","issue":"2","journalAbbreviation":"Complement. Ther. Med.","language":"en","note":"JCR分区: Q1\n中科院分区升级版: 医学3区\n中科院分区基础版: 医学4区\n影响因子: 3.5\n5年影响因子: 3.8\nTLDR: Dance was effective in improving motor function, cognitive function, and mental symptoms in PD patients, and general symptoms inPD also improved.","page":"210-219","source":"3.5","title":"Effects of dance on motor functions, cognitive functions, and mental symptoms of parkinson's disease: A quasi-randomized pilot trial","title-short":"Effects of dance on motor functions, cognitive functions, and mental symptoms of Parkinson's disease","volume":"23","author":[{"family":"Hashimoto","given":"Hiroko"},{"family":"Takabatake","given":"Shinichi"},{"family":"Miyaguchi","given":"Hideki"},{"family":"Nakanishi","given":"Hajime"},{"family":"Naitou","given":"Yasuo"}],"issued":{"date-parts":[["2015",4]]},"citation-key":"hashimotoEffectsDanceMotor2015a"}}],"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25</w:t>
            </w:r>
            <w:r>
              <w:rPr>
                <w:rFonts w:ascii="Times New Roman" w:hAnsi="Times New Roman" w:eastAsia="宋体" w:cs="Times New Roman"/>
                <w:color w:val="auto"/>
                <w:szCs w:val="21"/>
                <w:lang w:bidi="ar"/>
              </w:rPr>
              <w:fldChar w:fldCharType="end"/>
            </w:r>
          </w:p>
          <w:p w14:paraId="0E8CA91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(2015)</w:t>
            </w:r>
          </w:p>
        </w:tc>
        <w:tc>
          <w:tcPr>
            <w:tcW w:w="1128" w:type="dxa"/>
            <w:vMerge w:val="restart"/>
            <w:noWrap/>
          </w:tcPr>
          <w:p w14:paraId="45406F3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Japan</w:t>
            </w:r>
          </w:p>
        </w:tc>
        <w:tc>
          <w:tcPr>
            <w:tcW w:w="768" w:type="dxa"/>
            <w:tcBorders>
              <w:top w:val="nil"/>
              <w:bottom w:val="nil"/>
            </w:tcBorders>
            <w:noWrap/>
          </w:tcPr>
          <w:p w14:paraId="53F754D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IG:15</w:t>
            </w:r>
          </w:p>
        </w:tc>
        <w:tc>
          <w:tcPr>
            <w:tcW w:w="1307" w:type="dxa"/>
            <w:tcBorders>
              <w:top w:val="nil"/>
              <w:bottom w:val="nil"/>
            </w:tcBorders>
            <w:noWrap/>
          </w:tcPr>
          <w:p w14:paraId="527F91D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7.0</w:t>
            </w:r>
          </w:p>
        </w:tc>
        <w:tc>
          <w:tcPr>
            <w:tcW w:w="1560" w:type="dxa"/>
            <w:vMerge w:val="restart"/>
            <w:tcBorders>
              <w:top w:val="nil"/>
            </w:tcBorders>
          </w:tcPr>
          <w:p w14:paraId="030B43C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Total</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H&amp;Y stage 2-4</w:t>
            </w:r>
          </w:p>
        </w:tc>
        <w:tc>
          <w:tcPr>
            <w:tcW w:w="1152" w:type="dxa"/>
            <w:tcBorders>
              <w:top w:val="nil"/>
              <w:bottom w:val="nil"/>
            </w:tcBorders>
            <w:noWrap/>
          </w:tcPr>
          <w:p w14:paraId="6234964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4.6</w:t>
            </w:r>
          </w:p>
        </w:tc>
        <w:tc>
          <w:tcPr>
            <w:tcW w:w="888" w:type="dxa"/>
            <w:tcBorders>
              <w:top w:val="nil"/>
              <w:bottom w:val="nil"/>
            </w:tcBorders>
            <w:noWrap/>
          </w:tcPr>
          <w:p w14:paraId="1676830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Dance</w:t>
            </w:r>
          </w:p>
        </w:tc>
        <w:tc>
          <w:tcPr>
            <w:tcW w:w="5772" w:type="dxa"/>
            <w:noWrap/>
          </w:tcPr>
          <w:p w14:paraId="5B8D94D5">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12 weeks, 1 time/week, 60 minutes</w:t>
            </w:r>
          </w:p>
        </w:tc>
        <w:tc>
          <w:tcPr>
            <w:tcW w:w="933" w:type="dxa"/>
            <w:vMerge w:val="restart"/>
          </w:tcPr>
          <w:p w14:paraId="6193A1CB">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④⑤</w:t>
            </w:r>
          </w:p>
        </w:tc>
      </w:tr>
      <w:tr w14:paraId="2198664F">
        <w:tblPrEx>
          <w:tblCellMar>
            <w:top w:w="0" w:type="dxa"/>
            <w:left w:w="28" w:type="dxa"/>
            <w:bottom w:w="0" w:type="dxa"/>
            <w:right w:w="28" w:type="dxa"/>
          </w:tblCellMar>
        </w:tblPrEx>
        <w:trPr>
          <w:trHeight w:val="283" w:hRule="atLeast"/>
        </w:trPr>
        <w:tc>
          <w:tcPr>
            <w:tcW w:w="1902" w:type="dxa"/>
            <w:vMerge w:val="continue"/>
          </w:tcPr>
          <w:p w14:paraId="21F94DFB">
            <w:pPr>
              <w:spacing w:line="400" w:lineRule="exact"/>
              <w:jc w:val="center"/>
              <w:rPr>
                <w:rFonts w:ascii="Times New Roman" w:hAnsi="Times New Roman" w:eastAsia="宋体" w:cs="Times New Roman"/>
                <w:color w:val="auto"/>
                <w:szCs w:val="21"/>
                <w:lang w:bidi="ar"/>
              </w:rPr>
            </w:pPr>
          </w:p>
        </w:tc>
        <w:tc>
          <w:tcPr>
            <w:tcW w:w="1128" w:type="dxa"/>
            <w:vMerge w:val="continue"/>
            <w:noWrap/>
          </w:tcPr>
          <w:p w14:paraId="74316C46">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noWrap/>
          </w:tcPr>
          <w:p w14:paraId="2713AE5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CG:14</w:t>
            </w:r>
          </w:p>
        </w:tc>
        <w:tc>
          <w:tcPr>
            <w:tcW w:w="1307" w:type="dxa"/>
            <w:tcBorders>
              <w:top w:val="nil"/>
              <w:bottom w:val="nil"/>
            </w:tcBorders>
            <w:noWrap/>
          </w:tcPr>
          <w:p w14:paraId="3913410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69.7</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4.0</w:t>
            </w:r>
          </w:p>
        </w:tc>
        <w:tc>
          <w:tcPr>
            <w:tcW w:w="1560" w:type="dxa"/>
            <w:vMerge w:val="continue"/>
            <w:tcBorders>
              <w:bottom w:val="nil"/>
            </w:tcBorders>
          </w:tcPr>
          <w:p w14:paraId="32B37195">
            <w:pPr>
              <w:spacing w:line="400" w:lineRule="exact"/>
              <w:jc w:val="center"/>
              <w:rPr>
                <w:rFonts w:ascii="Times New Roman" w:hAnsi="Times New Roman" w:eastAsia="宋体" w:cs="Times New Roman"/>
                <w:color w:val="auto"/>
                <w:szCs w:val="21"/>
                <w:lang w:bidi="ar"/>
              </w:rPr>
            </w:pPr>
          </w:p>
        </w:tc>
        <w:tc>
          <w:tcPr>
            <w:tcW w:w="1152" w:type="dxa"/>
            <w:tcBorders>
              <w:top w:val="nil"/>
              <w:bottom w:val="nil"/>
            </w:tcBorders>
            <w:noWrap/>
          </w:tcPr>
          <w:p w14:paraId="29191D2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4.0</w:t>
            </w:r>
          </w:p>
        </w:tc>
        <w:tc>
          <w:tcPr>
            <w:tcW w:w="888" w:type="dxa"/>
            <w:tcBorders>
              <w:top w:val="nil"/>
              <w:bottom w:val="nil"/>
            </w:tcBorders>
            <w:noWrap/>
          </w:tcPr>
          <w:p w14:paraId="4380013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noWrap/>
          </w:tcPr>
          <w:p w14:paraId="20BC511C">
            <w:pPr>
              <w:spacing w:line="400" w:lineRule="exact"/>
              <w:jc w:val="left"/>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usual care and usual daily activities</w:t>
            </w:r>
          </w:p>
        </w:tc>
        <w:tc>
          <w:tcPr>
            <w:tcW w:w="933" w:type="dxa"/>
            <w:vMerge w:val="continue"/>
          </w:tcPr>
          <w:p w14:paraId="738071BD">
            <w:pPr>
              <w:spacing w:line="400" w:lineRule="exact"/>
              <w:jc w:val="center"/>
              <w:rPr>
                <w:rFonts w:ascii="Times New Roman" w:hAnsi="Times New Roman" w:eastAsia="微软雅黑" w:cs="Times New Roman"/>
                <w:color w:val="auto"/>
                <w:szCs w:val="21"/>
                <w:lang w:bidi="ar"/>
              </w:rPr>
            </w:pPr>
          </w:p>
        </w:tc>
      </w:tr>
      <w:tr w14:paraId="36579EA2">
        <w:tblPrEx>
          <w:tblCellMar>
            <w:top w:w="0" w:type="dxa"/>
            <w:left w:w="28" w:type="dxa"/>
            <w:bottom w:w="0" w:type="dxa"/>
            <w:right w:w="28" w:type="dxa"/>
          </w:tblCellMar>
        </w:tblPrEx>
        <w:trPr>
          <w:trHeight w:val="283" w:hRule="atLeast"/>
        </w:trPr>
        <w:tc>
          <w:tcPr>
            <w:tcW w:w="1902" w:type="dxa"/>
            <w:vMerge w:val="restart"/>
          </w:tcPr>
          <w:p w14:paraId="6E99A7E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Solla</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{"citationID":"BfMDHKAn","properties":{"formattedCitation":"\\super 26\\nosupersub{}","plainCitation":"26","noteIndex":0},"citationItems":[{"id":1217,"uris":["http://zotero.org/users/local/9LWqYmzn/items/LGLV93FH"],"itemData":{"id":1217,"type":"article-journal","abstract":"Objectives: Among different exercise models proposed for individuals with Parkinson’s disease (IwPD), the popularity of traditional forms of dance is increasing. The aim of this study was to evaluate the effects of Sardinian folk dance (Ballu Sardu, BS) on functional performance and motor and nonmotor symptoms in IwPD. Design: Single-blind, randomized controlled pilot trial. Settings: Outpatient health clinic. Subjects and interventions: Twenty IwPD (13M, 7F; 67.4 – 6.1 years) were randomly assigned to BS (n = 10) or usual care (n = 10). The dance program consisted of two sessions/week, 90-min/class, for 12 weeks. Outcome measures: Motor and nonmotor symptoms, as well as functional performance, were evaluated using different questionnaires and tests such as the Uniﬁed Parkinson’s Disease Rating Scale Part-III (UPDRS-III), 6min walking test (6MWT), Berg Balance Scale (BBS), Timed Up-and-Go (TUG) test, Five Times Sit-to-Stand Test (FTSST), Back Scratch Test (BST), Sit-and-Reach Test (SRT), instrumented gait analysis, Parkinson’s Disease Fatigue Scale (PFS-16), Beck Depression Inventory, Starkstein Apathy Scale (SAS), and Montreal Cognitive Assessment (MOCA) scale.\nResults: Repeated-measures analysis of variance revealed signiﬁcant Time · Group interactions for UPDRSIII and functional variables such as the 6MWT, BBS, FTSST, TUG (all, p &lt; 0.001), BST ( p = 0.04), and gait analysis parameters (stride length, p = 0.031; gait speed, p = 0.049; and gait fatigue index (GFI), p = 0.005). For nonmotor symptoms, signiﬁcant Time · Group interactions for depression ( p &lt; 0.001), apathy ( p = 0.016), and MOCA scores ( p = 0.012) were observed. Of note, for GFI and SAS, the BS group only showed a trend toward improvement, while the condition of the controls worsened signiﬁcantly. No between-group differences were observed for SRT and PFS-16.\nConclusions: BS is an enjoyable activity, which has been proved to be superior to usual care alone in inducing changes in different motor and nonmotor symptoms associated with PD. Results show that BS can be considered a safe tool for contrasting impairments observed in IwPD due to the intrinsic nature of the neurodegenerative disease.","container-title":"The Journal of Alternative and Complementary Medicine","DOI":"10.1089/acm.2018.0413","ISSN":"1075-5535, 1557-7708","issue":"3","journalAbbreviation":"The Journal of Alternative and Complementary Medicine","language":"en","license":"https://www.liebertpub.com/nv/resources-tools/text-and-data-mining-policy/121/","note":"中科院分区基础版: 医学4区\nTLDR: BS is an enjoyable activity, which has been proved to be superior to usual care alone in inducing changes in different motor and nonmotor symptoms associated with PD, and can be considered a safe tool for contrasting impairments observed in IwPD due to the intrinsic nature of the neurodegenerative disease.","page":"305-316","source":"DOI.org (Crossref)","title":"Sardinian folk dance for individuals with parkinson's disease: A randomized controlled pilot trial","title-short":"Sardinian Folk Dance for Individuals with Parkinson's Disease","volume":"25","author":[{"family":"Solla","given":"Paolo"},{"family":"Cugusi","given":"Lucia"},{"family":"Bertoli","given":"Matilde"},{"family":"Cereatti","given":"Andrea"},{"family":"Della Croce","given":"Ugo"},{"family":"Pani","given":"Danilo"},{"family":"Fadda","given":"Laura"},{"family":"Cannas","given":"Antonino"},{"family":"Marrosu","given":"Francesco"},{"family":"Defazio","given":"Giovanni"},{"family":"Mercuro","given":"Giuseppe"}],"issued":{"date-parts":[["2019",3]]},"citation-key":"sollaSardinianFolkDance2019"}}],"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26</w:t>
            </w:r>
            <w:r>
              <w:rPr>
                <w:rFonts w:ascii="Times New Roman" w:hAnsi="Times New Roman" w:eastAsia="宋体" w:cs="Times New Roman"/>
                <w:color w:val="auto"/>
                <w:szCs w:val="21"/>
                <w:lang w:bidi="ar"/>
              </w:rPr>
              <w:fldChar w:fldCharType="end"/>
            </w:r>
          </w:p>
          <w:p w14:paraId="17CB6CD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(2019)</w:t>
            </w:r>
          </w:p>
        </w:tc>
        <w:tc>
          <w:tcPr>
            <w:tcW w:w="1128" w:type="dxa"/>
            <w:vMerge w:val="restart"/>
            <w:noWrap/>
          </w:tcPr>
          <w:p w14:paraId="721C1E3E">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Italy</w:t>
            </w:r>
          </w:p>
        </w:tc>
        <w:tc>
          <w:tcPr>
            <w:tcW w:w="768" w:type="dxa"/>
            <w:tcBorders>
              <w:top w:val="nil"/>
              <w:bottom w:val="nil"/>
            </w:tcBorders>
            <w:noWrap/>
          </w:tcPr>
          <w:p w14:paraId="3BC1271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IG:10</w:t>
            </w:r>
          </w:p>
        </w:tc>
        <w:tc>
          <w:tcPr>
            <w:tcW w:w="1307" w:type="dxa"/>
            <w:tcBorders>
              <w:top w:val="nil"/>
              <w:bottom w:val="nil"/>
            </w:tcBorders>
            <w:noWrap/>
          </w:tcPr>
          <w:p w14:paraId="7C04521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67.8</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5.9</w:t>
            </w:r>
          </w:p>
        </w:tc>
        <w:tc>
          <w:tcPr>
            <w:tcW w:w="1560" w:type="dxa"/>
            <w:tcBorders>
              <w:top w:val="nil"/>
              <w:bottom w:val="nil"/>
            </w:tcBorders>
          </w:tcPr>
          <w:p w14:paraId="4CCD84C2">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2.1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0.6</w:t>
            </w:r>
          </w:p>
        </w:tc>
        <w:tc>
          <w:tcPr>
            <w:tcW w:w="1152" w:type="dxa"/>
            <w:tcBorders>
              <w:top w:val="nil"/>
              <w:bottom w:val="nil"/>
            </w:tcBorders>
            <w:noWrap/>
          </w:tcPr>
          <w:p w14:paraId="036AE903">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4.4</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4.5</w:t>
            </w:r>
          </w:p>
        </w:tc>
        <w:tc>
          <w:tcPr>
            <w:tcW w:w="888" w:type="dxa"/>
            <w:tcBorders>
              <w:top w:val="nil"/>
              <w:bottom w:val="nil"/>
            </w:tcBorders>
            <w:noWrap/>
          </w:tcPr>
          <w:p w14:paraId="3779C61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Dance</w:t>
            </w:r>
          </w:p>
        </w:tc>
        <w:tc>
          <w:tcPr>
            <w:tcW w:w="5772" w:type="dxa"/>
            <w:noWrap/>
          </w:tcPr>
          <w:p w14:paraId="55B174CA">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12 weeks, 2 times/week, 90 minutes</w:t>
            </w:r>
          </w:p>
        </w:tc>
        <w:tc>
          <w:tcPr>
            <w:tcW w:w="933" w:type="dxa"/>
            <w:vMerge w:val="restart"/>
          </w:tcPr>
          <w:p w14:paraId="13DA3CB5">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①③④⑤</w:t>
            </w:r>
          </w:p>
        </w:tc>
      </w:tr>
      <w:tr w14:paraId="54722330">
        <w:tblPrEx>
          <w:tblCellMar>
            <w:top w:w="0" w:type="dxa"/>
            <w:left w:w="28" w:type="dxa"/>
            <w:bottom w:w="0" w:type="dxa"/>
            <w:right w:w="28" w:type="dxa"/>
          </w:tblCellMar>
        </w:tblPrEx>
        <w:trPr>
          <w:trHeight w:val="283" w:hRule="atLeast"/>
        </w:trPr>
        <w:tc>
          <w:tcPr>
            <w:tcW w:w="1902" w:type="dxa"/>
            <w:vMerge w:val="continue"/>
          </w:tcPr>
          <w:p w14:paraId="5A6D6D24">
            <w:pPr>
              <w:spacing w:line="400" w:lineRule="exact"/>
              <w:jc w:val="center"/>
              <w:rPr>
                <w:rFonts w:ascii="Times New Roman" w:hAnsi="Times New Roman" w:eastAsia="宋体" w:cs="Times New Roman"/>
                <w:color w:val="auto"/>
                <w:szCs w:val="21"/>
                <w:lang w:bidi="ar"/>
              </w:rPr>
            </w:pPr>
          </w:p>
        </w:tc>
        <w:tc>
          <w:tcPr>
            <w:tcW w:w="1128" w:type="dxa"/>
            <w:vMerge w:val="continue"/>
            <w:noWrap/>
          </w:tcPr>
          <w:p w14:paraId="3300D213">
            <w:pPr>
              <w:spacing w:line="400" w:lineRule="exact"/>
              <w:jc w:val="center"/>
              <w:rPr>
                <w:rFonts w:ascii="Times New Roman" w:hAnsi="Times New Roman" w:eastAsia="宋体" w:cs="Times New Roman"/>
                <w:color w:val="auto"/>
                <w:szCs w:val="21"/>
                <w:lang w:bidi="ar"/>
              </w:rPr>
            </w:pPr>
          </w:p>
        </w:tc>
        <w:tc>
          <w:tcPr>
            <w:tcW w:w="768" w:type="dxa"/>
            <w:tcBorders>
              <w:top w:val="nil"/>
              <w:bottom w:val="nil"/>
            </w:tcBorders>
            <w:noWrap/>
          </w:tcPr>
          <w:p w14:paraId="4187EE2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CG:9</w:t>
            </w:r>
          </w:p>
        </w:tc>
        <w:tc>
          <w:tcPr>
            <w:tcW w:w="1307" w:type="dxa"/>
            <w:tcBorders>
              <w:top w:val="nil"/>
              <w:bottom w:val="nil"/>
            </w:tcBorders>
            <w:noWrap/>
          </w:tcPr>
          <w:p w14:paraId="16C74FE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67.1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6.3</w:t>
            </w:r>
          </w:p>
        </w:tc>
        <w:tc>
          <w:tcPr>
            <w:tcW w:w="1560" w:type="dxa"/>
            <w:tcBorders>
              <w:top w:val="nil"/>
              <w:bottom w:val="nil"/>
            </w:tcBorders>
          </w:tcPr>
          <w:p w14:paraId="77519B5F">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2.3</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0.4</w:t>
            </w:r>
          </w:p>
        </w:tc>
        <w:tc>
          <w:tcPr>
            <w:tcW w:w="1152" w:type="dxa"/>
            <w:tcBorders>
              <w:top w:val="nil"/>
              <w:bottom w:val="nil"/>
            </w:tcBorders>
            <w:noWrap/>
          </w:tcPr>
          <w:p w14:paraId="10C283C6">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5.0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2.9</w:t>
            </w:r>
          </w:p>
        </w:tc>
        <w:tc>
          <w:tcPr>
            <w:tcW w:w="888" w:type="dxa"/>
            <w:tcBorders>
              <w:top w:val="nil"/>
              <w:bottom w:val="nil"/>
            </w:tcBorders>
            <w:noWrap/>
          </w:tcPr>
          <w:p w14:paraId="11460AF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bottom w:val="nil"/>
            </w:tcBorders>
            <w:noWrap/>
          </w:tcPr>
          <w:p w14:paraId="471E6205">
            <w:pPr>
              <w:spacing w:line="400" w:lineRule="exact"/>
              <w:jc w:val="left"/>
              <w:rPr>
                <w:rFonts w:ascii="Times New Roman" w:hAnsi="Times New Roman" w:eastAsia="宋体" w:cs="Times New Roman"/>
                <w:color w:val="auto"/>
                <w:szCs w:val="21"/>
              </w:rPr>
            </w:pPr>
            <w:r>
              <w:rPr>
                <w:rFonts w:ascii="Times New Roman" w:hAnsi="Times New Roman" w:eastAsia="宋体" w:cs="Times New Roman"/>
                <w:color w:val="auto"/>
                <w:szCs w:val="21"/>
                <w:lang w:bidi="ar"/>
              </w:rPr>
              <w:t>usual care and usual daily activities</w:t>
            </w:r>
          </w:p>
        </w:tc>
        <w:tc>
          <w:tcPr>
            <w:tcW w:w="933" w:type="dxa"/>
            <w:vMerge w:val="continue"/>
          </w:tcPr>
          <w:p w14:paraId="73A32292">
            <w:pPr>
              <w:spacing w:line="400" w:lineRule="exact"/>
              <w:jc w:val="center"/>
              <w:rPr>
                <w:rFonts w:ascii="Times New Roman" w:hAnsi="Times New Roman" w:eastAsia="微软雅黑" w:cs="Times New Roman"/>
                <w:color w:val="auto"/>
                <w:szCs w:val="21"/>
                <w:lang w:bidi="ar"/>
              </w:rPr>
            </w:pPr>
          </w:p>
        </w:tc>
      </w:tr>
      <w:tr w14:paraId="4C5E987B">
        <w:tblPrEx>
          <w:tblCellMar>
            <w:top w:w="0" w:type="dxa"/>
            <w:left w:w="28" w:type="dxa"/>
            <w:bottom w:w="0" w:type="dxa"/>
            <w:right w:w="28" w:type="dxa"/>
          </w:tblCellMar>
        </w:tblPrEx>
        <w:trPr>
          <w:trHeight w:val="283" w:hRule="atLeast"/>
        </w:trPr>
        <w:tc>
          <w:tcPr>
            <w:tcW w:w="1902" w:type="dxa"/>
            <w:vMerge w:val="restart"/>
          </w:tcPr>
          <w:p w14:paraId="39BCD4DC">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Arfa-FAEollahkhan</w:t>
            </w:r>
            <w:r>
              <w:rPr>
                <w:rFonts w:ascii="Times New Roman" w:hAnsi="Times New Roman" w:eastAsia="宋体" w:cs="Times New Roman"/>
                <w:color w:val="auto"/>
                <w:szCs w:val="21"/>
                <w:lang w:bidi="ar"/>
              </w:rPr>
              <w:fldChar w:fldCharType="begin"/>
            </w:r>
            <w:r>
              <w:rPr>
                <w:rFonts w:hint="eastAsia" w:ascii="Times New Roman" w:hAnsi="Times New Roman" w:eastAsia="宋体" w:cs="Times New Roman"/>
                <w:color w:val="auto"/>
                <w:szCs w:val="21"/>
                <w:lang w:bidi="ar"/>
              </w:rPr>
              <w:instrText xml:space="preserve"> ADDIN ZOTERO_ITEM CSL_CITATION {"citationID":"MfLFv10a","properties":{"formattedCitation":"\\super 27\\nosupersub{}","plainCitation":"27","noteIndex":0},"citationItems":[{"id":979,"uris":["http://zotero.org/users/local/9LWqYmzn/items/PA7S6A99"],"itemData":{"id":979,"type":"article-journal","abstract":"Background: There is growing evidence that exercise modalities have considerable effects on Parkinson’s disease (PD). This trial aimed to provide a more detailed viewpoint of short-term and long-term treadmill training (TT) effects on some motor and non-motor features of PD.\nMethods: In this prospective, randomized, single-blind clinical trial, 20 mild to moderate PD patients, admitted in Rasoul-e-Akram hospital in Tehran, Iran, were randomly allocated in case (11) and control (9) groups. Treadmill intervention was performed at moderate intensity with 60% of heart rate reserved (HRR) in two 30min sessions/week for a duration of 10 weeks. Both the groups were evaluated for three times; at the baseline, 2 months later and then 2 months after the second evaluation. We assigned the Timed Up and Go test (TUG), 6-min walk test (6MW), and the SF-8 healthy questionnaire, for assessment of balance, functional capacity, and Quality of life (QoL), respectively.\nResults: Balance and functional capacity were significantly improved in the case group after the intervention (TUG p-value: 0.003, 6MW p-value: 0.003). Moreover, the long-term analysis revealed significant results as well (TUG p-value: 0.001, 6MW p-value: 0.004). Mental condition’s scores of SF-8 in cases were not statistically different in short-term follow-up (F/U). However, analysis illustrated p-value: 0.016 for long-term assessment. The intervention induced significant changes in physical condition’s scores in both of the F/Us (PC p-value: 0.013).\nConclusions: This study provides evidence that a TT of mild to moderate intensity has significant and persistent benefits for the balance, functional capacity, and QoL in PD.","container-title":"Journal of Complementary and Integrative Medicine","DOI":"10.1515/jcim-2018-0245","ISSN":"1553-3840","issue":"1","language":"en","note":"TLDR: Evidence is provided that a TT of mild to moderate intensity has significant and persistent benefits for the balance, functional capacity, and QoL in PD.","page":"20180245","source":"DOI.org (Crossref)","title":"Effects of treadmill training on the balance, functional capacity and quality of life in parkinson’s disease: A randomized clinical trial","title-short":"Effects of treadmill training on the balance, functional capacity and quality of life in Parkinson’s disease","volume":"17","author":[{"family":"Arfa-Fatollahkhani","given":"Paria"},{"family":"Safar Cherati","given":"Afsaneh"},{"family":"Habibi","given":"Seyed Amir Hasan"},{"family":"Shahidi","given":"Gholam Ali"},{"family":"Sohrabi","given":"Ahmad"},{"family":"Zamani","given":"Babak"}],"issued":{"date-parts":[["2020",2,25]]},"citation-key":"arfa-fatollahkhaniEffectsTreadmillTraining2020"}}],"schema":"https://github.com/citation-style-language/schema/raw/master/csl-citation.json"} </w:instrText>
            </w:r>
            <w:r>
              <w:rPr>
                <w:rFonts w:ascii="Times New Roman" w:hAnsi="Times New Roman" w:eastAsia="宋体" w:cs="Times New Roman"/>
                <w:color w:val="auto"/>
                <w:szCs w:val="21"/>
                <w:lang w:bidi="ar"/>
              </w:rPr>
              <w:fldChar w:fldCharType="separate"/>
            </w:r>
            <w:r>
              <w:rPr>
                <w:rFonts w:ascii="Times New Roman" w:hAnsi="Times New Roman" w:cs="Times New Roman"/>
                <w:color w:val="auto"/>
                <w:vertAlign w:val="superscript"/>
              </w:rPr>
              <w:t>27</w:t>
            </w:r>
            <w:r>
              <w:rPr>
                <w:rFonts w:ascii="Times New Roman" w:hAnsi="Times New Roman" w:eastAsia="宋体" w:cs="Times New Roman"/>
                <w:color w:val="auto"/>
                <w:szCs w:val="21"/>
                <w:lang w:bidi="ar"/>
              </w:rPr>
              <w:fldChar w:fldCharType="end"/>
            </w:r>
          </w:p>
          <w:p w14:paraId="1C3ECF65">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(2018)</w:t>
            </w:r>
          </w:p>
        </w:tc>
        <w:tc>
          <w:tcPr>
            <w:tcW w:w="1128" w:type="dxa"/>
            <w:vMerge w:val="restart"/>
            <w:noWrap/>
          </w:tcPr>
          <w:p w14:paraId="30A71681">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Iran</w:t>
            </w:r>
          </w:p>
        </w:tc>
        <w:tc>
          <w:tcPr>
            <w:tcW w:w="768" w:type="dxa"/>
            <w:tcBorders>
              <w:top w:val="nil"/>
              <w:bottom w:val="nil"/>
            </w:tcBorders>
            <w:noWrap/>
          </w:tcPr>
          <w:p w14:paraId="15173147">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IG:11</w:t>
            </w:r>
          </w:p>
        </w:tc>
        <w:tc>
          <w:tcPr>
            <w:tcW w:w="1307" w:type="dxa"/>
            <w:tcBorders>
              <w:top w:val="nil"/>
              <w:bottom w:val="nil"/>
            </w:tcBorders>
            <w:noWrap/>
          </w:tcPr>
          <w:p w14:paraId="35CA1F2D">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9.4</w:t>
            </w:r>
          </w:p>
        </w:tc>
        <w:tc>
          <w:tcPr>
            <w:tcW w:w="1560" w:type="dxa"/>
            <w:tcBorders>
              <w:top w:val="nil"/>
            </w:tcBorders>
          </w:tcPr>
          <w:p w14:paraId="261AC589">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2.1</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0.3</w:t>
            </w:r>
          </w:p>
        </w:tc>
        <w:tc>
          <w:tcPr>
            <w:tcW w:w="1152" w:type="dxa"/>
            <w:tcBorders>
              <w:top w:val="nil"/>
              <w:bottom w:val="nil"/>
            </w:tcBorders>
            <w:noWrap/>
          </w:tcPr>
          <w:p w14:paraId="6C18D77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8.9</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5.1</w:t>
            </w:r>
          </w:p>
        </w:tc>
        <w:tc>
          <w:tcPr>
            <w:tcW w:w="888" w:type="dxa"/>
            <w:tcBorders>
              <w:top w:val="nil"/>
              <w:bottom w:val="nil"/>
              <w:right w:val="nil"/>
            </w:tcBorders>
            <w:noWrap/>
          </w:tcPr>
          <w:p w14:paraId="100F8B2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TT</w:t>
            </w:r>
          </w:p>
        </w:tc>
        <w:tc>
          <w:tcPr>
            <w:tcW w:w="5772" w:type="dxa"/>
            <w:tcBorders>
              <w:top w:val="nil"/>
              <w:left w:val="nil"/>
              <w:bottom w:val="nil"/>
              <w:right w:val="nil"/>
            </w:tcBorders>
            <w:noWrap/>
          </w:tcPr>
          <w:p w14:paraId="3F5A78F0">
            <w:pPr>
              <w:spacing w:line="400" w:lineRule="exact"/>
              <w:jc w:val="left"/>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60% HRR (RPE 11–13), 10 weeks, 2 times/week, 30 minutes</w:t>
            </w:r>
          </w:p>
        </w:tc>
        <w:tc>
          <w:tcPr>
            <w:tcW w:w="933" w:type="dxa"/>
            <w:vMerge w:val="restart"/>
            <w:tcBorders>
              <w:left w:val="nil"/>
              <w:bottom w:val="single" w:color="auto" w:sz="12" w:space="0"/>
            </w:tcBorders>
          </w:tcPr>
          <w:p w14:paraId="0CDE6F40">
            <w:pPr>
              <w:spacing w:line="400" w:lineRule="exact"/>
              <w:jc w:val="center"/>
              <w:rPr>
                <w:rFonts w:ascii="Times New Roman" w:hAnsi="Times New Roman" w:eastAsia="微软雅黑" w:cs="Times New Roman"/>
                <w:color w:val="auto"/>
                <w:szCs w:val="21"/>
                <w:lang w:bidi="ar"/>
              </w:rPr>
            </w:pPr>
            <w:r>
              <w:rPr>
                <w:rFonts w:ascii="Times New Roman" w:hAnsi="Times New Roman" w:eastAsia="微软雅黑" w:cs="Times New Roman"/>
                <w:color w:val="auto"/>
                <w:szCs w:val="21"/>
                <w:lang w:bidi="ar"/>
              </w:rPr>
              <w:t>③④</w:t>
            </w:r>
          </w:p>
        </w:tc>
      </w:tr>
      <w:tr w14:paraId="6701AC11">
        <w:tblPrEx>
          <w:tblCellMar>
            <w:top w:w="0" w:type="dxa"/>
            <w:left w:w="28" w:type="dxa"/>
            <w:bottom w:w="0" w:type="dxa"/>
            <w:right w:w="28" w:type="dxa"/>
          </w:tblCellMar>
        </w:tblPrEx>
        <w:trPr>
          <w:trHeight w:val="283" w:hRule="atLeast"/>
        </w:trPr>
        <w:tc>
          <w:tcPr>
            <w:tcW w:w="1902" w:type="dxa"/>
            <w:vMerge w:val="continue"/>
            <w:tcBorders>
              <w:bottom w:val="single" w:color="auto" w:sz="12" w:space="0"/>
            </w:tcBorders>
          </w:tcPr>
          <w:p w14:paraId="640C834B">
            <w:pPr>
              <w:spacing w:line="400" w:lineRule="exact"/>
              <w:jc w:val="center"/>
              <w:rPr>
                <w:rFonts w:ascii="Times New Roman" w:hAnsi="Times New Roman" w:eastAsia="宋体" w:cs="Times New Roman"/>
                <w:color w:val="auto"/>
                <w:szCs w:val="21"/>
                <w:lang w:bidi="ar"/>
              </w:rPr>
            </w:pPr>
          </w:p>
        </w:tc>
        <w:tc>
          <w:tcPr>
            <w:tcW w:w="1128" w:type="dxa"/>
            <w:vMerge w:val="continue"/>
            <w:tcBorders>
              <w:bottom w:val="single" w:color="auto" w:sz="12" w:space="0"/>
            </w:tcBorders>
            <w:noWrap/>
          </w:tcPr>
          <w:p w14:paraId="4F15C191">
            <w:pPr>
              <w:spacing w:line="400" w:lineRule="exact"/>
              <w:jc w:val="center"/>
              <w:rPr>
                <w:rFonts w:ascii="Times New Roman" w:hAnsi="Times New Roman" w:eastAsia="宋体" w:cs="Times New Roman"/>
                <w:color w:val="auto"/>
                <w:szCs w:val="21"/>
                <w:lang w:bidi="ar"/>
              </w:rPr>
            </w:pPr>
          </w:p>
        </w:tc>
        <w:tc>
          <w:tcPr>
            <w:tcW w:w="768" w:type="dxa"/>
            <w:tcBorders>
              <w:top w:val="nil"/>
              <w:bottom w:val="single" w:color="auto" w:sz="12" w:space="0"/>
            </w:tcBorders>
            <w:noWrap/>
          </w:tcPr>
          <w:p w14:paraId="10AFB20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CG:9</w:t>
            </w:r>
          </w:p>
        </w:tc>
        <w:tc>
          <w:tcPr>
            <w:tcW w:w="1307" w:type="dxa"/>
            <w:tcBorders>
              <w:top w:val="nil"/>
              <w:bottom w:val="single" w:color="auto" w:sz="12" w:space="0"/>
            </w:tcBorders>
            <w:noWrap/>
          </w:tcPr>
          <w:p w14:paraId="3F4E05B8">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61.6</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8.6</w:t>
            </w:r>
          </w:p>
        </w:tc>
        <w:tc>
          <w:tcPr>
            <w:tcW w:w="1560" w:type="dxa"/>
            <w:tcBorders>
              <w:bottom w:val="single" w:color="auto" w:sz="12" w:space="0"/>
            </w:tcBorders>
          </w:tcPr>
          <w:p w14:paraId="2F3E46C0">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H&amp;Y</w:t>
            </w:r>
            <w:r>
              <w:rPr>
                <w:rFonts w:hint="eastAsia" w:ascii="Times New Roman" w:hAnsi="Times New Roman" w:eastAsia="宋体" w:cs="Times New Roman"/>
                <w:color w:val="auto"/>
                <w:szCs w:val="21"/>
                <w:lang w:bidi="ar"/>
              </w:rPr>
              <w:t xml:space="preserve"> </w:t>
            </w:r>
            <w:r>
              <w:rPr>
                <w:rFonts w:ascii="Times New Roman" w:hAnsi="Times New Roman" w:eastAsia="宋体" w:cs="Times New Roman"/>
                <w:color w:val="auto"/>
                <w:szCs w:val="21"/>
                <w:lang w:bidi="ar"/>
              </w:rPr>
              <w:t>2.0</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0.4</w:t>
            </w:r>
          </w:p>
        </w:tc>
        <w:tc>
          <w:tcPr>
            <w:tcW w:w="1152" w:type="dxa"/>
            <w:tcBorders>
              <w:top w:val="nil"/>
              <w:bottom w:val="single" w:color="auto" w:sz="12" w:space="0"/>
            </w:tcBorders>
            <w:noWrap/>
          </w:tcPr>
          <w:p w14:paraId="032D049A">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8.5</w:t>
            </w:r>
            <w:r>
              <w:rPr>
                <w:rFonts w:hint="eastAsia" w:ascii="Times New Roman" w:hAnsi="Times New Roman" w:eastAsia="宋体" w:cs="Times New Roman"/>
                <w:color w:val="auto"/>
                <w:szCs w:val="21"/>
                <w:lang w:bidi="ar"/>
              </w:rPr>
              <w:t xml:space="preserve"> ± </w:t>
            </w:r>
            <w:r>
              <w:rPr>
                <w:rFonts w:ascii="Times New Roman" w:hAnsi="Times New Roman" w:eastAsia="宋体" w:cs="Times New Roman"/>
                <w:color w:val="auto"/>
                <w:szCs w:val="21"/>
                <w:lang w:bidi="ar"/>
              </w:rPr>
              <w:t>6.3</w:t>
            </w:r>
          </w:p>
        </w:tc>
        <w:tc>
          <w:tcPr>
            <w:tcW w:w="888" w:type="dxa"/>
            <w:tcBorders>
              <w:top w:val="nil"/>
              <w:bottom w:val="single" w:color="auto" w:sz="12" w:space="0"/>
            </w:tcBorders>
            <w:noWrap/>
          </w:tcPr>
          <w:p w14:paraId="71163B0B">
            <w:pPr>
              <w:spacing w:line="400" w:lineRule="exact"/>
              <w:jc w:val="center"/>
              <w:textAlignment w:val="center"/>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CON</w:t>
            </w:r>
          </w:p>
        </w:tc>
        <w:tc>
          <w:tcPr>
            <w:tcW w:w="5772" w:type="dxa"/>
            <w:tcBorders>
              <w:top w:val="nil"/>
              <w:bottom w:val="single" w:color="auto" w:sz="12" w:space="0"/>
            </w:tcBorders>
            <w:noWrap/>
          </w:tcPr>
          <w:p w14:paraId="7CE4108D">
            <w:pPr>
              <w:spacing w:line="400" w:lineRule="exact"/>
              <w:jc w:val="left"/>
              <w:rPr>
                <w:rFonts w:ascii="Times New Roman" w:hAnsi="Times New Roman" w:eastAsia="宋体" w:cs="Times New Roman"/>
                <w:color w:val="auto"/>
                <w:szCs w:val="21"/>
                <w:lang w:bidi="ar"/>
              </w:rPr>
            </w:pPr>
            <w:r>
              <w:rPr>
                <w:rFonts w:ascii="Times New Roman" w:hAnsi="Times New Roman" w:eastAsia="宋体" w:cs="Times New Roman"/>
                <w:color w:val="auto"/>
                <w:szCs w:val="21"/>
                <w:lang w:bidi="ar"/>
              </w:rPr>
              <w:t>usual care and usual daily activities</w:t>
            </w:r>
          </w:p>
        </w:tc>
        <w:tc>
          <w:tcPr>
            <w:tcW w:w="933" w:type="dxa"/>
            <w:vMerge w:val="continue"/>
            <w:tcBorders>
              <w:top w:val="single" w:color="auto" w:sz="12" w:space="0"/>
              <w:bottom w:val="single" w:color="auto" w:sz="12" w:space="0"/>
            </w:tcBorders>
          </w:tcPr>
          <w:p w14:paraId="545BF638">
            <w:pPr>
              <w:spacing w:line="400" w:lineRule="exact"/>
              <w:jc w:val="center"/>
              <w:rPr>
                <w:rFonts w:ascii="Times New Roman" w:hAnsi="Times New Roman" w:eastAsia="宋体" w:cs="Times New Roman"/>
                <w:color w:val="auto"/>
                <w:szCs w:val="21"/>
                <w:lang w:bidi="ar"/>
              </w:rPr>
            </w:pPr>
          </w:p>
        </w:tc>
      </w:tr>
    </w:tbl>
    <w:p w14:paraId="4632ED54">
      <w:pPr>
        <w:spacing w:line="360" w:lineRule="exact"/>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①UPDRS-Ⅲ</w:t>
      </w:r>
      <w:r>
        <w:rPr>
          <w:rFonts w:hint="eastAsia" w:ascii="Times New Roman" w:hAnsi="Times New Roman" w:eastAsia="宋体" w:cs="Times New Roman"/>
          <w:color w:val="auto"/>
          <w:sz w:val="18"/>
          <w:szCs w:val="18"/>
        </w:rPr>
        <w:t xml:space="preserve"> = </w:t>
      </w:r>
      <w:r>
        <w:rPr>
          <w:rFonts w:ascii="Times New Roman" w:hAnsi="Times New Roman" w:eastAsia="宋体" w:cs="Times New Roman"/>
          <w:color w:val="auto"/>
          <w:sz w:val="18"/>
          <w:szCs w:val="18"/>
        </w:rPr>
        <w:t>Unified Parkinson’s Disease Rating Scale Part III, ②Mini-BESTest</w:t>
      </w:r>
      <w:r>
        <w:rPr>
          <w:rFonts w:hint="eastAsia" w:ascii="Times New Roman" w:hAnsi="Times New Roman" w:eastAsia="宋体" w:cs="Times New Roman"/>
          <w:color w:val="auto"/>
          <w:sz w:val="18"/>
          <w:szCs w:val="18"/>
        </w:rPr>
        <w:t xml:space="preserve"> = </w:t>
      </w:r>
      <w:r>
        <w:rPr>
          <w:rFonts w:ascii="Times New Roman" w:hAnsi="Times New Roman" w:eastAsia="宋体" w:cs="Times New Roman"/>
          <w:color w:val="auto"/>
          <w:sz w:val="18"/>
          <w:szCs w:val="18"/>
        </w:rPr>
        <w:t>Mini-Balance Evaluation Systems Test, ③6MWT = Six-Minute Walk Test, ④TUG</w:t>
      </w:r>
      <w:r>
        <w:rPr>
          <w:rFonts w:hint="eastAsia" w:ascii="Times New Roman" w:hAnsi="Times New Roman" w:eastAsia="宋体" w:cs="Times New Roman"/>
          <w:color w:val="auto"/>
          <w:sz w:val="18"/>
          <w:szCs w:val="18"/>
        </w:rPr>
        <w:t xml:space="preserve"> = </w:t>
      </w:r>
      <w:r>
        <w:rPr>
          <w:rFonts w:ascii="Times New Roman" w:hAnsi="Times New Roman" w:eastAsia="宋体" w:cs="Times New Roman"/>
          <w:color w:val="auto"/>
          <w:sz w:val="18"/>
          <w:szCs w:val="18"/>
        </w:rPr>
        <w:t>Timed Up and Go, ⑤BBS</w:t>
      </w:r>
      <w:r>
        <w:rPr>
          <w:rFonts w:hint="eastAsia" w:ascii="Times New Roman" w:hAnsi="Times New Roman" w:eastAsia="宋体" w:cs="Times New Roman"/>
          <w:color w:val="auto"/>
          <w:sz w:val="18"/>
          <w:szCs w:val="18"/>
        </w:rPr>
        <w:t xml:space="preserve"> = </w:t>
      </w:r>
      <w:r>
        <w:rPr>
          <w:rFonts w:ascii="Times New Roman" w:hAnsi="Times New Roman" w:eastAsia="宋体" w:cs="Times New Roman"/>
          <w:color w:val="auto"/>
          <w:sz w:val="18"/>
          <w:szCs w:val="18"/>
        </w:rPr>
        <w:t>Berg Balance Scale, ⑥PDQ-39</w:t>
      </w:r>
      <w:r>
        <w:rPr>
          <w:rFonts w:hint="eastAsia" w:ascii="Times New Roman" w:hAnsi="Times New Roman" w:eastAsia="宋体" w:cs="Times New Roman"/>
          <w:color w:val="auto"/>
          <w:sz w:val="18"/>
          <w:szCs w:val="18"/>
        </w:rPr>
        <w:t xml:space="preserve"> = </w:t>
      </w:r>
      <w:r>
        <w:rPr>
          <w:rFonts w:ascii="Times New Roman" w:hAnsi="Times New Roman" w:eastAsia="宋体" w:cs="Times New Roman"/>
          <w:color w:val="auto"/>
          <w:sz w:val="18"/>
          <w:szCs w:val="18"/>
        </w:rPr>
        <w:t xml:space="preserve">39-item Parkinson’s Disease Questionnaire, ⑦TT = Treadmill Training, ⑧NW = Nordic Walking, ⑨AE = Aerobic Exercise, ⑩NR = Not Reported, ⑪IG = Intervention Group, ⑫CG = Control Group, ⑬HRR = heart rate reserve, </w:t>
      </w:r>
      <w:r>
        <w:rPr>
          <w:rFonts w:ascii="Times New Roman" w:hAnsi="Times New Roman" w:eastAsia="微软雅黑" w:cs="Times New Roman"/>
          <w:color w:val="auto"/>
          <w:sz w:val="18"/>
          <w:szCs w:val="18"/>
        </w:rPr>
        <w:t>⑭</w:t>
      </w:r>
      <w:r>
        <w:rPr>
          <w:rFonts w:ascii="Times New Roman" w:hAnsi="Times New Roman" w:eastAsia="宋体" w:cs="Times New Roman"/>
          <w:color w:val="auto"/>
          <w:sz w:val="18"/>
          <w:szCs w:val="18"/>
        </w:rPr>
        <w:t>VO</w:t>
      </w:r>
      <w:r>
        <w:rPr>
          <w:rFonts w:ascii="Times New Roman" w:hAnsi="Times New Roman" w:eastAsia="宋体" w:cs="Times New Roman"/>
          <w:color w:val="auto"/>
          <w:sz w:val="18"/>
          <w:szCs w:val="18"/>
          <w:vertAlign w:val="subscript"/>
        </w:rPr>
        <w:t>2</w:t>
      </w:r>
      <w:r>
        <w:rPr>
          <w:rFonts w:ascii="Times New Roman" w:hAnsi="Times New Roman" w:eastAsia="宋体" w:cs="Times New Roman"/>
          <w:color w:val="auto"/>
          <w:sz w:val="18"/>
          <w:szCs w:val="18"/>
        </w:rPr>
        <w:t>max = maximal oxygen uptake, ⑮RPE = rating of perceived exertion, ⑯HRmax = maximal heart rate, ⑰H&amp;Y=Hoehn and Yahr</w:t>
      </w:r>
      <w:r>
        <w:rPr>
          <w:rFonts w:ascii="Times New Roman" w:hAnsi="Times New Roman" w:eastAsia="宋体" w:cs="Times New Roman"/>
          <w:color w:val="auto"/>
          <w:sz w:val="18"/>
          <w:szCs w:val="18"/>
        </w:rPr>
        <w:br w:type="page"/>
      </w:r>
    </w:p>
    <w:p w14:paraId="2AC79199">
      <w:pPr>
        <w:spacing w:line="360" w:lineRule="exact"/>
        <w:rPr>
          <w:rFonts w:ascii="Times New Roman" w:hAnsi="Times New Roman" w:eastAsia="宋体" w:cs="Times New Roman"/>
          <w:color w:val="auto"/>
          <w:sz w:val="18"/>
          <w:szCs w:val="18"/>
        </w:rPr>
        <w:sectPr>
          <w:pgSz w:w="16838" w:h="11906" w:orient="landscape"/>
          <w:pgMar w:top="720" w:right="720" w:bottom="720" w:left="720" w:header="851" w:footer="992" w:gutter="0"/>
          <w:cols w:space="425" w:num="1"/>
          <w:docGrid w:type="lines" w:linePitch="312" w:charSpace="0"/>
        </w:sectPr>
      </w:pPr>
    </w:p>
    <w:p w14:paraId="45296B81">
      <w:pPr>
        <w:pStyle w:val="9"/>
        <w:spacing w:line="360" w:lineRule="exact"/>
        <w:ind w:left="422" w:hanging="422" w:hangingChars="200"/>
        <w:rPr>
          <w:rFonts w:ascii="Times New Roman" w:hAnsi="Times New Roman" w:eastAsia="宋体" w:cs="Times New Roman"/>
          <w:b/>
          <w:bCs/>
          <w:color w:val="auto"/>
        </w:rPr>
      </w:pPr>
      <w:r>
        <w:rPr>
          <w:rFonts w:ascii="Times New Roman" w:hAnsi="Times New Roman" w:cs="Times New Roman"/>
          <w:b/>
          <w:bCs/>
          <w:color w:val="auto"/>
          <w:szCs w:val="21"/>
        </w:rPr>
        <w:t>Appendix</w:t>
      </w:r>
      <w:r>
        <w:rPr>
          <w:rFonts w:ascii="Times New Roman" w:hAnsi="Times New Roman" w:eastAsia="宋体" w:cs="Times New Roman"/>
          <w:b/>
          <w:bCs/>
          <w:color w:val="auto"/>
          <w:szCs w:val="21"/>
        </w:rPr>
        <w:t xml:space="preserve"> </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 xml:space="preserve"> </w:t>
      </w:r>
      <w:r>
        <w:rPr>
          <w:rFonts w:ascii="Times New Roman" w:hAnsi="Times New Roman" w:cs="Times New Roman"/>
          <w:color w:val="auto"/>
          <w:szCs w:val="21"/>
        </w:rPr>
        <w:t>List of Included Studies</w:t>
      </w:r>
    </w:p>
    <w:p w14:paraId="610E144B">
      <w:pPr>
        <w:pStyle w:val="9"/>
        <w:spacing w:line="360" w:lineRule="exact"/>
        <w:ind w:left="422" w:hanging="422" w:hangingChars="200"/>
        <w:rPr>
          <w:rFonts w:ascii="Times New Roman" w:hAnsi="Times New Roman" w:cs="Times New Roman"/>
          <w:color w:val="auto"/>
        </w:rPr>
      </w:pPr>
      <w:r>
        <w:rPr>
          <w:rFonts w:ascii="Times New Roman" w:hAnsi="Times New Roman" w:eastAsia="宋体" w:cs="Times New Roman"/>
          <w:b/>
          <w:bCs/>
          <w:color w:val="auto"/>
        </w:rPr>
        <w:fldChar w:fldCharType="begin"/>
      </w:r>
      <w:r>
        <w:rPr>
          <w:rFonts w:hint="eastAsia" w:ascii="Times New Roman" w:hAnsi="Times New Roman" w:eastAsia="宋体" w:cs="Times New Roman"/>
          <w:b/>
          <w:bCs/>
          <w:color w:val="auto"/>
        </w:rPr>
        <w:instrText xml:space="preserve"> ADDIN ZOTERO_BIBL {"uncited":[],"omitted":[],"custom":[]} CSL_BIBLIOGRAPHY </w:instrText>
      </w:r>
      <w:r>
        <w:rPr>
          <w:rFonts w:ascii="Times New Roman" w:hAnsi="Times New Roman" w:eastAsia="宋体" w:cs="Times New Roman"/>
          <w:b/>
          <w:bCs/>
          <w:color w:val="auto"/>
        </w:rPr>
        <w:fldChar w:fldCharType="separate"/>
      </w:r>
      <w:r>
        <w:rPr>
          <w:rFonts w:ascii="Times New Roman" w:hAnsi="Times New Roman" w:cs="Times New Roman"/>
          <w:color w:val="auto"/>
        </w:rPr>
        <w:t xml:space="preserve">1. Duncan, R. P., &amp; Earhart, G. M. (2014). Are the effects of community-based dance on parkinson disease severity, balance, and functional mobility reduced with time? A 2-year prospective pilot study. </w:t>
      </w:r>
      <w:r>
        <w:rPr>
          <w:rFonts w:ascii="Times New Roman" w:hAnsi="Times New Roman" w:cs="Times New Roman"/>
          <w:i/>
          <w:color w:val="auto"/>
        </w:rPr>
        <w:t>The Journal of Alternative and Complementary Medicine</w:t>
      </w:r>
      <w:r>
        <w:rPr>
          <w:rFonts w:ascii="Times New Roman" w:hAnsi="Times New Roman" w:cs="Times New Roman"/>
          <w:color w:val="auto"/>
        </w:rPr>
        <w:t xml:space="preserve">, </w:t>
      </w:r>
      <w:r>
        <w:rPr>
          <w:rFonts w:ascii="Times New Roman" w:hAnsi="Times New Roman" w:cs="Times New Roman"/>
          <w:i/>
          <w:color w:val="auto"/>
        </w:rPr>
        <w:t>20</w:t>
      </w:r>
      <w:r>
        <w:rPr>
          <w:rFonts w:ascii="Times New Roman" w:hAnsi="Times New Roman" w:cs="Times New Roman"/>
          <w:color w:val="auto"/>
        </w:rPr>
        <w:t>(10), 757–763. https://doi.org/10.1089/acm.2012.0774</w:t>
      </w:r>
    </w:p>
    <w:p w14:paraId="742D78AE">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 Li, Z., Wang, T., Shen, M., Song, T., He, J., Guo, W., Wang, Z., &amp; Zhuang, J. (2022). Comparison of wuqinxi qigong with stretching on single- and dual-task gait, motor symptoms and quality of life in parkinson’s disease: A preliminary randomized control study. </w:t>
      </w:r>
      <w:r>
        <w:rPr>
          <w:rFonts w:ascii="Times New Roman" w:hAnsi="Times New Roman" w:cs="Times New Roman"/>
          <w:i/>
          <w:color w:val="auto"/>
        </w:rPr>
        <w:t>International Journal of Environmental Research and Public Health</w:t>
      </w:r>
      <w:r>
        <w:rPr>
          <w:rFonts w:ascii="Times New Roman" w:hAnsi="Times New Roman" w:cs="Times New Roman"/>
          <w:color w:val="auto"/>
        </w:rPr>
        <w:t xml:space="preserve">, </w:t>
      </w:r>
      <w:r>
        <w:rPr>
          <w:rFonts w:ascii="Times New Roman" w:hAnsi="Times New Roman" w:cs="Times New Roman"/>
          <w:i/>
          <w:color w:val="auto"/>
        </w:rPr>
        <w:t>19</w:t>
      </w:r>
      <w:r>
        <w:rPr>
          <w:rFonts w:ascii="Times New Roman" w:hAnsi="Times New Roman" w:cs="Times New Roman"/>
          <w:color w:val="auto"/>
        </w:rPr>
        <w:t>(13), 8042. https://doi.org/10.3390/ijerph19138042</w:t>
      </w:r>
    </w:p>
    <w:p w14:paraId="0F7B9995">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3. Alessandro Carvalho, A., Barbirato, D., Santos, T., Coutinho, E., Laks, J., Deslandes, A., Araujo, N., Martins, J., &amp; Cavalcanti, J. (2015). Comparison of strength training, aerobic training, and additional physical therapy as supplementary treatments for parkinson&amp;rsquo;s disease: Pilot study. </w:t>
      </w:r>
      <w:r>
        <w:rPr>
          <w:rFonts w:ascii="Times New Roman" w:hAnsi="Times New Roman" w:cs="Times New Roman"/>
          <w:i/>
          <w:color w:val="auto"/>
        </w:rPr>
        <w:t>Clinical Interventions in Aging</w:t>
      </w:r>
      <w:r>
        <w:rPr>
          <w:rFonts w:ascii="Times New Roman" w:hAnsi="Times New Roman" w:cs="Times New Roman"/>
          <w:color w:val="auto"/>
        </w:rPr>
        <w:t>, 183. https://doi.org/10.2147/CIA.S68779</w:t>
      </w:r>
    </w:p>
    <w:p w14:paraId="13BFB20A">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4. Sage, M. D., &amp; Almeida, Q. J. (2009). Symptom and gait changes after sensory attention focused exercise vs aerobic training in parkinson’s disease. </w:t>
      </w:r>
      <w:r>
        <w:rPr>
          <w:rFonts w:ascii="Times New Roman" w:hAnsi="Times New Roman" w:cs="Times New Roman"/>
          <w:i/>
          <w:color w:val="auto"/>
        </w:rPr>
        <w:t>Movement Disorders</w:t>
      </w:r>
      <w:r>
        <w:rPr>
          <w:rFonts w:ascii="Times New Roman" w:hAnsi="Times New Roman" w:cs="Times New Roman"/>
          <w:color w:val="auto"/>
        </w:rPr>
        <w:t xml:space="preserve">, </w:t>
      </w:r>
      <w:r>
        <w:rPr>
          <w:rFonts w:ascii="Times New Roman" w:hAnsi="Times New Roman" w:cs="Times New Roman"/>
          <w:i/>
          <w:color w:val="auto"/>
        </w:rPr>
        <w:t>24</w:t>
      </w:r>
      <w:r>
        <w:rPr>
          <w:rFonts w:ascii="Times New Roman" w:hAnsi="Times New Roman" w:cs="Times New Roman"/>
          <w:color w:val="auto"/>
        </w:rPr>
        <w:t>(8), 1132–1138. https://doi.org/10.1002/mds.22469</w:t>
      </w:r>
    </w:p>
    <w:p w14:paraId="3C1DD2FE">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5. Shanahan, J., Morris, M. E., Bhriain, O. N., Volpe, D., Lynch, T., &amp; Clifford, A. M. (2017). Dancing for parkinson disease: A randomized trial of irish set dancing compared with usual care. </w:t>
      </w:r>
      <w:r>
        <w:rPr>
          <w:rFonts w:ascii="Times New Roman" w:hAnsi="Times New Roman" w:cs="Times New Roman"/>
          <w:i/>
          <w:color w:val="auto"/>
        </w:rPr>
        <w:t>Archives of Physical Medicine and Rehabilitation</w:t>
      </w:r>
      <w:r>
        <w:rPr>
          <w:rFonts w:ascii="Times New Roman" w:hAnsi="Times New Roman" w:cs="Times New Roman"/>
          <w:color w:val="auto"/>
        </w:rPr>
        <w:t xml:space="preserve">, </w:t>
      </w:r>
      <w:r>
        <w:rPr>
          <w:rFonts w:ascii="Times New Roman" w:hAnsi="Times New Roman" w:cs="Times New Roman"/>
          <w:i/>
          <w:color w:val="auto"/>
        </w:rPr>
        <w:t>98</w:t>
      </w:r>
      <w:r>
        <w:rPr>
          <w:rFonts w:ascii="Times New Roman" w:hAnsi="Times New Roman" w:cs="Times New Roman"/>
          <w:color w:val="auto"/>
        </w:rPr>
        <w:t>(9), 1744–1751. https://doi.org/10.1016/j.apmr.2017.02.017</w:t>
      </w:r>
    </w:p>
    <w:p w14:paraId="5F343E4D">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6. Tollár, J., Nagy, F., &amp; Hortobágyi, T. (2019). Vastly different exercise programs similarly improve parkinsonian symptoms: A randomized clinical trial. </w:t>
      </w:r>
      <w:r>
        <w:rPr>
          <w:rFonts w:ascii="Times New Roman" w:hAnsi="Times New Roman" w:cs="Times New Roman"/>
          <w:i/>
          <w:color w:val="auto"/>
        </w:rPr>
        <w:t>Gerontology</w:t>
      </w:r>
      <w:r>
        <w:rPr>
          <w:rFonts w:ascii="Times New Roman" w:hAnsi="Times New Roman" w:cs="Times New Roman"/>
          <w:color w:val="auto"/>
        </w:rPr>
        <w:t xml:space="preserve">, </w:t>
      </w:r>
      <w:r>
        <w:rPr>
          <w:rFonts w:ascii="Times New Roman" w:hAnsi="Times New Roman" w:cs="Times New Roman"/>
          <w:i/>
          <w:color w:val="auto"/>
        </w:rPr>
        <w:t>65</w:t>
      </w:r>
      <w:r>
        <w:rPr>
          <w:rFonts w:ascii="Times New Roman" w:hAnsi="Times New Roman" w:cs="Times New Roman"/>
          <w:color w:val="auto"/>
        </w:rPr>
        <w:t>(2), 120–127. https://doi.org/10.1159/000493127</w:t>
      </w:r>
    </w:p>
    <w:p w14:paraId="7246FC9E">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7. Chang, C.-L., Lin, T.-K., Pan, C.-Y., Wang, T.-C., Tseng, Y.-T., Chien, C.-Y., &amp; Tsai, C.-L. (2024). Distinct effects of long-term tai chi chuan and aerobic exercise interventions on motor and neurocognitive performance in early-stage parkinson’s disease: A randomized controlled trial. </w:t>
      </w:r>
      <w:r>
        <w:rPr>
          <w:rFonts w:ascii="Times New Roman" w:hAnsi="Times New Roman" w:cs="Times New Roman"/>
          <w:i/>
          <w:color w:val="auto"/>
        </w:rPr>
        <w:t>European Journal of Physical and Rehabilitation Medicine</w:t>
      </w:r>
      <w:r>
        <w:rPr>
          <w:rFonts w:ascii="Times New Roman" w:hAnsi="Times New Roman" w:cs="Times New Roman"/>
          <w:color w:val="auto"/>
        </w:rPr>
        <w:t xml:space="preserve">, </w:t>
      </w:r>
      <w:r>
        <w:rPr>
          <w:rFonts w:ascii="Times New Roman" w:hAnsi="Times New Roman" w:cs="Times New Roman"/>
          <w:i/>
          <w:color w:val="auto"/>
        </w:rPr>
        <w:t>60</w:t>
      </w:r>
      <w:r>
        <w:rPr>
          <w:rFonts w:ascii="Times New Roman" w:hAnsi="Times New Roman" w:cs="Times New Roman"/>
          <w:color w:val="auto"/>
        </w:rPr>
        <w:t>(4). https://doi.org/10.23736/S1973-9087.24.08166-8</w:t>
      </w:r>
    </w:p>
    <w:p w14:paraId="285621C6">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8. Sacheli, M. A., Neva, J. L., Lakhani, B., Murray, D. K., Vafai, N., Shahinfard, E., English, C., McCormick, S., Dinelle, K., Neilson, N., McKenzie, J., Schulzer, M., McKenzie, D. C., Appel‐Cresswell, S., McKeown, M. J., Boyd, L. A., Sossi, V., &amp; Stoessl, A. J. (2019). Exercise increases caudate dopamine release and ventral striatal activation in parkinson’s disease. </w:t>
      </w:r>
      <w:r>
        <w:rPr>
          <w:rFonts w:ascii="Times New Roman" w:hAnsi="Times New Roman" w:cs="Times New Roman"/>
          <w:i/>
          <w:color w:val="auto"/>
        </w:rPr>
        <w:t>Movement Disorders</w:t>
      </w:r>
      <w:r>
        <w:rPr>
          <w:rFonts w:ascii="Times New Roman" w:hAnsi="Times New Roman" w:cs="Times New Roman"/>
          <w:color w:val="auto"/>
        </w:rPr>
        <w:t xml:space="preserve">, </w:t>
      </w:r>
      <w:r>
        <w:rPr>
          <w:rFonts w:ascii="Times New Roman" w:hAnsi="Times New Roman" w:cs="Times New Roman"/>
          <w:i/>
          <w:color w:val="auto"/>
        </w:rPr>
        <w:t>34</w:t>
      </w:r>
      <w:r>
        <w:rPr>
          <w:rFonts w:ascii="Times New Roman" w:hAnsi="Times New Roman" w:cs="Times New Roman"/>
          <w:color w:val="auto"/>
        </w:rPr>
        <w:t>(12), 1891–1900. https://doi.org/10.1002/mds.27865</w:t>
      </w:r>
    </w:p>
    <w:p w14:paraId="0B5A83D2">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9. Cakit, B. D., Saracoglu, M., Genc, H., Erdem, H. R., &amp; Inan, L. (2007). The effects of incremental speed-dependent treadmill training on postural instability and fear of falling in parkinson’s disease. </w:t>
      </w:r>
      <w:r>
        <w:rPr>
          <w:rFonts w:ascii="Times New Roman" w:hAnsi="Times New Roman" w:cs="Times New Roman"/>
          <w:i/>
          <w:color w:val="auto"/>
        </w:rPr>
        <w:t>Clinical Rehabilitation</w:t>
      </w:r>
      <w:r>
        <w:rPr>
          <w:rFonts w:ascii="Times New Roman" w:hAnsi="Times New Roman" w:cs="Times New Roman"/>
          <w:color w:val="auto"/>
        </w:rPr>
        <w:t xml:space="preserve">, </w:t>
      </w:r>
      <w:r>
        <w:rPr>
          <w:rFonts w:ascii="Times New Roman" w:hAnsi="Times New Roman" w:cs="Times New Roman"/>
          <w:i/>
          <w:color w:val="auto"/>
        </w:rPr>
        <w:t>21</w:t>
      </w:r>
      <w:r>
        <w:rPr>
          <w:rFonts w:ascii="Times New Roman" w:hAnsi="Times New Roman" w:cs="Times New Roman"/>
          <w:color w:val="auto"/>
        </w:rPr>
        <w:t>(8), 698–705. https://doi.org/10.1177/0269215507077269</w:t>
      </w:r>
    </w:p>
    <w:p w14:paraId="2A7FCF6E">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10. Van Der Kolk, N. M., De Vries, N. M., Kessels, R. P. C., Joosten, H., Zwinderman, A. H., Post, B., &amp; Bloem, B. R. (2019). Effectiveness of home-based and remotely supervised aerobic exercise in parkinson’s disease: A double-blind, randomised controlled trial. </w:t>
      </w:r>
      <w:r>
        <w:rPr>
          <w:rFonts w:ascii="Times New Roman" w:hAnsi="Times New Roman" w:cs="Times New Roman"/>
          <w:i/>
          <w:color w:val="auto"/>
        </w:rPr>
        <w:t>The Lancet Neurology</w:t>
      </w:r>
      <w:r>
        <w:rPr>
          <w:rFonts w:ascii="Times New Roman" w:hAnsi="Times New Roman" w:cs="Times New Roman"/>
          <w:color w:val="auto"/>
        </w:rPr>
        <w:t xml:space="preserve">, </w:t>
      </w:r>
      <w:r>
        <w:rPr>
          <w:rFonts w:ascii="Times New Roman" w:hAnsi="Times New Roman" w:cs="Times New Roman"/>
          <w:i/>
          <w:color w:val="auto"/>
        </w:rPr>
        <w:t>18</w:t>
      </w:r>
      <w:r>
        <w:rPr>
          <w:rFonts w:ascii="Times New Roman" w:hAnsi="Times New Roman" w:cs="Times New Roman"/>
          <w:color w:val="auto"/>
        </w:rPr>
        <w:t>(11), 998–1008. https://doi.org/10.1016/S1474-4422(19)30285-6</w:t>
      </w:r>
    </w:p>
    <w:p w14:paraId="04457506">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11. Nadeau, A., Pourcher, E., &amp; Corbeil, P. (2014). Effects of 24 wk of treadmill training on gait performance in parkinson’s disease. </w:t>
      </w:r>
      <w:r>
        <w:rPr>
          <w:rFonts w:ascii="Times New Roman" w:hAnsi="Times New Roman" w:cs="Times New Roman"/>
          <w:i/>
          <w:color w:val="auto"/>
        </w:rPr>
        <w:t>Medicine &amp; Science in Sports &amp; Exercise</w:t>
      </w:r>
      <w:r>
        <w:rPr>
          <w:rFonts w:ascii="Times New Roman" w:hAnsi="Times New Roman" w:cs="Times New Roman"/>
          <w:color w:val="auto"/>
        </w:rPr>
        <w:t xml:space="preserve">, </w:t>
      </w:r>
      <w:r>
        <w:rPr>
          <w:rFonts w:ascii="Times New Roman" w:hAnsi="Times New Roman" w:cs="Times New Roman"/>
          <w:i/>
          <w:color w:val="auto"/>
        </w:rPr>
        <w:t>46</w:t>
      </w:r>
      <w:r>
        <w:rPr>
          <w:rFonts w:ascii="Times New Roman" w:hAnsi="Times New Roman" w:cs="Times New Roman"/>
          <w:color w:val="auto"/>
        </w:rPr>
        <w:t>(4), 645–655. https://doi.org/10.1249/MSS.0000000000000144</w:t>
      </w:r>
    </w:p>
    <w:p w14:paraId="77A71449">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12. Shen, M., Pi, Y.-L., Li, Z., Song, T., Jie, K., Wang, T., Guo, W., Zhuang, J., &amp; Wang, Z. (2021). The feasibility and positive effects of wuqinxi exercise on the cognitive and motor functions of patients with parkinson’s disease: A pilot study. </w:t>
      </w:r>
      <w:r>
        <w:rPr>
          <w:rFonts w:ascii="Times New Roman" w:hAnsi="Times New Roman" w:cs="Times New Roman"/>
          <w:i/>
          <w:color w:val="auto"/>
        </w:rPr>
        <w:t>Evidence-Based Complementary and Alternative Medicine</w:t>
      </w:r>
      <w:r>
        <w:rPr>
          <w:rFonts w:ascii="Times New Roman" w:hAnsi="Times New Roman" w:cs="Times New Roman"/>
          <w:color w:val="auto"/>
        </w:rPr>
        <w:t xml:space="preserve">, </w:t>
      </w:r>
      <w:r>
        <w:rPr>
          <w:rFonts w:ascii="Times New Roman" w:hAnsi="Times New Roman" w:cs="Times New Roman"/>
          <w:i/>
          <w:color w:val="auto"/>
        </w:rPr>
        <w:t>2021</w:t>
      </w:r>
      <w:r>
        <w:rPr>
          <w:rFonts w:ascii="Times New Roman" w:hAnsi="Times New Roman" w:cs="Times New Roman"/>
          <w:color w:val="auto"/>
        </w:rPr>
        <w:t>, 1–7. https://doi.org/10.1155/2021/8833736</w:t>
      </w:r>
    </w:p>
    <w:p w14:paraId="5FC21BB2">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13. Volpe, D., Signorini, M., Marchetto, A., Lynch, T., &amp; Morris, M. E. (2013). A comparison of Irish set dancing and exercises for people with Parkinson’s disease: A phase II feasibility study. </w:t>
      </w:r>
      <w:r>
        <w:rPr>
          <w:rFonts w:ascii="Times New Roman" w:hAnsi="Times New Roman" w:cs="Times New Roman"/>
          <w:i/>
          <w:color w:val="auto"/>
        </w:rPr>
        <w:t>BMC Geriatrics</w:t>
      </w:r>
      <w:r>
        <w:rPr>
          <w:rFonts w:ascii="Times New Roman" w:hAnsi="Times New Roman" w:cs="Times New Roman"/>
          <w:color w:val="auto"/>
        </w:rPr>
        <w:t xml:space="preserve">, </w:t>
      </w:r>
      <w:r>
        <w:rPr>
          <w:rFonts w:ascii="Times New Roman" w:hAnsi="Times New Roman" w:cs="Times New Roman"/>
          <w:i/>
          <w:color w:val="auto"/>
        </w:rPr>
        <w:t>13</w:t>
      </w:r>
      <w:r>
        <w:rPr>
          <w:rFonts w:ascii="Times New Roman" w:hAnsi="Times New Roman" w:cs="Times New Roman"/>
          <w:color w:val="auto"/>
        </w:rPr>
        <w:t>(1), 54. https://doi.org/10.1186/1471-2318-13-54</w:t>
      </w:r>
    </w:p>
    <w:p w14:paraId="34AD5A26">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14. Ventura, M. I., Barnes, D. E., Ross, J. M., Lanni, K. E., Sigvardt, K. A., &amp; Disbrow, E. A. (2016). A pilot study to evaluate multi-dimensional effects of dance for people with parkinson’s disease. </w:t>
      </w:r>
      <w:r>
        <w:rPr>
          <w:rFonts w:ascii="Times New Roman" w:hAnsi="Times New Roman" w:cs="Times New Roman"/>
          <w:i/>
          <w:color w:val="auto"/>
        </w:rPr>
        <w:t>Contemporary Clinical Trials</w:t>
      </w:r>
      <w:r>
        <w:rPr>
          <w:rFonts w:ascii="Times New Roman" w:hAnsi="Times New Roman" w:cs="Times New Roman"/>
          <w:color w:val="auto"/>
        </w:rPr>
        <w:t xml:space="preserve">, </w:t>
      </w:r>
      <w:r>
        <w:rPr>
          <w:rFonts w:ascii="Times New Roman" w:hAnsi="Times New Roman" w:cs="Times New Roman"/>
          <w:i/>
          <w:color w:val="auto"/>
        </w:rPr>
        <w:t>51</w:t>
      </w:r>
      <w:r>
        <w:rPr>
          <w:rFonts w:ascii="Times New Roman" w:hAnsi="Times New Roman" w:cs="Times New Roman"/>
          <w:color w:val="auto"/>
        </w:rPr>
        <w:t>, 50–55. https://doi.org/10.1016/j.cct.2016.10.001</w:t>
      </w:r>
    </w:p>
    <w:p w14:paraId="79683F84">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15. Duncan, R. P., &amp; Earhart, G. M. (2012). Randomized controlled trial of community-based dancing to modify disease progression in parkinson disease. </w:t>
      </w:r>
      <w:r>
        <w:rPr>
          <w:rFonts w:ascii="Times New Roman" w:hAnsi="Times New Roman" w:cs="Times New Roman"/>
          <w:i/>
          <w:color w:val="auto"/>
        </w:rPr>
        <w:t>Neurorehabilitation and Neural Repair</w:t>
      </w:r>
      <w:r>
        <w:rPr>
          <w:rFonts w:ascii="Times New Roman" w:hAnsi="Times New Roman" w:cs="Times New Roman"/>
          <w:color w:val="auto"/>
        </w:rPr>
        <w:t xml:space="preserve">, </w:t>
      </w:r>
      <w:r>
        <w:rPr>
          <w:rFonts w:ascii="Times New Roman" w:hAnsi="Times New Roman" w:cs="Times New Roman"/>
          <w:i/>
          <w:color w:val="auto"/>
        </w:rPr>
        <w:t>26</w:t>
      </w:r>
      <w:r>
        <w:rPr>
          <w:rFonts w:ascii="Times New Roman" w:hAnsi="Times New Roman" w:cs="Times New Roman"/>
          <w:color w:val="auto"/>
        </w:rPr>
        <w:t>(2), 132–143. https://doi.org/10.1177/1545968311421614</w:t>
      </w:r>
    </w:p>
    <w:p w14:paraId="2F599162">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16. Wang, T., Xiao, G., Li, Z., Jie, K., Shen, M., Jiang, Y., Wang, Z., Shi, X., &amp; Zhuang, J. (2020). Wuqinxi exercise improves hand dexterity in patients with parkinson’s disease. </w:t>
      </w:r>
      <w:r>
        <w:rPr>
          <w:rFonts w:ascii="Times New Roman" w:hAnsi="Times New Roman" w:cs="Times New Roman"/>
          <w:i/>
          <w:color w:val="auto"/>
        </w:rPr>
        <w:t>Evidence-Based Complementary and Alternative Medicine</w:t>
      </w:r>
      <w:r>
        <w:rPr>
          <w:rFonts w:ascii="Times New Roman" w:hAnsi="Times New Roman" w:cs="Times New Roman"/>
          <w:color w:val="auto"/>
        </w:rPr>
        <w:t xml:space="preserve">, </w:t>
      </w:r>
      <w:r>
        <w:rPr>
          <w:rFonts w:ascii="Times New Roman" w:hAnsi="Times New Roman" w:cs="Times New Roman"/>
          <w:i/>
          <w:color w:val="auto"/>
        </w:rPr>
        <w:t>2020</w:t>
      </w:r>
      <w:r>
        <w:rPr>
          <w:rFonts w:ascii="Times New Roman" w:hAnsi="Times New Roman" w:cs="Times New Roman"/>
          <w:color w:val="auto"/>
        </w:rPr>
        <w:t>(1), 8352176. https://doi.org/10.1155/2020/8352176</w:t>
      </w:r>
    </w:p>
    <w:p w14:paraId="1A2B1BC5">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17. Canning, C. G., Allen, N. E., Dean, C. M., Goh, L., &amp; Fung, V. S. (2012). Home-based treadmill training for individuals with parkinson’s disease: A randomized controlled pilot trial. </w:t>
      </w:r>
      <w:r>
        <w:rPr>
          <w:rFonts w:ascii="Times New Roman" w:hAnsi="Times New Roman" w:cs="Times New Roman"/>
          <w:i/>
          <w:color w:val="auto"/>
        </w:rPr>
        <w:t>Clinical Rehabilitation</w:t>
      </w:r>
      <w:r>
        <w:rPr>
          <w:rFonts w:ascii="Times New Roman" w:hAnsi="Times New Roman" w:cs="Times New Roman"/>
          <w:color w:val="auto"/>
        </w:rPr>
        <w:t xml:space="preserve">, </w:t>
      </w:r>
      <w:r>
        <w:rPr>
          <w:rFonts w:ascii="Times New Roman" w:hAnsi="Times New Roman" w:cs="Times New Roman"/>
          <w:i/>
          <w:color w:val="auto"/>
        </w:rPr>
        <w:t>26</w:t>
      </w:r>
      <w:r>
        <w:rPr>
          <w:rFonts w:ascii="Times New Roman" w:hAnsi="Times New Roman" w:cs="Times New Roman"/>
          <w:color w:val="auto"/>
        </w:rPr>
        <w:t>(9), 817–826. https://doi.org/10.1177/0269215511432652</w:t>
      </w:r>
    </w:p>
    <w:p w14:paraId="02D50CC4">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18. Rios Romenets, S., Anang, J., Fereshtehnejad, S.-M., Pelletier, A., &amp; Postuma, R. (2015). Tango for treatment of motor and non-motor manifestations in parkinson’s disease: A randomized control study. </w:t>
      </w:r>
      <w:r>
        <w:rPr>
          <w:rFonts w:ascii="Times New Roman" w:hAnsi="Times New Roman" w:cs="Times New Roman"/>
          <w:i/>
          <w:color w:val="auto"/>
        </w:rPr>
        <w:t>Complementary Therapies in Medicine</w:t>
      </w:r>
      <w:r>
        <w:rPr>
          <w:rFonts w:ascii="Times New Roman" w:hAnsi="Times New Roman" w:cs="Times New Roman"/>
          <w:color w:val="auto"/>
        </w:rPr>
        <w:t xml:space="preserve">, </w:t>
      </w:r>
      <w:r>
        <w:rPr>
          <w:rFonts w:ascii="Times New Roman" w:hAnsi="Times New Roman" w:cs="Times New Roman"/>
          <w:i/>
          <w:color w:val="auto"/>
        </w:rPr>
        <w:t>23</w:t>
      </w:r>
      <w:r>
        <w:rPr>
          <w:rFonts w:ascii="Times New Roman" w:hAnsi="Times New Roman" w:cs="Times New Roman"/>
          <w:color w:val="auto"/>
        </w:rPr>
        <w:t>(2), 175–184. https://doi.org/10.1016/j.ctim.2015.01.015</w:t>
      </w:r>
    </w:p>
    <w:p w14:paraId="42577785">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19. Ganesan, M., Sathyaprabha, T. N., Gupta, A., &amp; Pal, P. K. (2014). Effect of partial weight–supported treadmill gait training on balance in patients with parkinson disease. </w:t>
      </w:r>
      <w:r>
        <w:rPr>
          <w:rFonts w:ascii="Times New Roman" w:hAnsi="Times New Roman" w:cs="Times New Roman"/>
          <w:i/>
          <w:color w:val="auto"/>
        </w:rPr>
        <w:t>PM&amp;R</w:t>
      </w:r>
      <w:r>
        <w:rPr>
          <w:rFonts w:ascii="Times New Roman" w:hAnsi="Times New Roman" w:cs="Times New Roman"/>
          <w:color w:val="auto"/>
        </w:rPr>
        <w:t xml:space="preserve">, </w:t>
      </w:r>
      <w:r>
        <w:rPr>
          <w:rFonts w:ascii="Times New Roman" w:hAnsi="Times New Roman" w:cs="Times New Roman"/>
          <w:i/>
          <w:color w:val="auto"/>
        </w:rPr>
        <w:t>6</w:t>
      </w:r>
      <w:r>
        <w:rPr>
          <w:rFonts w:ascii="Times New Roman" w:hAnsi="Times New Roman" w:cs="Times New Roman"/>
          <w:color w:val="auto"/>
        </w:rPr>
        <w:t>(1), 22–33. https://doi.org/10.1016/j.pmrj.2013.08.604</w:t>
      </w:r>
    </w:p>
    <w:p w14:paraId="30910BA0">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20. Cugusi, L., Solla, P., Serpe, R., Carzedda, T., Piras, L., Oggianu, M., Gabba, S., Di Blasio, A., Bergamin, M., Cannas, A., Marrosu, F., &amp; Mercuro, G. (2015). Effects of a nordic walking program on motor and non-motor symptoms, functional performance and body composition in patients with parkinson’s disease. </w:t>
      </w:r>
      <w:r>
        <w:rPr>
          <w:rFonts w:ascii="Times New Roman" w:hAnsi="Times New Roman" w:cs="Times New Roman"/>
          <w:i/>
          <w:color w:val="auto"/>
        </w:rPr>
        <w:t>NeuroRehabilitation: An International, Interdisciplinary Journal</w:t>
      </w:r>
      <w:r>
        <w:rPr>
          <w:rFonts w:ascii="Times New Roman" w:hAnsi="Times New Roman" w:cs="Times New Roman"/>
          <w:color w:val="auto"/>
        </w:rPr>
        <w:t xml:space="preserve">, </w:t>
      </w:r>
      <w:r>
        <w:rPr>
          <w:rFonts w:ascii="Times New Roman" w:hAnsi="Times New Roman" w:cs="Times New Roman"/>
          <w:i/>
          <w:color w:val="auto"/>
        </w:rPr>
        <w:t>37</w:t>
      </w:r>
      <w:r>
        <w:rPr>
          <w:rFonts w:ascii="Times New Roman" w:hAnsi="Times New Roman" w:cs="Times New Roman"/>
          <w:color w:val="auto"/>
        </w:rPr>
        <w:t>(2), 245–254. https://doi.org/10.3233/NRE-151257</w:t>
      </w:r>
    </w:p>
    <w:p w14:paraId="4777CF98">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21. Altmann, L. J. P., Stegemöller, E., Hazamy, A. A., Wilson, J. P., Bowers, D., Okun, M. S., &amp; Hass, C. J. (2016). Aerobic exercise improves mood, cognition, and language function in parkinson’s disease: Results of a controlled study. </w:t>
      </w:r>
      <w:r>
        <w:rPr>
          <w:rFonts w:ascii="Times New Roman" w:hAnsi="Times New Roman" w:cs="Times New Roman"/>
          <w:i/>
          <w:color w:val="auto"/>
        </w:rPr>
        <w:t>Journal of the International Neuropsychological Society</w:t>
      </w:r>
      <w:r>
        <w:rPr>
          <w:rFonts w:ascii="Times New Roman" w:hAnsi="Times New Roman" w:cs="Times New Roman"/>
          <w:color w:val="auto"/>
        </w:rPr>
        <w:t xml:space="preserve">, </w:t>
      </w:r>
      <w:r>
        <w:rPr>
          <w:rFonts w:ascii="Times New Roman" w:hAnsi="Times New Roman" w:cs="Times New Roman"/>
          <w:i/>
          <w:color w:val="auto"/>
        </w:rPr>
        <w:t>22</w:t>
      </w:r>
      <w:r>
        <w:rPr>
          <w:rFonts w:ascii="Times New Roman" w:hAnsi="Times New Roman" w:cs="Times New Roman"/>
          <w:color w:val="auto"/>
        </w:rPr>
        <w:t>(9), 878–889. https://doi.org/10.1017/S135561771600076X</w:t>
      </w:r>
    </w:p>
    <w:p w14:paraId="5A63C538">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22. Hackney, M., &amp; Earhart, G. (2009). Effects of dance on movement control in parkinson’s disease: A comparison of argentine tango and American ballroom. </w:t>
      </w:r>
      <w:r>
        <w:rPr>
          <w:rFonts w:ascii="Times New Roman" w:hAnsi="Times New Roman" w:cs="Times New Roman"/>
          <w:i/>
          <w:color w:val="auto"/>
        </w:rPr>
        <w:t>Journal of Rehabilitation Medicine</w:t>
      </w:r>
      <w:r>
        <w:rPr>
          <w:rFonts w:ascii="Times New Roman" w:hAnsi="Times New Roman" w:cs="Times New Roman"/>
          <w:color w:val="auto"/>
        </w:rPr>
        <w:t xml:space="preserve">, </w:t>
      </w:r>
      <w:r>
        <w:rPr>
          <w:rFonts w:ascii="Times New Roman" w:hAnsi="Times New Roman" w:cs="Times New Roman"/>
          <w:i/>
          <w:color w:val="auto"/>
        </w:rPr>
        <w:t>41</w:t>
      </w:r>
      <w:r>
        <w:rPr>
          <w:rFonts w:ascii="Times New Roman" w:hAnsi="Times New Roman" w:cs="Times New Roman"/>
          <w:color w:val="auto"/>
        </w:rPr>
        <w:t>(6), 475–481. https://doi.org/10.2340/16501977-0362</w:t>
      </w:r>
    </w:p>
    <w:p w14:paraId="4091EEBA">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23. Lee, H.-J., Kim, S.-Y., Chae, Y., Kim, M.-Y., Yin, C., Jung, W.-S., Cho, K.-H., Kim, S.-N., Park, H.-J., &amp; Lee, H. (2018). Turo (qi dance) program for parkinson’s disease patients: Randomized, assessor blind, waiting-list control, partial crossover study. </w:t>
      </w:r>
      <w:r>
        <w:rPr>
          <w:rFonts w:ascii="Times New Roman" w:hAnsi="Times New Roman" w:cs="Times New Roman"/>
          <w:i/>
          <w:color w:val="auto"/>
        </w:rPr>
        <w:t>EXPLORE</w:t>
      </w:r>
      <w:r>
        <w:rPr>
          <w:rFonts w:ascii="Times New Roman" w:hAnsi="Times New Roman" w:cs="Times New Roman"/>
          <w:color w:val="auto"/>
        </w:rPr>
        <w:t xml:space="preserve">, </w:t>
      </w:r>
      <w:r>
        <w:rPr>
          <w:rFonts w:ascii="Times New Roman" w:hAnsi="Times New Roman" w:cs="Times New Roman"/>
          <w:i/>
          <w:color w:val="auto"/>
        </w:rPr>
        <w:t>14</w:t>
      </w:r>
      <w:r>
        <w:rPr>
          <w:rFonts w:ascii="Times New Roman" w:hAnsi="Times New Roman" w:cs="Times New Roman"/>
          <w:color w:val="auto"/>
        </w:rPr>
        <w:t>(3), 216–223. https://doi.org/10.1016/j.explore.2017.11.002</w:t>
      </w:r>
    </w:p>
    <w:p w14:paraId="3980394D">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24. Wan, Z., Liu, X., Yang, H., Li, F., Yu, L., Li, L., Wang, Y., Jiang, H., Zou, J., &amp; Du, J. (2021). Effects of health qigong exercises on physical function on patients with parkinson’s disease. </w:t>
      </w:r>
      <w:r>
        <w:rPr>
          <w:rFonts w:ascii="Times New Roman" w:hAnsi="Times New Roman" w:cs="Times New Roman"/>
          <w:i/>
          <w:color w:val="auto"/>
        </w:rPr>
        <w:t>Journal of Multidisciplinary Healthcare</w:t>
      </w:r>
      <w:r>
        <w:rPr>
          <w:rFonts w:ascii="Times New Roman" w:hAnsi="Times New Roman" w:cs="Times New Roman"/>
          <w:color w:val="auto"/>
        </w:rPr>
        <w:t xml:space="preserve">, </w:t>
      </w:r>
      <w:r>
        <w:rPr>
          <w:rFonts w:ascii="Times New Roman" w:hAnsi="Times New Roman" w:cs="Times New Roman"/>
          <w:i/>
          <w:color w:val="auto"/>
        </w:rPr>
        <w:t>Volume 14</w:t>
      </w:r>
      <w:r>
        <w:rPr>
          <w:rFonts w:ascii="Times New Roman" w:hAnsi="Times New Roman" w:cs="Times New Roman"/>
          <w:color w:val="auto"/>
        </w:rPr>
        <w:t>, 941–950. https://doi.org/10.2147/JMDH.S303945</w:t>
      </w:r>
    </w:p>
    <w:p w14:paraId="07230FC0">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25. Hashimoto, H., Takabatake, S., Miyaguchi, H., Nakanishi, H., &amp; Naitou, Y. (2015). Effects of dance on motor functions, cognitive functions, and mental symptoms of parkinson’s disease: A quasi-randomized pilot trial. </w:t>
      </w:r>
      <w:r>
        <w:rPr>
          <w:rFonts w:ascii="Times New Roman" w:hAnsi="Times New Roman" w:cs="Times New Roman"/>
          <w:i/>
          <w:color w:val="auto"/>
        </w:rPr>
        <w:t>Complementary Therapies in Medicine</w:t>
      </w:r>
      <w:r>
        <w:rPr>
          <w:rFonts w:ascii="Times New Roman" w:hAnsi="Times New Roman" w:cs="Times New Roman"/>
          <w:color w:val="auto"/>
        </w:rPr>
        <w:t xml:space="preserve">, </w:t>
      </w:r>
      <w:r>
        <w:rPr>
          <w:rFonts w:ascii="Times New Roman" w:hAnsi="Times New Roman" w:cs="Times New Roman"/>
          <w:i/>
          <w:color w:val="auto"/>
        </w:rPr>
        <w:t>23</w:t>
      </w:r>
      <w:r>
        <w:rPr>
          <w:rFonts w:ascii="Times New Roman" w:hAnsi="Times New Roman" w:cs="Times New Roman"/>
          <w:color w:val="auto"/>
        </w:rPr>
        <w:t>(2), 210–219. https://doi.org/10.1016/j.ctim.2015.01.010</w:t>
      </w:r>
    </w:p>
    <w:p w14:paraId="671FE4E1">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26. Solla, P., Cugusi, L., Bertoli, M., Cereatti, A., Della Croce, U., Pani, D., Fadda, L., Cannas, A., Marrosu, F., Defazio, G., &amp; Mercuro, G. (2019). Sardinian folk dance for individuals with parkinson’s disease: A randomized controlled pilot trial. </w:t>
      </w:r>
      <w:r>
        <w:rPr>
          <w:rFonts w:ascii="Times New Roman" w:hAnsi="Times New Roman" w:cs="Times New Roman"/>
          <w:i/>
          <w:color w:val="auto"/>
        </w:rPr>
        <w:t>The Journal of Alternative and Complementary Medicine</w:t>
      </w:r>
      <w:r>
        <w:rPr>
          <w:rFonts w:ascii="Times New Roman" w:hAnsi="Times New Roman" w:cs="Times New Roman"/>
          <w:color w:val="auto"/>
        </w:rPr>
        <w:t xml:space="preserve">, </w:t>
      </w:r>
      <w:r>
        <w:rPr>
          <w:rFonts w:ascii="Times New Roman" w:hAnsi="Times New Roman" w:cs="Times New Roman"/>
          <w:i/>
          <w:color w:val="auto"/>
        </w:rPr>
        <w:t>25</w:t>
      </w:r>
      <w:r>
        <w:rPr>
          <w:rFonts w:ascii="Times New Roman" w:hAnsi="Times New Roman" w:cs="Times New Roman"/>
          <w:color w:val="auto"/>
        </w:rPr>
        <w:t>(3), 305–316. https://doi.org/10.1089/acm.2018.0413</w:t>
      </w:r>
    </w:p>
    <w:p w14:paraId="4D9C8B6A">
      <w:pPr>
        <w:pStyle w:val="9"/>
        <w:spacing w:line="360" w:lineRule="exact"/>
        <w:ind w:left="420" w:hanging="420" w:hangingChars="200"/>
        <w:rPr>
          <w:rFonts w:ascii="Times New Roman" w:hAnsi="Times New Roman" w:cs="Times New Roman"/>
          <w:color w:val="auto"/>
        </w:rPr>
      </w:pPr>
      <w:r>
        <w:rPr>
          <w:rFonts w:ascii="Times New Roman" w:hAnsi="Times New Roman" w:cs="Times New Roman"/>
          <w:color w:val="auto"/>
        </w:rPr>
        <w:t xml:space="preserve">27. Arfa-Fatollahkhani, P., Safar Cherati, A., Habibi, S. A. H., Shahidi, G. A., Sohrabi, A., &amp; Zamani, B. (2020). Effects of treadmill training on the balance, functional capacity and quality of life in parkinson’s disease: A randomized clinical trial. </w:t>
      </w:r>
      <w:r>
        <w:rPr>
          <w:rFonts w:ascii="Times New Roman" w:hAnsi="Times New Roman" w:cs="Times New Roman"/>
          <w:i/>
          <w:color w:val="auto"/>
        </w:rPr>
        <w:t>Journal of Complementary and Integrative Medicine</w:t>
      </w:r>
      <w:r>
        <w:rPr>
          <w:rFonts w:ascii="Times New Roman" w:hAnsi="Times New Roman" w:cs="Times New Roman"/>
          <w:color w:val="auto"/>
        </w:rPr>
        <w:t xml:space="preserve">, </w:t>
      </w:r>
      <w:r>
        <w:rPr>
          <w:rFonts w:ascii="Times New Roman" w:hAnsi="Times New Roman" w:cs="Times New Roman"/>
          <w:i/>
          <w:color w:val="auto"/>
        </w:rPr>
        <w:t>17</w:t>
      </w:r>
      <w:r>
        <w:rPr>
          <w:rFonts w:ascii="Times New Roman" w:hAnsi="Times New Roman" w:cs="Times New Roman"/>
          <w:color w:val="auto"/>
        </w:rPr>
        <w:t>(1), 20180245. https://doi.org/10.1515/jcim-2018-0245</w:t>
      </w:r>
    </w:p>
    <w:p w14:paraId="099D4F22">
      <w:pPr>
        <w:spacing w:line="360" w:lineRule="exact"/>
        <w:ind w:left="422" w:hanging="422" w:hangingChars="200"/>
        <w:jc w:val="left"/>
        <w:rPr>
          <w:rFonts w:ascii="Times New Roman" w:hAnsi="Times New Roman" w:eastAsia="宋体" w:cs="Times New Roman"/>
          <w:b/>
          <w:bCs/>
          <w:color w:val="auto"/>
        </w:rPr>
      </w:pPr>
      <w:r>
        <w:rPr>
          <w:rFonts w:ascii="Times New Roman" w:hAnsi="Times New Roman" w:eastAsia="宋体" w:cs="Times New Roman"/>
          <w:b/>
          <w:bCs/>
          <w:color w:val="auto"/>
        </w:rPr>
        <w:fldChar w:fldCharType="end"/>
      </w:r>
    </w:p>
    <w:p w14:paraId="72F174DC">
      <w:pPr>
        <w:spacing w:line="360" w:lineRule="exact"/>
        <w:jc w:val="left"/>
        <w:rPr>
          <w:rFonts w:ascii="Times New Roman" w:hAnsi="Times New Roman" w:eastAsia="宋体" w:cs="Times New Roman"/>
          <w:b/>
          <w:bCs/>
          <w:color w:val="auto"/>
        </w:rPr>
      </w:pPr>
    </w:p>
    <w:p w14:paraId="341D0DE4">
      <w:pPr>
        <w:spacing w:line="360" w:lineRule="exact"/>
        <w:jc w:val="left"/>
        <w:rPr>
          <w:rFonts w:ascii="Times New Roman" w:hAnsi="Times New Roman" w:eastAsia="宋体" w:cs="Times New Roman"/>
          <w:b/>
          <w:bCs/>
          <w:color w:val="auto"/>
        </w:rPr>
      </w:pPr>
    </w:p>
    <w:p w14:paraId="59AAA1F1">
      <w:pPr>
        <w:spacing w:line="360" w:lineRule="exact"/>
        <w:jc w:val="left"/>
        <w:rPr>
          <w:rFonts w:ascii="Times New Roman" w:hAnsi="Times New Roman" w:eastAsia="宋体" w:cs="Times New Roman"/>
          <w:b/>
          <w:bCs/>
          <w:color w:val="auto"/>
        </w:rPr>
      </w:pPr>
    </w:p>
    <w:p w14:paraId="02138AA6">
      <w:pPr>
        <w:spacing w:line="360" w:lineRule="exact"/>
        <w:jc w:val="left"/>
        <w:rPr>
          <w:rFonts w:ascii="Times New Roman" w:hAnsi="Times New Roman" w:eastAsia="宋体" w:cs="Times New Roman"/>
          <w:b/>
          <w:bCs/>
          <w:color w:val="auto"/>
        </w:rPr>
      </w:pPr>
    </w:p>
    <w:p w14:paraId="42BAAB97">
      <w:pPr>
        <w:spacing w:line="360" w:lineRule="exact"/>
        <w:jc w:val="left"/>
        <w:rPr>
          <w:rFonts w:ascii="Times New Roman" w:hAnsi="Times New Roman" w:eastAsia="宋体" w:cs="Times New Roman"/>
          <w:b/>
          <w:bCs/>
          <w:color w:val="auto"/>
        </w:rPr>
      </w:pPr>
    </w:p>
    <w:p w14:paraId="0E559CEC">
      <w:pPr>
        <w:spacing w:line="360" w:lineRule="exact"/>
        <w:jc w:val="left"/>
        <w:rPr>
          <w:rFonts w:ascii="Times New Roman" w:hAnsi="Times New Roman" w:eastAsia="宋体" w:cs="Times New Roman"/>
          <w:b/>
          <w:bCs/>
          <w:color w:val="auto"/>
        </w:rPr>
      </w:pPr>
    </w:p>
    <w:p w14:paraId="0571C4C8">
      <w:pPr>
        <w:spacing w:line="360" w:lineRule="exact"/>
        <w:jc w:val="left"/>
        <w:rPr>
          <w:rFonts w:ascii="Times New Roman" w:hAnsi="Times New Roman" w:eastAsia="宋体" w:cs="Times New Roman"/>
          <w:b/>
          <w:bCs/>
          <w:color w:val="auto"/>
        </w:rPr>
      </w:pPr>
    </w:p>
    <w:p w14:paraId="7896E539">
      <w:pPr>
        <w:spacing w:line="360" w:lineRule="exact"/>
        <w:jc w:val="left"/>
        <w:rPr>
          <w:rFonts w:ascii="Times New Roman" w:hAnsi="Times New Roman" w:eastAsia="宋体" w:cs="Times New Roman"/>
          <w:b/>
          <w:bCs/>
          <w:color w:val="auto"/>
        </w:rPr>
      </w:pPr>
    </w:p>
    <w:p w14:paraId="4FE4C13B">
      <w:pPr>
        <w:spacing w:line="360" w:lineRule="exact"/>
        <w:jc w:val="left"/>
        <w:rPr>
          <w:rFonts w:ascii="Times New Roman" w:hAnsi="Times New Roman" w:eastAsia="宋体" w:cs="Times New Roman"/>
          <w:b/>
          <w:bCs/>
          <w:color w:val="auto"/>
        </w:rPr>
      </w:pPr>
    </w:p>
    <w:p w14:paraId="15D5C249">
      <w:pPr>
        <w:spacing w:line="360" w:lineRule="exact"/>
        <w:jc w:val="left"/>
        <w:rPr>
          <w:rFonts w:ascii="Times New Roman" w:hAnsi="Times New Roman" w:cs="Times New Roman"/>
          <w:b/>
          <w:bCs/>
          <w:color w:val="auto"/>
          <w:szCs w:val="21"/>
        </w:rPr>
      </w:pPr>
    </w:p>
    <w:p w14:paraId="448B39CB">
      <w:pPr>
        <w:spacing w:line="360" w:lineRule="exact"/>
        <w:jc w:val="left"/>
        <w:rPr>
          <w:rFonts w:ascii="Times New Roman" w:hAnsi="Times New Roman" w:cs="Times New Roman"/>
          <w:b/>
          <w:bCs/>
          <w:color w:val="auto"/>
          <w:szCs w:val="21"/>
        </w:rPr>
      </w:pPr>
    </w:p>
    <w:p w14:paraId="2C350155">
      <w:pPr>
        <w:spacing w:line="360" w:lineRule="exact"/>
        <w:jc w:val="left"/>
        <w:rPr>
          <w:rFonts w:ascii="Times New Roman" w:hAnsi="Times New Roman" w:cs="Times New Roman"/>
          <w:b/>
          <w:bCs/>
          <w:color w:val="auto"/>
          <w:szCs w:val="21"/>
        </w:rPr>
      </w:pPr>
    </w:p>
    <w:p w14:paraId="0880D287">
      <w:pPr>
        <w:spacing w:line="360" w:lineRule="exact"/>
        <w:jc w:val="left"/>
        <w:rPr>
          <w:rFonts w:ascii="Times New Roman" w:hAnsi="Times New Roman" w:cs="Times New Roman"/>
          <w:b/>
          <w:bCs/>
          <w:color w:val="auto"/>
          <w:szCs w:val="21"/>
        </w:rPr>
      </w:pPr>
    </w:p>
    <w:p w14:paraId="511944CE">
      <w:pPr>
        <w:spacing w:line="360" w:lineRule="exact"/>
        <w:jc w:val="left"/>
        <w:rPr>
          <w:rFonts w:ascii="Times New Roman" w:hAnsi="Times New Roman" w:cs="Times New Roman"/>
          <w:b/>
          <w:bCs/>
          <w:color w:val="auto"/>
          <w:szCs w:val="21"/>
        </w:rPr>
      </w:pPr>
    </w:p>
    <w:p w14:paraId="517182C7">
      <w:pPr>
        <w:spacing w:line="360" w:lineRule="exact"/>
        <w:jc w:val="left"/>
        <w:rPr>
          <w:rFonts w:ascii="Times New Roman" w:hAnsi="Times New Roman" w:cs="Times New Roman"/>
          <w:b/>
          <w:bCs/>
          <w:color w:val="auto"/>
          <w:szCs w:val="21"/>
        </w:rPr>
      </w:pPr>
    </w:p>
    <w:p w14:paraId="0AB2F45F">
      <w:pPr>
        <w:spacing w:line="360" w:lineRule="exact"/>
        <w:jc w:val="left"/>
        <w:rPr>
          <w:rFonts w:ascii="Times New Roman" w:hAnsi="Times New Roman" w:cs="Times New Roman"/>
          <w:b/>
          <w:bCs/>
          <w:color w:val="auto"/>
          <w:szCs w:val="21"/>
        </w:rPr>
      </w:pPr>
    </w:p>
    <w:p w14:paraId="0E559F74">
      <w:pPr>
        <w:spacing w:line="360" w:lineRule="exact"/>
        <w:jc w:val="left"/>
        <w:rPr>
          <w:rFonts w:ascii="Times New Roman" w:hAnsi="Times New Roman" w:cs="Times New Roman"/>
          <w:b/>
          <w:bCs/>
          <w:color w:val="auto"/>
          <w:szCs w:val="21"/>
        </w:rPr>
      </w:pPr>
    </w:p>
    <w:p w14:paraId="05D2EECD">
      <w:pPr>
        <w:spacing w:line="360" w:lineRule="exact"/>
        <w:jc w:val="left"/>
        <w:rPr>
          <w:rFonts w:ascii="Times New Roman" w:hAnsi="Times New Roman" w:cs="Times New Roman"/>
          <w:b/>
          <w:bCs/>
          <w:color w:val="auto"/>
          <w:szCs w:val="21"/>
        </w:rPr>
      </w:pPr>
    </w:p>
    <w:p w14:paraId="081FD0CB">
      <w:pPr>
        <w:spacing w:line="360" w:lineRule="exact"/>
        <w:jc w:val="left"/>
        <w:rPr>
          <w:rFonts w:ascii="Times New Roman" w:hAnsi="Times New Roman" w:cs="Times New Roman"/>
          <w:b/>
          <w:bCs/>
          <w:color w:val="auto"/>
          <w:szCs w:val="21"/>
        </w:rPr>
      </w:pPr>
    </w:p>
    <w:p w14:paraId="4799B691">
      <w:pPr>
        <w:spacing w:line="360" w:lineRule="exact"/>
        <w:jc w:val="left"/>
        <w:rPr>
          <w:rFonts w:ascii="Times New Roman" w:hAnsi="Times New Roman" w:cs="Times New Roman"/>
          <w:b/>
          <w:bCs/>
          <w:color w:val="auto"/>
          <w:szCs w:val="21"/>
        </w:rPr>
      </w:pPr>
    </w:p>
    <w:p w14:paraId="6EFDA2B4">
      <w:pPr>
        <w:spacing w:line="360" w:lineRule="exact"/>
        <w:jc w:val="left"/>
        <w:rPr>
          <w:rFonts w:ascii="Times New Roman" w:hAnsi="Times New Roman" w:cs="Times New Roman"/>
          <w:b/>
          <w:bCs/>
          <w:color w:val="auto"/>
          <w:szCs w:val="21"/>
        </w:rPr>
      </w:pPr>
    </w:p>
    <w:p w14:paraId="1357BEEA">
      <w:pPr>
        <w:spacing w:line="360" w:lineRule="exact"/>
        <w:jc w:val="left"/>
        <w:rPr>
          <w:rFonts w:ascii="Times New Roman" w:hAnsi="Times New Roman" w:cs="Times New Roman"/>
          <w:b/>
          <w:bCs/>
          <w:color w:val="auto"/>
          <w:szCs w:val="21"/>
        </w:rPr>
      </w:pPr>
    </w:p>
    <w:p w14:paraId="2843E3A9">
      <w:pPr>
        <w:spacing w:line="360" w:lineRule="exact"/>
        <w:jc w:val="left"/>
        <w:rPr>
          <w:rFonts w:ascii="Times New Roman" w:hAnsi="Times New Roman" w:cs="Times New Roman"/>
          <w:b/>
          <w:bCs/>
          <w:color w:val="auto"/>
          <w:szCs w:val="21"/>
        </w:rPr>
      </w:pPr>
    </w:p>
    <w:p w14:paraId="4F819D44">
      <w:pPr>
        <w:spacing w:line="360" w:lineRule="exact"/>
        <w:jc w:val="left"/>
        <w:rPr>
          <w:rFonts w:ascii="Times New Roman" w:hAnsi="Times New Roman" w:cs="Times New Roman"/>
          <w:b/>
          <w:bCs/>
          <w:color w:val="auto"/>
          <w:szCs w:val="21"/>
        </w:rPr>
      </w:pPr>
    </w:p>
    <w:p w14:paraId="3A7B0F7F">
      <w:pPr>
        <w:spacing w:line="360" w:lineRule="exact"/>
        <w:jc w:val="left"/>
        <w:rPr>
          <w:rFonts w:ascii="Times New Roman" w:hAnsi="Times New Roman" w:cs="Times New Roman"/>
          <w:b/>
          <w:bCs/>
          <w:color w:val="auto"/>
          <w:szCs w:val="21"/>
        </w:rPr>
      </w:pPr>
    </w:p>
    <w:p w14:paraId="1E0E5427">
      <w:pPr>
        <w:spacing w:line="360" w:lineRule="exact"/>
        <w:jc w:val="left"/>
        <w:rPr>
          <w:rFonts w:ascii="Times New Roman" w:hAnsi="Times New Roman" w:cs="Times New Roman"/>
          <w:b/>
          <w:bCs/>
          <w:color w:val="auto"/>
          <w:szCs w:val="21"/>
        </w:rPr>
      </w:pPr>
    </w:p>
    <w:p w14:paraId="26BF2DEB">
      <w:pPr>
        <w:spacing w:line="360" w:lineRule="exact"/>
        <w:jc w:val="left"/>
        <w:rPr>
          <w:rFonts w:ascii="Times New Roman" w:hAnsi="Times New Roman" w:cs="Times New Roman"/>
          <w:b/>
          <w:bCs/>
          <w:color w:val="auto"/>
          <w:szCs w:val="21"/>
        </w:rPr>
      </w:pPr>
    </w:p>
    <w:p w14:paraId="0F514A5E">
      <w:pPr>
        <w:spacing w:line="360" w:lineRule="exact"/>
        <w:jc w:val="left"/>
        <w:rPr>
          <w:rFonts w:ascii="Times New Roman" w:hAnsi="Times New Roman" w:cs="Times New Roman"/>
          <w:b/>
          <w:bCs/>
          <w:color w:val="auto"/>
          <w:szCs w:val="21"/>
        </w:rPr>
      </w:pPr>
    </w:p>
    <w:p w14:paraId="3C9EC241">
      <w:pPr>
        <w:spacing w:line="360" w:lineRule="exact"/>
        <w:jc w:val="left"/>
        <w:rPr>
          <w:rFonts w:ascii="Times New Roman" w:hAnsi="Times New Roman" w:cs="Times New Roman"/>
          <w:b/>
          <w:bCs/>
          <w:color w:val="auto"/>
          <w:szCs w:val="21"/>
        </w:rPr>
      </w:pPr>
    </w:p>
    <w:p w14:paraId="318F03BE">
      <w:pPr>
        <w:spacing w:line="360" w:lineRule="exact"/>
        <w:jc w:val="left"/>
        <w:rPr>
          <w:rFonts w:ascii="Times New Roman" w:hAnsi="Times New Roman" w:cs="Times New Roman"/>
          <w:b/>
          <w:bCs/>
          <w:color w:val="auto"/>
          <w:szCs w:val="21"/>
        </w:rPr>
      </w:pPr>
    </w:p>
    <w:p w14:paraId="568F587A">
      <w:pPr>
        <w:spacing w:line="360" w:lineRule="exact"/>
        <w:jc w:val="left"/>
        <w:rPr>
          <w:rFonts w:ascii="Times New Roman" w:hAnsi="Times New Roman" w:cs="Times New Roman"/>
          <w:b/>
          <w:bCs/>
          <w:color w:val="auto"/>
          <w:szCs w:val="21"/>
        </w:rPr>
      </w:pPr>
    </w:p>
    <w:p w14:paraId="544232F6">
      <w:pPr>
        <w:spacing w:line="360" w:lineRule="exact"/>
        <w:jc w:val="left"/>
        <w:rPr>
          <w:rFonts w:ascii="Times New Roman" w:hAnsi="Times New Roman" w:cs="Times New Roman"/>
          <w:b/>
          <w:bCs/>
          <w:color w:val="auto"/>
          <w:szCs w:val="21"/>
        </w:rPr>
      </w:pPr>
    </w:p>
    <w:p w14:paraId="0AA9DDC3">
      <w:pPr>
        <w:spacing w:line="360" w:lineRule="exact"/>
        <w:jc w:val="left"/>
        <w:rPr>
          <w:rFonts w:ascii="Times New Roman" w:hAnsi="Times New Roman" w:cs="Times New Roman"/>
          <w:b/>
          <w:bCs/>
          <w:color w:val="auto"/>
          <w:szCs w:val="21"/>
        </w:rPr>
      </w:pPr>
    </w:p>
    <w:p w14:paraId="31AD45E0">
      <w:pPr>
        <w:spacing w:line="360" w:lineRule="exact"/>
        <w:jc w:val="left"/>
        <w:rPr>
          <w:rFonts w:ascii="Times New Roman" w:hAnsi="Times New Roman" w:cs="Times New Roman"/>
          <w:b/>
          <w:bCs/>
          <w:color w:val="auto"/>
          <w:szCs w:val="21"/>
        </w:rPr>
      </w:pPr>
    </w:p>
    <w:p w14:paraId="5F5E7984">
      <w:pPr>
        <w:spacing w:line="360" w:lineRule="exact"/>
        <w:jc w:val="left"/>
        <w:rPr>
          <w:rFonts w:ascii="Times New Roman" w:hAnsi="Times New Roman" w:cs="Times New Roman"/>
          <w:b/>
          <w:bCs/>
          <w:color w:val="auto"/>
          <w:szCs w:val="21"/>
        </w:rPr>
      </w:pPr>
    </w:p>
    <w:p w14:paraId="4668A04F">
      <w:pPr>
        <w:spacing w:line="360" w:lineRule="exact"/>
        <w:jc w:val="left"/>
        <w:rPr>
          <w:rFonts w:ascii="Times New Roman" w:hAnsi="Times New Roman" w:cs="Times New Roman"/>
          <w:b/>
          <w:bCs/>
          <w:color w:val="auto"/>
          <w:szCs w:val="21"/>
        </w:rPr>
      </w:pPr>
    </w:p>
    <w:p w14:paraId="36DACAFF">
      <w:pPr>
        <w:spacing w:line="360" w:lineRule="exact"/>
        <w:jc w:val="left"/>
        <w:rPr>
          <w:rFonts w:ascii="Times New Roman" w:hAnsi="Times New Roman" w:cs="Times New Roman"/>
          <w:b/>
          <w:bCs/>
          <w:color w:val="auto"/>
          <w:szCs w:val="21"/>
        </w:rPr>
      </w:pPr>
    </w:p>
    <w:p w14:paraId="02AA5961">
      <w:pPr>
        <w:spacing w:line="360" w:lineRule="exact"/>
        <w:jc w:val="left"/>
        <w:rPr>
          <w:rFonts w:ascii="Times New Roman" w:hAnsi="Times New Roman" w:cs="Times New Roman"/>
          <w:b/>
          <w:bCs/>
          <w:color w:val="auto"/>
          <w:szCs w:val="21"/>
        </w:rPr>
      </w:pPr>
    </w:p>
    <w:p w14:paraId="5C338F51">
      <w:pPr>
        <w:spacing w:line="360" w:lineRule="exact"/>
        <w:jc w:val="left"/>
        <w:rPr>
          <w:rFonts w:hint="eastAsia" w:ascii="宋体" w:hAnsi="宋体" w:eastAsia="宋体" w:cs="宋体"/>
          <w:b/>
          <w:bCs/>
          <w:color w:val="auto"/>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4 </w:t>
      </w:r>
      <w:r>
        <w:rPr>
          <w:rFonts w:ascii="Times New Roman" w:hAnsi="Times New Roman" w:eastAsia="宋体" w:cs="Times New Roman"/>
          <w:color w:val="auto"/>
          <w:szCs w:val="21"/>
        </w:rPr>
        <w:t>Funnel plot</w:t>
      </w:r>
    </w:p>
    <w:p w14:paraId="410DEF4B">
      <w:pPr>
        <w:rPr>
          <w:rFonts w:hint="eastAsia" w:ascii="宋体" w:hAnsi="宋体" w:eastAsia="宋体" w:cs="宋体"/>
          <w:b/>
          <w:bCs/>
          <w:color w:val="auto"/>
        </w:rPr>
      </w:pPr>
      <w:r>
        <w:rPr>
          <w:rFonts w:hint="eastAsia" w:ascii="宋体" w:hAnsi="宋体" w:eastAsia="宋体" w:cs="宋体"/>
          <w:b/>
          <w:bCs/>
          <w:color w:val="auto"/>
        </w:rPr>
        <w:drawing>
          <wp:inline distT="0" distB="0" distL="114300" distR="114300">
            <wp:extent cx="3226435" cy="2151380"/>
            <wp:effectExtent l="0" t="0" r="4445" b="12700"/>
            <wp:docPr id="7" name="图片 7" descr="Funnel plot(6MW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unnel plot(6MWT)"/>
                    <pic:cNvPicPr>
                      <a:picLocks noChangeAspect="1"/>
                    </pic:cNvPicPr>
                  </pic:nvPicPr>
                  <pic:blipFill>
                    <a:blip r:embed="rId6"/>
                    <a:stretch>
                      <a:fillRect/>
                    </a:stretch>
                  </pic:blipFill>
                  <pic:spPr>
                    <a:xfrm>
                      <a:off x="0" y="0"/>
                      <a:ext cx="3226435" cy="2151380"/>
                    </a:xfrm>
                    <a:prstGeom prst="rect">
                      <a:avLst/>
                    </a:prstGeom>
                  </pic:spPr>
                </pic:pic>
              </a:graphicData>
            </a:graphic>
          </wp:inline>
        </w:drawing>
      </w:r>
      <w:r>
        <w:rPr>
          <w:rFonts w:hint="eastAsia" w:ascii="宋体" w:hAnsi="宋体" w:eastAsia="宋体" w:cs="宋体"/>
          <w:b/>
          <w:bCs/>
          <w:color w:val="auto"/>
        </w:rPr>
        <w:drawing>
          <wp:inline distT="0" distB="0" distL="114300" distR="114300">
            <wp:extent cx="3162300" cy="2108200"/>
            <wp:effectExtent l="0" t="0" r="7620" b="10160"/>
            <wp:docPr id="8" name="图片 8" descr="Funnel plot(B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unnel plot(BBS)"/>
                    <pic:cNvPicPr>
                      <a:picLocks noChangeAspect="1"/>
                    </pic:cNvPicPr>
                  </pic:nvPicPr>
                  <pic:blipFill>
                    <a:blip r:embed="rId7"/>
                    <a:stretch>
                      <a:fillRect/>
                    </a:stretch>
                  </pic:blipFill>
                  <pic:spPr>
                    <a:xfrm>
                      <a:off x="0" y="0"/>
                      <a:ext cx="3162300" cy="2108200"/>
                    </a:xfrm>
                    <a:prstGeom prst="rect">
                      <a:avLst/>
                    </a:prstGeom>
                  </pic:spPr>
                </pic:pic>
              </a:graphicData>
            </a:graphic>
          </wp:inline>
        </w:drawing>
      </w:r>
    </w:p>
    <w:p w14:paraId="4EA1EB0F">
      <w:pPr>
        <w:tabs>
          <w:tab w:val="left" w:pos="5959"/>
        </w:tabs>
        <w:ind w:firstLine="2530" w:firstLineChars="1200"/>
        <w:rPr>
          <w:color w:val="auto"/>
        </w:rPr>
      </w:pPr>
      <w:r>
        <w:rPr>
          <w:rFonts w:hint="eastAsia" w:ascii="宋体" w:hAnsi="宋体" w:eastAsia="宋体" w:cs="宋体"/>
          <w:b/>
          <w:bCs/>
          <w:color w:val="auto"/>
        </w:rPr>
        <w:t>A</w:t>
      </w:r>
      <w:r>
        <w:rPr>
          <w:rFonts w:hint="eastAsia" w:ascii="宋体" w:hAnsi="宋体" w:eastAsia="宋体" w:cs="宋体"/>
          <w:b/>
          <w:bCs/>
          <w:color w:val="auto"/>
        </w:rPr>
        <w:tab/>
      </w:r>
      <w:r>
        <w:rPr>
          <w:rFonts w:hint="eastAsia" w:ascii="宋体" w:hAnsi="宋体" w:eastAsia="宋体" w:cs="宋体"/>
          <w:b/>
          <w:bCs/>
          <w:color w:val="auto"/>
        </w:rPr>
        <w:t xml:space="preserve">                B</w:t>
      </w:r>
    </w:p>
    <w:p w14:paraId="34C37DFC">
      <w:pPr>
        <w:rPr>
          <w:rFonts w:hint="eastAsia" w:ascii="宋体" w:hAnsi="宋体" w:eastAsia="宋体" w:cs="宋体"/>
          <w:b/>
          <w:bCs/>
          <w:color w:val="auto"/>
        </w:rPr>
      </w:pPr>
      <w:r>
        <w:rPr>
          <w:rFonts w:hint="eastAsia" w:ascii="宋体" w:hAnsi="宋体" w:eastAsia="宋体" w:cs="宋体"/>
          <w:b/>
          <w:bCs/>
          <w:color w:val="auto"/>
        </w:rPr>
        <w:drawing>
          <wp:inline distT="0" distB="0" distL="114300" distR="114300">
            <wp:extent cx="3249295" cy="2167255"/>
            <wp:effectExtent l="0" t="0" r="12065" b="12065"/>
            <wp:docPr id="9" name="图片 9" descr="Funnel plot(UPD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unnel plot(UPDRS-3)"/>
                    <pic:cNvPicPr>
                      <a:picLocks noChangeAspect="1"/>
                    </pic:cNvPicPr>
                  </pic:nvPicPr>
                  <pic:blipFill>
                    <a:blip r:embed="rId8"/>
                    <a:stretch>
                      <a:fillRect/>
                    </a:stretch>
                  </pic:blipFill>
                  <pic:spPr>
                    <a:xfrm>
                      <a:off x="0" y="0"/>
                      <a:ext cx="3249295" cy="2167255"/>
                    </a:xfrm>
                    <a:prstGeom prst="rect">
                      <a:avLst/>
                    </a:prstGeom>
                  </pic:spPr>
                </pic:pic>
              </a:graphicData>
            </a:graphic>
          </wp:inline>
        </w:drawing>
      </w:r>
      <w:r>
        <w:rPr>
          <w:rFonts w:hint="eastAsia" w:ascii="宋体" w:hAnsi="宋体" w:eastAsia="宋体" w:cs="宋体"/>
          <w:b/>
          <w:bCs/>
          <w:color w:val="auto"/>
        </w:rPr>
        <w:drawing>
          <wp:inline distT="0" distB="0" distL="114300" distR="114300">
            <wp:extent cx="3196590" cy="2132330"/>
            <wp:effectExtent l="0" t="0" r="3810" b="1270"/>
            <wp:docPr id="10" name="图片 10" descr="Funnel plot（Mini-BES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unnel plot（Mini-BESTest）"/>
                    <pic:cNvPicPr>
                      <a:picLocks noChangeAspect="1"/>
                    </pic:cNvPicPr>
                  </pic:nvPicPr>
                  <pic:blipFill>
                    <a:blip r:embed="rId9"/>
                    <a:stretch>
                      <a:fillRect/>
                    </a:stretch>
                  </pic:blipFill>
                  <pic:spPr>
                    <a:xfrm>
                      <a:off x="0" y="0"/>
                      <a:ext cx="3196590" cy="2132330"/>
                    </a:xfrm>
                    <a:prstGeom prst="rect">
                      <a:avLst/>
                    </a:prstGeom>
                  </pic:spPr>
                </pic:pic>
              </a:graphicData>
            </a:graphic>
          </wp:inline>
        </w:drawing>
      </w:r>
    </w:p>
    <w:p w14:paraId="4AC4F6BA">
      <w:pPr>
        <w:ind w:firstLine="2530" w:firstLineChars="1200"/>
        <w:rPr>
          <w:rFonts w:hint="eastAsia" w:ascii="宋体" w:hAnsi="宋体" w:eastAsia="宋体" w:cs="宋体"/>
          <w:b/>
          <w:bCs/>
          <w:color w:val="auto"/>
        </w:rPr>
      </w:pPr>
      <w:r>
        <w:rPr>
          <w:rFonts w:hint="eastAsia" w:ascii="宋体" w:hAnsi="宋体" w:eastAsia="宋体" w:cs="宋体"/>
          <w:b/>
          <w:bCs/>
          <w:color w:val="auto"/>
        </w:rPr>
        <w:t>C                                                D</w:t>
      </w:r>
    </w:p>
    <w:p w14:paraId="013A10AC">
      <w:pPr>
        <w:rPr>
          <w:rFonts w:hint="eastAsia" w:ascii="宋体" w:hAnsi="宋体" w:eastAsia="宋体" w:cs="宋体"/>
          <w:b/>
          <w:bCs/>
          <w:color w:val="auto"/>
        </w:rPr>
      </w:pPr>
      <w:r>
        <w:rPr>
          <w:rFonts w:hint="eastAsia" w:ascii="宋体" w:hAnsi="宋体" w:eastAsia="宋体" w:cs="宋体"/>
          <w:b/>
          <w:bCs/>
          <w:color w:val="auto"/>
        </w:rPr>
        <w:drawing>
          <wp:inline distT="0" distB="0" distL="114300" distR="114300">
            <wp:extent cx="3257550" cy="2173605"/>
            <wp:effectExtent l="0" t="0" r="3810" b="5715"/>
            <wp:docPr id="11" name="图片 11" descr="Funnel plot(PDQ-3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unnel plot(PDQ-39 )"/>
                    <pic:cNvPicPr>
                      <a:picLocks noChangeAspect="1"/>
                    </pic:cNvPicPr>
                  </pic:nvPicPr>
                  <pic:blipFill>
                    <a:blip r:embed="rId10"/>
                    <a:stretch>
                      <a:fillRect/>
                    </a:stretch>
                  </pic:blipFill>
                  <pic:spPr>
                    <a:xfrm>
                      <a:off x="0" y="0"/>
                      <a:ext cx="3257550" cy="2173605"/>
                    </a:xfrm>
                    <a:prstGeom prst="rect">
                      <a:avLst/>
                    </a:prstGeom>
                  </pic:spPr>
                </pic:pic>
              </a:graphicData>
            </a:graphic>
          </wp:inline>
        </w:drawing>
      </w:r>
      <w:r>
        <w:rPr>
          <w:rFonts w:hint="eastAsia" w:ascii="宋体" w:hAnsi="宋体" w:eastAsia="宋体" w:cs="宋体"/>
          <w:b/>
          <w:bCs/>
          <w:color w:val="auto"/>
        </w:rPr>
        <w:drawing>
          <wp:inline distT="0" distB="0" distL="114300" distR="114300">
            <wp:extent cx="3192780" cy="2129790"/>
            <wp:effectExtent l="0" t="0" r="7620" b="3810"/>
            <wp:docPr id="13" name="图片 13" descr="Funnel plot（T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unnel plot（TUG）"/>
                    <pic:cNvPicPr>
                      <a:picLocks noChangeAspect="1"/>
                    </pic:cNvPicPr>
                  </pic:nvPicPr>
                  <pic:blipFill>
                    <a:blip r:embed="rId11"/>
                    <a:stretch>
                      <a:fillRect/>
                    </a:stretch>
                  </pic:blipFill>
                  <pic:spPr>
                    <a:xfrm>
                      <a:off x="0" y="0"/>
                      <a:ext cx="3192780" cy="2129790"/>
                    </a:xfrm>
                    <a:prstGeom prst="rect">
                      <a:avLst/>
                    </a:prstGeom>
                  </pic:spPr>
                </pic:pic>
              </a:graphicData>
            </a:graphic>
          </wp:inline>
        </w:drawing>
      </w:r>
    </w:p>
    <w:p w14:paraId="2B9E3475">
      <w:pPr>
        <w:ind w:firstLine="2530" w:firstLineChars="1200"/>
        <w:rPr>
          <w:rFonts w:hint="eastAsia" w:ascii="宋体" w:hAnsi="宋体" w:eastAsia="宋体" w:cs="宋体"/>
          <w:b/>
          <w:bCs/>
          <w:color w:val="auto"/>
        </w:rPr>
      </w:pPr>
      <w:r>
        <w:rPr>
          <w:rFonts w:hint="eastAsia" w:ascii="宋体" w:hAnsi="宋体" w:eastAsia="宋体" w:cs="宋体"/>
          <w:b/>
          <w:bCs/>
          <w:color w:val="auto"/>
        </w:rPr>
        <w:t>E                                               F</w:t>
      </w:r>
    </w:p>
    <w:p w14:paraId="6F4F3927">
      <w:pPr>
        <w:spacing w:line="360" w:lineRule="exact"/>
        <w:jc w:val="center"/>
        <w:rPr>
          <w:color w:val="auto"/>
          <w:sz w:val="18"/>
          <w:szCs w:val="21"/>
        </w:rPr>
      </w:pPr>
      <w:r>
        <w:rPr>
          <w:rFonts w:ascii="Times New Roman" w:hAnsi="Times New Roman" w:eastAsia="宋体" w:cs="Times New Roman"/>
          <w:color w:val="auto"/>
          <w:sz w:val="18"/>
          <w:szCs w:val="21"/>
        </w:rPr>
        <w:t>(A:</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6MWT,</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B:</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BBS,</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C:</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UPDRS-Ⅲ,</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D:</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Mini-BESTest,</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E:</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PDQ-39,</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F:</w:t>
      </w:r>
      <w:r>
        <w:rPr>
          <w:rFonts w:hint="eastAsia" w:ascii="Times New Roman" w:hAnsi="Times New Roman" w:eastAsia="宋体" w:cs="Times New Roman"/>
          <w:color w:val="auto"/>
          <w:sz w:val="18"/>
          <w:szCs w:val="21"/>
        </w:rPr>
        <w:t xml:space="preserve"> </w:t>
      </w:r>
      <w:r>
        <w:rPr>
          <w:rFonts w:ascii="Times New Roman" w:hAnsi="Times New Roman" w:eastAsia="宋体" w:cs="Times New Roman"/>
          <w:color w:val="auto"/>
          <w:sz w:val="18"/>
          <w:szCs w:val="21"/>
        </w:rPr>
        <w:t>TUG)</w:t>
      </w:r>
    </w:p>
    <w:p w14:paraId="4D5091E7">
      <w:pPr>
        <w:spacing w:line="360" w:lineRule="exact"/>
        <w:rPr>
          <w:rFonts w:hint="eastAsia" w:ascii="宋体" w:hAnsi="宋体" w:eastAsia="宋体" w:cs="宋体"/>
          <w:color w:val="auto"/>
        </w:rPr>
      </w:pPr>
    </w:p>
    <w:p w14:paraId="26FA2F66">
      <w:pPr>
        <w:rPr>
          <w:color w:val="auto"/>
        </w:rPr>
      </w:pPr>
    </w:p>
    <w:p w14:paraId="66F925C8">
      <w:pPr>
        <w:rPr>
          <w:color w:val="auto"/>
        </w:rPr>
      </w:pPr>
    </w:p>
    <w:p w14:paraId="7F2B5FAA">
      <w:pPr>
        <w:rPr>
          <w:color w:val="auto"/>
        </w:rPr>
      </w:pPr>
    </w:p>
    <w:p w14:paraId="3E02002F">
      <w:pPr>
        <w:rPr>
          <w:color w:val="auto"/>
        </w:rPr>
      </w:pPr>
    </w:p>
    <w:p w14:paraId="0AF7A90F">
      <w:pPr>
        <w:rPr>
          <w:rFonts w:hint="eastAsia"/>
          <w:color w:val="auto"/>
        </w:rPr>
      </w:pPr>
    </w:p>
    <w:p w14:paraId="5A1D5A8C">
      <w:pPr>
        <w:rPr>
          <w:color w:val="auto"/>
        </w:rPr>
      </w:pPr>
    </w:p>
    <w:p w14:paraId="33278C3F">
      <w:pPr>
        <w:spacing w:line="480" w:lineRule="auto"/>
        <w:rPr>
          <w:rFonts w:ascii="Times New Roman" w:hAnsi="Times New Roman" w:eastAsia="宋体" w:cs="Times New Roman"/>
          <w:b/>
          <w:bCs/>
          <w:color w:val="auto"/>
        </w:rPr>
        <w:sectPr>
          <w:footerReference r:id="rId4" w:type="default"/>
          <w:pgSz w:w="11906" w:h="16838"/>
          <w:pgMar w:top="720" w:right="720" w:bottom="720" w:left="720" w:header="851" w:footer="992" w:gutter="0"/>
          <w:cols w:space="425" w:num="1"/>
          <w:docGrid w:type="lines" w:linePitch="312" w:charSpace="0"/>
        </w:sectPr>
      </w:pPr>
    </w:p>
    <w:p w14:paraId="0F3C0922">
      <w:pPr>
        <w:spacing w:line="480" w:lineRule="auto"/>
        <w:rPr>
          <w:rFonts w:ascii="Arial" w:hAnsi="Arial" w:cs="Arial"/>
          <w:b/>
          <w:bCs/>
          <w:color w:val="auto"/>
          <w:sz w:val="18"/>
          <w:szCs w:val="18"/>
        </w:rPr>
      </w:pPr>
      <w:r>
        <w:rPr>
          <w:rFonts w:ascii="Times New Roman" w:hAnsi="Times New Roman" w:cs="Times New Roman"/>
          <w:b/>
          <w:bCs/>
          <w:color w:val="auto"/>
          <w:szCs w:val="21"/>
        </w:rPr>
        <w:t>Appendix</w:t>
      </w:r>
      <w:r>
        <w:rPr>
          <w:rFonts w:hint="eastAsia" w:ascii="Times New Roman" w:hAnsi="Times New Roman" w:cs="Times New Roman"/>
          <w:b/>
          <w:bCs/>
          <w:color w:val="auto"/>
          <w:szCs w:val="21"/>
        </w:rPr>
        <w:t xml:space="preserve"> 5 </w:t>
      </w:r>
      <w:r>
        <w:rPr>
          <w:rFonts w:ascii="Times New Roman" w:hAnsi="Times New Roman" w:eastAsia="宋体" w:cs="Times New Roman"/>
          <w:color w:val="auto"/>
        </w:rPr>
        <w:t>PRISMA 2020 Checklist</w:t>
      </w:r>
    </w:p>
    <w:tbl>
      <w:tblPr>
        <w:tblStyle w:val="4"/>
        <w:tblW w:w="15200" w:type="dxa"/>
        <w:jc w:val="center"/>
        <w:tblLayout w:type="fixed"/>
        <w:tblCellMar>
          <w:top w:w="0" w:type="dxa"/>
          <w:left w:w="108" w:type="dxa"/>
          <w:bottom w:w="0" w:type="dxa"/>
          <w:right w:w="108" w:type="dxa"/>
        </w:tblCellMar>
      </w:tblPr>
      <w:tblGrid>
        <w:gridCol w:w="1658"/>
        <w:gridCol w:w="587"/>
        <w:gridCol w:w="11309"/>
        <w:gridCol w:w="1646"/>
      </w:tblGrid>
      <w:tr w14:paraId="7B1F2B27">
        <w:tblPrEx>
          <w:tblCellMar>
            <w:top w:w="0" w:type="dxa"/>
            <w:left w:w="108" w:type="dxa"/>
            <w:bottom w:w="0" w:type="dxa"/>
            <w:right w:w="108" w:type="dxa"/>
          </w:tblCellMar>
        </w:tblPrEx>
        <w:trPr>
          <w:trHeight w:val="65" w:hRule="atLeast"/>
          <w:tblHeader/>
          <w:jc w:val="center"/>
        </w:trPr>
        <w:tc>
          <w:tcPr>
            <w:tcW w:w="165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D371254">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4C6E41B">
            <w:pPr>
              <w:pStyle w:val="8"/>
              <w:rPr>
                <w:rFonts w:ascii="Times New Roman" w:hAnsi="Times New Roman" w:cs="Times New Roman"/>
                <w:b/>
                <w:bCs/>
                <w:color w:val="auto"/>
                <w:sz w:val="21"/>
                <w:szCs w:val="21"/>
              </w:rPr>
            </w:pPr>
            <w:r>
              <w:rPr>
                <w:rFonts w:ascii="Times New Roman" w:hAnsi="Times New Roman" w:cs="Times New Roman"/>
                <w:b/>
                <w:bCs/>
                <w:color w:val="auto"/>
                <w:sz w:val="21"/>
                <w:szCs w:val="21"/>
              </w:rPr>
              <w:t>Item #</w:t>
            </w:r>
          </w:p>
        </w:tc>
        <w:tc>
          <w:tcPr>
            <w:tcW w:w="11309"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D298D24">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Checklist item </w:t>
            </w:r>
          </w:p>
        </w:tc>
        <w:tc>
          <w:tcPr>
            <w:tcW w:w="164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E1873CC">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Location where item is reported </w:t>
            </w:r>
          </w:p>
        </w:tc>
      </w:tr>
      <w:tr w14:paraId="28E53D14">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5C77365">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TITLE </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7FA2F02F">
            <w:pPr>
              <w:pStyle w:val="8"/>
              <w:jc w:val="right"/>
              <w:rPr>
                <w:rFonts w:ascii="Times New Roman" w:hAnsi="Times New Roman" w:cs="Times New Roman"/>
                <w:color w:val="auto"/>
                <w:sz w:val="21"/>
                <w:szCs w:val="21"/>
              </w:rPr>
            </w:pPr>
          </w:p>
        </w:tc>
      </w:tr>
      <w:tr w14:paraId="0F21EAA5">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double" w:color="FFFFCC" w:sz="2" w:space="0"/>
              <w:right w:val="single" w:color="000000" w:sz="4" w:space="0"/>
            </w:tcBorders>
          </w:tcPr>
          <w:p w14:paraId="7D64E16F">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22294FDE">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11309" w:type="dxa"/>
            <w:tcBorders>
              <w:top w:val="single" w:color="000000" w:sz="4" w:space="0"/>
              <w:left w:val="single" w:color="000000" w:sz="4" w:space="0"/>
              <w:bottom w:val="double" w:color="000000" w:sz="4" w:space="0"/>
              <w:right w:val="single" w:color="000000" w:sz="4" w:space="0"/>
            </w:tcBorders>
          </w:tcPr>
          <w:p w14:paraId="25E9CAE5">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Identify the report as a systematic review.</w:t>
            </w:r>
          </w:p>
        </w:tc>
        <w:tc>
          <w:tcPr>
            <w:tcW w:w="1646" w:type="dxa"/>
            <w:tcBorders>
              <w:top w:val="single" w:color="000000" w:sz="4" w:space="0"/>
              <w:left w:val="single" w:color="000000" w:sz="4" w:space="0"/>
              <w:bottom w:val="double" w:color="000000" w:sz="4" w:space="0"/>
              <w:right w:val="single" w:color="000000" w:sz="4" w:space="0"/>
            </w:tcBorders>
          </w:tcPr>
          <w:p w14:paraId="15198577">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P1</w:t>
            </w:r>
          </w:p>
        </w:tc>
      </w:tr>
      <w:tr w14:paraId="6979B1F5">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3336933">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ABSTRACT </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06579848">
            <w:pPr>
              <w:pStyle w:val="8"/>
              <w:jc w:val="right"/>
              <w:rPr>
                <w:rFonts w:ascii="Times New Roman" w:hAnsi="Times New Roman" w:cs="Times New Roman"/>
                <w:color w:val="auto"/>
                <w:sz w:val="21"/>
                <w:szCs w:val="21"/>
              </w:rPr>
            </w:pPr>
          </w:p>
        </w:tc>
      </w:tr>
      <w:tr w14:paraId="1EF54591">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double" w:color="FFFFCC" w:sz="2" w:space="0"/>
              <w:right w:val="single" w:color="000000" w:sz="4" w:space="0"/>
            </w:tcBorders>
          </w:tcPr>
          <w:p w14:paraId="7CACFFD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13E07E6E">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w:t>
            </w:r>
          </w:p>
        </w:tc>
        <w:tc>
          <w:tcPr>
            <w:tcW w:w="11309" w:type="dxa"/>
            <w:tcBorders>
              <w:top w:val="single" w:color="000000" w:sz="4" w:space="0"/>
              <w:left w:val="single" w:color="000000" w:sz="4" w:space="0"/>
              <w:bottom w:val="double" w:color="000000" w:sz="4" w:space="0"/>
              <w:right w:val="single" w:color="000000" w:sz="4" w:space="0"/>
            </w:tcBorders>
          </w:tcPr>
          <w:p w14:paraId="265EFDD5">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See the PRISMA 2020 for Abstracts checklist.</w:t>
            </w:r>
          </w:p>
        </w:tc>
        <w:tc>
          <w:tcPr>
            <w:tcW w:w="1646" w:type="dxa"/>
            <w:tcBorders>
              <w:top w:val="single" w:color="000000" w:sz="4" w:space="0"/>
              <w:left w:val="single" w:color="000000" w:sz="4" w:space="0"/>
              <w:bottom w:val="double" w:color="000000" w:sz="4" w:space="0"/>
              <w:right w:val="single" w:color="000000" w:sz="4" w:space="0"/>
            </w:tcBorders>
          </w:tcPr>
          <w:p w14:paraId="253C8CE0">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P1-P2</w:t>
            </w:r>
          </w:p>
        </w:tc>
      </w:tr>
      <w:tr w14:paraId="0E60B338">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27A9D7F">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INTRODUCTION </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74F8F876">
            <w:pPr>
              <w:pStyle w:val="8"/>
              <w:jc w:val="right"/>
              <w:rPr>
                <w:rFonts w:ascii="Times New Roman" w:hAnsi="Times New Roman" w:cs="Times New Roman"/>
                <w:color w:val="auto"/>
                <w:sz w:val="21"/>
                <w:szCs w:val="21"/>
              </w:rPr>
            </w:pPr>
          </w:p>
        </w:tc>
      </w:tr>
      <w:tr w14:paraId="3AC7E533">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2EC811A2">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4C5946B9">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3</w:t>
            </w:r>
          </w:p>
        </w:tc>
        <w:tc>
          <w:tcPr>
            <w:tcW w:w="11309" w:type="dxa"/>
            <w:tcBorders>
              <w:top w:val="single" w:color="000000" w:sz="4" w:space="0"/>
              <w:left w:val="single" w:color="000000" w:sz="4" w:space="0"/>
              <w:bottom w:val="single" w:color="000000" w:sz="4" w:space="0"/>
              <w:right w:val="single" w:color="000000" w:sz="4" w:space="0"/>
            </w:tcBorders>
          </w:tcPr>
          <w:p w14:paraId="17FAFD0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the rationale for the review in the context of existing knowledge.</w:t>
            </w:r>
          </w:p>
        </w:tc>
        <w:tc>
          <w:tcPr>
            <w:tcW w:w="1646" w:type="dxa"/>
            <w:tcBorders>
              <w:top w:val="single" w:color="000000" w:sz="4" w:space="0"/>
              <w:left w:val="single" w:color="000000" w:sz="4" w:space="0"/>
              <w:bottom w:val="single" w:color="000000" w:sz="4" w:space="0"/>
              <w:right w:val="single" w:color="000000" w:sz="4" w:space="0"/>
            </w:tcBorders>
          </w:tcPr>
          <w:p w14:paraId="12C8C205">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P2-P3</w:t>
            </w:r>
          </w:p>
        </w:tc>
      </w:tr>
      <w:tr w14:paraId="638B7D8A">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double" w:color="FFFFCC" w:sz="2" w:space="0"/>
              <w:right w:val="single" w:color="000000" w:sz="4" w:space="0"/>
            </w:tcBorders>
          </w:tcPr>
          <w:p w14:paraId="21B0B5E3">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133E8F92">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4</w:t>
            </w:r>
          </w:p>
        </w:tc>
        <w:tc>
          <w:tcPr>
            <w:tcW w:w="11309" w:type="dxa"/>
            <w:tcBorders>
              <w:top w:val="single" w:color="000000" w:sz="4" w:space="0"/>
              <w:left w:val="single" w:color="000000" w:sz="4" w:space="0"/>
              <w:bottom w:val="double" w:color="000000" w:sz="4" w:space="0"/>
              <w:right w:val="single" w:color="000000" w:sz="4" w:space="0"/>
            </w:tcBorders>
          </w:tcPr>
          <w:p w14:paraId="6216A02A">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Provide an explicit statement of the objective(s) or question(s) the review addresses.</w:t>
            </w:r>
          </w:p>
        </w:tc>
        <w:tc>
          <w:tcPr>
            <w:tcW w:w="1646" w:type="dxa"/>
            <w:tcBorders>
              <w:top w:val="single" w:color="000000" w:sz="4" w:space="0"/>
              <w:left w:val="single" w:color="000000" w:sz="4" w:space="0"/>
              <w:bottom w:val="double" w:color="000000" w:sz="4" w:space="0"/>
              <w:right w:val="single" w:color="000000" w:sz="4" w:space="0"/>
            </w:tcBorders>
          </w:tcPr>
          <w:p w14:paraId="190B5A14">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P2-P3</w:t>
            </w:r>
          </w:p>
        </w:tc>
      </w:tr>
      <w:tr w14:paraId="62E0566D">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95C13E3">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METHODS </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5C73D5DD">
            <w:pPr>
              <w:pStyle w:val="8"/>
              <w:jc w:val="right"/>
              <w:rPr>
                <w:rFonts w:ascii="Times New Roman" w:hAnsi="Times New Roman" w:cs="Times New Roman"/>
                <w:color w:val="auto"/>
                <w:sz w:val="21"/>
                <w:szCs w:val="21"/>
              </w:rPr>
            </w:pPr>
          </w:p>
        </w:tc>
      </w:tr>
      <w:tr w14:paraId="2DE08F00">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536076F4">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6C042F0">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5</w:t>
            </w:r>
          </w:p>
        </w:tc>
        <w:tc>
          <w:tcPr>
            <w:tcW w:w="11309" w:type="dxa"/>
            <w:tcBorders>
              <w:top w:val="single" w:color="000000" w:sz="4" w:space="0"/>
              <w:left w:val="single" w:color="000000" w:sz="4" w:space="0"/>
              <w:bottom w:val="single" w:color="000000" w:sz="4" w:space="0"/>
              <w:right w:val="single" w:color="000000" w:sz="4" w:space="0"/>
            </w:tcBorders>
          </w:tcPr>
          <w:p w14:paraId="08D4B1EE">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Specify the inclusion and exclusion criteria for the review and how studies were grouped for the syntheses.</w:t>
            </w:r>
          </w:p>
        </w:tc>
        <w:tc>
          <w:tcPr>
            <w:tcW w:w="1646" w:type="dxa"/>
            <w:tcBorders>
              <w:top w:val="single" w:color="000000" w:sz="4" w:space="0"/>
              <w:left w:val="single" w:color="000000" w:sz="4" w:space="0"/>
              <w:bottom w:val="single" w:color="000000" w:sz="4" w:space="0"/>
              <w:right w:val="single" w:color="000000" w:sz="4" w:space="0"/>
            </w:tcBorders>
          </w:tcPr>
          <w:p w14:paraId="62BAA88A">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P3-P4</w:t>
            </w:r>
          </w:p>
        </w:tc>
      </w:tr>
      <w:tr w14:paraId="2708B4BE">
        <w:tblPrEx>
          <w:tblCellMar>
            <w:top w:w="0" w:type="dxa"/>
            <w:left w:w="108" w:type="dxa"/>
            <w:bottom w:w="0" w:type="dxa"/>
            <w:right w:w="108" w:type="dxa"/>
          </w:tblCellMar>
        </w:tblPrEx>
        <w:trPr>
          <w:trHeight w:val="191"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1ADAB6D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53A40BCC">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6</w:t>
            </w:r>
          </w:p>
        </w:tc>
        <w:tc>
          <w:tcPr>
            <w:tcW w:w="11309" w:type="dxa"/>
            <w:tcBorders>
              <w:top w:val="single" w:color="000000" w:sz="4" w:space="0"/>
              <w:left w:val="single" w:color="000000" w:sz="4" w:space="0"/>
              <w:bottom w:val="single" w:color="000000" w:sz="4" w:space="0"/>
              <w:right w:val="single" w:color="000000" w:sz="4" w:space="0"/>
            </w:tcBorders>
          </w:tcPr>
          <w:p w14:paraId="576580D4">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Specify all databases, registers, websites, organisations, reference lists and other sources searched or consulted to identify studies. Specify the date when each source was last searched or consulted.</w:t>
            </w:r>
          </w:p>
        </w:tc>
        <w:tc>
          <w:tcPr>
            <w:tcW w:w="1646" w:type="dxa"/>
            <w:tcBorders>
              <w:top w:val="single" w:color="000000" w:sz="4" w:space="0"/>
              <w:left w:val="single" w:color="000000" w:sz="4" w:space="0"/>
              <w:bottom w:val="single" w:color="000000" w:sz="4" w:space="0"/>
              <w:right w:val="single" w:color="000000" w:sz="4" w:space="0"/>
            </w:tcBorders>
          </w:tcPr>
          <w:p w14:paraId="6C0C182F">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P3</w:t>
            </w:r>
          </w:p>
        </w:tc>
      </w:tr>
      <w:tr w14:paraId="132DD904">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140AA5A2">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7780EBB3">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7</w:t>
            </w:r>
          </w:p>
        </w:tc>
        <w:tc>
          <w:tcPr>
            <w:tcW w:w="11309" w:type="dxa"/>
            <w:tcBorders>
              <w:top w:val="single" w:color="000000" w:sz="4" w:space="0"/>
              <w:left w:val="single" w:color="000000" w:sz="4" w:space="0"/>
              <w:bottom w:val="single" w:color="000000" w:sz="4" w:space="0"/>
              <w:right w:val="single" w:color="000000" w:sz="4" w:space="0"/>
            </w:tcBorders>
          </w:tcPr>
          <w:p w14:paraId="27DF268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the full search strategies for all databases, registers and websites, including any filters and limits used.</w:t>
            </w:r>
          </w:p>
        </w:tc>
        <w:tc>
          <w:tcPr>
            <w:tcW w:w="1646" w:type="dxa"/>
            <w:tcBorders>
              <w:top w:val="single" w:color="000000" w:sz="4" w:space="0"/>
              <w:left w:val="single" w:color="000000" w:sz="4" w:space="0"/>
              <w:bottom w:val="single" w:color="000000" w:sz="4" w:space="0"/>
              <w:right w:val="single" w:color="000000" w:sz="4" w:space="0"/>
            </w:tcBorders>
          </w:tcPr>
          <w:p w14:paraId="36D6675B">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P3</w:t>
            </w:r>
          </w:p>
          <w:p w14:paraId="5052D725">
            <w:pPr>
              <w:pStyle w:val="8"/>
              <w:spacing w:before="40" w:after="40"/>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Appendix</w:t>
            </w:r>
            <w:r>
              <w:rPr>
                <w:rFonts w:hint="eastAsia" w:ascii="Times New Roman" w:hAnsi="Times New Roman" w:eastAsia="宋体" w:cs="Times New Roman"/>
                <w:color w:val="auto"/>
                <w:sz w:val="21"/>
                <w:szCs w:val="21"/>
                <w:lang w:val="en-US" w:eastAsia="zh-CN"/>
              </w:rPr>
              <w:t>1</w:t>
            </w:r>
          </w:p>
          <w:p w14:paraId="5A47E520">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Table S1-S4</w:t>
            </w:r>
          </w:p>
        </w:tc>
      </w:tr>
      <w:tr w14:paraId="61C1C7FD">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60EB208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374ADB97">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8</w:t>
            </w:r>
          </w:p>
        </w:tc>
        <w:tc>
          <w:tcPr>
            <w:tcW w:w="11309" w:type="dxa"/>
            <w:tcBorders>
              <w:top w:val="single" w:color="000000" w:sz="4" w:space="0"/>
              <w:left w:val="single" w:color="000000" w:sz="4" w:space="0"/>
              <w:bottom w:val="single" w:color="000000" w:sz="4" w:space="0"/>
              <w:right w:val="single" w:color="000000" w:sz="4" w:space="0"/>
            </w:tcBorders>
          </w:tcPr>
          <w:p w14:paraId="4DD70AD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46" w:type="dxa"/>
            <w:tcBorders>
              <w:top w:val="single" w:color="000000" w:sz="4" w:space="0"/>
              <w:left w:val="single" w:color="000000" w:sz="4" w:space="0"/>
              <w:bottom w:val="single" w:color="000000" w:sz="4" w:space="0"/>
              <w:right w:val="single" w:color="000000" w:sz="4" w:space="0"/>
            </w:tcBorders>
          </w:tcPr>
          <w:p w14:paraId="4DC6E165">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P4-P5</w:t>
            </w:r>
          </w:p>
        </w:tc>
      </w:tr>
      <w:tr w14:paraId="597D08DA">
        <w:tblPrEx>
          <w:tblCellMar>
            <w:top w:w="0" w:type="dxa"/>
            <w:left w:w="108" w:type="dxa"/>
            <w:bottom w:w="0" w:type="dxa"/>
            <w:right w:w="108" w:type="dxa"/>
          </w:tblCellMar>
        </w:tblPrEx>
        <w:trPr>
          <w:trHeight w:val="152"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62222F1E">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5476758D">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9</w:t>
            </w:r>
          </w:p>
        </w:tc>
        <w:tc>
          <w:tcPr>
            <w:tcW w:w="11309" w:type="dxa"/>
            <w:tcBorders>
              <w:top w:val="single" w:color="000000" w:sz="4" w:space="0"/>
              <w:left w:val="single" w:color="000000" w:sz="4" w:space="0"/>
              <w:bottom w:val="single" w:color="000000" w:sz="4" w:space="0"/>
              <w:right w:val="single" w:color="000000" w:sz="4" w:space="0"/>
            </w:tcBorders>
          </w:tcPr>
          <w:p w14:paraId="5F889264">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46" w:type="dxa"/>
            <w:tcBorders>
              <w:top w:val="single" w:color="000000" w:sz="4" w:space="0"/>
              <w:left w:val="single" w:color="000000" w:sz="4" w:space="0"/>
              <w:bottom w:val="single" w:color="000000" w:sz="4" w:space="0"/>
              <w:right w:val="single" w:color="000000" w:sz="4" w:space="0"/>
            </w:tcBorders>
          </w:tcPr>
          <w:p w14:paraId="1564DCF3">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P4-P5</w:t>
            </w:r>
          </w:p>
        </w:tc>
      </w:tr>
      <w:tr w14:paraId="46AA95CE">
        <w:tblPrEx>
          <w:tblCellMar>
            <w:top w:w="0" w:type="dxa"/>
            <w:left w:w="108" w:type="dxa"/>
            <w:bottom w:w="0" w:type="dxa"/>
            <w:right w:w="108" w:type="dxa"/>
          </w:tblCellMar>
        </w:tblPrEx>
        <w:trPr>
          <w:trHeight w:val="48" w:hRule="atLeast"/>
          <w:jc w:val="center"/>
        </w:trPr>
        <w:tc>
          <w:tcPr>
            <w:tcW w:w="1658" w:type="dxa"/>
            <w:vMerge w:val="restart"/>
            <w:tcBorders>
              <w:top w:val="single" w:color="000000" w:sz="4" w:space="0"/>
              <w:left w:val="single" w:color="000000" w:sz="4" w:space="0"/>
              <w:right w:val="single" w:color="000000" w:sz="4" w:space="0"/>
            </w:tcBorders>
          </w:tcPr>
          <w:p w14:paraId="2CC9845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49E6BBB9">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10a</w:t>
            </w:r>
          </w:p>
        </w:tc>
        <w:tc>
          <w:tcPr>
            <w:tcW w:w="11309" w:type="dxa"/>
            <w:tcBorders>
              <w:top w:val="single" w:color="000000" w:sz="4" w:space="0"/>
              <w:left w:val="single" w:color="000000" w:sz="4" w:space="0"/>
              <w:bottom w:val="single" w:color="000000" w:sz="4" w:space="0"/>
              <w:right w:val="single" w:color="000000" w:sz="4" w:space="0"/>
            </w:tcBorders>
          </w:tcPr>
          <w:p w14:paraId="33BC71F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46" w:type="dxa"/>
            <w:tcBorders>
              <w:top w:val="single" w:color="000000" w:sz="4" w:space="0"/>
              <w:left w:val="single" w:color="000000" w:sz="4" w:space="0"/>
              <w:bottom w:val="single" w:color="000000" w:sz="4" w:space="0"/>
              <w:right w:val="single" w:color="000000" w:sz="4" w:space="0"/>
            </w:tcBorders>
          </w:tcPr>
          <w:p w14:paraId="5F6BD3D6">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P4-P5</w:t>
            </w:r>
          </w:p>
        </w:tc>
      </w:tr>
      <w:tr w14:paraId="2C5E51ED">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bottom w:val="single" w:color="000000" w:sz="4" w:space="0"/>
              <w:right w:val="single" w:color="000000" w:sz="4" w:space="0"/>
            </w:tcBorders>
          </w:tcPr>
          <w:p w14:paraId="1941CA3E">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0BF86E2A">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10b</w:t>
            </w:r>
          </w:p>
        </w:tc>
        <w:tc>
          <w:tcPr>
            <w:tcW w:w="11309" w:type="dxa"/>
            <w:tcBorders>
              <w:top w:val="single" w:color="000000" w:sz="4" w:space="0"/>
              <w:left w:val="single" w:color="000000" w:sz="4" w:space="0"/>
              <w:bottom w:val="single" w:color="000000" w:sz="4" w:space="0"/>
              <w:right w:val="single" w:color="000000" w:sz="4" w:space="0"/>
            </w:tcBorders>
          </w:tcPr>
          <w:p w14:paraId="54A6F93A">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List and define all other variables for which data were sought (e.g. participant and intervention characteristics, funding sources). Describe any assumptions made about any missing or unclear information.</w:t>
            </w:r>
          </w:p>
        </w:tc>
        <w:tc>
          <w:tcPr>
            <w:tcW w:w="1646" w:type="dxa"/>
            <w:tcBorders>
              <w:top w:val="single" w:color="000000" w:sz="4" w:space="0"/>
              <w:left w:val="single" w:color="000000" w:sz="4" w:space="0"/>
              <w:bottom w:val="single" w:color="000000" w:sz="4" w:space="0"/>
              <w:right w:val="single" w:color="000000" w:sz="4" w:space="0"/>
            </w:tcBorders>
          </w:tcPr>
          <w:p w14:paraId="24B41A36">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P4-P5</w:t>
            </w:r>
          </w:p>
        </w:tc>
      </w:tr>
      <w:tr w14:paraId="62D4CC36">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3979AF7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0C4C3A53">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11</w:t>
            </w:r>
          </w:p>
        </w:tc>
        <w:tc>
          <w:tcPr>
            <w:tcW w:w="11309" w:type="dxa"/>
            <w:tcBorders>
              <w:top w:val="single" w:color="000000" w:sz="4" w:space="0"/>
              <w:left w:val="single" w:color="000000" w:sz="4" w:space="0"/>
              <w:bottom w:val="single" w:color="000000" w:sz="4" w:space="0"/>
              <w:right w:val="single" w:color="000000" w:sz="4" w:space="0"/>
            </w:tcBorders>
          </w:tcPr>
          <w:p w14:paraId="6366457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46" w:type="dxa"/>
            <w:tcBorders>
              <w:top w:val="single" w:color="000000" w:sz="4" w:space="0"/>
              <w:left w:val="single" w:color="000000" w:sz="4" w:space="0"/>
              <w:bottom w:val="single" w:color="000000" w:sz="4" w:space="0"/>
              <w:right w:val="single" w:color="000000" w:sz="4" w:space="0"/>
            </w:tcBorders>
          </w:tcPr>
          <w:p w14:paraId="6582B7DF">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P5</w:t>
            </w:r>
          </w:p>
        </w:tc>
      </w:tr>
      <w:tr w14:paraId="034DA956">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18AB2A88">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798B60FE">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12</w:t>
            </w:r>
          </w:p>
        </w:tc>
        <w:tc>
          <w:tcPr>
            <w:tcW w:w="11309" w:type="dxa"/>
            <w:tcBorders>
              <w:top w:val="single" w:color="000000" w:sz="4" w:space="0"/>
              <w:left w:val="single" w:color="000000" w:sz="4" w:space="0"/>
              <w:bottom w:val="single" w:color="000000" w:sz="4" w:space="0"/>
              <w:right w:val="single" w:color="000000" w:sz="4" w:space="0"/>
            </w:tcBorders>
          </w:tcPr>
          <w:p w14:paraId="7314FC5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Specify for each outcome the effect measure(s) (e.g. risk ratio, mean difference) used in the synthesis or presentation of results.</w:t>
            </w:r>
          </w:p>
        </w:tc>
        <w:tc>
          <w:tcPr>
            <w:tcW w:w="1646" w:type="dxa"/>
            <w:tcBorders>
              <w:top w:val="single" w:color="000000" w:sz="4" w:space="0"/>
              <w:left w:val="single" w:color="000000" w:sz="4" w:space="0"/>
              <w:bottom w:val="single" w:color="000000" w:sz="4" w:space="0"/>
              <w:right w:val="single" w:color="000000" w:sz="4" w:space="0"/>
            </w:tcBorders>
          </w:tcPr>
          <w:p w14:paraId="072075A3">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P5</w:t>
            </w:r>
          </w:p>
        </w:tc>
      </w:tr>
      <w:tr w14:paraId="5D7646C2">
        <w:tblPrEx>
          <w:tblCellMar>
            <w:top w:w="0" w:type="dxa"/>
            <w:left w:w="108" w:type="dxa"/>
            <w:bottom w:w="0" w:type="dxa"/>
            <w:right w:w="108" w:type="dxa"/>
          </w:tblCellMar>
        </w:tblPrEx>
        <w:trPr>
          <w:trHeight w:val="48" w:hRule="atLeast"/>
          <w:jc w:val="center"/>
        </w:trPr>
        <w:tc>
          <w:tcPr>
            <w:tcW w:w="1658" w:type="dxa"/>
            <w:vMerge w:val="restart"/>
            <w:tcBorders>
              <w:top w:val="single" w:color="000000" w:sz="4" w:space="0"/>
              <w:left w:val="single" w:color="000000" w:sz="4" w:space="0"/>
              <w:right w:val="single" w:color="000000" w:sz="4" w:space="0"/>
            </w:tcBorders>
          </w:tcPr>
          <w:p w14:paraId="556607C8">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46455EB2">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13a</w:t>
            </w:r>
          </w:p>
        </w:tc>
        <w:tc>
          <w:tcPr>
            <w:tcW w:w="11309" w:type="dxa"/>
            <w:tcBorders>
              <w:top w:val="single" w:color="000000" w:sz="4" w:space="0"/>
              <w:left w:val="single" w:color="000000" w:sz="4" w:space="0"/>
              <w:bottom w:val="single" w:color="000000" w:sz="4" w:space="0"/>
              <w:right w:val="single" w:color="000000" w:sz="4" w:space="0"/>
            </w:tcBorders>
          </w:tcPr>
          <w:p w14:paraId="6E4EB7BD">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the processes used to decide which studies were eligible for each synthesis (e.g. tabulating the study intervention characteristics and comparing against the planned groups for each synthesis (item #5)).</w:t>
            </w:r>
          </w:p>
        </w:tc>
        <w:tc>
          <w:tcPr>
            <w:tcW w:w="1646" w:type="dxa"/>
            <w:tcBorders>
              <w:top w:val="single" w:color="000000" w:sz="4" w:space="0"/>
              <w:left w:val="single" w:color="000000" w:sz="4" w:space="0"/>
              <w:bottom w:val="single" w:color="000000" w:sz="4" w:space="0"/>
              <w:right w:val="single" w:color="000000" w:sz="4" w:space="0"/>
            </w:tcBorders>
          </w:tcPr>
          <w:p w14:paraId="5CEBCF23">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124F7575">
        <w:tblPrEx>
          <w:tblCellMar>
            <w:top w:w="0" w:type="dxa"/>
            <w:left w:w="108" w:type="dxa"/>
            <w:bottom w:w="0" w:type="dxa"/>
            <w:right w:w="108" w:type="dxa"/>
          </w:tblCellMar>
        </w:tblPrEx>
        <w:trPr>
          <w:trHeight w:val="90" w:hRule="atLeast"/>
          <w:jc w:val="center"/>
        </w:trPr>
        <w:tc>
          <w:tcPr>
            <w:tcW w:w="1658" w:type="dxa"/>
            <w:vMerge w:val="continue"/>
            <w:tcBorders>
              <w:left w:val="single" w:color="000000" w:sz="4" w:space="0"/>
              <w:right w:val="single" w:color="000000" w:sz="4" w:space="0"/>
            </w:tcBorders>
          </w:tcPr>
          <w:p w14:paraId="1D856089">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20D53C5E">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13b</w:t>
            </w:r>
          </w:p>
        </w:tc>
        <w:tc>
          <w:tcPr>
            <w:tcW w:w="11309" w:type="dxa"/>
            <w:tcBorders>
              <w:top w:val="single" w:color="000000" w:sz="4" w:space="0"/>
              <w:left w:val="single" w:color="000000" w:sz="4" w:space="0"/>
              <w:bottom w:val="single" w:color="000000" w:sz="4" w:space="0"/>
              <w:right w:val="single" w:color="000000" w:sz="4" w:space="0"/>
            </w:tcBorders>
          </w:tcPr>
          <w:p w14:paraId="2F799866">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methods required to prepare the data for presentation or synthesis, such as handling of missing summary statistics, or data conversions.</w:t>
            </w:r>
          </w:p>
        </w:tc>
        <w:tc>
          <w:tcPr>
            <w:tcW w:w="1646" w:type="dxa"/>
            <w:tcBorders>
              <w:top w:val="single" w:color="000000" w:sz="4" w:space="0"/>
              <w:left w:val="single" w:color="000000" w:sz="4" w:space="0"/>
              <w:bottom w:val="single" w:color="000000" w:sz="4" w:space="0"/>
              <w:right w:val="single" w:color="000000" w:sz="4" w:space="0"/>
            </w:tcBorders>
          </w:tcPr>
          <w:p w14:paraId="66D84802">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0D59D1B0">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right w:val="single" w:color="000000" w:sz="4" w:space="0"/>
            </w:tcBorders>
          </w:tcPr>
          <w:p w14:paraId="0D59BF3B">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4709F6FA">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13c</w:t>
            </w:r>
          </w:p>
        </w:tc>
        <w:tc>
          <w:tcPr>
            <w:tcW w:w="11309" w:type="dxa"/>
            <w:tcBorders>
              <w:top w:val="single" w:color="000000" w:sz="4" w:space="0"/>
              <w:left w:val="single" w:color="000000" w:sz="4" w:space="0"/>
              <w:bottom w:val="single" w:color="000000" w:sz="4" w:space="0"/>
              <w:right w:val="single" w:color="000000" w:sz="4" w:space="0"/>
            </w:tcBorders>
          </w:tcPr>
          <w:p w14:paraId="6454A5A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methods used to tabulate or visually display results of individual studies and syntheses.</w:t>
            </w:r>
          </w:p>
        </w:tc>
        <w:tc>
          <w:tcPr>
            <w:tcW w:w="1646" w:type="dxa"/>
            <w:tcBorders>
              <w:top w:val="single" w:color="000000" w:sz="4" w:space="0"/>
              <w:left w:val="single" w:color="000000" w:sz="4" w:space="0"/>
              <w:bottom w:val="single" w:color="000000" w:sz="4" w:space="0"/>
              <w:right w:val="single" w:color="000000" w:sz="4" w:space="0"/>
            </w:tcBorders>
          </w:tcPr>
          <w:p w14:paraId="1E646A96">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6CEFB07F">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right w:val="single" w:color="000000" w:sz="4" w:space="0"/>
            </w:tcBorders>
          </w:tcPr>
          <w:p w14:paraId="49CE1492">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01F7F165">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13d</w:t>
            </w:r>
          </w:p>
        </w:tc>
        <w:tc>
          <w:tcPr>
            <w:tcW w:w="11309" w:type="dxa"/>
            <w:tcBorders>
              <w:top w:val="single" w:color="000000" w:sz="4" w:space="0"/>
              <w:left w:val="single" w:color="000000" w:sz="4" w:space="0"/>
              <w:bottom w:val="single" w:color="000000" w:sz="4" w:space="0"/>
              <w:right w:val="single" w:color="000000" w:sz="4" w:space="0"/>
            </w:tcBorders>
          </w:tcPr>
          <w:p w14:paraId="1FF466B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methods used to synthesize results and provide a rationale for the choice(s). If meta-analysis was performed, describe the model(s), method(s) to identify the presence and extent of statistical heterogeneity, and software package(s) used.</w:t>
            </w:r>
          </w:p>
        </w:tc>
        <w:tc>
          <w:tcPr>
            <w:tcW w:w="1646" w:type="dxa"/>
            <w:tcBorders>
              <w:top w:val="single" w:color="000000" w:sz="4" w:space="0"/>
              <w:left w:val="single" w:color="000000" w:sz="4" w:space="0"/>
              <w:bottom w:val="single" w:color="000000" w:sz="4" w:space="0"/>
              <w:right w:val="single" w:color="000000" w:sz="4" w:space="0"/>
            </w:tcBorders>
          </w:tcPr>
          <w:p w14:paraId="7E145437">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0086B83F">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right w:val="single" w:color="000000" w:sz="4" w:space="0"/>
            </w:tcBorders>
          </w:tcPr>
          <w:p w14:paraId="4252F558">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039AF887">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13e</w:t>
            </w:r>
          </w:p>
        </w:tc>
        <w:tc>
          <w:tcPr>
            <w:tcW w:w="11309" w:type="dxa"/>
            <w:tcBorders>
              <w:top w:val="single" w:color="000000" w:sz="4" w:space="0"/>
              <w:left w:val="single" w:color="000000" w:sz="4" w:space="0"/>
              <w:bottom w:val="single" w:color="000000" w:sz="4" w:space="0"/>
              <w:right w:val="single" w:color="000000" w:sz="4" w:space="0"/>
            </w:tcBorders>
          </w:tcPr>
          <w:p w14:paraId="6B3D186D">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methods used to explore possible causes of heterogeneity among study results (e.g. subgroup analysis, meta-regression).</w:t>
            </w:r>
          </w:p>
        </w:tc>
        <w:tc>
          <w:tcPr>
            <w:tcW w:w="1646" w:type="dxa"/>
            <w:tcBorders>
              <w:top w:val="single" w:color="000000" w:sz="4" w:space="0"/>
              <w:left w:val="single" w:color="000000" w:sz="4" w:space="0"/>
              <w:bottom w:val="single" w:color="000000" w:sz="4" w:space="0"/>
              <w:right w:val="single" w:color="000000" w:sz="4" w:space="0"/>
            </w:tcBorders>
          </w:tcPr>
          <w:p w14:paraId="21DEEF15">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4E92BE1D">
        <w:tblPrEx>
          <w:tblCellMar>
            <w:top w:w="0" w:type="dxa"/>
            <w:left w:w="108" w:type="dxa"/>
            <w:bottom w:w="0" w:type="dxa"/>
            <w:right w:w="108" w:type="dxa"/>
          </w:tblCellMar>
        </w:tblPrEx>
        <w:trPr>
          <w:trHeight w:val="50" w:hRule="atLeast"/>
          <w:jc w:val="center"/>
        </w:trPr>
        <w:tc>
          <w:tcPr>
            <w:tcW w:w="1658" w:type="dxa"/>
            <w:vMerge w:val="continue"/>
            <w:tcBorders>
              <w:left w:val="single" w:color="000000" w:sz="4" w:space="0"/>
              <w:bottom w:val="single" w:color="000000" w:sz="4" w:space="0"/>
              <w:right w:val="single" w:color="000000" w:sz="4" w:space="0"/>
            </w:tcBorders>
          </w:tcPr>
          <w:p w14:paraId="4B570487">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64559F5C">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13f</w:t>
            </w:r>
          </w:p>
        </w:tc>
        <w:tc>
          <w:tcPr>
            <w:tcW w:w="11309" w:type="dxa"/>
            <w:tcBorders>
              <w:top w:val="single" w:color="000000" w:sz="4" w:space="0"/>
              <w:left w:val="single" w:color="000000" w:sz="4" w:space="0"/>
              <w:bottom w:val="single" w:color="000000" w:sz="4" w:space="0"/>
              <w:right w:val="single" w:color="000000" w:sz="4" w:space="0"/>
            </w:tcBorders>
          </w:tcPr>
          <w:p w14:paraId="43CF7C7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sensitivity analyses conducted to assess robustness of the synthesized results.</w:t>
            </w:r>
          </w:p>
        </w:tc>
        <w:tc>
          <w:tcPr>
            <w:tcW w:w="1646" w:type="dxa"/>
            <w:tcBorders>
              <w:top w:val="single" w:color="000000" w:sz="4" w:space="0"/>
              <w:left w:val="single" w:color="000000" w:sz="4" w:space="0"/>
              <w:bottom w:val="single" w:color="000000" w:sz="4" w:space="0"/>
              <w:right w:val="single" w:color="000000" w:sz="4" w:space="0"/>
            </w:tcBorders>
          </w:tcPr>
          <w:p w14:paraId="09E5C3BC">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7F689907">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6E944EED">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4AA4C59F">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14</w:t>
            </w:r>
          </w:p>
        </w:tc>
        <w:tc>
          <w:tcPr>
            <w:tcW w:w="11309" w:type="dxa"/>
            <w:tcBorders>
              <w:top w:val="single" w:color="000000" w:sz="4" w:space="0"/>
              <w:left w:val="single" w:color="000000" w:sz="4" w:space="0"/>
              <w:bottom w:val="single" w:color="000000" w:sz="4" w:space="0"/>
              <w:right w:val="single" w:color="000000" w:sz="4" w:space="0"/>
            </w:tcBorders>
          </w:tcPr>
          <w:p w14:paraId="2E3E316A">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methods used to assess risk of bias due to missing results in a synthesis (arising from reporting biases).</w:t>
            </w:r>
          </w:p>
        </w:tc>
        <w:tc>
          <w:tcPr>
            <w:tcW w:w="1646" w:type="dxa"/>
            <w:tcBorders>
              <w:top w:val="single" w:color="000000" w:sz="4" w:space="0"/>
              <w:left w:val="single" w:color="000000" w:sz="4" w:space="0"/>
              <w:bottom w:val="single" w:color="000000" w:sz="4" w:space="0"/>
              <w:right w:val="single" w:color="000000" w:sz="4" w:space="0"/>
            </w:tcBorders>
          </w:tcPr>
          <w:p w14:paraId="22FA8261">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369BB351">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6AC3A0E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6E014F7B">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15</w:t>
            </w:r>
          </w:p>
        </w:tc>
        <w:tc>
          <w:tcPr>
            <w:tcW w:w="11309" w:type="dxa"/>
            <w:tcBorders>
              <w:top w:val="single" w:color="000000" w:sz="4" w:space="0"/>
              <w:left w:val="single" w:color="000000" w:sz="4" w:space="0"/>
              <w:bottom w:val="single" w:color="000000" w:sz="4" w:space="0"/>
              <w:right w:val="single" w:color="000000" w:sz="4" w:space="0"/>
            </w:tcBorders>
          </w:tcPr>
          <w:p w14:paraId="4353020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any methods used to assess certainty (or confidence) in the body of evidence for an outcome.</w:t>
            </w:r>
          </w:p>
        </w:tc>
        <w:tc>
          <w:tcPr>
            <w:tcW w:w="1646" w:type="dxa"/>
            <w:tcBorders>
              <w:top w:val="single" w:color="000000" w:sz="4" w:space="0"/>
              <w:left w:val="single" w:color="000000" w:sz="4" w:space="0"/>
              <w:bottom w:val="single" w:color="000000" w:sz="4" w:space="0"/>
              <w:right w:val="single" w:color="000000" w:sz="4" w:space="0"/>
            </w:tcBorders>
          </w:tcPr>
          <w:p w14:paraId="62822A40">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P5</w:t>
            </w:r>
          </w:p>
        </w:tc>
      </w:tr>
      <w:tr w14:paraId="44FBA3A8">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E3AEAA5">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RESULTS </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0548629C">
            <w:pPr>
              <w:pStyle w:val="8"/>
              <w:jc w:val="center"/>
              <w:rPr>
                <w:rFonts w:ascii="Times New Roman" w:hAnsi="Times New Roman" w:cs="Times New Roman"/>
                <w:color w:val="auto"/>
                <w:sz w:val="21"/>
                <w:szCs w:val="21"/>
              </w:rPr>
            </w:pPr>
          </w:p>
        </w:tc>
      </w:tr>
      <w:tr w14:paraId="7A277F48">
        <w:tblPrEx>
          <w:tblCellMar>
            <w:top w:w="0" w:type="dxa"/>
            <w:left w:w="108" w:type="dxa"/>
            <w:bottom w:w="0" w:type="dxa"/>
            <w:right w:w="108" w:type="dxa"/>
          </w:tblCellMar>
        </w:tblPrEx>
        <w:trPr>
          <w:trHeight w:val="48" w:hRule="atLeast"/>
          <w:jc w:val="center"/>
        </w:trPr>
        <w:tc>
          <w:tcPr>
            <w:tcW w:w="1658" w:type="dxa"/>
            <w:vMerge w:val="restart"/>
            <w:tcBorders>
              <w:top w:val="single" w:color="000000" w:sz="4" w:space="0"/>
              <w:left w:val="single" w:color="000000" w:sz="4" w:space="0"/>
              <w:right w:val="single" w:color="000000" w:sz="4" w:space="0"/>
            </w:tcBorders>
          </w:tcPr>
          <w:p w14:paraId="04C24B96">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CDA6E05">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16a</w:t>
            </w:r>
          </w:p>
        </w:tc>
        <w:tc>
          <w:tcPr>
            <w:tcW w:w="11309" w:type="dxa"/>
            <w:tcBorders>
              <w:top w:val="single" w:color="000000" w:sz="4" w:space="0"/>
              <w:left w:val="single" w:color="000000" w:sz="4" w:space="0"/>
              <w:bottom w:val="single" w:color="000000" w:sz="4" w:space="0"/>
              <w:right w:val="single" w:color="000000" w:sz="4" w:space="0"/>
            </w:tcBorders>
          </w:tcPr>
          <w:p w14:paraId="52BB75F4">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the results of the search and selection process, from the number of records identified in the search to the number of studies included in the review, ideally using a flow diagram.</w:t>
            </w:r>
          </w:p>
        </w:tc>
        <w:tc>
          <w:tcPr>
            <w:tcW w:w="1646" w:type="dxa"/>
            <w:tcBorders>
              <w:top w:val="single" w:color="000000" w:sz="4" w:space="0"/>
              <w:left w:val="single" w:color="000000" w:sz="4" w:space="0"/>
              <w:bottom w:val="single" w:color="000000" w:sz="4" w:space="0"/>
              <w:right w:val="single" w:color="000000" w:sz="4" w:space="0"/>
            </w:tcBorders>
          </w:tcPr>
          <w:p w14:paraId="7CA8FE0F">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P5-P6,Figure 1</w:t>
            </w:r>
          </w:p>
        </w:tc>
      </w:tr>
      <w:tr w14:paraId="3F351C81">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bottom w:val="single" w:color="000000" w:sz="4" w:space="0"/>
              <w:right w:val="single" w:color="000000" w:sz="4" w:space="0"/>
            </w:tcBorders>
          </w:tcPr>
          <w:p w14:paraId="584AD47B">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49C65F1B">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16b</w:t>
            </w:r>
          </w:p>
        </w:tc>
        <w:tc>
          <w:tcPr>
            <w:tcW w:w="11309" w:type="dxa"/>
            <w:tcBorders>
              <w:top w:val="single" w:color="000000" w:sz="4" w:space="0"/>
              <w:left w:val="single" w:color="000000" w:sz="4" w:space="0"/>
              <w:bottom w:val="single" w:color="000000" w:sz="4" w:space="0"/>
              <w:right w:val="single" w:color="000000" w:sz="4" w:space="0"/>
            </w:tcBorders>
          </w:tcPr>
          <w:p w14:paraId="5A3B624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Cite studies that might appear to meet the inclusion criteria, but which were excluded, and explain why they were excluded.</w:t>
            </w:r>
          </w:p>
        </w:tc>
        <w:tc>
          <w:tcPr>
            <w:tcW w:w="1646" w:type="dxa"/>
            <w:tcBorders>
              <w:top w:val="single" w:color="000000" w:sz="4" w:space="0"/>
              <w:left w:val="single" w:color="000000" w:sz="4" w:space="0"/>
              <w:bottom w:val="single" w:color="000000" w:sz="4" w:space="0"/>
              <w:right w:val="single" w:color="000000" w:sz="4" w:space="0"/>
            </w:tcBorders>
          </w:tcPr>
          <w:p w14:paraId="333624F8">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P5</w:t>
            </w:r>
          </w:p>
        </w:tc>
      </w:tr>
      <w:tr w14:paraId="2770624E">
        <w:tblPrEx>
          <w:tblCellMar>
            <w:top w:w="0" w:type="dxa"/>
            <w:left w:w="108" w:type="dxa"/>
            <w:bottom w:w="0" w:type="dxa"/>
            <w:right w:w="108" w:type="dxa"/>
          </w:tblCellMar>
        </w:tblPrEx>
        <w:trPr>
          <w:trHeight w:val="103"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7393559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764805DB">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17</w:t>
            </w:r>
          </w:p>
        </w:tc>
        <w:tc>
          <w:tcPr>
            <w:tcW w:w="11309" w:type="dxa"/>
            <w:tcBorders>
              <w:top w:val="single" w:color="000000" w:sz="4" w:space="0"/>
              <w:left w:val="single" w:color="000000" w:sz="4" w:space="0"/>
              <w:bottom w:val="single" w:color="000000" w:sz="4" w:space="0"/>
              <w:right w:val="single" w:color="000000" w:sz="4" w:space="0"/>
            </w:tcBorders>
          </w:tcPr>
          <w:p w14:paraId="441587C9">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Cite each included study and present its characteristics.</w:t>
            </w:r>
          </w:p>
        </w:tc>
        <w:tc>
          <w:tcPr>
            <w:tcW w:w="1646" w:type="dxa"/>
            <w:tcBorders>
              <w:top w:val="single" w:color="000000" w:sz="4" w:space="0"/>
              <w:left w:val="single" w:color="000000" w:sz="4" w:space="0"/>
              <w:bottom w:val="single" w:color="000000" w:sz="4" w:space="0"/>
              <w:right w:val="single" w:color="000000" w:sz="4" w:space="0"/>
            </w:tcBorders>
          </w:tcPr>
          <w:p w14:paraId="09071326">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P6,</w:t>
            </w:r>
          </w:p>
          <w:p w14:paraId="6F764635">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Appendix</w:t>
            </w:r>
            <w:r>
              <w:rPr>
                <w:rFonts w:hint="eastAsia" w:ascii="Times New Roman" w:hAnsi="Times New Roman" w:eastAsia="宋体" w:cs="Times New Roman"/>
                <w:color w:val="auto"/>
                <w:sz w:val="21"/>
                <w:szCs w:val="21"/>
                <w:lang w:val="en-US" w:eastAsia="zh-CN"/>
              </w:rPr>
              <w:t>2</w:t>
            </w:r>
          </w:p>
        </w:tc>
      </w:tr>
      <w:tr w14:paraId="34A4F331">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1D78185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234A7874">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18</w:t>
            </w:r>
          </w:p>
        </w:tc>
        <w:tc>
          <w:tcPr>
            <w:tcW w:w="11309" w:type="dxa"/>
            <w:tcBorders>
              <w:top w:val="single" w:color="000000" w:sz="4" w:space="0"/>
              <w:left w:val="single" w:color="000000" w:sz="4" w:space="0"/>
              <w:bottom w:val="single" w:color="000000" w:sz="4" w:space="0"/>
              <w:right w:val="single" w:color="000000" w:sz="4" w:space="0"/>
            </w:tcBorders>
          </w:tcPr>
          <w:p w14:paraId="7AFBD27A">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assessments of risk of bias for each included study.</w:t>
            </w:r>
          </w:p>
        </w:tc>
        <w:tc>
          <w:tcPr>
            <w:tcW w:w="1646" w:type="dxa"/>
            <w:tcBorders>
              <w:top w:val="single" w:color="000000" w:sz="4" w:space="0"/>
              <w:left w:val="single" w:color="000000" w:sz="4" w:space="0"/>
              <w:bottom w:val="single" w:color="000000" w:sz="4" w:space="0"/>
              <w:right w:val="single" w:color="000000" w:sz="4" w:space="0"/>
            </w:tcBorders>
          </w:tcPr>
          <w:p w14:paraId="29C69872">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P6-P8,Figure2,</w:t>
            </w:r>
          </w:p>
          <w:p w14:paraId="42D30649">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Figure 3</w:t>
            </w:r>
          </w:p>
        </w:tc>
      </w:tr>
      <w:tr w14:paraId="264AA63C">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37125C05">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5660EEA7">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19</w:t>
            </w:r>
          </w:p>
        </w:tc>
        <w:tc>
          <w:tcPr>
            <w:tcW w:w="11309" w:type="dxa"/>
            <w:tcBorders>
              <w:top w:val="single" w:color="000000" w:sz="4" w:space="0"/>
              <w:left w:val="single" w:color="000000" w:sz="4" w:space="0"/>
              <w:bottom w:val="single" w:color="000000" w:sz="4" w:space="0"/>
              <w:right w:val="single" w:color="000000" w:sz="4" w:space="0"/>
            </w:tcBorders>
          </w:tcPr>
          <w:p w14:paraId="5FB05768">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For all outcomes, present, for each study: (a) summary statistics for each group (where appropriate) and (b) an effect estimate and its precision (e.g. confidence/credible interval), ideally using structured tables or plots.</w:t>
            </w:r>
          </w:p>
        </w:tc>
        <w:tc>
          <w:tcPr>
            <w:tcW w:w="1646" w:type="dxa"/>
            <w:tcBorders>
              <w:top w:val="single" w:color="000000" w:sz="4" w:space="0"/>
              <w:left w:val="single" w:color="000000" w:sz="4" w:space="0"/>
              <w:bottom w:val="single" w:color="000000" w:sz="4" w:space="0"/>
              <w:right w:val="single" w:color="000000" w:sz="4" w:space="0"/>
            </w:tcBorders>
          </w:tcPr>
          <w:p w14:paraId="0B16095A">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P8-P11,Figure4,</w:t>
            </w:r>
          </w:p>
          <w:p w14:paraId="677169A1">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Figure5,Figure6,</w:t>
            </w:r>
          </w:p>
          <w:p w14:paraId="04EE3E94">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Figure7,Figure8,</w:t>
            </w:r>
          </w:p>
          <w:p w14:paraId="42E35542">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Figure9</w:t>
            </w:r>
          </w:p>
        </w:tc>
      </w:tr>
      <w:tr w14:paraId="1FAC583C">
        <w:tblPrEx>
          <w:tblCellMar>
            <w:top w:w="0" w:type="dxa"/>
            <w:left w:w="108" w:type="dxa"/>
            <w:bottom w:w="0" w:type="dxa"/>
            <w:right w:w="108" w:type="dxa"/>
          </w:tblCellMar>
        </w:tblPrEx>
        <w:trPr>
          <w:trHeight w:val="48" w:hRule="atLeast"/>
          <w:jc w:val="center"/>
        </w:trPr>
        <w:tc>
          <w:tcPr>
            <w:tcW w:w="1658" w:type="dxa"/>
            <w:vMerge w:val="restart"/>
            <w:tcBorders>
              <w:top w:val="single" w:color="000000" w:sz="4" w:space="0"/>
              <w:left w:val="single" w:color="000000" w:sz="4" w:space="0"/>
              <w:right w:val="single" w:color="000000" w:sz="4" w:space="0"/>
            </w:tcBorders>
          </w:tcPr>
          <w:p w14:paraId="18D81CCC">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35D57F26">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20a</w:t>
            </w:r>
          </w:p>
        </w:tc>
        <w:tc>
          <w:tcPr>
            <w:tcW w:w="11309" w:type="dxa"/>
            <w:tcBorders>
              <w:top w:val="single" w:color="000000" w:sz="4" w:space="0"/>
              <w:left w:val="single" w:color="000000" w:sz="4" w:space="0"/>
              <w:bottom w:val="single" w:color="000000" w:sz="4" w:space="0"/>
              <w:right w:val="single" w:color="000000" w:sz="4" w:space="0"/>
            </w:tcBorders>
          </w:tcPr>
          <w:p w14:paraId="5A7BA1C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For each synthesis, briefly summarise the characteristics and risk of bias among contributing studies.</w:t>
            </w:r>
          </w:p>
        </w:tc>
        <w:tc>
          <w:tcPr>
            <w:tcW w:w="1646" w:type="dxa"/>
            <w:tcBorders>
              <w:top w:val="single" w:color="000000" w:sz="4" w:space="0"/>
              <w:left w:val="single" w:color="000000" w:sz="4" w:space="0"/>
              <w:bottom w:val="single" w:color="000000" w:sz="4" w:space="0"/>
              <w:right w:val="single" w:color="000000" w:sz="4" w:space="0"/>
            </w:tcBorders>
          </w:tcPr>
          <w:p w14:paraId="53F957DB">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P8-P11</w:t>
            </w:r>
          </w:p>
        </w:tc>
      </w:tr>
      <w:tr w14:paraId="41F7FCE9">
        <w:tblPrEx>
          <w:tblCellMar>
            <w:top w:w="0" w:type="dxa"/>
            <w:left w:w="108" w:type="dxa"/>
            <w:bottom w:w="0" w:type="dxa"/>
            <w:right w:w="108" w:type="dxa"/>
          </w:tblCellMar>
        </w:tblPrEx>
        <w:trPr>
          <w:trHeight w:val="203" w:hRule="atLeast"/>
          <w:jc w:val="center"/>
        </w:trPr>
        <w:tc>
          <w:tcPr>
            <w:tcW w:w="1658" w:type="dxa"/>
            <w:vMerge w:val="continue"/>
            <w:tcBorders>
              <w:left w:val="single" w:color="000000" w:sz="4" w:space="0"/>
              <w:right w:val="single" w:color="000000" w:sz="4" w:space="0"/>
            </w:tcBorders>
          </w:tcPr>
          <w:p w14:paraId="31C1A9F3">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6DA192EF">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20b</w:t>
            </w:r>
          </w:p>
        </w:tc>
        <w:tc>
          <w:tcPr>
            <w:tcW w:w="11309" w:type="dxa"/>
            <w:tcBorders>
              <w:top w:val="single" w:color="000000" w:sz="4" w:space="0"/>
              <w:left w:val="single" w:color="000000" w:sz="4" w:space="0"/>
              <w:bottom w:val="single" w:color="000000" w:sz="4" w:space="0"/>
              <w:right w:val="single" w:color="000000" w:sz="4" w:space="0"/>
            </w:tcBorders>
          </w:tcPr>
          <w:p w14:paraId="6A8EDBD9">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46" w:type="dxa"/>
            <w:tcBorders>
              <w:top w:val="single" w:color="000000" w:sz="4" w:space="0"/>
              <w:left w:val="single" w:color="000000" w:sz="4" w:space="0"/>
              <w:bottom w:val="single" w:color="000000" w:sz="4" w:space="0"/>
              <w:right w:val="single" w:color="000000" w:sz="4" w:space="0"/>
            </w:tcBorders>
          </w:tcPr>
          <w:p w14:paraId="05950BF2">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P8-P11</w:t>
            </w:r>
          </w:p>
        </w:tc>
      </w:tr>
      <w:tr w14:paraId="7F981C4F">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right w:val="single" w:color="000000" w:sz="4" w:space="0"/>
            </w:tcBorders>
          </w:tcPr>
          <w:p w14:paraId="61AE40BF">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74F6D1E0">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20c</w:t>
            </w:r>
          </w:p>
        </w:tc>
        <w:tc>
          <w:tcPr>
            <w:tcW w:w="11309" w:type="dxa"/>
            <w:tcBorders>
              <w:top w:val="single" w:color="000000" w:sz="4" w:space="0"/>
              <w:left w:val="single" w:color="000000" w:sz="4" w:space="0"/>
              <w:bottom w:val="single" w:color="000000" w:sz="4" w:space="0"/>
              <w:right w:val="single" w:color="000000" w:sz="4" w:space="0"/>
            </w:tcBorders>
          </w:tcPr>
          <w:p w14:paraId="3BDE6D32">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results of all investigations of possible causes of heterogeneity among study results.</w:t>
            </w:r>
          </w:p>
        </w:tc>
        <w:tc>
          <w:tcPr>
            <w:tcW w:w="1646" w:type="dxa"/>
            <w:tcBorders>
              <w:top w:val="single" w:color="000000" w:sz="4" w:space="0"/>
              <w:left w:val="single" w:color="000000" w:sz="4" w:space="0"/>
              <w:bottom w:val="single" w:color="000000" w:sz="4" w:space="0"/>
              <w:right w:val="single" w:color="000000" w:sz="4" w:space="0"/>
            </w:tcBorders>
          </w:tcPr>
          <w:p w14:paraId="5F0FE384">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P8-P11</w:t>
            </w:r>
          </w:p>
        </w:tc>
      </w:tr>
      <w:tr w14:paraId="626C95BE">
        <w:tblPrEx>
          <w:tblCellMar>
            <w:top w:w="0" w:type="dxa"/>
            <w:left w:w="108" w:type="dxa"/>
            <w:bottom w:w="0" w:type="dxa"/>
            <w:right w:w="108" w:type="dxa"/>
          </w:tblCellMar>
        </w:tblPrEx>
        <w:trPr>
          <w:trHeight w:val="202" w:hRule="atLeast"/>
          <w:jc w:val="center"/>
        </w:trPr>
        <w:tc>
          <w:tcPr>
            <w:tcW w:w="1658" w:type="dxa"/>
            <w:vMerge w:val="continue"/>
            <w:tcBorders>
              <w:left w:val="single" w:color="000000" w:sz="4" w:space="0"/>
              <w:bottom w:val="single" w:color="000000" w:sz="4" w:space="0"/>
              <w:right w:val="single" w:color="000000" w:sz="4" w:space="0"/>
            </w:tcBorders>
          </w:tcPr>
          <w:p w14:paraId="09830F58">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03F05433">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20d</w:t>
            </w:r>
          </w:p>
        </w:tc>
        <w:tc>
          <w:tcPr>
            <w:tcW w:w="11309" w:type="dxa"/>
            <w:tcBorders>
              <w:top w:val="single" w:color="000000" w:sz="4" w:space="0"/>
              <w:left w:val="single" w:color="000000" w:sz="4" w:space="0"/>
              <w:bottom w:val="single" w:color="000000" w:sz="4" w:space="0"/>
              <w:right w:val="single" w:color="000000" w:sz="4" w:space="0"/>
            </w:tcBorders>
          </w:tcPr>
          <w:p w14:paraId="35DAE8F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results of all sensitivity analyses conducted to assess the robustness of the synthesized results.</w:t>
            </w:r>
          </w:p>
        </w:tc>
        <w:tc>
          <w:tcPr>
            <w:tcW w:w="1646" w:type="dxa"/>
            <w:tcBorders>
              <w:top w:val="single" w:color="000000" w:sz="4" w:space="0"/>
              <w:left w:val="single" w:color="000000" w:sz="4" w:space="0"/>
              <w:bottom w:val="single" w:color="000000" w:sz="4" w:space="0"/>
              <w:right w:val="single" w:color="000000" w:sz="4" w:space="0"/>
            </w:tcBorders>
          </w:tcPr>
          <w:p w14:paraId="2A282DAA">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P8-P10</w:t>
            </w:r>
          </w:p>
        </w:tc>
      </w:tr>
      <w:tr w14:paraId="31E06430">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7AB982B2">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39D7DD5A">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21</w:t>
            </w:r>
          </w:p>
        </w:tc>
        <w:tc>
          <w:tcPr>
            <w:tcW w:w="11309" w:type="dxa"/>
            <w:tcBorders>
              <w:top w:val="single" w:color="000000" w:sz="4" w:space="0"/>
              <w:left w:val="single" w:color="000000" w:sz="4" w:space="0"/>
              <w:bottom w:val="single" w:color="000000" w:sz="4" w:space="0"/>
              <w:right w:val="single" w:color="000000" w:sz="4" w:space="0"/>
            </w:tcBorders>
          </w:tcPr>
          <w:p w14:paraId="295394BF">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assessments of risk of bias due to missing results (arising from reporting biases) for each synthesis assessed.</w:t>
            </w:r>
          </w:p>
        </w:tc>
        <w:tc>
          <w:tcPr>
            <w:tcW w:w="1646" w:type="dxa"/>
            <w:tcBorders>
              <w:top w:val="single" w:color="000000" w:sz="4" w:space="0"/>
              <w:left w:val="single" w:color="000000" w:sz="4" w:space="0"/>
              <w:bottom w:val="single" w:color="000000" w:sz="4" w:space="0"/>
              <w:right w:val="single" w:color="000000" w:sz="4" w:space="0"/>
            </w:tcBorders>
          </w:tcPr>
          <w:p w14:paraId="067E2F11">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P8-P11</w:t>
            </w:r>
          </w:p>
        </w:tc>
      </w:tr>
      <w:tr w14:paraId="08B645B9">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08704415">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55F08769">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22</w:t>
            </w:r>
          </w:p>
        </w:tc>
        <w:tc>
          <w:tcPr>
            <w:tcW w:w="11309" w:type="dxa"/>
            <w:tcBorders>
              <w:top w:val="single" w:color="000000" w:sz="4" w:space="0"/>
              <w:left w:val="single" w:color="000000" w:sz="4" w:space="0"/>
              <w:bottom w:val="single" w:color="000000" w:sz="4" w:space="0"/>
              <w:right w:val="single" w:color="000000" w:sz="4" w:space="0"/>
            </w:tcBorders>
          </w:tcPr>
          <w:p w14:paraId="0787A05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Present assessments of certainty (or confidence) in the body of evidence for each outcome assessed.</w:t>
            </w:r>
          </w:p>
        </w:tc>
        <w:tc>
          <w:tcPr>
            <w:tcW w:w="1646" w:type="dxa"/>
            <w:tcBorders>
              <w:top w:val="single" w:color="000000" w:sz="4" w:space="0"/>
              <w:left w:val="single" w:color="000000" w:sz="4" w:space="0"/>
              <w:bottom w:val="single" w:color="000000" w:sz="4" w:space="0"/>
              <w:right w:val="single" w:color="000000" w:sz="4" w:space="0"/>
            </w:tcBorders>
          </w:tcPr>
          <w:p w14:paraId="791DD661">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P8-P11</w:t>
            </w:r>
          </w:p>
        </w:tc>
      </w:tr>
      <w:tr w14:paraId="4BD4B425">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39D6EB2">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 xml:space="preserve">DISCUSSION </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59AC8E1C">
            <w:pPr>
              <w:pStyle w:val="8"/>
              <w:jc w:val="center"/>
              <w:rPr>
                <w:rFonts w:ascii="Times New Roman" w:hAnsi="Times New Roman" w:cs="Times New Roman"/>
                <w:color w:val="auto"/>
                <w:sz w:val="21"/>
                <w:szCs w:val="21"/>
              </w:rPr>
            </w:pPr>
          </w:p>
        </w:tc>
      </w:tr>
      <w:tr w14:paraId="09E56525">
        <w:tblPrEx>
          <w:tblCellMar>
            <w:top w:w="0" w:type="dxa"/>
            <w:left w:w="108" w:type="dxa"/>
            <w:bottom w:w="0" w:type="dxa"/>
            <w:right w:w="108" w:type="dxa"/>
          </w:tblCellMar>
        </w:tblPrEx>
        <w:trPr>
          <w:trHeight w:val="48" w:hRule="atLeast"/>
          <w:jc w:val="center"/>
        </w:trPr>
        <w:tc>
          <w:tcPr>
            <w:tcW w:w="1658" w:type="dxa"/>
            <w:vMerge w:val="restart"/>
            <w:tcBorders>
              <w:top w:val="single" w:color="000000" w:sz="4" w:space="0"/>
              <w:left w:val="single" w:color="000000" w:sz="4" w:space="0"/>
              <w:right w:val="single" w:color="000000" w:sz="4" w:space="0"/>
            </w:tcBorders>
          </w:tcPr>
          <w:p w14:paraId="3A0FBF7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093111C6">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23a</w:t>
            </w:r>
          </w:p>
        </w:tc>
        <w:tc>
          <w:tcPr>
            <w:tcW w:w="11309" w:type="dxa"/>
            <w:tcBorders>
              <w:top w:val="single" w:color="000000" w:sz="4" w:space="0"/>
              <w:left w:val="single" w:color="000000" w:sz="4" w:space="0"/>
              <w:bottom w:val="single" w:color="000000" w:sz="4" w:space="0"/>
              <w:right w:val="single" w:color="000000" w:sz="4" w:space="0"/>
            </w:tcBorders>
          </w:tcPr>
          <w:p w14:paraId="3A838EB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Provide a general interpretation of the results in the context of other evidence.</w:t>
            </w:r>
          </w:p>
        </w:tc>
        <w:tc>
          <w:tcPr>
            <w:tcW w:w="1646" w:type="dxa"/>
            <w:tcBorders>
              <w:top w:val="single" w:color="000000" w:sz="4" w:space="0"/>
              <w:left w:val="single" w:color="000000" w:sz="4" w:space="0"/>
              <w:bottom w:val="single" w:color="000000" w:sz="4" w:space="0"/>
              <w:right w:val="single" w:color="000000" w:sz="4" w:space="0"/>
            </w:tcBorders>
          </w:tcPr>
          <w:p w14:paraId="64075F71">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P11-P12</w:t>
            </w:r>
          </w:p>
        </w:tc>
      </w:tr>
      <w:tr w14:paraId="31F4BA8E">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right w:val="single" w:color="000000" w:sz="4" w:space="0"/>
            </w:tcBorders>
          </w:tcPr>
          <w:p w14:paraId="4065EFEB">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21B1DC0C">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23b</w:t>
            </w:r>
          </w:p>
        </w:tc>
        <w:tc>
          <w:tcPr>
            <w:tcW w:w="11309" w:type="dxa"/>
            <w:tcBorders>
              <w:top w:val="single" w:color="000000" w:sz="4" w:space="0"/>
              <w:left w:val="single" w:color="000000" w:sz="4" w:space="0"/>
              <w:bottom w:val="single" w:color="000000" w:sz="4" w:space="0"/>
              <w:right w:val="single" w:color="000000" w:sz="4" w:space="0"/>
            </w:tcBorders>
          </w:tcPr>
          <w:p w14:paraId="3F536B63">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Discuss any limitations of the evidence included in the review.</w:t>
            </w:r>
          </w:p>
        </w:tc>
        <w:tc>
          <w:tcPr>
            <w:tcW w:w="1646" w:type="dxa"/>
            <w:tcBorders>
              <w:top w:val="single" w:color="000000" w:sz="4" w:space="0"/>
              <w:left w:val="single" w:color="000000" w:sz="4" w:space="0"/>
              <w:bottom w:val="single" w:color="000000" w:sz="4" w:space="0"/>
              <w:right w:val="single" w:color="000000" w:sz="4" w:space="0"/>
            </w:tcBorders>
          </w:tcPr>
          <w:p w14:paraId="7E4B8330">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P14</w:t>
            </w:r>
          </w:p>
        </w:tc>
      </w:tr>
      <w:tr w14:paraId="3F51D9CB">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right w:val="single" w:color="000000" w:sz="4" w:space="0"/>
            </w:tcBorders>
          </w:tcPr>
          <w:p w14:paraId="14A5A5A4">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auto" w:sz="4" w:space="0"/>
              <w:right w:val="single" w:color="000000" w:sz="4" w:space="0"/>
            </w:tcBorders>
          </w:tcPr>
          <w:p w14:paraId="31D04611">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23c</w:t>
            </w:r>
          </w:p>
        </w:tc>
        <w:tc>
          <w:tcPr>
            <w:tcW w:w="11309" w:type="dxa"/>
            <w:tcBorders>
              <w:top w:val="single" w:color="000000" w:sz="4" w:space="0"/>
              <w:left w:val="single" w:color="000000" w:sz="4" w:space="0"/>
              <w:bottom w:val="single" w:color="000000" w:sz="4" w:space="0"/>
              <w:right w:val="single" w:color="000000" w:sz="4" w:space="0"/>
            </w:tcBorders>
          </w:tcPr>
          <w:p w14:paraId="1E1CCA94">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Discuss any limitations of the review processes used.</w:t>
            </w:r>
          </w:p>
        </w:tc>
        <w:tc>
          <w:tcPr>
            <w:tcW w:w="1646" w:type="dxa"/>
            <w:tcBorders>
              <w:top w:val="single" w:color="000000" w:sz="4" w:space="0"/>
              <w:left w:val="single" w:color="000000" w:sz="4" w:space="0"/>
              <w:bottom w:val="single" w:color="000000" w:sz="4" w:space="0"/>
              <w:right w:val="single" w:color="000000" w:sz="4" w:space="0"/>
            </w:tcBorders>
          </w:tcPr>
          <w:p w14:paraId="51943F6B">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P14</w:t>
            </w:r>
          </w:p>
        </w:tc>
      </w:tr>
      <w:tr w14:paraId="6C03B16C">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bottom w:val="single" w:color="auto" w:sz="4" w:space="0"/>
              <w:right w:val="single" w:color="000000" w:sz="4" w:space="0"/>
            </w:tcBorders>
          </w:tcPr>
          <w:p w14:paraId="421D0621">
            <w:pPr>
              <w:pStyle w:val="8"/>
              <w:spacing w:before="40" w:after="40"/>
              <w:rPr>
                <w:rFonts w:ascii="Times New Roman" w:hAnsi="Times New Roman" w:cs="Times New Roman"/>
                <w:color w:val="auto"/>
                <w:sz w:val="21"/>
                <w:szCs w:val="21"/>
              </w:rPr>
            </w:pPr>
          </w:p>
        </w:tc>
        <w:tc>
          <w:tcPr>
            <w:tcW w:w="587" w:type="dxa"/>
            <w:tcBorders>
              <w:top w:val="single" w:color="auto" w:sz="4" w:space="0"/>
              <w:left w:val="single" w:color="000000" w:sz="4" w:space="0"/>
              <w:bottom w:val="single" w:color="auto" w:sz="4" w:space="0"/>
              <w:right w:val="single" w:color="auto" w:sz="4" w:space="0"/>
            </w:tcBorders>
          </w:tcPr>
          <w:p w14:paraId="6E810178">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23d</w:t>
            </w:r>
          </w:p>
        </w:tc>
        <w:tc>
          <w:tcPr>
            <w:tcW w:w="11309" w:type="dxa"/>
            <w:tcBorders>
              <w:top w:val="single" w:color="000000" w:sz="4" w:space="0"/>
              <w:left w:val="single" w:color="auto" w:sz="4" w:space="0"/>
              <w:bottom w:val="double" w:color="000000" w:sz="4" w:space="0"/>
              <w:right w:val="single" w:color="000000" w:sz="4" w:space="0"/>
            </w:tcBorders>
          </w:tcPr>
          <w:p w14:paraId="66223E7F">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Discuss implications of the results for practice, policy, and future research.</w:t>
            </w:r>
          </w:p>
        </w:tc>
        <w:tc>
          <w:tcPr>
            <w:tcW w:w="1646" w:type="dxa"/>
            <w:tcBorders>
              <w:top w:val="single" w:color="000000" w:sz="4" w:space="0"/>
              <w:left w:val="single" w:color="000000" w:sz="4" w:space="0"/>
              <w:bottom w:val="double" w:color="000000" w:sz="4" w:space="0"/>
              <w:right w:val="single" w:color="000000" w:sz="4" w:space="0"/>
            </w:tcBorders>
          </w:tcPr>
          <w:p w14:paraId="4AC4692D">
            <w:pPr>
              <w:pStyle w:val="8"/>
              <w:spacing w:before="40" w:after="40"/>
              <w:rPr>
                <w:rFonts w:ascii="Times New Roman" w:hAnsi="Times New Roman" w:cs="Times New Roman"/>
                <w:color w:val="auto"/>
                <w:sz w:val="21"/>
                <w:szCs w:val="21"/>
                <w:lang w:val="en-US"/>
              </w:rPr>
            </w:pPr>
            <w:r>
              <w:rPr>
                <w:rFonts w:ascii="Times New Roman" w:hAnsi="Times New Roman" w:eastAsia="宋体" w:cs="Times New Roman"/>
                <w:color w:val="auto"/>
                <w:sz w:val="21"/>
                <w:szCs w:val="21"/>
                <w:lang w:val="en-US" w:eastAsia="zh-CN"/>
              </w:rPr>
              <w:t>P13</w:t>
            </w:r>
          </w:p>
        </w:tc>
      </w:tr>
      <w:tr w14:paraId="06D31D94">
        <w:tblPrEx>
          <w:tblCellMar>
            <w:top w:w="0" w:type="dxa"/>
            <w:left w:w="108" w:type="dxa"/>
            <w:bottom w:w="0" w:type="dxa"/>
            <w:right w:w="108" w:type="dxa"/>
          </w:tblCellMar>
        </w:tblPrEx>
        <w:trPr>
          <w:trHeight w:val="24" w:hRule="atLeast"/>
          <w:jc w:val="center"/>
        </w:trPr>
        <w:tc>
          <w:tcPr>
            <w:tcW w:w="13554"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4BA6069">
            <w:pPr>
              <w:pStyle w:val="8"/>
              <w:rPr>
                <w:rFonts w:ascii="Times New Roman" w:hAnsi="Times New Roman" w:cs="Times New Roman"/>
                <w:color w:val="auto"/>
                <w:sz w:val="21"/>
                <w:szCs w:val="21"/>
              </w:rPr>
            </w:pPr>
            <w:r>
              <w:rPr>
                <w:rFonts w:ascii="Times New Roman" w:hAnsi="Times New Roman" w:cs="Times New Roman"/>
                <w:b/>
                <w:bCs/>
                <w:color w:val="auto"/>
                <w:sz w:val="21"/>
                <w:szCs w:val="21"/>
              </w:rPr>
              <w:t>OTHER INFORMATION</w:t>
            </w:r>
          </w:p>
        </w:tc>
        <w:tc>
          <w:tcPr>
            <w:tcW w:w="1646" w:type="dxa"/>
            <w:tcBorders>
              <w:top w:val="double" w:color="000000" w:sz="4" w:space="0"/>
              <w:left w:val="single" w:color="000000" w:sz="4" w:space="0"/>
              <w:bottom w:val="single" w:color="000000" w:sz="4" w:space="0"/>
              <w:right w:val="single" w:color="000000" w:sz="4" w:space="0"/>
            </w:tcBorders>
            <w:shd w:val="clear" w:color="auto" w:fill="FFFFCC"/>
          </w:tcPr>
          <w:p w14:paraId="5D1196CD">
            <w:pPr>
              <w:pStyle w:val="8"/>
              <w:jc w:val="center"/>
              <w:rPr>
                <w:rFonts w:ascii="Times New Roman" w:hAnsi="Times New Roman" w:cs="Times New Roman"/>
                <w:color w:val="auto"/>
                <w:sz w:val="21"/>
                <w:szCs w:val="21"/>
              </w:rPr>
            </w:pPr>
          </w:p>
        </w:tc>
      </w:tr>
      <w:tr w14:paraId="0060C52A">
        <w:tblPrEx>
          <w:tblCellMar>
            <w:top w:w="0" w:type="dxa"/>
            <w:left w:w="108" w:type="dxa"/>
            <w:bottom w:w="0" w:type="dxa"/>
            <w:right w:w="108" w:type="dxa"/>
          </w:tblCellMar>
        </w:tblPrEx>
        <w:trPr>
          <w:trHeight w:val="48" w:hRule="atLeast"/>
          <w:jc w:val="center"/>
        </w:trPr>
        <w:tc>
          <w:tcPr>
            <w:tcW w:w="1658" w:type="dxa"/>
            <w:vMerge w:val="restart"/>
            <w:tcBorders>
              <w:top w:val="single" w:color="000000" w:sz="4" w:space="0"/>
              <w:left w:val="single" w:color="000000" w:sz="4" w:space="0"/>
              <w:right w:val="single" w:color="000000" w:sz="4" w:space="0"/>
            </w:tcBorders>
          </w:tcPr>
          <w:p w14:paraId="6C2267D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EF6A255">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24a</w:t>
            </w:r>
          </w:p>
        </w:tc>
        <w:tc>
          <w:tcPr>
            <w:tcW w:w="11309" w:type="dxa"/>
            <w:tcBorders>
              <w:top w:val="single" w:color="000000" w:sz="4" w:space="0"/>
              <w:left w:val="single" w:color="000000" w:sz="4" w:space="0"/>
              <w:bottom w:val="single" w:color="000000" w:sz="4" w:space="0"/>
              <w:right w:val="single" w:color="000000" w:sz="4" w:space="0"/>
            </w:tcBorders>
          </w:tcPr>
          <w:p w14:paraId="56BE8133">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Provide registration information for the review, including register name and registration number, or state that the review was not registered.</w:t>
            </w:r>
          </w:p>
        </w:tc>
        <w:tc>
          <w:tcPr>
            <w:tcW w:w="1646" w:type="dxa"/>
            <w:tcBorders>
              <w:top w:val="single" w:color="000000" w:sz="4" w:space="0"/>
              <w:left w:val="single" w:color="000000" w:sz="4" w:space="0"/>
              <w:bottom w:val="single" w:color="000000" w:sz="4" w:space="0"/>
              <w:right w:val="single" w:color="000000" w:sz="4" w:space="0"/>
            </w:tcBorders>
          </w:tcPr>
          <w:p w14:paraId="656F7823">
            <w:pPr>
              <w:pStyle w:val="8"/>
              <w:spacing w:before="40" w:after="40"/>
              <w:rPr>
                <w:rFonts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P3</w:t>
            </w:r>
          </w:p>
        </w:tc>
      </w:tr>
      <w:tr w14:paraId="41B7DA9D">
        <w:tblPrEx>
          <w:tblCellMar>
            <w:top w:w="0" w:type="dxa"/>
            <w:left w:w="108" w:type="dxa"/>
            <w:bottom w:w="0" w:type="dxa"/>
            <w:right w:w="108" w:type="dxa"/>
          </w:tblCellMar>
        </w:tblPrEx>
        <w:trPr>
          <w:trHeight w:val="57" w:hRule="atLeast"/>
          <w:jc w:val="center"/>
        </w:trPr>
        <w:tc>
          <w:tcPr>
            <w:tcW w:w="1658" w:type="dxa"/>
            <w:vMerge w:val="continue"/>
            <w:tcBorders>
              <w:left w:val="single" w:color="000000" w:sz="4" w:space="0"/>
              <w:right w:val="single" w:color="000000" w:sz="4" w:space="0"/>
            </w:tcBorders>
          </w:tcPr>
          <w:p w14:paraId="1B7885B2">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79ADC24C">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24b</w:t>
            </w:r>
          </w:p>
        </w:tc>
        <w:tc>
          <w:tcPr>
            <w:tcW w:w="11309" w:type="dxa"/>
            <w:tcBorders>
              <w:top w:val="single" w:color="000000" w:sz="4" w:space="0"/>
              <w:left w:val="single" w:color="000000" w:sz="4" w:space="0"/>
              <w:bottom w:val="single" w:color="000000" w:sz="4" w:space="0"/>
              <w:right w:val="single" w:color="000000" w:sz="4" w:space="0"/>
            </w:tcBorders>
          </w:tcPr>
          <w:p w14:paraId="1A03D486">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Indicate where the review protocol can be accessed, or state that a protocol was not prepared.</w:t>
            </w:r>
          </w:p>
        </w:tc>
        <w:tc>
          <w:tcPr>
            <w:tcW w:w="1646" w:type="dxa"/>
            <w:tcBorders>
              <w:top w:val="single" w:color="000000" w:sz="4" w:space="0"/>
              <w:left w:val="single" w:color="000000" w:sz="4" w:space="0"/>
              <w:bottom w:val="single" w:color="000000" w:sz="4" w:space="0"/>
              <w:right w:val="single" w:color="000000" w:sz="4" w:space="0"/>
            </w:tcBorders>
          </w:tcPr>
          <w:p w14:paraId="1FFCD659">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lang w:eastAsia="zh-CN"/>
              </w:rPr>
              <w:t>Not Applicable</w:t>
            </w:r>
          </w:p>
        </w:tc>
      </w:tr>
      <w:tr w14:paraId="05318D29">
        <w:tblPrEx>
          <w:tblCellMar>
            <w:top w:w="0" w:type="dxa"/>
            <w:left w:w="108" w:type="dxa"/>
            <w:bottom w:w="0" w:type="dxa"/>
            <w:right w:w="108" w:type="dxa"/>
          </w:tblCellMar>
        </w:tblPrEx>
        <w:trPr>
          <w:trHeight w:val="48" w:hRule="atLeast"/>
          <w:jc w:val="center"/>
        </w:trPr>
        <w:tc>
          <w:tcPr>
            <w:tcW w:w="1658" w:type="dxa"/>
            <w:vMerge w:val="continue"/>
            <w:tcBorders>
              <w:left w:val="single" w:color="000000" w:sz="4" w:space="0"/>
              <w:bottom w:val="single" w:color="000000" w:sz="4" w:space="0"/>
              <w:right w:val="single" w:color="000000" w:sz="4" w:space="0"/>
            </w:tcBorders>
          </w:tcPr>
          <w:p w14:paraId="454AA169">
            <w:pPr>
              <w:pStyle w:val="8"/>
              <w:spacing w:before="40" w:after="40"/>
              <w:rPr>
                <w:rFonts w:ascii="Times New Roman" w:hAnsi="Times New Roman" w:cs="Times New Roman"/>
                <w:color w:val="auto"/>
                <w:sz w:val="21"/>
                <w:szCs w:val="21"/>
              </w:rPr>
            </w:pPr>
          </w:p>
        </w:tc>
        <w:tc>
          <w:tcPr>
            <w:tcW w:w="587" w:type="dxa"/>
            <w:tcBorders>
              <w:top w:val="single" w:color="000000" w:sz="4" w:space="0"/>
              <w:left w:val="single" w:color="000000" w:sz="4" w:space="0"/>
              <w:bottom w:val="single" w:color="000000" w:sz="4" w:space="0"/>
              <w:right w:val="single" w:color="000000" w:sz="4" w:space="0"/>
            </w:tcBorders>
          </w:tcPr>
          <w:p w14:paraId="5B1F13F5">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24c</w:t>
            </w:r>
          </w:p>
        </w:tc>
        <w:tc>
          <w:tcPr>
            <w:tcW w:w="11309" w:type="dxa"/>
            <w:tcBorders>
              <w:top w:val="single" w:color="000000" w:sz="4" w:space="0"/>
              <w:left w:val="single" w:color="000000" w:sz="4" w:space="0"/>
              <w:bottom w:val="single" w:color="000000" w:sz="4" w:space="0"/>
              <w:right w:val="single" w:color="000000" w:sz="4" w:space="0"/>
            </w:tcBorders>
          </w:tcPr>
          <w:p w14:paraId="524D7D89">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and explain any amendments to information provided at registration or in the protocol.</w:t>
            </w:r>
          </w:p>
        </w:tc>
        <w:tc>
          <w:tcPr>
            <w:tcW w:w="1646" w:type="dxa"/>
            <w:tcBorders>
              <w:top w:val="single" w:color="000000" w:sz="4" w:space="0"/>
              <w:left w:val="single" w:color="000000" w:sz="4" w:space="0"/>
              <w:bottom w:val="single" w:color="000000" w:sz="4" w:space="0"/>
              <w:right w:val="single" w:color="000000" w:sz="4" w:space="0"/>
            </w:tcBorders>
          </w:tcPr>
          <w:p w14:paraId="01D5E151">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lang w:eastAsia="zh-CN"/>
              </w:rPr>
              <w:t>unchanged</w:t>
            </w:r>
          </w:p>
        </w:tc>
      </w:tr>
      <w:tr w14:paraId="49AE3CCC">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5901223B">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Support</w:t>
            </w:r>
          </w:p>
        </w:tc>
        <w:tc>
          <w:tcPr>
            <w:tcW w:w="587" w:type="dxa"/>
            <w:tcBorders>
              <w:top w:val="single" w:color="000000" w:sz="4" w:space="0"/>
              <w:left w:val="single" w:color="000000" w:sz="4" w:space="0"/>
              <w:bottom w:val="single" w:color="000000" w:sz="4" w:space="0"/>
              <w:right w:val="single" w:color="000000" w:sz="4" w:space="0"/>
            </w:tcBorders>
          </w:tcPr>
          <w:p w14:paraId="1B8B1515">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25</w:t>
            </w:r>
          </w:p>
        </w:tc>
        <w:tc>
          <w:tcPr>
            <w:tcW w:w="11309" w:type="dxa"/>
            <w:tcBorders>
              <w:top w:val="single" w:color="000000" w:sz="4" w:space="0"/>
              <w:left w:val="single" w:color="000000" w:sz="4" w:space="0"/>
              <w:bottom w:val="single" w:color="000000" w:sz="4" w:space="0"/>
              <w:right w:val="single" w:color="000000" w:sz="4" w:space="0"/>
            </w:tcBorders>
          </w:tcPr>
          <w:p w14:paraId="41B48126">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Describe sources of financial or non-financial support for the review, and the role of the funders or sponsors in the review.</w:t>
            </w:r>
          </w:p>
        </w:tc>
        <w:tc>
          <w:tcPr>
            <w:tcW w:w="1646" w:type="dxa"/>
            <w:tcBorders>
              <w:top w:val="single" w:color="000000" w:sz="4" w:space="0"/>
              <w:left w:val="single" w:color="000000" w:sz="4" w:space="0"/>
              <w:bottom w:val="single" w:color="000000" w:sz="4" w:space="0"/>
              <w:right w:val="single" w:color="000000" w:sz="4" w:space="0"/>
            </w:tcBorders>
          </w:tcPr>
          <w:p w14:paraId="44CB6353">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lang w:eastAsia="zh-CN"/>
              </w:rPr>
              <w:t>None</w:t>
            </w:r>
          </w:p>
        </w:tc>
      </w:tr>
      <w:tr w14:paraId="5FAE0564">
        <w:tblPrEx>
          <w:tblCellMar>
            <w:top w:w="0" w:type="dxa"/>
            <w:left w:w="108" w:type="dxa"/>
            <w:bottom w:w="0" w:type="dxa"/>
            <w:right w:w="108" w:type="dxa"/>
          </w:tblCellMar>
        </w:tblPrEx>
        <w:trPr>
          <w:trHeight w:val="48" w:hRule="atLeast"/>
          <w:jc w:val="center"/>
        </w:trPr>
        <w:tc>
          <w:tcPr>
            <w:tcW w:w="1658" w:type="dxa"/>
            <w:tcBorders>
              <w:top w:val="single" w:color="000000" w:sz="4" w:space="0"/>
              <w:left w:val="single" w:color="000000" w:sz="4" w:space="0"/>
              <w:bottom w:val="single" w:color="000000" w:sz="4" w:space="0"/>
              <w:right w:val="single" w:color="000000" w:sz="4" w:space="0"/>
            </w:tcBorders>
          </w:tcPr>
          <w:p w14:paraId="3C5F2930">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29BBF06E">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26</w:t>
            </w:r>
          </w:p>
        </w:tc>
        <w:tc>
          <w:tcPr>
            <w:tcW w:w="11309" w:type="dxa"/>
            <w:tcBorders>
              <w:top w:val="single" w:color="000000" w:sz="4" w:space="0"/>
              <w:left w:val="single" w:color="000000" w:sz="4" w:space="0"/>
              <w:bottom w:val="single" w:color="000000" w:sz="4" w:space="0"/>
              <w:right w:val="single" w:color="000000" w:sz="4" w:space="0"/>
            </w:tcBorders>
          </w:tcPr>
          <w:p w14:paraId="2A036535">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Declare any competing interests of review authors.</w:t>
            </w:r>
          </w:p>
        </w:tc>
        <w:tc>
          <w:tcPr>
            <w:tcW w:w="1646" w:type="dxa"/>
            <w:tcBorders>
              <w:top w:val="single" w:color="000000" w:sz="4" w:space="0"/>
              <w:left w:val="single" w:color="000000" w:sz="4" w:space="0"/>
              <w:bottom w:val="single" w:color="000000" w:sz="4" w:space="0"/>
              <w:right w:val="single" w:color="000000" w:sz="4" w:space="0"/>
            </w:tcBorders>
          </w:tcPr>
          <w:p w14:paraId="5F4E7366">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lang w:eastAsia="zh-CN"/>
              </w:rPr>
              <w:t>no conflicts</w:t>
            </w:r>
          </w:p>
        </w:tc>
      </w:tr>
      <w:tr w14:paraId="1264748C">
        <w:tblPrEx>
          <w:tblCellMar>
            <w:top w:w="0" w:type="dxa"/>
            <w:left w:w="108" w:type="dxa"/>
            <w:bottom w:w="0" w:type="dxa"/>
            <w:right w:w="108" w:type="dxa"/>
          </w:tblCellMar>
        </w:tblPrEx>
        <w:trPr>
          <w:trHeight w:val="219" w:hRule="atLeast"/>
          <w:jc w:val="center"/>
        </w:trPr>
        <w:tc>
          <w:tcPr>
            <w:tcW w:w="1658" w:type="dxa"/>
            <w:tcBorders>
              <w:top w:val="single" w:color="000000" w:sz="4" w:space="0"/>
              <w:left w:val="single" w:color="000000" w:sz="4" w:space="0"/>
              <w:bottom w:val="double" w:color="000000" w:sz="4" w:space="0"/>
              <w:right w:val="single" w:color="000000" w:sz="4" w:space="0"/>
            </w:tcBorders>
          </w:tcPr>
          <w:p w14:paraId="3211B867">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6CDC108C">
            <w:pPr>
              <w:pStyle w:val="8"/>
              <w:spacing w:before="40" w:after="40"/>
              <w:jc w:val="center"/>
              <w:rPr>
                <w:rFonts w:ascii="Times New Roman" w:hAnsi="Times New Roman" w:cs="Times New Roman"/>
                <w:color w:val="auto"/>
                <w:sz w:val="21"/>
                <w:szCs w:val="21"/>
              </w:rPr>
            </w:pPr>
            <w:r>
              <w:rPr>
                <w:rFonts w:ascii="Times New Roman" w:hAnsi="Times New Roman" w:cs="Times New Roman"/>
                <w:color w:val="auto"/>
                <w:sz w:val="21"/>
                <w:szCs w:val="21"/>
              </w:rPr>
              <w:t>27</w:t>
            </w:r>
          </w:p>
        </w:tc>
        <w:tc>
          <w:tcPr>
            <w:tcW w:w="11309" w:type="dxa"/>
            <w:tcBorders>
              <w:top w:val="single" w:color="000000" w:sz="4" w:space="0"/>
              <w:left w:val="single" w:color="000000" w:sz="4" w:space="0"/>
              <w:bottom w:val="double" w:color="000000" w:sz="4" w:space="0"/>
              <w:right w:val="single" w:color="000000" w:sz="4" w:space="0"/>
            </w:tcBorders>
          </w:tcPr>
          <w:p w14:paraId="5173AF7D">
            <w:pPr>
              <w:pStyle w:val="8"/>
              <w:spacing w:before="40" w:after="40"/>
              <w:rPr>
                <w:rFonts w:ascii="Times New Roman" w:hAnsi="Times New Roman" w:cs="Times New Roman"/>
                <w:color w:val="auto"/>
                <w:sz w:val="21"/>
                <w:szCs w:val="21"/>
              </w:rPr>
            </w:pPr>
            <w:r>
              <w:rPr>
                <w:rFonts w:ascii="Times New Roman" w:hAnsi="Times New Roman" w:cs="Times New Roman"/>
                <w:color w:val="auto"/>
                <w:sz w:val="21"/>
                <w:szCs w:val="21"/>
              </w:rPr>
              <w:t>Report which of the following are publicly available and where they can be found: template data collection forms; data extracted from included studies; data used for all analyses; analytic code; any other materials used in the review.</w:t>
            </w:r>
          </w:p>
        </w:tc>
        <w:tc>
          <w:tcPr>
            <w:tcW w:w="1646" w:type="dxa"/>
            <w:tcBorders>
              <w:top w:val="single" w:color="000000" w:sz="4" w:space="0"/>
              <w:left w:val="single" w:color="000000" w:sz="4" w:space="0"/>
              <w:bottom w:val="double" w:color="000000" w:sz="4" w:space="0"/>
              <w:right w:val="single" w:color="000000" w:sz="4" w:space="0"/>
            </w:tcBorders>
          </w:tcPr>
          <w:p w14:paraId="5E202626">
            <w:pPr>
              <w:pStyle w:val="8"/>
              <w:spacing w:before="40" w:after="40"/>
              <w:rPr>
                <w:rFonts w:ascii="Times New Roman" w:hAnsi="Times New Roman" w:cs="Times New Roman"/>
                <w:color w:val="auto"/>
                <w:sz w:val="21"/>
                <w:szCs w:val="21"/>
              </w:rPr>
            </w:pPr>
            <w:r>
              <w:rPr>
                <w:rFonts w:ascii="Times New Roman" w:hAnsi="Times New Roman" w:eastAsia="宋体" w:cs="Times New Roman"/>
                <w:color w:val="auto"/>
                <w:sz w:val="21"/>
                <w:szCs w:val="21"/>
                <w:lang w:val="en-US" w:eastAsia="zh-CN"/>
              </w:rPr>
              <w:t xml:space="preserve">Supplementary </w:t>
            </w:r>
            <w:r>
              <w:rPr>
                <w:rFonts w:ascii="Times New Roman" w:hAnsi="Times New Roman" w:cs="Times New Roman"/>
                <w:color w:val="auto"/>
                <w:sz w:val="21"/>
                <w:szCs w:val="21"/>
              </w:rPr>
              <w:t>file 1</w:t>
            </w:r>
          </w:p>
        </w:tc>
      </w:tr>
    </w:tbl>
    <w:p w14:paraId="32D7D230">
      <w:pPr>
        <w:rPr>
          <w:color w:val="auto"/>
        </w:rPr>
      </w:pPr>
    </w:p>
    <w:p w14:paraId="1CA73F2D">
      <w:pPr>
        <w:rPr>
          <w:color w:val="auto"/>
        </w:rPr>
      </w:pPr>
    </w:p>
    <w:p w14:paraId="572F5C9D">
      <w:pPr>
        <w:rPr>
          <w:color w:val="auto"/>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D272F">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C299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EBC299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251BF">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A8C8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DDA8C8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A700B"/>
    <w:rsid w:val="000F1FCA"/>
    <w:rsid w:val="00172A27"/>
    <w:rsid w:val="004B48CF"/>
    <w:rsid w:val="00501EE6"/>
    <w:rsid w:val="00577718"/>
    <w:rsid w:val="00A359B7"/>
    <w:rsid w:val="00AE5C95"/>
    <w:rsid w:val="00D40B4B"/>
    <w:rsid w:val="00DA464A"/>
    <w:rsid w:val="010242C2"/>
    <w:rsid w:val="015B4A06"/>
    <w:rsid w:val="016F65B3"/>
    <w:rsid w:val="017E2A82"/>
    <w:rsid w:val="01BF37C7"/>
    <w:rsid w:val="01EC0334"/>
    <w:rsid w:val="036119A3"/>
    <w:rsid w:val="03B41CD7"/>
    <w:rsid w:val="043164D2"/>
    <w:rsid w:val="064F650D"/>
    <w:rsid w:val="074E5BB3"/>
    <w:rsid w:val="077C7A64"/>
    <w:rsid w:val="07DD6ABC"/>
    <w:rsid w:val="0831084F"/>
    <w:rsid w:val="083C3DB9"/>
    <w:rsid w:val="095C7B4D"/>
    <w:rsid w:val="097E7AC3"/>
    <w:rsid w:val="098350DA"/>
    <w:rsid w:val="0A1E4413"/>
    <w:rsid w:val="0A4F665D"/>
    <w:rsid w:val="0B5E4773"/>
    <w:rsid w:val="0BA87A3B"/>
    <w:rsid w:val="0C015E26"/>
    <w:rsid w:val="0CB8153E"/>
    <w:rsid w:val="0DA6583B"/>
    <w:rsid w:val="0DFB6F97"/>
    <w:rsid w:val="0E7C5443"/>
    <w:rsid w:val="0E845253"/>
    <w:rsid w:val="0F175A12"/>
    <w:rsid w:val="0F380424"/>
    <w:rsid w:val="0F9F1367"/>
    <w:rsid w:val="0FDC3B6C"/>
    <w:rsid w:val="107C0AD5"/>
    <w:rsid w:val="121073DE"/>
    <w:rsid w:val="123B50DB"/>
    <w:rsid w:val="12F353AE"/>
    <w:rsid w:val="131A5563"/>
    <w:rsid w:val="134F0F5B"/>
    <w:rsid w:val="13E66D5F"/>
    <w:rsid w:val="142474B9"/>
    <w:rsid w:val="14385F6E"/>
    <w:rsid w:val="14804BB0"/>
    <w:rsid w:val="14DC2775"/>
    <w:rsid w:val="15250C2F"/>
    <w:rsid w:val="156142E6"/>
    <w:rsid w:val="15F25D14"/>
    <w:rsid w:val="16DC3C81"/>
    <w:rsid w:val="17A930F2"/>
    <w:rsid w:val="18B540C0"/>
    <w:rsid w:val="18DA45EA"/>
    <w:rsid w:val="19D35C0A"/>
    <w:rsid w:val="1A22449B"/>
    <w:rsid w:val="1B495A57"/>
    <w:rsid w:val="1B7927E1"/>
    <w:rsid w:val="1B921D56"/>
    <w:rsid w:val="1BAE1A2F"/>
    <w:rsid w:val="1CA1391A"/>
    <w:rsid w:val="1DC00253"/>
    <w:rsid w:val="1E2F0CD9"/>
    <w:rsid w:val="1E3576CC"/>
    <w:rsid w:val="1E5E7EFE"/>
    <w:rsid w:val="1E6A4663"/>
    <w:rsid w:val="1F253549"/>
    <w:rsid w:val="1FC84609"/>
    <w:rsid w:val="2020147D"/>
    <w:rsid w:val="20763A82"/>
    <w:rsid w:val="2083335C"/>
    <w:rsid w:val="21A60F63"/>
    <w:rsid w:val="226338A3"/>
    <w:rsid w:val="22865B4B"/>
    <w:rsid w:val="22AC349C"/>
    <w:rsid w:val="23776F6D"/>
    <w:rsid w:val="244170CB"/>
    <w:rsid w:val="25535E50"/>
    <w:rsid w:val="25815CE3"/>
    <w:rsid w:val="26183AD5"/>
    <w:rsid w:val="27165388"/>
    <w:rsid w:val="27810D13"/>
    <w:rsid w:val="27BF418D"/>
    <w:rsid w:val="284B0CE8"/>
    <w:rsid w:val="2897029F"/>
    <w:rsid w:val="28E13316"/>
    <w:rsid w:val="294206B6"/>
    <w:rsid w:val="2A7C19A5"/>
    <w:rsid w:val="2A7C5841"/>
    <w:rsid w:val="2B345DDC"/>
    <w:rsid w:val="2B6B4C7E"/>
    <w:rsid w:val="2BC2762A"/>
    <w:rsid w:val="2BC929C8"/>
    <w:rsid w:val="2BE12402"/>
    <w:rsid w:val="2C5D1363"/>
    <w:rsid w:val="2CB72DF3"/>
    <w:rsid w:val="2D5B4FFC"/>
    <w:rsid w:val="2D60735C"/>
    <w:rsid w:val="2D936EAF"/>
    <w:rsid w:val="2DC56BAE"/>
    <w:rsid w:val="2DF126AA"/>
    <w:rsid w:val="2E0A2F18"/>
    <w:rsid w:val="2E3D31FA"/>
    <w:rsid w:val="2E3D59A2"/>
    <w:rsid w:val="2EBC3E8D"/>
    <w:rsid w:val="2ED448AD"/>
    <w:rsid w:val="2F063F34"/>
    <w:rsid w:val="2FA65A75"/>
    <w:rsid w:val="2FEF49C8"/>
    <w:rsid w:val="30626EBE"/>
    <w:rsid w:val="30B874AF"/>
    <w:rsid w:val="318C4C20"/>
    <w:rsid w:val="32083D99"/>
    <w:rsid w:val="32470C6E"/>
    <w:rsid w:val="325F5E35"/>
    <w:rsid w:val="32A4689C"/>
    <w:rsid w:val="338A5A42"/>
    <w:rsid w:val="33E46888"/>
    <w:rsid w:val="340E3279"/>
    <w:rsid w:val="346A2D44"/>
    <w:rsid w:val="34874D6D"/>
    <w:rsid w:val="34A944DF"/>
    <w:rsid w:val="35613C72"/>
    <w:rsid w:val="359C114E"/>
    <w:rsid w:val="35A86743"/>
    <w:rsid w:val="368816D2"/>
    <w:rsid w:val="38211DDE"/>
    <w:rsid w:val="383647D6"/>
    <w:rsid w:val="391536CC"/>
    <w:rsid w:val="397A0A6E"/>
    <w:rsid w:val="39AE31FE"/>
    <w:rsid w:val="3A2160C5"/>
    <w:rsid w:val="3A6F07EB"/>
    <w:rsid w:val="3B4C634F"/>
    <w:rsid w:val="3BBB293B"/>
    <w:rsid w:val="3C7B42F3"/>
    <w:rsid w:val="3C7C797E"/>
    <w:rsid w:val="3CBA010B"/>
    <w:rsid w:val="3CD249E3"/>
    <w:rsid w:val="3D111742"/>
    <w:rsid w:val="3D5D45AD"/>
    <w:rsid w:val="3E391C30"/>
    <w:rsid w:val="3F8B74A4"/>
    <w:rsid w:val="3FAA57D9"/>
    <w:rsid w:val="40152F5D"/>
    <w:rsid w:val="403A64B2"/>
    <w:rsid w:val="404448BC"/>
    <w:rsid w:val="408F6A49"/>
    <w:rsid w:val="40BF3F42"/>
    <w:rsid w:val="412A7210"/>
    <w:rsid w:val="41B16375"/>
    <w:rsid w:val="41B22DCD"/>
    <w:rsid w:val="421513CB"/>
    <w:rsid w:val="42AA3D96"/>
    <w:rsid w:val="42AB29D0"/>
    <w:rsid w:val="42B51AA1"/>
    <w:rsid w:val="42D10E7F"/>
    <w:rsid w:val="4330045D"/>
    <w:rsid w:val="43452E25"/>
    <w:rsid w:val="443A7D9E"/>
    <w:rsid w:val="444C2AFD"/>
    <w:rsid w:val="447A7F72"/>
    <w:rsid w:val="44B401C5"/>
    <w:rsid w:val="45144193"/>
    <w:rsid w:val="46AB3ECB"/>
    <w:rsid w:val="46B13C95"/>
    <w:rsid w:val="47124BC1"/>
    <w:rsid w:val="4763580B"/>
    <w:rsid w:val="477D3B0A"/>
    <w:rsid w:val="479C6D8B"/>
    <w:rsid w:val="47A02732"/>
    <w:rsid w:val="49014440"/>
    <w:rsid w:val="4A4C4A99"/>
    <w:rsid w:val="4A6859CC"/>
    <w:rsid w:val="4B105DBC"/>
    <w:rsid w:val="4B614574"/>
    <w:rsid w:val="4B724394"/>
    <w:rsid w:val="4BE649B2"/>
    <w:rsid w:val="4C3752D5"/>
    <w:rsid w:val="4CA94424"/>
    <w:rsid w:val="4CD85E4E"/>
    <w:rsid w:val="4CF5464E"/>
    <w:rsid w:val="4D16313C"/>
    <w:rsid w:val="4D245859"/>
    <w:rsid w:val="4D7F5185"/>
    <w:rsid w:val="4E6A1991"/>
    <w:rsid w:val="4F762784"/>
    <w:rsid w:val="4FB05ACA"/>
    <w:rsid w:val="4FC86390"/>
    <w:rsid w:val="50A13664"/>
    <w:rsid w:val="5116718F"/>
    <w:rsid w:val="512178AF"/>
    <w:rsid w:val="512A55A8"/>
    <w:rsid w:val="519B4467"/>
    <w:rsid w:val="52067C23"/>
    <w:rsid w:val="52542B24"/>
    <w:rsid w:val="53F01273"/>
    <w:rsid w:val="541D7B8B"/>
    <w:rsid w:val="54401382"/>
    <w:rsid w:val="544C200E"/>
    <w:rsid w:val="545527D8"/>
    <w:rsid w:val="556054B8"/>
    <w:rsid w:val="55BA2143"/>
    <w:rsid w:val="55EB6C18"/>
    <w:rsid w:val="56C90FA4"/>
    <w:rsid w:val="57197C1C"/>
    <w:rsid w:val="57964427"/>
    <w:rsid w:val="58B7457C"/>
    <w:rsid w:val="59034EBC"/>
    <w:rsid w:val="59676C2B"/>
    <w:rsid w:val="59957B00"/>
    <w:rsid w:val="59BE0216"/>
    <w:rsid w:val="59CC1091"/>
    <w:rsid w:val="59F7288F"/>
    <w:rsid w:val="5A1342A3"/>
    <w:rsid w:val="5A234245"/>
    <w:rsid w:val="5AF56A87"/>
    <w:rsid w:val="5B17576C"/>
    <w:rsid w:val="5B1B60CD"/>
    <w:rsid w:val="5B294982"/>
    <w:rsid w:val="5B7200D7"/>
    <w:rsid w:val="5B901572"/>
    <w:rsid w:val="5BD60438"/>
    <w:rsid w:val="5C2032C5"/>
    <w:rsid w:val="5DA12EF6"/>
    <w:rsid w:val="5E593243"/>
    <w:rsid w:val="5E9313B4"/>
    <w:rsid w:val="5F88611B"/>
    <w:rsid w:val="5FA73C5F"/>
    <w:rsid w:val="607E12CC"/>
    <w:rsid w:val="6109328C"/>
    <w:rsid w:val="61C92810"/>
    <w:rsid w:val="61DD3610"/>
    <w:rsid w:val="622C6644"/>
    <w:rsid w:val="624D5485"/>
    <w:rsid w:val="6333639E"/>
    <w:rsid w:val="63521A45"/>
    <w:rsid w:val="63A454EE"/>
    <w:rsid w:val="63D15F74"/>
    <w:rsid w:val="63DC0140"/>
    <w:rsid w:val="647612B4"/>
    <w:rsid w:val="64A4200E"/>
    <w:rsid w:val="651914D2"/>
    <w:rsid w:val="65347EB8"/>
    <w:rsid w:val="66AA2E1B"/>
    <w:rsid w:val="676F7BC1"/>
    <w:rsid w:val="683E344A"/>
    <w:rsid w:val="68B77156"/>
    <w:rsid w:val="68C53F3C"/>
    <w:rsid w:val="68EA00B3"/>
    <w:rsid w:val="6AEC1C54"/>
    <w:rsid w:val="6B9C2553"/>
    <w:rsid w:val="6BFD0A4B"/>
    <w:rsid w:val="6CF41D16"/>
    <w:rsid w:val="6D4A4B8A"/>
    <w:rsid w:val="6E2551EB"/>
    <w:rsid w:val="6E384BD2"/>
    <w:rsid w:val="6F1B2B08"/>
    <w:rsid w:val="6F7264A0"/>
    <w:rsid w:val="6FD84D69"/>
    <w:rsid w:val="702C69F7"/>
    <w:rsid w:val="70AA0B26"/>
    <w:rsid w:val="70D6181D"/>
    <w:rsid w:val="70DC2767"/>
    <w:rsid w:val="713E2ADE"/>
    <w:rsid w:val="714D2D21"/>
    <w:rsid w:val="71B6178D"/>
    <w:rsid w:val="71C016E3"/>
    <w:rsid w:val="721814FB"/>
    <w:rsid w:val="72D52FCE"/>
    <w:rsid w:val="73CB0CAF"/>
    <w:rsid w:val="74307974"/>
    <w:rsid w:val="75614FED"/>
    <w:rsid w:val="75B5764E"/>
    <w:rsid w:val="75BB2BFD"/>
    <w:rsid w:val="75FB4261"/>
    <w:rsid w:val="7614205F"/>
    <w:rsid w:val="768371E5"/>
    <w:rsid w:val="76876CD5"/>
    <w:rsid w:val="77F51A1C"/>
    <w:rsid w:val="77FA78C2"/>
    <w:rsid w:val="787C107E"/>
    <w:rsid w:val="796C4DDB"/>
    <w:rsid w:val="7A0C6FD8"/>
    <w:rsid w:val="7B8B4520"/>
    <w:rsid w:val="7C3311E0"/>
    <w:rsid w:val="7CEC7847"/>
    <w:rsid w:val="7D344D95"/>
    <w:rsid w:val="7D3D4BAB"/>
    <w:rsid w:val="7E1471A4"/>
    <w:rsid w:val="7E3F1C43"/>
    <w:rsid w:val="7ED24865"/>
    <w:rsid w:val="7F81177D"/>
    <w:rsid w:val="7FF05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9">
    <w:name w:val="书目1"/>
    <w:basedOn w:val="1"/>
    <w:uiPriority w:val="0"/>
    <w:pPr>
      <w:spacing w:line="480" w:lineRule="auto"/>
      <w:ind w:left="720" w:hanging="72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1662</Words>
  <Characters>11527</Characters>
  <Lines>1667</Lines>
  <Paragraphs>273</Paragraphs>
  <TotalTime>2</TotalTime>
  <ScaleCrop>false</ScaleCrop>
  <LinksUpToDate>false</LinksUpToDate>
  <CharactersWithSpaces>12832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2025-08-24T02:28:00Z</dcterms:created>
  <dc:creator>zengbing</dc:creator>
  <cp:lastModifiedBy>森影</cp:lastModifiedBy>
  <dcterms:modified xsi:type="dcterms:W3CDTF">2025-12-01T02:33:34Z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eyJoZGlkIjoiN2YzNjBkOTgyNWQ1YTMxYzM3MzMwNWFiODNmOWIzYWMiLCJ1c2VySWQiOiIzMTAwNzU0ODEifQ==</vt:lpwstr>
  </property>
  <property fmtid="{D5CDD505-2E9C-101B-9397-08002B2CF9AE}" pid="4" name="ICV">
    <vt:lpwstr>9FC0CCE4024948EEB6D887D3E2609427_12</vt:lpwstr>
  </property>
  <property fmtid="{D5CDD505-2E9C-101B-9397-08002B2CF9AE}" pid="5" name="ZOTERO_PREF_1">
    <vt:lpwstr>&lt;data data-version="3" zotero-version="7.0.30"&gt;&lt;session id="4GWaFzlO"/&gt;&lt;style id="http://www.zotero.org/styles/apa-numeric-superscript" locale="en-US" hasBibliography="1" bibliographyStyleHasBeenSet="1"/&gt;&lt;prefs&gt;&lt;pref name="fieldType" value="Field"/&gt;&lt;/pref</vt:lpwstr>
  </property>
  <property fmtid="{D5CDD505-2E9C-101B-9397-08002B2CF9AE}" pid="6" name="ZOTERO_PREF_2">
    <vt:lpwstr>s&gt;&lt;/data&gt;</vt:lpwstr>
  </property>
</Properties>
</file>