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47E9" w14:textId="60E6BB78" w:rsidR="00FD7E8A" w:rsidRDefault="00FD7E8A" w:rsidP="0083669A">
      <w:pPr>
        <w:pStyle w:val="MDPI21heading1"/>
        <w:spacing w:before="0" w:after="0" w:line="480" w:lineRule="auto"/>
        <w:ind w:left="180"/>
        <w:jc w:val="both"/>
        <w:rPr>
          <w:szCs w:val="24"/>
        </w:rPr>
      </w:pPr>
      <w:r w:rsidRPr="00F3422F">
        <w:rPr>
          <w:szCs w:val="24"/>
        </w:rPr>
        <w:t>A</w:t>
      </w:r>
      <w:r>
        <w:rPr>
          <w:szCs w:val="24"/>
        </w:rPr>
        <w:t>ppendix A. Rehabilitation programs</w:t>
      </w:r>
    </w:p>
    <w:p w14:paraId="7BAE7960" w14:textId="77777777" w:rsidR="00FD7E8A" w:rsidRDefault="00FD7E8A" w:rsidP="0083669A">
      <w:pPr>
        <w:pStyle w:val="MDPI21heading1"/>
        <w:spacing w:before="0" w:after="0" w:line="480" w:lineRule="auto"/>
        <w:ind w:left="18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A.1. Initial Management for Both Groups</w:t>
      </w:r>
    </w:p>
    <w:p w14:paraId="6E0372D6" w14:textId="12008260" w:rsidR="00FD7E8A" w:rsidRDefault="00FD7E8A" w:rsidP="0083669A">
      <w:pPr>
        <w:pStyle w:val="MDPI21heading1"/>
        <w:spacing w:before="0" w:after="0" w:line="480" w:lineRule="auto"/>
        <w:ind w:left="180"/>
        <w:jc w:val="both"/>
        <w:rPr>
          <w:b w:val="0"/>
          <w:bCs/>
          <w:sz w:val="20"/>
          <w:szCs w:val="20"/>
        </w:rPr>
      </w:pPr>
      <w:r w:rsidRPr="00E20B9A">
        <w:rPr>
          <w:b w:val="0"/>
          <w:bCs/>
          <w:sz w:val="20"/>
          <w:szCs w:val="20"/>
        </w:rPr>
        <w:t>All patients were initially evaluated and treated in the Pediatric E</w:t>
      </w:r>
      <w:r>
        <w:rPr>
          <w:b w:val="0"/>
          <w:bCs/>
          <w:sz w:val="20"/>
          <w:szCs w:val="20"/>
        </w:rPr>
        <w:t>D</w:t>
      </w:r>
      <w:r w:rsidRPr="00E20B9A">
        <w:rPr>
          <w:b w:val="0"/>
          <w:bCs/>
          <w:sz w:val="20"/>
          <w:szCs w:val="20"/>
        </w:rPr>
        <w:t xml:space="preserve"> of LUHS Kaunas Clinics, with subsequent follow-up in the outpatient </w:t>
      </w:r>
      <w:r>
        <w:rPr>
          <w:b w:val="0"/>
          <w:bCs/>
          <w:sz w:val="20"/>
          <w:szCs w:val="20"/>
        </w:rPr>
        <w:t xml:space="preserve">LUHS </w:t>
      </w:r>
      <w:r w:rsidRPr="00E20B9A">
        <w:rPr>
          <w:b w:val="0"/>
          <w:bCs/>
          <w:sz w:val="20"/>
          <w:szCs w:val="20"/>
        </w:rPr>
        <w:t>clinic. When immobilization was applied in the emergency setting, it consisted of a temporary plaster cast based on clinical symptoms, which was removed at the first outpatient visit</w:t>
      </w:r>
      <w:r>
        <w:rPr>
          <w:b w:val="0"/>
          <w:bCs/>
          <w:sz w:val="20"/>
          <w:szCs w:val="20"/>
        </w:rPr>
        <w:t>, 1-4 days after injury</w:t>
      </w:r>
      <w:r w:rsidRPr="00E20B9A">
        <w:rPr>
          <w:b w:val="0"/>
          <w:bCs/>
          <w:sz w:val="20"/>
          <w:szCs w:val="20"/>
        </w:rPr>
        <w:t xml:space="preserve">; thereafter, all participants were fitted with a lace-up ankle splint. Crutches were provided during the first days to support activity protection in cases of pain or antalgic gait. Functional assessments were conducted at three standardized time points: 1–2 weeks, 5–7 weeks, and 12–15 weeks after injury. Exercise instruction and progression were delivered by </w:t>
      </w:r>
      <w:r>
        <w:rPr>
          <w:b w:val="0"/>
          <w:bCs/>
          <w:sz w:val="20"/>
          <w:szCs w:val="20"/>
        </w:rPr>
        <w:t xml:space="preserve">treating </w:t>
      </w:r>
      <w:r w:rsidR="00341DAB">
        <w:rPr>
          <w:b w:val="0"/>
          <w:bCs/>
          <w:sz w:val="20"/>
          <w:szCs w:val="20"/>
        </w:rPr>
        <w:t xml:space="preserve">the </w:t>
      </w:r>
      <w:r>
        <w:rPr>
          <w:b w:val="0"/>
          <w:bCs/>
          <w:sz w:val="20"/>
          <w:szCs w:val="20"/>
        </w:rPr>
        <w:t>orthopedic surgeon</w:t>
      </w:r>
      <w:r w:rsidRPr="00E20B9A">
        <w:rPr>
          <w:b w:val="0"/>
          <w:bCs/>
          <w:sz w:val="20"/>
          <w:szCs w:val="20"/>
        </w:rPr>
        <w:t>, while outcome assessors remained blinded to group allocation.</w:t>
      </w:r>
    </w:p>
    <w:p w14:paraId="404B3635" w14:textId="77777777" w:rsidR="00FD7E8A" w:rsidRPr="00FD7E8A" w:rsidRDefault="00FD7E8A" w:rsidP="00FD7E8A">
      <w:pPr>
        <w:pStyle w:val="MDPI21heading1"/>
        <w:spacing w:before="0" w:after="0" w:line="480" w:lineRule="auto"/>
        <w:ind w:left="1440"/>
        <w:rPr>
          <w:rStyle w:val="Strong"/>
          <w:sz w:val="20"/>
          <w:szCs w:val="20"/>
        </w:rPr>
      </w:pPr>
    </w:p>
    <w:p w14:paraId="15597B7F" w14:textId="77777777" w:rsidR="00FD7E8A" w:rsidRPr="00107D3E" w:rsidRDefault="00FD7E8A" w:rsidP="007635A3">
      <w:pPr>
        <w:pStyle w:val="MDPI21heading1"/>
        <w:spacing w:before="0" w:after="0" w:line="480" w:lineRule="auto"/>
        <w:ind w:left="180"/>
        <w:rPr>
          <w:b w:val="0"/>
          <w:bCs/>
          <w:szCs w:val="24"/>
        </w:rPr>
      </w:pPr>
      <w:r w:rsidRPr="007F3D5A">
        <w:rPr>
          <w:rStyle w:val="Strong"/>
          <w:b/>
          <w:bCs w:val="0"/>
          <w:sz w:val="18"/>
          <w:szCs w:val="18"/>
        </w:rPr>
        <w:t>Appendix A Table 1.</w:t>
      </w:r>
      <w:r>
        <w:rPr>
          <w:rStyle w:val="Strong"/>
          <w:sz w:val="18"/>
          <w:szCs w:val="18"/>
        </w:rPr>
        <w:t xml:space="preserve"> Group A and Group B treatment protocols.</w:t>
      </w:r>
    </w:p>
    <w:tbl>
      <w:tblPr>
        <w:tblpPr w:leftFromText="180" w:rightFromText="180" w:vertAnchor="text" w:horzAnchor="page" w:tblpX="1673" w:tblpY="211"/>
        <w:tblW w:w="0" w:type="auto"/>
        <w:tblBorders>
          <w:top w:val="single" w:sz="20" w:space="0" w:color="000000"/>
          <w:left w:val="nil"/>
          <w:bottom w:val="single" w:sz="2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530"/>
        <w:gridCol w:w="3330"/>
        <w:gridCol w:w="3600"/>
      </w:tblGrid>
      <w:tr w:rsidR="00FD7E8A" w14:paraId="12082143" w14:textId="77777777" w:rsidTr="007635A3">
        <w:tc>
          <w:tcPr>
            <w:tcW w:w="1530" w:type="dxa"/>
          </w:tcPr>
          <w:p w14:paraId="24E38570" w14:textId="77777777" w:rsidR="00FD7E8A" w:rsidRPr="00E0338F" w:rsidRDefault="00FD7E8A" w:rsidP="007635A3">
            <w:pPr>
              <w:ind w:left="75" w:hanging="165"/>
              <w:jc w:val="center"/>
              <w:rPr>
                <w:sz w:val="18"/>
                <w:szCs w:val="18"/>
              </w:rPr>
            </w:pPr>
            <w:r w:rsidRPr="00E0338F">
              <w:rPr>
                <w:b/>
                <w:sz w:val="18"/>
                <w:szCs w:val="18"/>
              </w:rPr>
              <w:t>Rehabilitation Phase</w:t>
            </w:r>
          </w:p>
        </w:tc>
        <w:tc>
          <w:tcPr>
            <w:tcW w:w="3330" w:type="dxa"/>
          </w:tcPr>
          <w:p w14:paraId="4782EC68" w14:textId="77777777" w:rsidR="00FD7E8A" w:rsidRPr="00E0338F" w:rsidRDefault="00FD7E8A" w:rsidP="007635A3">
            <w:pPr>
              <w:ind w:left="-90"/>
              <w:jc w:val="center"/>
              <w:rPr>
                <w:sz w:val="18"/>
                <w:szCs w:val="18"/>
              </w:rPr>
            </w:pPr>
            <w:r w:rsidRPr="00E0338F">
              <w:rPr>
                <w:b/>
                <w:sz w:val="18"/>
                <w:szCs w:val="18"/>
              </w:rPr>
              <w:t>PRICE + NSAIDs (Group A)</w:t>
            </w:r>
          </w:p>
        </w:tc>
        <w:tc>
          <w:tcPr>
            <w:tcW w:w="3600" w:type="dxa"/>
          </w:tcPr>
          <w:p w14:paraId="04B44001" w14:textId="77777777" w:rsidR="00FD7E8A" w:rsidRPr="00E0338F" w:rsidRDefault="00FD7E8A" w:rsidP="007635A3">
            <w:pPr>
              <w:ind w:left="-90"/>
              <w:jc w:val="center"/>
              <w:rPr>
                <w:sz w:val="18"/>
                <w:szCs w:val="18"/>
              </w:rPr>
            </w:pPr>
            <w:r w:rsidRPr="00E0338F">
              <w:rPr>
                <w:b/>
                <w:sz w:val="18"/>
                <w:szCs w:val="18"/>
              </w:rPr>
              <w:t>PEACE and LOVE (Group B)</w:t>
            </w:r>
          </w:p>
        </w:tc>
      </w:tr>
      <w:tr w:rsidR="00FD7E8A" w14:paraId="79EA31C1" w14:textId="77777777" w:rsidTr="007635A3">
        <w:tc>
          <w:tcPr>
            <w:tcW w:w="1530" w:type="dxa"/>
          </w:tcPr>
          <w:p w14:paraId="5CF0B1F9" w14:textId="77777777" w:rsidR="00FD7E8A" w:rsidRPr="00E0338F" w:rsidRDefault="00FD7E8A" w:rsidP="007635A3">
            <w:pPr>
              <w:ind w:left="-90" w:right="240"/>
              <w:jc w:val="center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t>Acute Phase (Weeks 1–2)</w:t>
            </w:r>
          </w:p>
        </w:tc>
        <w:tc>
          <w:tcPr>
            <w:tcW w:w="3330" w:type="dxa"/>
          </w:tcPr>
          <w:p w14:paraId="18E884DC" w14:textId="77777777" w:rsidR="00FD7E8A" w:rsidRPr="00E0338F" w:rsidRDefault="00FD7E8A" w:rsidP="007635A3">
            <w:pPr>
              <w:ind w:left="-90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t>Protection with lace-up ankle splint; Rest and avoidance of weight-bearing for 3–5 days depending on pain; Ice application 4× daily for 15–20 minutes for first 2 weeks; Compression and elevation; Ibuprofen 3×/day according to body weight.</w:t>
            </w:r>
            <w:r w:rsidRPr="00E0338F">
              <w:rPr>
                <w:sz w:val="18"/>
                <w:szCs w:val="18"/>
              </w:rPr>
              <w:br/>
              <w:t>No structured rehabilitation exercises were introduced during this phase. Gradual weight bearing return depending on pain recommended.</w:t>
            </w:r>
          </w:p>
        </w:tc>
        <w:tc>
          <w:tcPr>
            <w:tcW w:w="3600" w:type="dxa"/>
          </w:tcPr>
          <w:p w14:paraId="2B3DB8E0" w14:textId="77777777" w:rsidR="00FD7E8A" w:rsidRPr="00E0338F" w:rsidRDefault="00FD7E8A" w:rsidP="007635A3">
            <w:pPr>
              <w:ind w:left="-90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t>Protection with lace-up ankle splint, elevation, compression; Avoid NSAIDs and icing; Paracetamol for pain; Rest and avoid weight-bearing for 3-5 days, then gradual return; Education on healing process.</w:t>
            </w:r>
            <w:r w:rsidRPr="00E0338F">
              <w:rPr>
                <w:sz w:val="18"/>
                <w:szCs w:val="18"/>
              </w:rPr>
              <w:br/>
              <w:t xml:space="preserve">Home exercise </w:t>
            </w:r>
            <w:proofErr w:type="spellStart"/>
            <w:r w:rsidRPr="00E0338F">
              <w:rPr>
                <w:sz w:val="18"/>
                <w:szCs w:val="18"/>
              </w:rPr>
              <w:t>programme</w:t>
            </w:r>
            <w:proofErr w:type="spellEnd"/>
            <w:r w:rsidRPr="00E0338F">
              <w:rPr>
                <w:sz w:val="18"/>
                <w:szCs w:val="18"/>
              </w:rPr>
              <w:t>:</w:t>
            </w:r>
            <w:r w:rsidRPr="00E0338F">
              <w:rPr>
                <w:sz w:val="18"/>
                <w:szCs w:val="18"/>
              </w:rPr>
              <w:br/>
              <w:t>• Elastic band strengthening plantar flexion/dorsal flexion/inversion/eversion: 4×10 slow repetitions daily (concentric + eccentric)</w:t>
            </w:r>
            <w:r w:rsidRPr="00E0338F">
              <w:rPr>
                <w:sz w:val="18"/>
                <w:szCs w:val="18"/>
              </w:rPr>
              <w:br/>
              <w:t>• Balance: standing on a rolled towel 1 min, 2× daily, Exercises done with both legs.</w:t>
            </w:r>
            <w:r w:rsidRPr="00E0338F">
              <w:rPr>
                <w:sz w:val="18"/>
                <w:szCs w:val="18"/>
              </w:rPr>
              <w:br/>
              <w:t>Exercises performed strictly pain‑free.</w:t>
            </w:r>
          </w:p>
        </w:tc>
      </w:tr>
      <w:tr w:rsidR="00FD7E8A" w14:paraId="79E2B483" w14:textId="77777777" w:rsidTr="007635A3">
        <w:tc>
          <w:tcPr>
            <w:tcW w:w="1530" w:type="dxa"/>
          </w:tcPr>
          <w:p w14:paraId="2883A4C9" w14:textId="77777777" w:rsidR="00FD7E8A" w:rsidRPr="00E0338F" w:rsidRDefault="00FD7E8A" w:rsidP="007635A3">
            <w:pPr>
              <w:ind w:left="-90"/>
              <w:jc w:val="center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t>Subacute Phase (Weeks 3–6)</w:t>
            </w:r>
          </w:p>
        </w:tc>
        <w:tc>
          <w:tcPr>
            <w:tcW w:w="3330" w:type="dxa"/>
          </w:tcPr>
          <w:p w14:paraId="5D558D9B" w14:textId="77777777" w:rsidR="00FD7E8A" w:rsidRPr="00E0338F" w:rsidRDefault="00FD7E8A" w:rsidP="007635A3">
            <w:pPr>
              <w:ind w:left="-90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t>Return to full weight-bearing in lace-up splint; Strengthening and impact exercises not recommended; Oedema managed with elevation and icing; NSAIDs continued if needed.</w:t>
            </w:r>
          </w:p>
        </w:tc>
        <w:tc>
          <w:tcPr>
            <w:tcW w:w="3600" w:type="dxa"/>
          </w:tcPr>
          <w:p w14:paraId="3626644D" w14:textId="77777777" w:rsidR="00FD7E8A" w:rsidRPr="00E0338F" w:rsidRDefault="00FD7E8A" w:rsidP="007635A3">
            <w:pPr>
              <w:ind w:left="-90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t>Progressive loading as tolerated; Active ROM and elastic resistance strengthening continued; Balance training advanced to single‑leg stance on balance cushion/BOSU ball; Aerobic training (cycling/swimming).</w:t>
            </w:r>
            <w:r w:rsidRPr="00E0338F">
              <w:rPr>
                <w:sz w:val="18"/>
                <w:szCs w:val="18"/>
              </w:rPr>
              <w:br/>
              <w:t>Warm–neutral contrast therapy (36–40°C</w:t>
            </w:r>
            <w:r>
              <w:rPr>
                <w:sz w:val="18"/>
                <w:szCs w:val="18"/>
              </w:rPr>
              <w:t xml:space="preserve"> to </w:t>
            </w:r>
            <w:r w:rsidRPr="00E0338F">
              <w:rPr>
                <w:sz w:val="18"/>
                <w:szCs w:val="18"/>
              </w:rPr>
              <w:lastRenderedPageBreak/>
              <w:t>20–25°C, 1–3 cycles, 1–2 min each), no cold immersion.</w:t>
            </w:r>
            <w:r w:rsidRPr="00E0338F">
              <w:rPr>
                <w:sz w:val="18"/>
                <w:szCs w:val="18"/>
              </w:rPr>
              <w:br/>
              <w:t>Progression rule: pain ≤3/10 VAS and no next‑day swelling increase.</w:t>
            </w:r>
          </w:p>
        </w:tc>
      </w:tr>
      <w:tr w:rsidR="00FD7E8A" w14:paraId="18BC0B47" w14:textId="77777777" w:rsidTr="007635A3">
        <w:tc>
          <w:tcPr>
            <w:tcW w:w="1530" w:type="dxa"/>
          </w:tcPr>
          <w:p w14:paraId="0933FDEE" w14:textId="77777777" w:rsidR="00FD7E8A" w:rsidRPr="00E0338F" w:rsidRDefault="00FD7E8A" w:rsidP="007635A3">
            <w:pPr>
              <w:ind w:left="-90"/>
              <w:jc w:val="center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lastRenderedPageBreak/>
              <w:t>Rehabilitation Phase (Weeks 7–12)</w:t>
            </w:r>
          </w:p>
        </w:tc>
        <w:tc>
          <w:tcPr>
            <w:tcW w:w="3330" w:type="dxa"/>
          </w:tcPr>
          <w:p w14:paraId="2AA13C00" w14:textId="77777777" w:rsidR="00FD7E8A" w:rsidRPr="00E0338F" w:rsidRDefault="00FD7E8A" w:rsidP="007635A3">
            <w:pPr>
              <w:ind w:left="-90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t>Lace-up splint not required for daily living; Gradual activity increase; Dynamic sports avoided; Splint recommended if light running begins.</w:t>
            </w:r>
          </w:p>
        </w:tc>
        <w:tc>
          <w:tcPr>
            <w:tcW w:w="3600" w:type="dxa"/>
          </w:tcPr>
          <w:p w14:paraId="068789BF" w14:textId="77777777" w:rsidR="00FD7E8A" w:rsidRPr="00E0338F" w:rsidRDefault="00FD7E8A" w:rsidP="007635A3">
            <w:pPr>
              <w:ind w:left="-90"/>
              <w:rPr>
                <w:sz w:val="18"/>
                <w:szCs w:val="18"/>
              </w:rPr>
            </w:pPr>
            <w:r w:rsidRPr="00E0338F">
              <w:rPr>
                <w:sz w:val="18"/>
                <w:szCs w:val="18"/>
              </w:rPr>
              <w:t>Progressive resistance and neuromuscular training; Moderate aerobic exercise; Plyometric and balance drills added; Sport-specific drills after Week 10 under supervision.</w:t>
            </w:r>
          </w:p>
        </w:tc>
      </w:tr>
      <w:tr w:rsidR="00FD7E8A" w14:paraId="48106A99" w14:textId="77777777" w:rsidTr="007635A3">
        <w:tc>
          <w:tcPr>
            <w:tcW w:w="1530" w:type="dxa"/>
          </w:tcPr>
          <w:p w14:paraId="010960B0" w14:textId="77777777" w:rsidR="00FD7E8A" w:rsidRPr="00E0338F" w:rsidRDefault="00FD7E8A" w:rsidP="007635A3">
            <w:pPr>
              <w:ind w:left="-90"/>
              <w:jc w:val="center"/>
              <w:rPr>
                <w:bCs/>
                <w:sz w:val="18"/>
                <w:szCs w:val="18"/>
              </w:rPr>
            </w:pPr>
            <w:r w:rsidRPr="00E0338F">
              <w:rPr>
                <w:bCs/>
                <w:sz w:val="18"/>
                <w:szCs w:val="18"/>
              </w:rPr>
              <w:t>Late Phase (Weeks 12–15)</w:t>
            </w:r>
          </w:p>
        </w:tc>
        <w:tc>
          <w:tcPr>
            <w:tcW w:w="3330" w:type="dxa"/>
          </w:tcPr>
          <w:p w14:paraId="5FCEF4C3" w14:textId="77777777" w:rsidR="00FD7E8A" w:rsidRPr="00E0338F" w:rsidRDefault="00FD7E8A" w:rsidP="007635A3">
            <w:pPr>
              <w:ind w:left="-90"/>
              <w:rPr>
                <w:bCs/>
                <w:sz w:val="18"/>
                <w:szCs w:val="18"/>
              </w:rPr>
            </w:pPr>
            <w:r w:rsidRPr="00E0338F">
              <w:rPr>
                <w:bCs/>
                <w:sz w:val="18"/>
                <w:szCs w:val="18"/>
              </w:rPr>
              <w:t>Return-to-sport allowed when: no pain, full ROM, ≥90% limb symmetry index.</w:t>
            </w:r>
          </w:p>
        </w:tc>
        <w:tc>
          <w:tcPr>
            <w:tcW w:w="3600" w:type="dxa"/>
          </w:tcPr>
          <w:p w14:paraId="2190B8DB" w14:textId="6D302AC5" w:rsidR="002B1E8E" w:rsidRPr="00E0338F" w:rsidRDefault="00FD7E8A" w:rsidP="007635A3">
            <w:pPr>
              <w:ind w:left="-90"/>
              <w:rPr>
                <w:bCs/>
                <w:sz w:val="18"/>
                <w:szCs w:val="18"/>
              </w:rPr>
            </w:pPr>
            <w:r w:rsidRPr="00E0338F">
              <w:rPr>
                <w:bCs/>
                <w:sz w:val="18"/>
                <w:szCs w:val="18"/>
              </w:rPr>
              <w:t>Same return-to-sport criteria; Emphasis on self-management and re‑injury prevention.</w:t>
            </w:r>
          </w:p>
        </w:tc>
      </w:tr>
    </w:tbl>
    <w:p w14:paraId="02BEB2C7" w14:textId="77777777" w:rsidR="00197BA4" w:rsidRDefault="00197BA4"/>
    <w:p w14:paraId="31EE77F8" w14:textId="77777777" w:rsidR="002B1E8E" w:rsidRPr="002B1E8E" w:rsidRDefault="002B1E8E" w:rsidP="002B1E8E"/>
    <w:p w14:paraId="7362CE50" w14:textId="77777777" w:rsidR="002B1E8E" w:rsidRPr="002B1E8E" w:rsidRDefault="002B1E8E" w:rsidP="002B1E8E"/>
    <w:p w14:paraId="645D1524" w14:textId="77777777" w:rsidR="002B1E8E" w:rsidRPr="002B1E8E" w:rsidRDefault="002B1E8E" w:rsidP="002B1E8E"/>
    <w:p w14:paraId="5AFEF97A" w14:textId="77777777" w:rsidR="002B1E8E" w:rsidRPr="002B1E8E" w:rsidRDefault="002B1E8E" w:rsidP="002B1E8E"/>
    <w:p w14:paraId="0B60B27A" w14:textId="77777777" w:rsidR="002B1E8E" w:rsidRPr="002B1E8E" w:rsidRDefault="002B1E8E" w:rsidP="002B1E8E"/>
    <w:p w14:paraId="2D861CFA" w14:textId="77777777" w:rsidR="002B1E8E" w:rsidRPr="002B1E8E" w:rsidRDefault="002B1E8E" w:rsidP="002B1E8E"/>
    <w:p w14:paraId="1735B8CD" w14:textId="77777777" w:rsidR="002B1E8E" w:rsidRPr="002B1E8E" w:rsidRDefault="002B1E8E" w:rsidP="002B1E8E"/>
    <w:p w14:paraId="170535B2" w14:textId="77777777" w:rsidR="002B1E8E" w:rsidRPr="002B1E8E" w:rsidRDefault="002B1E8E" w:rsidP="002B1E8E"/>
    <w:p w14:paraId="49969B22" w14:textId="77777777" w:rsidR="002B1E8E" w:rsidRPr="002B1E8E" w:rsidRDefault="002B1E8E" w:rsidP="002B1E8E"/>
    <w:p w14:paraId="37228740" w14:textId="77777777" w:rsidR="002B1E8E" w:rsidRPr="002B1E8E" w:rsidRDefault="002B1E8E" w:rsidP="002B1E8E"/>
    <w:p w14:paraId="45A7E857" w14:textId="77777777" w:rsidR="002B1E8E" w:rsidRPr="002B1E8E" w:rsidRDefault="002B1E8E" w:rsidP="002B1E8E"/>
    <w:p w14:paraId="0B62B9EF" w14:textId="77777777" w:rsidR="002B1E8E" w:rsidRPr="002B1E8E" w:rsidRDefault="002B1E8E" w:rsidP="002B1E8E"/>
    <w:p w14:paraId="08C797E4" w14:textId="77777777" w:rsidR="002B1E8E" w:rsidRPr="002B1E8E" w:rsidRDefault="002B1E8E" w:rsidP="002B1E8E"/>
    <w:p w14:paraId="6008275A" w14:textId="33DA8847" w:rsidR="002B1E8E" w:rsidRDefault="002B1E8E" w:rsidP="002B1E8E">
      <w:pPr>
        <w:tabs>
          <w:tab w:val="left" w:pos="6878"/>
        </w:tabs>
      </w:pPr>
      <w:r>
        <w:tab/>
      </w:r>
    </w:p>
    <w:p w14:paraId="64635B19" w14:textId="4A4D40C7" w:rsidR="002B1E8E" w:rsidRDefault="002B1E8E" w:rsidP="0083669A">
      <w:pPr>
        <w:spacing w:line="480" w:lineRule="auto"/>
        <w:ind w:left="180"/>
        <w:rPr>
          <w:b/>
          <w:bCs/>
          <w:sz w:val="24"/>
          <w:szCs w:val="24"/>
        </w:rPr>
      </w:pPr>
      <w:r w:rsidRPr="002B1E8E">
        <w:rPr>
          <w:b/>
          <w:bCs/>
          <w:sz w:val="24"/>
          <w:szCs w:val="24"/>
        </w:rPr>
        <w:t xml:space="preserve">Appendix B. </w:t>
      </w:r>
      <w:r w:rsidR="001A589D" w:rsidRPr="001A589D">
        <w:rPr>
          <w:b/>
          <w:bCs/>
          <w:sz w:val="24"/>
          <w:szCs w:val="24"/>
        </w:rPr>
        <w:t>Exploratory analysis of temporary plaster cast immobilization</w:t>
      </w:r>
    </w:p>
    <w:p w14:paraId="1BE4E98D" w14:textId="0869540E" w:rsidR="002B1E8E" w:rsidRPr="002B1E8E" w:rsidRDefault="002B1E8E" w:rsidP="0083669A">
      <w:pPr>
        <w:spacing w:line="480" w:lineRule="auto"/>
        <w:ind w:left="180"/>
        <w:rPr>
          <w:rStyle w:val="Strong"/>
          <w:rFonts w:eastAsia="Times New Roman"/>
          <w:i/>
          <w:iCs/>
          <w:color w:val="000000" w:themeColor="text1"/>
        </w:rPr>
      </w:pPr>
      <w:r w:rsidRPr="002B1E8E">
        <w:rPr>
          <w:b/>
          <w:bCs/>
          <w:i/>
          <w:iCs/>
        </w:rPr>
        <w:t xml:space="preserve">B.1 </w:t>
      </w:r>
      <w:r w:rsidRPr="002B1E8E">
        <w:rPr>
          <w:rStyle w:val="Strong"/>
          <w:rFonts w:eastAsia="Times New Roman"/>
          <w:i/>
          <w:iCs/>
          <w:color w:val="000000" w:themeColor="text1"/>
        </w:rPr>
        <w:t>Effect of cast immobilization on functional outcomes</w:t>
      </w:r>
    </w:p>
    <w:p w14:paraId="0508A7BA" w14:textId="6FB1B5C3" w:rsidR="00C860CE" w:rsidRPr="00C860CE" w:rsidRDefault="00C860CE" w:rsidP="0083669A">
      <w:pPr>
        <w:pStyle w:val="NormalWeb"/>
        <w:spacing w:line="480" w:lineRule="auto"/>
        <w:ind w:left="180"/>
        <w:jc w:val="both"/>
        <w:rPr>
          <w:rFonts w:ascii="Palatino Linotype" w:hAnsi="Palatino Linotype"/>
          <w:sz w:val="20"/>
          <w:szCs w:val="20"/>
        </w:rPr>
      </w:pPr>
      <w:r w:rsidRPr="00151144">
        <w:rPr>
          <w:rFonts w:ascii="Palatino Linotype" w:hAnsi="Palatino Linotype"/>
          <w:sz w:val="20"/>
          <w:szCs w:val="20"/>
        </w:rPr>
        <w:t xml:space="preserve">Functional outcomes were additionally explored according to the use of temporary plaster cast immobilization during the acute phase. </w:t>
      </w:r>
      <w:r w:rsidR="00151144" w:rsidRPr="00151144">
        <w:rPr>
          <w:rFonts w:ascii="Palatino Linotype" w:hAnsi="Palatino Linotype"/>
          <w:sz w:val="20"/>
          <w:szCs w:val="20"/>
        </w:rPr>
        <w:t xml:space="preserve">Functional outcomes </w:t>
      </w:r>
      <w:r w:rsidR="00151144" w:rsidRPr="00151144">
        <w:rPr>
          <w:rFonts w:ascii="Palatino Linotype" w:hAnsi="Palatino Linotype"/>
          <w:sz w:val="20"/>
          <w:szCs w:val="20"/>
        </w:rPr>
        <w:t xml:space="preserve">between these </w:t>
      </w:r>
      <w:r w:rsidR="00151144" w:rsidRPr="00151144">
        <w:rPr>
          <w:rFonts w:ascii="Palatino Linotype" w:hAnsi="Palatino Linotype"/>
          <w:sz w:val="20"/>
          <w:szCs w:val="20"/>
        </w:rPr>
        <w:t xml:space="preserve">groups are summarized in </w:t>
      </w:r>
      <w:r w:rsidR="00151144" w:rsidRPr="00151144">
        <w:rPr>
          <w:rStyle w:val="Strong"/>
          <w:rFonts w:ascii="Palatino Linotype" w:hAnsi="Palatino Linotype"/>
          <w:b w:val="0"/>
          <w:bCs w:val="0"/>
          <w:sz w:val="20"/>
          <w:szCs w:val="20"/>
        </w:rPr>
        <w:t>Appendix B Table 1.</w:t>
      </w:r>
      <w:r w:rsidR="00151144">
        <w:rPr>
          <w:rStyle w:val="Strong"/>
          <w:rFonts w:ascii="Palatino Linotype" w:hAnsi="Palatino Linotype"/>
          <w:sz w:val="20"/>
          <w:szCs w:val="20"/>
        </w:rPr>
        <w:t xml:space="preserve"> </w:t>
      </w:r>
      <w:r w:rsidRPr="00C860CE">
        <w:rPr>
          <w:rFonts w:ascii="Palatino Linotype" w:hAnsi="Palatino Linotype"/>
          <w:sz w:val="20"/>
          <w:szCs w:val="20"/>
        </w:rPr>
        <w:t xml:space="preserve">Mixed repeated-measures analysis of variance demonstrated </w:t>
      </w:r>
      <w:r w:rsidRPr="00C860CE">
        <w:rPr>
          <w:rStyle w:val="Strong"/>
          <w:rFonts w:ascii="Palatino Linotype" w:eastAsiaTheme="majorEastAsia" w:hAnsi="Palatino Linotype"/>
          <w:b w:val="0"/>
          <w:bCs w:val="0"/>
          <w:sz w:val="20"/>
          <w:szCs w:val="20"/>
        </w:rPr>
        <w:t>significant main effects of</w:t>
      </w:r>
      <w:r w:rsidRPr="00C860CE">
        <w:rPr>
          <w:rStyle w:val="Strong"/>
          <w:rFonts w:ascii="Palatino Linotype" w:eastAsiaTheme="majorEastAsia" w:hAnsi="Palatino Linotype"/>
          <w:sz w:val="20"/>
          <w:szCs w:val="20"/>
        </w:rPr>
        <w:t xml:space="preserve"> </w:t>
      </w:r>
      <w:r w:rsidRPr="00C860CE">
        <w:rPr>
          <w:rStyle w:val="Strong"/>
          <w:rFonts w:ascii="Palatino Linotype" w:eastAsiaTheme="majorEastAsia" w:hAnsi="Palatino Linotype"/>
          <w:b w:val="0"/>
          <w:bCs w:val="0"/>
          <w:sz w:val="20"/>
          <w:szCs w:val="20"/>
        </w:rPr>
        <w:t>time</w:t>
      </w:r>
      <w:r w:rsidRPr="00C860CE">
        <w:rPr>
          <w:rFonts w:ascii="Palatino Linotype" w:hAnsi="Palatino Linotype"/>
          <w:sz w:val="20"/>
          <w:szCs w:val="20"/>
        </w:rPr>
        <w:t xml:space="preserve"> for ROM at both 60°/s and 120°/s, indicating progressive recovery across the three testing sessions (1–2 weeks, 5–7 weeks, and 12–15 weeks) in both cast-applied and non-cast subgroups. </w:t>
      </w:r>
      <w:r w:rsidRPr="00C860CE">
        <w:rPr>
          <w:rStyle w:val="Strong"/>
          <w:rFonts w:ascii="Palatino Linotype" w:eastAsiaTheme="majorEastAsia" w:hAnsi="Palatino Linotype"/>
          <w:b w:val="0"/>
          <w:bCs w:val="0"/>
          <w:sz w:val="20"/>
          <w:szCs w:val="20"/>
        </w:rPr>
        <w:t>No significant main effects of immobilization group</w:t>
      </w:r>
      <w:r w:rsidRPr="00C860CE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C860CE">
        <w:rPr>
          <w:rFonts w:ascii="Palatino Linotype" w:hAnsi="Palatino Linotype"/>
          <w:sz w:val="20"/>
          <w:szCs w:val="20"/>
        </w:rPr>
        <w:t>and</w:t>
      </w:r>
      <w:r w:rsidRPr="00C860CE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C860CE">
        <w:rPr>
          <w:rStyle w:val="Strong"/>
          <w:rFonts w:ascii="Palatino Linotype" w:eastAsiaTheme="majorEastAsia" w:hAnsi="Palatino Linotype"/>
          <w:b w:val="0"/>
          <w:bCs w:val="0"/>
          <w:sz w:val="20"/>
          <w:szCs w:val="20"/>
        </w:rPr>
        <w:t>no time × group interactions</w:t>
      </w:r>
      <w:r w:rsidRPr="00C860CE">
        <w:rPr>
          <w:rFonts w:ascii="Palatino Linotype" w:hAnsi="Palatino Linotype"/>
          <w:sz w:val="20"/>
          <w:szCs w:val="20"/>
        </w:rPr>
        <w:t xml:space="preserve"> were observed for ROM at either angular velocity, suggesting that plaster cast immobilization did not influence the overall trajectory of ROM recovery.</w:t>
      </w:r>
    </w:p>
    <w:p w14:paraId="3817465D" w14:textId="175A333B" w:rsidR="00C860CE" w:rsidRPr="00C860CE" w:rsidRDefault="00C860CE" w:rsidP="0083669A">
      <w:pPr>
        <w:pStyle w:val="NormalWeb"/>
        <w:spacing w:line="480" w:lineRule="auto"/>
        <w:ind w:left="180"/>
        <w:jc w:val="both"/>
        <w:rPr>
          <w:rFonts w:ascii="Palatino Linotype" w:hAnsi="Palatino Linotype"/>
          <w:sz w:val="20"/>
          <w:szCs w:val="20"/>
        </w:rPr>
      </w:pPr>
      <w:r w:rsidRPr="00C860CE">
        <w:rPr>
          <w:rFonts w:ascii="Palatino Linotype" w:hAnsi="Palatino Linotype"/>
          <w:sz w:val="20"/>
          <w:szCs w:val="20"/>
        </w:rPr>
        <w:t xml:space="preserve">For peak torque normalized to body weight (Peak TQ/BW), significant main effects of time were observed for both </w:t>
      </w:r>
      <w:r w:rsidR="00BD34DC">
        <w:rPr>
          <w:rFonts w:ascii="Palatino Linotype" w:hAnsi="Palatino Linotype"/>
          <w:sz w:val="20"/>
          <w:szCs w:val="20"/>
        </w:rPr>
        <w:t>IN</w:t>
      </w:r>
      <w:r w:rsidRPr="00C860CE">
        <w:rPr>
          <w:rFonts w:ascii="Palatino Linotype" w:hAnsi="Palatino Linotype"/>
          <w:sz w:val="20"/>
          <w:szCs w:val="20"/>
        </w:rPr>
        <w:t xml:space="preserve"> and </w:t>
      </w:r>
      <w:r w:rsidR="00BD34DC">
        <w:rPr>
          <w:rFonts w:ascii="Palatino Linotype" w:hAnsi="Palatino Linotype"/>
          <w:sz w:val="20"/>
          <w:szCs w:val="20"/>
        </w:rPr>
        <w:t>EV</w:t>
      </w:r>
      <w:r w:rsidRPr="00C860CE">
        <w:rPr>
          <w:rFonts w:ascii="Palatino Linotype" w:hAnsi="Palatino Linotype"/>
          <w:sz w:val="20"/>
          <w:szCs w:val="20"/>
        </w:rPr>
        <w:t xml:space="preserve"> strength at 60°/s and 120°/s. However, </w:t>
      </w:r>
      <w:r w:rsidRPr="00C860CE">
        <w:rPr>
          <w:rStyle w:val="Strong"/>
          <w:rFonts w:ascii="Palatino Linotype" w:eastAsiaTheme="majorEastAsia" w:hAnsi="Palatino Linotype"/>
          <w:b w:val="0"/>
          <w:bCs w:val="0"/>
          <w:sz w:val="20"/>
          <w:szCs w:val="20"/>
        </w:rPr>
        <w:t>between-group effects and time × group interactions were generally not significant</w:t>
      </w:r>
      <w:r w:rsidRPr="00C860CE">
        <w:rPr>
          <w:rFonts w:ascii="Palatino Linotype" w:hAnsi="Palatino Linotype"/>
          <w:sz w:val="20"/>
          <w:szCs w:val="20"/>
        </w:rPr>
        <w:t xml:space="preserve">, indicating comparable strength recovery patterns irrespective of cast use. An exception was observed for </w:t>
      </w:r>
      <w:r w:rsidR="00426476">
        <w:rPr>
          <w:rFonts w:ascii="Palatino Linotype" w:hAnsi="Palatino Linotype"/>
          <w:sz w:val="20"/>
          <w:szCs w:val="20"/>
        </w:rPr>
        <w:t>EV</w:t>
      </w:r>
      <w:r w:rsidRPr="00C860CE">
        <w:rPr>
          <w:rFonts w:ascii="Palatino Linotype" w:hAnsi="Palatino Linotype"/>
          <w:sz w:val="20"/>
          <w:szCs w:val="20"/>
        </w:rPr>
        <w:t xml:space="preserve"> Peak TQ/BW at </w:t>
      </w:r>
      <w:r w:rsidR="004D5783">
        <w:rPr>
          <w:rFonts w:ascii="Palatino Linotype" w:hAnsi="Palatino Linotype"/>
          <w:sz w:val="20"/>
          <w:szCs w:val="20"/>
        </w:rPr>
        <w:t>60</w:t>
      </w:r>
      <w:r w:rsidR="004D5783" w:rsidRPr="00C860CE">
        <w:rPr>
          <w:rFonts w:ascii="Palatino Linotype" w:hAnsi="Palatino Linotype"/>
          <w:sz w:val="20"/>
          <w:szCs w:val="20"/>
        </w:rPr>
        <w:t xml:space="preserve">°/s </w:t>
      </w:r>
      <w:r w:rsidR="004D5783">
        <w:rPr>
          <w:rFonts w:ascii="Palatino Linotype" w:hAnsi="Palatino Linotype"/>
          <w:sz w:val="20"/>
          <w:szCs w:val="20"/>
        </w:rPr>
        <w:t xml:space="preserve">and at </w:t>
      </w:r>
      <w:r w:rsidRPr="00C860CE">
        <w:rPr>
          <w:rFonts w:ascii="Palatino Linotype" w:hAnsi="Palatino Linotype"/>
          <w:sz w:val="20"/>
          <w:szCs w:val="20"/>
        </w:rPr>
        <w:t xml:space="preserve">120°/s, where a </w:t>
      </w:r>
      <w:r w:rsidRPr="00C860CE">
        <w:rPr>
          <w:rStyle w:val="Strong"/>
          <w:rFonts w:ascii="Palatino Linotype" w:eastAsiaTheme="majorEastAsia" w:hAnsi="Palatino Linotype"/>
          <w:b w:val="0"/>
          <w:bCs w:val="0"/>
          <w:sz w:val="20"/>
          <w:szCs w:val="20"/>
        </w:rPr>
        <w:t>significant time × group interaction</w:t>
      </w:r>
      <w:r w:rsidRPr="00C860CE">
        <w:rPr>
          <w:rFonts w:ascii="Palatino Linotype" w:hAnsi="Palatino Linotype"/>
          <w:sz w:val="20"/>
          <w:szCs w:val="20"/>
        </w:rPr>
        <w:t xml:space="preserve"> was detected. Within-group comparisons demonstrated a significant </w:t>
      </w:r>
      <w:r w:rsidRPr="00C860CE">
        <w:rPr>
          <w:rFonts w:ascii="Palatino Linotype" w:hAnsi="Palatino Linotype"/>
          <w:sz w:val="20"/>
          <w:szCs w:val="20"/>
        </w:rPr>
        <w:lastRenderedPageBreak/>
        <w:t>improvement from T1 to T3 in the cast-applied subgroup, whereas the corresponding change in the non-cast subgroup did not reach statistical significance. Despite this interaction, no consistent or sustained between-group differences were observed across other strength outcomes or time points.</w:t>
      </w:r>
    </w:p>
    <w:p w14:paraId="6FF335AC" w14:textId="39C514AF" w:rsidR="00C860CE" w:rsidRPr="00C860CE" w:rsidRDefault="00C860CE" w:rsidP="0083669A">
      <w:pPr>
        <w:pStyle w:val="NormalWeb"/>
        <w:spacing w:line="480" w:lineRule="auto"/>
        <w:ind w:left="180"/>
        <w:jc w:val="both"/>
        <w:rPr>
          <w:rFonts w:ascii="Palatino Linotype" w:hAnsi="Palatino Linotype"/>
          <w:sz w:val="20"/>
          <w:szCs w:val="20"/>
        </w:rPr>
      </w:pPr>
      <w:r w:rsidRPr="00C860CE">
        <w:rPr>
          <w:rFonts w:ascii="Palatino Linotype" w:hAnsi="Palatino Linotype"/>
          <w:sz w:val="20"/>
          <w:szCs w:val="20"/>
        </w:rPr>
        <w:t xml:space="preserve">Dynamic balance, assessed using the YBT CS, showed a </w:t>
      </w:r>
      <w:r w:rsidRPr="00C860CE">
        <w:rPr>
          <w:rStyle w:val="Strong"/>
          <w:rFonts w:ascii="Palatino Linotype" w:eastAsiaTheme="majorEastAsia" w:hAnsi="Palatino Linotype"/>
          <w:b w:val="0"/>
          <w:bCs w:val="0"/>
          <w:sz w:val="20"/>
          <w:szCs w:val="20"/>
        </w:rPr>
        <w:t>significant main effect of time</w:t>
      </w:r>
      <w:r w:rsidRPr="00C860CE">
        <w:rPr>
          <w:rFonts w:ascii="Palatino Linotype" w:hAnsi="Palatino Linotype"/>
          <w:sz w:val="20"/>
          <w:szCs w:val="20"/>
        </w:rPr>
        <w:t>, reflecting overall improvement across follow-up. No significant group effects or time × group interactions were detected. Within-group analyses indicated a significant improvement between T1 and T2, as well as between T1 and T3, in the non-cast subgroup, whereas changes in the cast-applied subgroup did not reach statistical significance. These findings suggest earlier balance recovery in participants without plaster cast immobilization, although the overall recovery pattern did not differ statistically between groups.</w:t>
      </w:r>
    </w:p>
    <w:p w14:paraId="605F0A28" w14:textId="4330CD25" w:rsidR="00C860CE" w:rsidRPr="00C860CE" w:rsidRDefault="00C860CE" w:rsidP="0083669A">
      <w:pPr>
        <w:pStyle w:val="NormalWeb"/>
        <w:spacing w:line="480" w:lineRule="auto"/>
        <w:ind w:left="180"/>
        <w:jc w:val="both"/>
        <w:rPr>
          <w:rFonts w:ascii="Palatino Linotype" w:hAnsi="Palatino Linotype"/>
          <w:sz w:val="20"/>
          <w:szCs w:val="20"/>
        </w:rPr>
      </w:pPr>
      <w:r w:rsidRPr="00C860CE">
        <w:rPr>
          <w:rFonts w:ascii="Palatino Linotype" w:hAnsi="Palatino Linotype"/>
          <w:sz w:val="20"/>
          <w:szCs w:val="20"/>
        </w:rPr>
        <w:t xml:space="preserve">Overall, exploratory ANOVA-based analyses indicate that </w:t>
      </w:r>
      <w:r w:rsidRPr="00C860CE">
        <w:rPr>
          <w:rStyle w:val="Strong"/>
          <w:rFonts w:ascii="Palatino Linotype" w:eastAsiaTheme="majorEastAsia" w:hAnsi="Palatino Linotype"/>
          <w:b w:val="0"/>
          <w:bCs w:val="0"/>
          <w:sz w:val="20"/>
          <w:szCs w:val="20"/>
        </w:rPr>
        <w:t>temporary plaster cast immobilization did not confer a consistent functional advantage</w:t>
      </w:r>
      <w:r w:rsidRPr="00C860CE">
        <w:rPr>
          <w:rFonts w:ascii="Palatino Linotype" w:hAnsi="Palatino Linotype"/>
          <w:sz w:val="20"/>
          <w:szCs w:val="20"/>
        </w:rPr>
        <w:t xml:space="preserve"> in strength, </w:t>
      </w:r>
      <w:r w:rsidR="00004728">
        <w:rPr>
          <w:rFonts w:ascii="Palatino Linotype" w:hAnsi="Palatino Linotype"/>
          <w:sz w:val="20"/>
          <w:szCs w:val="20"/>
        </w:rPr>
        <w:t>ROM</w:t>
      </w:r>
      <w:r w:rsidRPr="00C860CE">
        <w:rPr>
          <w:rFonts w:ascii="Palatino Linotype" w:hAnsi="Palatino Linotype"/>
          <w:sz w:val="20"/>
          <w:szCs w:val="20"/>
        </w:rPr>
        <w:t>, or dynamic balance recovery. Observed subgroup-specific improvements at isolated velocities or time points should be interpreted cautiously, as they were not accompanied by robust group effects or consistent interaction patterns.</w:t>
      </w:r>
    </w:p>
    <w:p w14:paraId="37B67699" w14:textId="48670D39" w:rsidR="00C860CE" w:rsidRDefault="002B1E8E" w:rsidP="0083669A">
      <w:pPr>
        <w:pStyle w:val="NormalWeb"/>
        <w:spacing w:line="480" w:lineRule="auto"/>
        <w:ind w:left="180"/>
        <w:jc w:val="both"/>
        <w:rPr>
          <w:rFonts w:ascii="Palatino Linotype" w:hAnsi="Palatino Linotype"/>
          <w:sz w:val="18"/>
          <w:szCs w:val="18"/>
        </w:rPr>
      </w:pPr>
      <w:r w:rsidRPr="007F3D5A">
        <w:rPr>
          <w:rStyle w:val="Strong"/>
          <w:rFonts w:ascii="Palatino Linotype" w:hAnsi="Palatino Linotype"/>
          <w:sz w:val="18"/>
          <w:szCs w:val="18"/>
        </w:rPr>
        <w:t>Appendix B Table 1</w:t>
      </w:r>
      <w:r w:rsidRPr="007F3D5A">
        <w:rPr>
          <w:rStyle w:val="Strong"/>
          <w:rFonts w:ascii="Palatino Linotype" w:hAnsi="Palatino Linotype"/>
          <w:b w:val="0"/>
          <w:bCs w:val="0"/>
          <w:sz w:val="18"/>
          <w:szCs w:val="18"/>
        </w:rPr>
        <w:t>.</w:t>
      </w:r>
      <w:r w:rsidRPr="007F3D5A">
        <w:rPr>
          <w:rFonts w:ascii="Palatino Linotype" w:hAnsi="Palatino Linotype"/>
          <w:sz w:val="18"/>
          <w:szCs w:val="18"/>
        </w:rPr>
        <w:t xml:space="preserve"> </w:t>
      </w:r>
      <w:r w:rsidR="00C860CE" w:rsidRPr="007F3D5A">
        <w:rPr>
          <w:rFonts w:ascii="Palatino Linotype" w:hAnsi="Palatino Linotype"/>
          <w:sz w:val="18"/>
          <w:szCs w:val="18"/>
        </w:rPr>
        <w:t xml:space="preserve">Comparison of functional recovery between participants who received temporary plaster cast immobilization during the acute phase and those who did not. Values are presented as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mean (SD)</w:t>
      </w:r>
      <w:r w:rsidR="00C860CE" w:rsidRPr="007F3D5A">
        <w:rPr>
          <w:rFonts w:ascii="Palatino Linotype" w:hAnsi="Palatino Linotype"/>
          <w:sz w:val="18"/>
          <w:szCs w:val="18"/>
        </w:rPr>
        <w:t xml:space="preserve"> and expressed as side-to-side deficits calculated as the difference between the uninjured and injured limb (U − I). Functional outcomes were assessed at three time points: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T1 (1–2 weeks post-injury), T2 (5–7 weeks), and T3 (12–15 weeks)</w:t>
      </w:r>
      <w:r w:rsidR="00C860CE" w:rsidRPr="007F3D5A">
        <w:rPr>
          <w:rFonts w:ascii="Palatino Linotype" w:hAnsi="Palatino Linotype"/>
          <w:b/>
          <w:bCs/>
          <w:sz w:val="18"/>
          <w:szCs w:val="18"/>
        </w:rPr>
        <w:t>.</w:t>
      </w:r>
      <w:r w:rsidR="007F3D5A">
        <w:rPr>
          <w:rFonts w:ascii="Palatino Linotype" w:hAnsi="Palatino Linotype"/>
          <w:b/>
          <w:bCs/>
          <w:sz w:val="18"/>
          <w:szCs w:val="18"/>
        </w:rPr>
        <w:t xml:space="preserve"> </w:t>
      </w:r>
      <w:r w:rsidR="00C860CE" w:rsidRPr="007F3D5A">
        <w:rPr>
          <w:rFonts w:ascii="Palatino Linotype" w:hAnsi="Palatino Linotype"/>
          <w:sz w:val="18"/>
          <w:szCs w:val="18"/>
        </w:rPr>
        <w:t xml:space="preserve">Isokinetic testing was performed at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60°/s and 120°/s</w:t>
      </w:r>
      <w:r w:rsidR="00C860CE" w:rsidRPr="007F3D5A">
        <w:rPr>
          <w:rFonts w:ascii="Palatino Linotype" w:hAnsi="Palatino Linotype"/>
          <w:sz w:val="18"/>
          <w:szCs w:val="18"/>
        </w:rPr>
        <w:t xml:space="preserve"> for inversion (IN) and eversion (EV) peak torque normalized to body weight (Peak TQ/BW) and range of motion (ROM). Dynamic balance was assessed using the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Y-Balance Test composite score (YBT-CS)</w:t>
      </w:r>
      <w:r w:rsidR="00C860CE" w:rsidRPr="007F3D5A">
        <w:rPr>
          <w:rFonts w:ascii="Palatino Linotype" w:hAnsi="Palatino Linotype"/>
          <w:b/>
          <w:bCs/>
          <w:sz w:val="18"/>
          <w:szCs w:val="18"/>
        </w:rPr>
        <w:t>.</w:t>
      </w:r>
      <w:r w:rsidR="007F3D5A">
        <w:rPr>
          <w:rFonts w:ascii="Palatino Linotype" w:hAnsi="Palatino Linotype"/>
          <w:b/>
          <w:bCs/>
          <w:sz w:val="18"/>
          <w:szCs w:val="18"/>
        </w:rPr>
        <w:t xml:space="preserve"> </w:t>
      </w:r>
      <w:r w:rsidR="00C860CE" w:rsidRPr="007F3D5A">
        <w:rPr>
          <w:rFonts w:ascii="Palatino Linotype" w:hAnsi="Palatino Linotype"/>
          <w:sz w:val="18"/>
          <w:szCs w:val="18"/>
        </w:rPr>
        <w:t xml:space="preserve">Statistical analysis was conducted using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mixed repeated-measures analysis of variance (ANOVA)</w:t>
      </w:r>
      <w:r w:rsidR="00C860CE" w:rsidRPr="007F3D5A">
        <w:rPr>
          <w:rFonts w:ascii="Palatino Linotype" w:hAnsi="Palatino Linotype"/>
          <w:sz w:val="18"/>
          <w:szCs w:val="18"/>
        </w:rPr>
        <w:t xml:space="preserve"> with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Time (T1–T3)</w:t>
      </w:r>
      <w:r w:rsidR="00C860CE" w:rsidRPr="007F3D5A">
        <w:rPr>
          <w:rFonts w:ascii="Palatino Linotype" w:hAnsi="Palatino Linotype"/>
          <w:sz w:val="18"/>
          <w:szCs w:val="18"/>
        </w:rPr>
        <w:t xml:space="preserve"> as the within-subject factor and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Immobilization (cast applied vs not applied)</w:t>
      </w:r>
      <w:r w:rsidR="00C860CE" w:rsidRPr="007F3D5A">
        <w:rPr>
          <w:rFonts w:ascii="Palatino Linotype" w:hAnsi="Palatino Linotype"/>
          <w:b/>
          <w:bCs/>
          <w:sz w:val="18"/>
          <w:szCs w:val="18"/>
        </w:rPr>
        <w:t xml:space="preserve"> </w:t>
      </w:r>
      <w:r w:rsidR="00C860CE" w:rsidRPr="007F3D5A">
        <w:rPr>
          <w:rFonts w:ascii="Palatino Linotype" w:hAnsi="Palatino Linotype"/>
          <w:sz w:val="18"/>
          <w:szCs w:val="18"/>
        </w:rPr>
        <w:t xml:space="preserve">as the between-subject factor.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Greenhouse–Geisser correction</w:t>
      </w:r>
      <w:r w:rsidR="00C860CE" w:rsidRPr="007F3D5A">
        <w:rPr>
          <w:rFonts w:ascii="Palatino Linotype" w:hAnsi="Palatino Linotype"/>
          <w:sz w:val="18"/>
          <w:szCs w:val="18"/>
        </w:rPr>
        <w:t xml:space="preserve"> was applied when the assumption of sphericity was violated. Main effects of Time and Immobilization, as well as Time × Immobilization interactions, are reported. </w:t>
      </w:r>
      <w:r w:rsidR="00C860CE" w:rsidRPr="007F3D5A">
        <w:rPr>
          <w:rStyle w:val="Strong"/>
          <w:rFonts w:ascii="Palatino Linotype" w:eastAsiaTheme="majorEastAsia" w:hAnsi="Palatino Linotype"/>
          <w:b w:val="0"/>
          <w:bCs w:val="0"/>
          <w:sz w:val="18"/>
          <w:szCs w:val="18"/>
        </w:rPr>
        <w:t>Within-group pairwise comparisons are presented descriptively where relevant.</w:t>
      </w:r>
      <w:r w:rsidR="007F3D5A">
        <w:rPr>
          <w:rFonts w:ascii="Palatino Linotype" w:hAnsi="Palatino Linotype"/>
          <w:b/>
          <w:bCs/>
          <w:sz w:val="18"/>
          <w:szCs w:val="18"/>
        </w:rPr>
        <w:t xml:space="preserve"> </w:t>
      </w:r>
      <w:r w:rsidR="00C860CE" w:rsidRPr="007F3D5A">
        <w:rPr>
          <w:rFonts w:ascii="Palatino Linotype" w:hAnsi="Palatino Linotype"/>
          <w:sz w:val="18"/>
          <w:szCs w:val="18"/>
        </w:rPr>
        <w:t xml:space="preserve">Abbreviations: IN – inversion; EV – eversion; Peak </w:t>
      </w:r>
      <w:r w:rsidR="00C860CE" w:rsidRPr="007F3D5A">
        <w:rPr>
          <w:rFonts w:ascii="Palatino Linotype" w:hAnsi="Palatino Linotype"/>
          <w:sz w:val="18"/>
          <w:szCs w:val="18"/>
        </w:rPr>
        <w:lastRenderedPageBreak/>
        <w:t>TQ/BW – peak torque normalized to body weight; ROM – range of motion; YBT-CS – Y-Balance Test composite score; U – uninjured limb; I – injured limb.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624"/>
        <w:gridCol w:w="824"/>
        <w:gridCol w:w="824"/>
        <w:gridCol w:w="736"/>
        <w:gridCol w:w="641"/>
        <w:gridCol w:w="737"/>
        <w:gridCol w:w="408"/>
        <w:gridCol w:w="545"/>
        <w:gridCol w:w="641"/>
        <w:gridCol w:w="737"/>
        <w:gridCol w:w="545"/>
        <w:gridCol w:w="641"/>
      </w:tblGrid>
      <w:tr w:rsidR="007635A3" w:rsidRPr="005E75E9" w14:paraId="039E6AE6" w14:textId="77777777" w:rsidTr="00ED3350">
        <w:trPr>
          <w:jc w:val="center"/>
        </w:trPr>
        <w:tc>
          <w:tcPr>
            <w:tcW w:w="953" w:type="dxa"/>
            <w:tcBorders>
              <w:top w:val="single" w:sz="12" w:space="0" w:color="auto"/>
              <w:bottom w:val="single" w:sz="8" w:space="0" w:color="auto"/>
            </w:tcBorders>
          </w:tcPr>
          <w:p w14:paraId="78FF1B0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Variable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8" w:space="0" w:color="auto"/>
            </w:tcBorders>
          </w:tcPr>
          <w:p w14:paraId="6DBCA199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Time</w:t>
            </w:r>
          </w:p>
        </w:tc>
        <w:tc>
          <w:tcPr>
            <w:tcW w:w="1648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7890647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Group</w:t>
            </w:r>
          </w:p>
        </w:tc>
        <w:tc>
          <w:tcPr>
            <w:tcW w:w="2114" w:type="dxa"/>
            <w:gridSpan w:val="3"/>
            <w:tcBorders>
              <w:top w:val="single" w:sz="12" w:space="0" w:color="auto"/>
              <w:bottom w:val="single" w:sz="8" w:space="0" w:color="auto"/>
            </w:tcBorders>
          </w:tcPr>
          <w:p w14:paraId="566BFDA1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Time effect</w:t>
            </w:r>
          </w:p>
        </w:tc>
        <w:tc>
          <w:tcPr>
            <w:tcW w:w="1594" w:type="dxa"/>
            <w:gridSpan w:val="3"/>
            <w:tcBorders>
              <w:top w:val="single" w:sz="12" w:space="0" w:color="auto"/>
              <w:bottom w:val="single" w:sz="8" w:space="0" w:color="auto"/>
            </w:tcBorders>
          </w:tcPr>
          <w:p w14:paraId="07EDEAD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Group effect</w:t>
            </w:r>
          </w:p>
        </w:tc>
        <w:tc>
          <w:tcPr>
            <w:tcW w:w="1923" w:type="dxa"/>
            <w:gridSpan w:val="3"/>
            <w:tcBorders>
              <w:top w:val="single" w:sz="12" w:space="0" w:color="auto"/>
              <w:bottom w:val="single" w:sz="8" w:space="0" w:color="auto"/>
            </w:tcBorders>
          </w:tcPr>
          <w:p w14:paraId="4D565241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Time × Group</w:t>
            </w:r>
          </w:p>
        </w:tc>
      </w:tr>
      <w:tr w:rsidR="007635A3" w:rsidRPr="005E75E9" w14:paraId="2CB815DE" w14:textId="77777777" w:rsidTr="00ED3350">
        <w:trPr>
          <w:jc w:val="center"/>
        </w:trPr>
        <w:tc>
          <w:tcPr>
            <w:tcW w:w="953" w:type="dxa"/>
            <w:tcBorders>
              <w:top w:val="single" w:sz="8" w:space="0" w:color="auto"/>
              <w:bottom w:val="single" w:sz="4" w:space="0" w:color="auto"/>
            </w:tcBorders>
          </w:tcPr>
          <w:p w14:paraId="6F77A08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8" w:space="0" w:color="auto"/>
              <w:bottom w:val="single" w:sz="4" w:space="0" w:color="auto"/>
            </w:tcBorders>
          </w:tcPr>
          <w:p w14:paraId="5B55D32D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824" w:type="dxa"/>
            <w:tcBorders>
              <w:top w:val="single" w:sz="8" w:space="0" w:color="auto"/>
              <w:bottom w:val="single" w:sz="4" w:space="0" w:color="auto"/>
            </w:tcBorders>
          </w:tcPr>
          <w:p w14:paraId="06933C7E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Cast applied</w:t>
            </w:r>
          </w:p>
        </w:tc>
        <w:tc>
          <w:tcPr>
            <w:tcW w:w="824" w:type="dxa"/>
            <w:tcBorders>
              <w:top w:val="single" w:sz="8" w:space="0" w:color="auto"/>
              <w:bottom w:val="single" w:sz="4" w:space="0" w:color="auto"/>
            </w:tcBorders>
          </w:tcPr>
          <w:p w14:paraId="59846AC4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Cast not applied</w:t>
            </w:r>
          </w:p>
        </w:tc>
        <w:tc>
          <w:tcPr>
            <w:tcW w:w="736" w:type="dxa"/>
            <w:tcBorders>
              <w:top w:val="single" w:sz="8" w:space="0" w:color="auto"/>
              <w:bottom w:val="single" w:sz="4" w:space="0" w:color="auto"/>
            </w:tcBorders>
          </w:tcPr>
          <w:p w14:paraId="4800B57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proofErr w:type="spellStart"/>
            <w:r w:rsidRPr="005E75E9">
              <w:rPr>
                <w:sz w:val="18"/>
                <w:szCs w:val="18"/>
              </w:rPr>
              <w:t>df</w:t>
            </w:r>
            <w:proofErr w:type="spellEnd"/>
          </w:p>
        </w:tc>
        <w:tc>
          <w:tcPr>
            <w:tcW w:w="641" w:type="dxa"/>
            <w:tcBorders>
              <w:top w:val="single" w:sz="8" w:space="0" w:color="auto"/>
              <w:bottom w:val="single" w:sz="4" w:space="0" w:color="auto"/>
            </w:tcBorders>
          </w:tcPr>
          <w:p w14:paraId="5E3FB03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F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4" w:space="0" w:color="auto"/>
            </w:tcBorders>
          </w:tcPr>
          <w:p w14:paraId="4C58EB9A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p</w:t>
            </w:r>
          </w:p>
        </w:tc>
        <w:tc>
          <w:tcPr>
            <w:tcW w:w="408" w:type="dxa"/>
            <w:tcBorders>
              <w:top w:val="single" w:sz="8" w:space="0" w:color="auto"/>
              <w:bottom w:val="single" w:sz="4" w:space="0" w:color="auto"/>
            </w:tcBorders>
          </w:tcPr>
          <w:p w14:paraId="0A534BD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proofErr w:type="spellStart"/>
            <w:r w:rsidRPr="005E75E9">
              <w:rPr>
                <w:sz w:val="18"/>
                <w:szCs w:val="18"/>
              </w:rPr>
              <w:t>df</w:t>
            </w:r>
            <w:proofErr w:type="spellEnd"/>
          </w:p>
        </w:tc>
        <w:tc>
          <w:tcPr>
            <w:tcW w:w="545" w:type="dxa"/>
            <w:tcBorders>
              <w:top w:val="single" w:sz="8" w:space="0" w:color="auto"/>
              <w:bottom w:val="single" w:sz="4" w:space="0" w:color="auto"/>
            </w:tcBorders>
          </w:tcPr>
          <w:p w14:paraId="38902E6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F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4" w:space="0" w:color="auto"/>
            </w:tcBorders>
          </w:tcPr>
          <w:p w14:paraId="0E4FDB1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p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4" w:space="0" w:color="auto"/>
            </w:tcBorders>
          </w:tcPr>
          <w:p w14:paraId="2895B0E4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proofErr w:type="spellStart"/>
            <w:r w:rsidRPr="005E75E9">
              <w:rPr>
                <w:sz w:val="18"/>
                <w:szCs w:val="18"/>
              </w:rPr>
              <w:t>df</w:t>
            </w:r>
            <w:proofErr w:type="spellEnd"/>
          </w:p>
        </w:tc>
        <w:tc>
          <w:tcPr>
            <w:tcW w:w="545" w:type="dxa"/>
            <w:tcBorders>
              <w:top w:val="single" w:sz="8" w:space="0" w:color="auto"/>
              <w:bottom w:val="single" w:sz="4" w:space="0" w:color="auto"/>
            </w:tcBorders>
          </w:tcPr>
          <w:p w14:paraId="11AFEE0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F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4" w:space="0" w:color="auto"/>
            </w:tcBorders>
          </w:tcPr>
          <w:p w14:paraId="254A414E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p</w:t>
            </w:r>
          </w:p>
        </w:tc>
      </w:tr>
      <w:tr w:rsidR="007635A3" w:rsidRPr="005E75E9" w14:paraId="53A9C327" w14:textId="77777777" w:rsidTr="00ED3350">
        <w:trPr>
          <w:jc w:val="center"/>
        </w:trPr>
        <w:tc>
          <w:tcPr>
            <w:tcW w:w="953" w:type="dxa"/>
            <w:vMerge w:val="restart"/>
            <w:tcBorders>
              <w:top w:val="single" w:sz="4" w:space="0" w:color="auto"/>
            </w:tcBorders>
          </w:tcPr>
          <w:p w14:paraId="2D2BB8E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Peak TQ/BW IN (U–I) % at 60°/s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0160FB7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T1</w:t>
            </w:r>
          </w:p>
        </w:tc>
        <w:tc>
          <w:tcPr>
            <w:tcW w:w="824" w:type="dxa"/>
            <w:tcBorders>
              <w:top w:val="single" w:sz="4" w:space="0" w:color="auto"/>
            </w:tcBorders>
          </w:tcPr>
          <w:p w14:paraId="009BC8A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3.59 (7.95)</w:t>
            </w:r>
          </w:p>
        </w:tc>
        <w:tc>
          <w:tcPr>
            <w:tcW w:w="824" w:type="dxa"/>
            <w:tcBorders>
              <w:top w:val="single" w:sz="4" w:space="0" w:color="auto"/>
            </w:tcBorders>
          </w:tcPr>
          <w:p w14:paraId="736D0F32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1.84 (7.79)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9ECF1C7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4" w:space="0" w:color="auto"/>
            </w:tcBorders>
          </w:tcPr>
          <w:p w14:paraId="52042D2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0544B3B8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</w:tcPr>
          <w:p w14:paraId="37AF541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</w:tcPr>
          <w:p w14:paraId="5C38C8D2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4" w:space="0" w:color="auto"/>
            </w:tcBorders>
          </w:tcPr>
          <w:p w14:paraId="097D066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1C6C007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</w:tcPr>
          <w:p w14:paraId="765A23D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4" w:space="0" w:color="auto"/>
            </w:tcBorders>
          </w:tcPr>
          <w:p w14:paraId="7B1E477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3F073DC0" w14:textId="77777777" w:rsidTr="00ED3350">
        <w:trPr>
          <w:jc w:val="center"/>
        </w:trPr>
        <w:tc>
          <w:tcPr>
            <w:tcW w:w="953" w:type="dxa"/>
            <w:vMerge/>
          </w:tcPr>
          <w:p w14:paraId="32B09E4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CB53EA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T2</w:t>
            </w:r>
          </w:p>
        </w:tc>
        <w:tc>
          <w:tcPr>
            <w:tcW w:w="824" w:type="dxa"/>
          </w:tcPr>
          <w:p w14:paraId="1032126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2.08 (10.27)</w:t>
            </w:r>
          </w:p>
        </w:tc>
        <w:tc>
          <w:tcPr>
            <w:tcW w:w="824" w:type="dxa"/>
          </w:tcPr>
          <w:p w14:paraId="6BF87239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0.32 (7.50)</w:t>
            </w:r>
          </w:p>
        </w:tc>
        <w:tc>
          <w:tcPr>
            <w:tcW w:w="736" w:type="dxa"/>
          </w:tcPr>
          <w:p w14:paraId="3542E42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1.78, 111.84</w:t>
            </w:r>
          </w:p>
        </w:tc>
        <w:tc>
          <w:tcPr>
            <w:tcW w:w="641" w:type="dxa"/>
          </w:tcPr>
          <w:p w14:paraId="62367D5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6.40</w:t>
            </w:r>
          </w:p>
        </w:tc>
        <w:tc>
          <w:tcPr>
            <w:tcW w:w="737" w:type="dxa"/>
          </w:tcPr>
          <w:p w14:paraId="5F74152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0.003</w:t>
            </w:r>
          </w:p>
        </w:tc>
        <w:tc>
          <w:tcPr>
            <w:tcW w:w="408" w:type="dxa"/>
          </w:tcPr>
          <w:p w14:paraId="035D48A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1, 63</w:t>
            </w:r>
          </w:p>
        </w:tc>
        <w:tc>
          <w:tcPr>
            <w:tcW w:w="545" w:type="dxa"/>
          </w:tcPr>
          <w:p w14:paraId="2CB7DD7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0.08</w:t>
            </w:r>
          </w:p>
        </w:tc>
        <w:tc>
          <w:tcPr>
            <w:tcW w:w="641" w:type="dxa"/>
          </w:tcPr>
          <w:p w14:paraId="24B8190A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0.777</w:t>
            </w:r>
          </w:p>
        </w:tc>
        <w:tc>
          <w:tcPr>
            <w:tcW w:w="737" w:type="dxa"/>
          </w:tcPr>
          <w:p w14:paraId="45A5634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1.78, 111.84</w:t>
            </w:r>
          </w:p>
        </w:tc>
        <w:tc>
          <w:tcPr>
            <w:tcW w:w="545" w:type="dxa"/>
          </w:tcPr>
          <w:p w14:paraId="74DF9CE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2.14</w:t>
            </w:r>
          </w:p>
        </w:tc>
        <w:tc>
          <w:tcPr>
            <w:tcW w:w="641" w:type="dxa"/>
          </w:tcPr>
          <w:p w14:paraId="4192FD2B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0.128</w:t>
            </w:r>
          </w:p>
        </w:tc>
      </w:tr>
      <w:tr w:rsidR="007635A3" w:rsidRPr="005E75E9" w14:paraId="254C89EF" w14:textId="77777777" w:rsidTr="00ED3350">
        <w:trPr>
          <w:jc w:val="center"/>
        </w:trPr>
        <w:tc>
          <w:tcPr>
            <w:tcW w:w="953" w:type="dxa"/>
            <w:vMerge/>
            <w:tcBorders>
              <w:bottom w:val="single" w:sz="8" w:space="0" w:color="auto"/>
            </w:tcBorders>
          </w:tcPr>
          <w:p w14:paraId="13D8D48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8" w:space="0" w:color="auto"/>
            </w:tcBorders>
          </w:tcPr>
          <w:p w14:paraId="005D25F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T3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10864B0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−1.86 (11.47)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0AF9EECB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0.03 (8.63)</w:t>
            </w:r>
          </w:p>
        </w:tc>
        <w:tc>
          <w:tcPr>
            <w:tcW w:w="736" w:type="dxa"/>
            <w:tcBorders>
              <w:bottom w:val="single" w:sz="8" w:space="0" w:color="auto"/>
            </w:tcBorders>
          </w:tcPr>
          <w:p w14:paraId="314AA50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17A94A2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548D781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single" w:sz="8" w:space="0" w:color="auto"/>
            </w:tcBorders>
          </w:tcPr>
          <w:p w14:paraId="52456C6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4C5CF8B9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25BE9F5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1CF4513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63DC2E5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10EB133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17B87CF0" w14:textId="77777777" w:rsidTr="00ED3350">
        <w:trPr>
          <w:jc w:val="center"/>
        </w:trPr>
        <w:tc>
          <w:tcPr>
            <w:tcW w:w="953" w:type="dxa"/>
            <w:vMerge w:val="restart"/>
            <w:tcBorders>
              <w:top w:val="single" w:sz="8" w:space="0" w:color="auto"/>
            </w:tcBorders>
          </w:tcPr>
          <w:p w14:paraId="045459B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Peak TQ/BW EV (U–I) % at 60°/s</w:t>
            </w:r>
          </w:p>
        </w:tc>
        <w:tc>
          <w:tcPr>
            <w:tcW w:w="624" w:type="dxa"/>
            <w:tcBorders>
              <w:top w:val="single" w:sz="8" w:space="0" w:color="auto"/>
            </w:tcBorders>
          </w:tcPr>
          <w:p w14:paraId="3302645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T1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7DCF8962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3.37 (4.72)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1DD66E8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1.38 (6.91)</w:t>
            </w:r>
          </w:p>
        </w:tc>
        <w:tc>
          <w:tcPr>
            <w:tcW w:w="736" w:type="dxa"/>
            <w:tcBorders>
              <w:top w:val="single" w:sz="8" w:space="0" w:color="auto"/>
            </w:tcBorders>
          </w:tcPr>
          <w:p w14:paraId="465A5F72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140C79AD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3DA48C7B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8" w:space="0" w:color="auto"/>
            </w:tcBorders>
          </w:tcPr>
          <w:p w14:paraId="6CAE321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71C442F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1149065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398636DD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6CF399A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585A3538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25568A7C" w14:textId="77777777" w:rsidTr="00ED3350">
        <w:trPr>
          <w:jc w:val="center"/>
        </w:trPr>
        <w:tc>
          <w:tcPr>
            <w:tcW w:w="953" w:type="dxa"/>
            <w:vMerge/>
          </w:tcPr>
          <w:p w14:paraId="1B9DC3A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E66B30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T2</w:t>
            </w:r>
          </w:p>
        </w:tc>
        <w:tc>
          <w:tcPr>
            <w:tcW w:w="824" w:type="dxa"/>
          </w:tcPr>
          <w:p w14:paraId="14F0097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2.13 (6.17)</w:t>
            </w:r>
          </w:p>
        </w:tc>
        <w:tc>
          <w:tcPr>
            <w:tcW w:w="824" w:type="dxa"/>
          </w:tcPr>
          <w:p w14:paraId="57A6CFF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2.75 (6.35)</w:t>
            </w:r>
          </w:p>
        </w:tc>
        <w:tc>
          <w:tcPr>
            <w:tcW w:w="736" w:type="dxa"/>
          </w:tcPr>
          <w:p w14:paraId="3586605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1.95, 122.73</w:t>
            </w:r>
          </w:p>
        </w:tc>
        <w:tc>
          <w:tcPr>
            <w:tcW w:w="641" w:type="dxa"/>
          </w:tcPr>
          <w:p w14:paraId="7F2A1F3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3.46</w:t>
            </w:r>
          </w:p>
        </w:tc>
        <w:tc>
          <w:tcPr>
            <w:tcW w:w="737" w:type="dxa"/>
          </w:tcPr>
          <w:p w14:paraId="0DFBD992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0.036</w:t>
            </w:r>
          </w:p>
        </w:tc>
        <w:tc>
          <w:tcPr>
            <w:tcW w:w="408" w:type="dxa"/>
          </w:tcPr>
          <w:p w14:paraId="11D67B0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1, 63</w:t>
            </w:r>
          </w:p>
        </w:tc>
        <w:tc>
          <w:tcPr>
            <w:tcW w:w="545" w:type="dxa"/>
          </w:tcPr>
          <w:p w14:paraId="6C3B605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</w:tcPr>
          <w:p w14:paraId="3CECA3EE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0.951</w:t>
            </w:r>
          </w:p>
        </w:tc>
        <w:tc>
          <w:tcPr>
            <w:tcW w:w="737" w:type="dxa"/>
          </w:tcPr>
          <w:p w14:paraId="5D59BAB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1.95, 122.73</w:t>
            </w:r>
          </w:p>
        </w:tc>
        <w:tc>
          <w:tcPr>
            <w:tcW w:w="545" w:type="dxa"/>
          </w:tcPr>
          <w:p w14:paraId="565C4BAE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3.26</w:t>
            </w:r>
          </w:p>
        </w:tc>
        <w:tc>
          <w:tcPr>
            <w:tcW w:w="641" w:type="dxa"/>
          </w:tcPr>
          <w:p w14:paraId="2DD0263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0.043</w:t>
            </w:r>
          </w:p>
        </w:tc>
      </w:tr>
      <w:tr w:rsidR="007635A3" w:rsidRPr="005E75E9" w14:paraId="1037D136" w14:textId="77777777" w:rsidTr="00ED3350">
        <w:trPr>
          <w:jc w:val="center"/>
        </w:trPr>
        <w:tc>
          <w:tcPr>
            <w:tcW w:w="953" w:type="dxa"/>
            <w:vMerge/>
            <w:tcBorders>
              <w:bottom w:val="single" w:sz="8" w:space="0" w:color="auto"/>
            </w:tcBorders>
          </w:tcPr>
          <w:p w14:paraId="040B789D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8" w:space="0" w:color="auto"/>
            </w:tcBorders>
          </w:tcPr>
          <w:p w14:paraId="471ED00A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T3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041FE189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−0.05 (5.52)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561BE65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1.56 (7.20)</w:t>
            </w:r>
          </w:p>
        </w:tc>
        <w:tc>
          <w:tcPr>
            <w:tcW w:w="736" w:type="dxa"/>
            <w:tcBorders>
              <w:bottom w:val="single" w:sz="8" w:space="0" w:color="auto"/>
            </w:tcBorders>
          </w:tcPr>
          <w:p w14:paraId="07605979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16551D79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5A586C5E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single" w:sz="8" w:space="0" w:color="auto"/>
            </w:tcBorders>
          </w:tcPr>
          <w:p w14:paraId="0D4241F2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41E894B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129D117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2EB48AF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5F43825D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3BED0DD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33869353" w14:textId="77777777" w:rsidTr="00ED3350">
        <w:trPr>
          <w:jc w:val="center"/>
        </w:trPr>
        <w:tc>
          <w:tcPr>
            <w:tcW w:w="953" w:type="dxa"/>
            <w:vMerge w:val="restart"/>
            <w:tcBorders>
              <w:top w:val="single" w:sz="8" w:space="0" w:color="auto"/>
            </w:tcBorders>
          </w:tcPr>
          <w:p w14:paraId="4861C6A1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ROM (U–I) ° at 60°/s</w:t>
            </w:r>
          </w:p>
        </w:tc>
        <w:tc>
          <w:tcPr>
            <w:tcW w:w="624" w:type="dxa"/>
            <w:tcBorders>
              <w:top w:val="single" w:sz="8" w:space="0" w:color="auto"/>
            </w:tcBorders>
          </w:tcPr>
          <w:p w14:paraId="6A0DE94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T1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32BC0E82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4.77 (11.56)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73855B6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2.82 (11.56)</w:t>
            </w:r>
          </w:p>
        </w:tc>
        <w:tc>
          <w:tcPr>
            <w:tcW w:w="736" w:type="dxa"/>
            <w:tcBorders>
              <w:top w:val="single" w:sz="8" w:space="0" w:color="auto"/>
            </w:tcBorders>
          </w:tcPr>
          <w:p w14:paraId="5E1077E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38D3B726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2D26006D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8" w:space="0" w:color="auto"/>
            </w:tcBorders>
          </w:tcPr>
          <w:p w14:paraId="25EB2459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48DE408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115D43F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42064AC7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066F9687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01EE718B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6EF4C0EB" w14:textId="77777777" w:rsidTr="00ED3350">
        <w:trPr>
          <w:jc w:val="center"/>
        </w:trPr>
        <w:tc>
          <w:tcPr>
            <w:tcW w:w="953" w:type="dxa"/>
            <w:vMerge/>
          </w:tcPr>
          <w:p w14:paraId="4CCEA8F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F3556CA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T2</w:t>
            </w:r>
          </w:p>
        </w:tc>
        <w:tc>
          <w:tcPr>
            <w:tcW w:w="824" w:type="dxa"/>
          </w:tcPr>
          <w:p w14:paraId="2C4F404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−0.31 (11.94)</w:t>
            </w:r>
          </w:p>
        </w:tc>
        <w:tc>
          <w:tcPr>
            <w:tcW w:w="824" w:type="dxa"/>
          </w:tcPr>
          <w:p w14:paraId="7762974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−1.40 (9.96)</w:t>
            </w:r>
          </w:p>
        </w:tc>
        <w:tc>
          <w:tcPr>
            <w:tcW w:w="736" w:type="dxa"/>
          </w:tcPr>
          <w:p w14:paraId="1C5329D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2, 126</w:t>
            </w:r>
          </w:p>
        </w:tc>
        <w:tc>
          <w:tcPr>
            <w:tcW w:w="641" w:type="dxa"/>
          </w:tcPr>
          <w:p w14:paraId="3D78A78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13.10</w:t>
            </w:r>
          </w:p>
        </w:tc>
        <w:tc>
          <w:tcPr>
            <w:tcW w:w="737" w:type="dxa"/>
          </w:tcPr>
          <w:p w14:paraId="58BF7CA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&lt;0.001</w:t>
            </w:r>
          </w:p>
        </w:tc>
        <w:tc>
          <w:tcPr>
            <w:tcW w:w="408" w:type="dxa"/>
          </w:tcPr>
          <w:p w14:paraId="451EA6C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1, 63</w:t>
            </w:r>
          </w:p>
        </w:tc>
        <w:tc>
          <w:tcPr>
            <w:tcW w:w="545" w:type="dxa"/>
          </w:tcPr>
          <w:p w14:paraId="43F1076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0.15</w:t>
            </w:r>
          </w:p>
        </w:tc>
        <w:tc>
          <w:tcPr>
            <w:tcW w:w="641" w:type="dxa"/>
          </w:tcPr>
          <w:p w14:paraId="10B5852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0.704</w:t>
            </w:r>
          </w:p>
        </w:tc>
        <w:tc>
          <w:tcPr>
            <w:tcW w:w="737" w:type="dxa"/>
          </w:tcPr>
          <w:p w14:paraId="1EC1423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2, 126</w:t>
            </w:r>
          </w:p>
        </w:tc>
        <w:tc>
          <w:tcPr>
            <w:tcW w:w="545" w:type="dxa"/>
          </w:tcPr>
          <w:p w14:paraId="7716222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0.46</w:t>
            </w:r>
          </w:p>
        </w:tc>
        <w:tc>
          <w:tcPr>
            <w:tcW w:w="641" w:type="dxa"/>
          </w:tcPr>
          <w:p w14:paraId="27291AC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0.631</w:t>
            </w:r>
          </w:p>
        </w:tc>
      </w:tr>
      <w:tr w:rsidR="007635A3" w:rsidRPr="005E75E9" w14:paraId="1C7C3159" w14:textId="77777777" w:rsidTr="00ED3350">
        <w:trPr>
          <w:jc w:val="center"/>
        </w:trPr>
        <w:tc>
          <w:tcPr>
            <w:tcW w:w="953" w:type="dxa"/>
            <w:vMerge/>
            <w:tcBorders>
              <w:bottom w:val="single" w:sz="8" w:space="0" w:color="auto"/>
            </w:tcBorders>
          </w:tcPr>
          <w:p w14:paraId="3E99F0E8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8" w:space="0" w:color="auto"/>
            </w:tcBorders>
          </w:tcPr>
          <w:p w14:paraId="32BBBF9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T3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67B1A60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−3.47 (8.65)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253B076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−2.81 (9.17)</w:t>
            </w:r>
          </w:p>
        </w:tc>
        <w:tc>
          <w:tcPr>
            <w:tcW w:w="736" w:type="dxa"/>
            <w:tcBorders>
              <w:bottom w:val="single" w:sz="8" w:space="0" w:color="auto"/>
            </w:tcBorders>
          </w:tcPr>
          <w:p w14:paraId="6498B2DE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5112D96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5B2BD7D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single" w:sz="8" w:space="0" w:color="auto"/>
            </w:tcBorders>
          </w:tcPr>
          <w:p w14:paraId="3C04BB4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1C929BD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3F72692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23386D96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46D0CF5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53AFDB48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6E680D9C" w14:textId="77777777" w:rsidTr="00ED3350">
        <w:trPr>
          <w:jc w:val="center"/>
        </w:trPr>
        <w:tc>
          <w:tcPr>
            <w:tcW w:w="953" w:type="dxa"/>
            <w:vMerge w:val="restart"/>
            <w:tcBorders>
              <w:top w:val="single" w:sz="8" w:space="0" w:color="auto"/>
            </w:tcBorders>
          </w:tcPr>
          <w:p w14:paraId="637DF52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Peak TQ/BW IN (U–I) % at 120°/s</w:t>
            </w:r>
          </w:p>
        </w:tc>
        <w:tc>
          <w:tcPr>
            <w:tcW w:w="624" w:type="dxa"/>
            <w:tcBorders>
              <w:top w:val="single" w:sz="8" w:space="0" w:color="auto"/>
            </w:tcBorders>
          </w:tcPr>
          <w:p w14:paraId="7232C07E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T1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200F8E1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4.28 (8.20)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0FCC07C4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3.23 (6.12)</w:t>
            </w:r>
          </w:p>
        </w:tc>
        <w:tc>
          <w:tcPr>
            <w:tcW w:w="736" w:type="dxa"/>
            <w:tcBorders>
              <w:top w:val="single" w:sz="8" w:space="0" w:color="auto"/>
            </w:tcBorders>
          </w:tcPr>
          <w:p w14:paraId="2152AF2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7C15AFB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6704310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8" w:space="0" w:color="auto"/>
            </w:tcBorders>
          </w:tcPr>
          <w:p w14:paraId="26D93F3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775C10B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21FA9C4B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264AB24E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1AA711A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165C4FA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565C99A6" w14:textId="77777777" w:rsidTr="00ED3350">
        <w:trPr>
          <w:jc w:val="center"/>
        </w:trPr>
        <w:tc>
          <w:tcPr>
            <w:tcW w:w="953" w:type="dxa"/>
            <w:vMerge/>
          </w:tcPr>
          <w:p w14:paraId="28DEFB0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D502D6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T2</w:t>
            </w:r>
          </w:p>
        </w:tc>
        <w:tc>
          <w:tcPr>
            <w:tcW w:w="824" w:type="dxa"/>
          </w:tcPr>
          <w:p w14:paraId="57EAB2AA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2.59 (8.02)</w:t>
            </w:r>
          </w:p>
        </w:tc>
        <w:tc>
          <w:tcPr>
            <w:tcW w:w="824" w:type="dxa"/>
          </w:tcPr>
          <w:p w14:paraId="61D5135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1.33 (5.53)</w:t>
            </w:r>
          </w:p>
        </w:tc>
        <w:tc>
          <w:tcPr>
            <w:tcW w:w="736" w:type="dxa"/>
          </w:tcPr>
          <w:p w14:paraId="465342C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1.61, 99.97</w:t>
            </w:r>
          </w:p>
        </w:tc>
        <w:tc>
          <w:tcPr>
            <w:tcW w:w="641" w:type="dxa"/>
          </w:tcPr>
          <w:p w14:paraId="0334934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10.26</w:t>
            </w:r>
          </w:p>
        </w:tc>
        <w:tc>
          <w:tcPr>
            <w:tcW w:w="737" w:type="dxa"/>
          </w:tcPr>
          <w:p w14:paraId="1303926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&lt;0.001</w:t>
            </w:r>
          </w:p>
        </w:tc>
        <w:tc>
          <w:tcPr>
            <w:tcW w:w="408" w:type="dxa"/>
          </w:tcPr>
          <w:p w14:paraId="0B13E09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1, 62</w:t>
            </w:r>
          </w:p>
        </w:tc>
        <w:tc>
          <w:tcPr>
            <w:tcW w:w="545" w:type="dxa"/>
          </w:tcPr>
          <w:p w14:paraId="149CF98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0.28</w:t>
            </w:r>
          </w:p>
        </w:tc>
        <w:tc>
          <w:tcPr>
            <w:tcW w:w="641" w:type="dxa"/>
          </w:tcPr>
          <w:p w14:paraId="651D414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0.596</w:t>
            </w:r>
          </w:p>
        </w:tc>
        <w:tc>
          <w:tcPr>
            <w:tcW w:w="737" w:type="dxa"/>
          </w:tcPr>
          <w:p w14:paraId="2E5E121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1.61, 99.97</w:t>
            </w:r>
          </w:p>
        </w:tc>
        <w:tc>
          <w:tcPr>
            <w:tcW w:w="545" w:type="dxa"/>
          </w:tcPr>
          <w:p w14:paraId="69E8D944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0.30</w:t>
            </w:r>
          </w:p>
        </w:tc>
        <w:tc>
          <w:tcPr>
            <w:tcW w:w="641" w:type="dxa"/>
          </w:tcPr>
          <w:p w14:paraId="24E3E889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0.692</w:t>
            </w:r>
          </w:p>
        </w:tc>
      </w:tr>
      <w:tr w:rsidR="007635A3" w:rsidRPr="005E75E9" w14:paraId="1F29A084" w14:textId="77777777" w:rsidTr="00ED3350">
        <w:trPr>
          <w:jc w:val="center"/>
        </w:trPr>
        <w:tc>
          <w:tcPr>
            <w:tcW w:w="953" w:type="dxa"/>
            <w:vMerge/>
            <w:tcBorders>
              <w:bottom w:val="single" w:sz="8" w:space="0" w:color="auto"/>
            </w:tcBorders>
          </w:tcPr>
          <w:p w14:paraId="397F52E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8" w:space="0" w:color="auto"/>
            </w:tcBorders>
          </w:tcPr>
          <w:p w14:paraId="649BC9A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T3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4793B07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−0.29 (7.75)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07E5597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−0.26 (6.53)</w:t>
            </w:r>
          </w:p>
        </w:tc>
        <w:tc>
          <w:tcPr>
            <w:tcW w:w="736" w:type="dxa"/>
            <w:tcBorders>
              <w:bottom w:val="single" w:sz="8" w:space="0" w:color="auto"/>
            </w:tcBorders>
          </w:tcPr>
          <w:p w14:paraId="04A5DF5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6A76779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5DD65A9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single" w:sz="8" w:space="0" w:color="auto"/>
            </w:tcBorders>
          </w:tcPr>
          <w:p w14:paraId="035DDC9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42E4A496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588AE18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62FA425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35CF149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6454AAC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59C6C7C3" w14:textId="77777777" w:rsidTr="00ED3350">
        <w:trPr>
          <w:jc w:val="center"/>
        </w:trPr>
        <w:tc>
          <w:tcPr>
            <w:tcW w:w="953" w:type="dxa"/>
            <w:vMerge w:val="restart"/>
            <w:tcBorders>
              <w:top w:val="single" w:sz="8" w:space="0" w:color="auto"/>
            </w:tcBorders>
          </w:tcPr>
          <w:p w14:paraId="1AFFAF3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Peak TQ/BW EV (U–I) % at 120°/s</w:t>
            </w:r>
          </w:p>
        </w:tc>
        <w:tc>
          <w:tcPr>
            <w:tcW w:w="624" w:type="dxa"/>
            <w:tcBorders>
              <w:top w:val="single" w:sz="8" w:space="0" w:color="auto"/>
            </w:tcBorders>
          </w:tcPr>
          <w:p w14:paraId="5DF17A7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T1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13F4FF61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4.49 (5.70)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38F5EA4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1.88 (4.22)</w:t>
            </w:r>
          </w:p>
        </w:tc>
        <w:tc>
          <w:tcPr>
            <w:tcW w:w="736" w:type="dxa"/>
            <w:tcBorders>
              <w:top w:val="single" w:sz="8" w:space="0" w:color="auto"/>
            </w:tcBorders>
          </w:tcPr>
          <w:p w14:paraId="4D298EEB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4E5CA12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529EBEC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8" w:space="0" w:color="auto"/>
            </w:tcBorders>
          </w:tcPr>
          <w:p w14:paraId="2F09332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0EFB4F3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5A1B66E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68473E9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1038700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602DD81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4F549A89" w14:textId="77777777" w:rsidTr="00ED3350">
        <w:trPr>
          <w:jc w:val="center"/>
        </w:trPr>
        <w:tc>
          <w:tcPr>
            <w:tcW w:w="953" w:type="dxa"/>
            <w:vMerge/>
          </w:tcPr>
          <w:p w14:paraId="39EA5789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E2CF87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T2</w:t>
            </w:r>
          </w:p>
        </w:tc>
        <w:tc>
          <w:tcPr>
            <w:tcW w:w="824" w:type="dxa"/>
          </w:tcPr>
          <w:p w14:paraId="4E45A57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0.73 (5.14)</w:t>
            </w:r>
          </w:p>
        </w:tc>
        <w:tc>
          <w:tcPr>
            <w:tcW w:w="824" w:type="dxa"/>
          </w:tcPr>
          <w:p w14:paraId="60E94F72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1.42 (5.44)</w:t>
            </w:r>
          </w:p>
        </w:tc>
        <w:tc>
          <w:tcPr>
            <w:tcW w:w="736" w:type="dxa"/>
          </w:tcPr>
          <w:p w14:paraId="7199AF5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1.77, 109.94</w:t>
            </w:r>
          </w:p>
        </w:tc>
        <w:tc>
          <w:tcPr>
            <w:tcW w:w="641" w:type="dxa"/>
          </w:tcPr>
          <w:p w14:paraId="2FE972A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8.07</w:t>
            </w:r>
          </w:p>
        </w:tc>
        <w:tc>
          <w:tcPr>
            <w:tcW w:w="737" w:type="dxa"/>
          </w:tcPr>
          <w:p w14:paraId="29E051DA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0.001</w:t>
            </w:r>
          </w:p>
        </w:tc>
        <w:tc>
          <w:tcPr>
            <w:tcW w:w="408" w:type="dxa"/>
          </w:tcPr>
          <w:p w14:paraId="1DB0E23A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1, 62</w:t>
            </w:r>
          </w:p>
        </w:tc>
        <w:tc>
          <w:tcPr>
            <w:tcW w:w="545" w:type="dxa"/>
          </w:tcPr>
          <w:p w14:paraId="25E3903B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0.42</w:t>
            </w:r>
          </w:p>
        </w:tc>
        <w:tc>
          <w:tcPr>
            <w:tcW w:w="641" w:type="dxa"/>
          </w:tcPr>
          <w:p w14:paraId="2620F40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0.518</w:t>
            </w:r>
          </w:p>
        </w:tc>
        <w:tc>
          <w:tcPr>
            <w:tcW w:w="737" w:type="dxa"/>
          </w:tcPr>
          <w:p w14:paraId="593DE2FE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1.77, 109.94</w:t>
            </w:r>
          </w:p>
        </w:tc>
        <w:tc>
          <w:tcPr>
            <w:tcW w:w="545" w:type="dxa"/>
          </w:tcPr>
          <w:p w14:paraId="363A043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3.72</w:t>
            </w:r>
          </w:p>
        </w:tc>
        <w:tc>
          <w:tcPr>
            <w:tcW w:w="641" w:type="dxa"/>
          </w:tcPr>
          <w:p w14:paraId="6ABF7E1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0.032</w:t>
            </w:r>
          </w:p>
        </w:tc>
      </w:tr>
      <w:tr w:rsidR="007635A3" w:rsidRPr="005E75E9" w14:paraId="191E2C29" w14:textId="77777777" w:rsidTr="00ED3350">
        <w:trPr>
          <w:jc w:val="center"/>
        </w:trPr>
        <w:tc>
          <w:tcPr>
            <w:tcW w:w="953" w:type="dxa"/>
            <w:tcBorders>
              <w:bottom w:val="single" w:sz="8" w:space="0" w:color="auto"/>
            </w:tcBorders>
          </w:tcPr>
          <w:p w14:paraId="7BB9485E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8" w:space="0" w:color="auto"/>
            </w:tcBorders>
          </w:tcPr>
          <w:p w14:paraId="0E1A2CB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T3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1D3352C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1.00 (4.56)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54FABF3B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0.85 (5.58)</w:t>
            </w:r>
          </w:p>
        </w:tc>
        <w:tc>
          <w:tcPr>
            <w:tcW w:w="736" w:type="dxa"/>
            <w:tcBorders>
              <w:bottom w:val="single" w:sz="8" w:space="0" w:color="auto"/>
            </w:tcBorders>
          </w:tcPr>
          <w:p w14:paraId="328723B6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0571B877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76BE5B4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single" w:sz="8" w:space="0" w:color="auto"/>
            </w:tcBorders>
          </w:tcPr>
          <w:p w14:paraId="7FC1DAB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4AF153DC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272AF89D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369062C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5C2A0132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527CCF0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144652A6" w14:textId="77777777" w:rsidTr="00ED3350">
        <w:trPr>
          <w:jc w:val="center"/>
        </w:trPr>
        <w:tc>
          <w:tcPr>
            <w:tcW w:w="953" w:type="dxa"/>
            <w:vMerge w:val="restart"/>
            <w:tcBorders>
              <w:top w:val="single" w:sz="8" w:space="0" w:color="auto"/>
            </w:tcBorders>
          </w:tcPr>
          <w:p w14:paraId="3590EFB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ROM (U–I) ° at 120°/s</w:t>
            </w:r>
          </w:p>
        </w:tc>
        <w:tc>
          <w:tcPr>
            <w:tcW w:w="624" w:type="dxa"/>
            <w:tcBorders>
              <w:top w:val="single" w:sz="8" w:space="0" w:color="auto"/>
            </w:tcBorders>
          </w:tcPr>
          <w:p w14:paraId="144942F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T1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599B688E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4.34 (11.48)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3A06F37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3.41 (11.71)</w:t>
            </w:r>
          </w:p>
        </w:tc>
        <w:tc>
          <w:tcPr>
            <w:tcW w:w="736" w:type="dxa"/>
            <w:tcBorders>
              <w:top w:val="single" w:sz="8" w:space="0" w:color="auto"/>
            </w:tcBorders>
          </w:tcPr>
          <w:p w14:paraId="37B6FAF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01C5B9C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1975EDE7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8" w:space="0" w:color="auto"/>
            </w:tcBorders>
          </w:tcPr>
          <w:p w14:paraId="5C347722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63CB376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061870E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72AF7679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50610122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347554E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42D94821" w14:textId="77777777" w:rsidTr="00ED3350">
        <w:trPr>
          <w:jc w:val="center"/>
        </w:trPr>
        <w:tc>
          <w:tcPr>
            <w:tcW w:w="953" w:type="dxa"/>
            <w:vMerge/>
          </w:tcPr>
          <w:p w14:paraId="68DD5709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E60DEF9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T2</w:t>
            </w:r>
          </w:p>
        </w:tc>
        <w:tc>
          <w:tcPr>
            <w:tcW w:w="824" w:type="dxa"/>
          </w:tcPr>
          <w:p w14:paraId="35569CB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0.68 (11.91)</w:t>
            </w:r>
          </w:p>
        </w:tc>
        <w:tc>
          <w:tcPr>
            <w:tcW w:w="824" w:type="dxa"/>
          </w:tcPr>
          <w:p w14:paraId="56C81E42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−2.13 (9.75)</w:t>
            </w:r>
          </w:p>
        </w:tc>
        <w:tc>
          <w:tcPr>
            <w:tcW w:w="736" w:type="dxa"/>
          </w:tcPr>
          <w:p w14:paraId="563D9FC5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1.87, 116.04</w:t>
            </w:r>
          </w:p>
        </w:tc>
        <w:tc>
          <w:tcPr>
            <w:tcW w:w="641" w:type="dxa"/>
          </w:tcPr>
          <w:p w14:paraId="1527219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13.28</w:t>
            </w:r>
          </w:p>
        </w:tc>
        <w:tc>
          <w:tcPr>
            <w:tcW w:w="737" w:type="dxa"/>
          </w:tcPr>
          <w:p w14:paraId="194022E1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&lt;0.001</w:t>
            </w:r>
          </w:p>
        </w:tc>
        <w:tc>
          <w:tcPr>
            <w:tcW w:w="408" w:type="dxa"/>
          </w:tcPr>
          <w:p w14:paraId="4C86CBBB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1, 62</w:t>
            </w:r>
          </w:p>
        </w:tc>
        <w:tc>
          <w:tcPr>
            <w:tcW w:w="545" w:type="dxa"/>
          </w:tcPr>
          <w:p w14:paraId="6A42B56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0.23</w:t>
            </w:r>
          </w:p>
        </w:tc>
        <w:tc>
          <w:tcPr>
            <w:tcW w:w="641" w:type="dxa"/>
          </w:tcPr>
          <w:p w14:paraId="1C35FC8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0.635</w:t>
            </w:r>
          </w:p>
        </w:tc>
        <w:tc>
          <w:tcPr>
            <w:tcW w:w="737" w:type="dxa"/>
          </w:tcPr>
          <w:p w14:paraId="5E264F5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1.87, 116.04</w:t>
            </w:r>
          </w:p>
        </w:tc>
        <w:tc>
          <w:tcPr>
            <w:tcW w:w="545" w:type="dxa"/>
          </w:tcPr>
          <w:p w14:paraId="7EBDA2B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0.78</w:t>
            </w:r>
          </w:p>
        </w:tc>
        <w:tc>
          <w:tcPr>
            <w:tcW w:w="641" w:type="dxa"/>
          </w:tcPr>
          <w:p w14:paraId="4C17A9C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0.455</w:t>
            </w:r>
          </w:p>
        </w:tc>
      </w:tr>
      <w:tr w:rsidR="007635A3" w:rsidRPr="005E75E9" w14:paraId="18A84529" w14:textId="77777777" w:rsidTr="00ED3350">
        <w:trPr>
          <w:jc w:val="center"/>
        </w:trPr>
        <w:tc>
          <w:tcPr>
            <w:tcW w:w="953" w:type="dxa"/>
            <w:vMerge/>
            <w:tcBorders>
              <w:bottom w:val="single" w:sz="8" w:space="0" w:color="auto"/>
            </w:tcBorders>
          </w:tcPr>
          <w:p w14:paraId="24B0F81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8" w:space="0" w:color="auto"/>
            </w:tcBorders>
          </w:tcPr>
          <w:p w14:paraId="342AB651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T3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65A1161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−3.79 (9.37)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6FD97A4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−3.04 (9.28)</w:t>
            </w:r>
          </w:p>
        </w:tc>
        <w:tc>
          <w:tcPr>
            <w:tcW w:w="736" w:type="dxa"/>
            <w:tcBorders>
              <w:bottom w:val="single" w:sz="8" w:space="0" w:color="auto"/>
            </w:tcBorders>
          </w:tcPr>
          <w:p w14:paraId="05359ED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751A45E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0BF9E0C2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single" w:sz="8" w:space="0" w:color="auto"/>
            </w:tcBorders>
          </w:tcPr>
          <w:p w14:paraId="0C301A6B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2C72273B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3257CA4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6CF85A2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8" w:space="0" w:color="auto"/>
            </w:tcBorders>
          </w:tcPr>
          <w:p w14:paraId="0EA6E814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</w:tcPr>
          <w:p w14:paraId="34220861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5CF43603" w14:textId="77777777" w:rsidTr="00ED3350">
        <w:trPr>
          <w:jc w:val="center"/>
        </w:trPr>
        <w:tc>
          <w:tcPr>
            <w:tcW w:w="953" w:type="dxa"/>
            <w:vMerge w:val="restart"/>
            <w:tcBorders>
              <w:top w:val="single" w:sz="8" w:space="0" w:color="auto"/>
            </w:tcBorders>
          </w:tcPr>
          <w:p w14:paraId="0A71FA2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lastRenderedPageBreak/>
              <w:t>YBT CS (U–I) %</w:t>
            </w:r>
          </w:p>
        </w:tc>
        <w:tc>
          <w:tcPr>
            <w:tcW w:w="624" w:type="dxa"/>
            <w:tcBorders>
              <w:top w:val="single" w:sz="8" w:space="0" w:color="auto"/>
            </w:tcBorders>
          </w:tcPr>
          <w:p w14:paraId="5196963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T1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190D92FA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1.96 (5.46)</w:t>
            </w:r>
          </w:p>
        </w:tc>
        <w:tc>
          <w:tcPr>
            <w:tcW w:w="824" w:type="dxa"/>
            <w:tcBorders>
              <w:top w:val="single" w:sz="8" w:space="0" w:color="auto"/>
            </w:tcBorders>
          </w:tcPr>
          <w:p w14:paraId="38CC2FE0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3.25 (4.28)</w:t>
            </w:r>
          </w:p>
        </w:tc>
        <w:tc>
          <w:tcPr>
            <w:tcW w:w="736" w:type="dxa"/>
            <w:tcBorders>
              <w:top w:val="single" w:sz="8" w:space="0" w:color="auto"/>
            </w:tcBorders>
          </w:tcPr>
          <w:p w14:paraId="0C5580EA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473F50F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6313251F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8" w:space="0" w:color="auto"/>
            </w:tcBorders>
          </w:tcPr>
          <w:p w14:paraId="7083F1F9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10E6C3E3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7FF59AA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</w:tcPr>
          <w:p w14:paraId="0C39F10D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8" w:space="0" w:color="auto"/>
            </w:tcBorders>
          </w:tcPr>
          <w:p w14:paraId="25E13C0B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</w:tcPr>
          <w:p w14:paraId="4CC92DF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  <w:tr w:rsidR="007635A3" w:rsidRPr="005E75E9" w14:paraId="35A71821" w14:textId="77777777" w:rsidTr="00ED3350">
        <w:trPr>
          <w:jc w:val="center"/>
        </w:trPr>
        <w:tc>
          <w:tcPr>
            <w:tcW w:w="953" w:type="dxa"/>
            <w:vMerge/>
          </w:tcPr>
          <w:p w14:paraId="1FC90B86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ECBE5DF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T2</w:t>
            </w:r>
          </w:p>
        </w:tc>
        <w:tc>
          <w:tcPr>
            <w:tcW w:w="824" w:type="dxa"/>
          </w:tcPr>
          <w:p w14:paraId="6F3EA62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1.31 (3.86)</w:t>
            </w:r>
          </w:p>
        </w:tc>
        <w:tc>
          <w:tcPr>
            <w:tcW w:w="824" w:type="dxa"/>
          </w:tcPr>
          <w:p w14:paraId="517A0A74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0.13 (5.69)</w:t>
            </w:r>
          </w:p>
        </w:tc>
        <w:tc>
          <w:tcPr>
            <w:tcW w:w="736" w:type="dxa"/>
          </w:tcPr>
          <w:p w14:paraId="51EFD297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1.82, 114.80</w:t>
            </w:r>
          </w:p>
        </w:tc>
        <w:tc>
          <w:tcPr>
            <w:tcW w:w="641" w:type="dxa"/>
          </w:tcPr>
          <w:p w14:paraId="786ECB8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6.66</w:t>
            </w:r>
          </w:p>
        </w:tc>
        <w:tc>
          <w:tcPr>
            <w:tcW w:w="737" w:type="dxa"/>
          </w:tcPr>
          <w:p w14:paraId="4D824691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0.003</w:t>
            </w:r>
          </w:p>
        </w:tc>
        <w:tc>
          <w:tcPr>
            <w:tcW w:w="408" w:type="dxa"/>
          </w:tcPr>
          <w:p w14:paraId="19DA0AC2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1, 63</w:t>
            </w:r>
          </w:p>
        </w:tc>
        <w:tc>
          <w:tcPr>
            <w:tcW w:w="545" w:type="dxa"/>
          </w:tcPr>
          <w:p w14:paraId="5CDB8566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0.02</w:t>
            </w:r>
          </w:p>
        </w:tc>
        <w:tc>
          <w:tcPr>
            <w:tcW w:w="641" w:type="dxa"/>
          </w:tcPr>
          <w:p w14:paraId="6C997A7C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0.884</w:t>
            </w:r>
          </w:p>
        </w:tc>
        <w:tc>
          <w:tcPr>
            <w:tcW w:w="737" w:type="dxa"/>
          </w:tcPr>
          <w:p w14:paraId="56FCDE7B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1.82, 114.80</w:t>
            </w:r>
          </w:p>
        </w:tc>
        <w:tc>
          <w:tcPr>
            <w:tcW w:w="545" w:type="dxa"/>
          </w:tcPr>
          <w:p w14:paraId="3DF0030E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1.96</w:t>
            </w:r>
          </w:p>
        </w:tc>
        <w:tc>
          <w:tcPr>
            <w:tcW w:w="641" w:type="dxa"/>
          </w:tcPr>
          <w:p w14:paraId="3BB1F8EB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0.150</w:t>
            </w:r>
          </w:p>
        </w:tc>
      </w:tr>
      <w:tr w:rsidR="007635A3" w:rsidRPr="005E75E9" w14:paraId="45348566" w14:textId="77777777" w:rsidTr="00ED3350">
        <w:trPr>
          <w:jc w:val="center"/>
        </w:trPr>
        <w:tc>
          <w:tcPr>
            <w:tcW w:w="953" w:type="dxa"/>
            <w:vMerge/>
            <w:tcBorders>
              <w:bottom w:val="single" w:sz="12" w:space="0" w:color="auto"/>
            </w:tcBorders>
          </w:tcPr>
          <w:p w14:paraId="66556BC6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76147733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T3</w:t>
            </w:r>
          </w:p>
        </w:tc>
        <w:tc>
          <w:tcPr>
            <w:tcW w:w="824" w:type="dxa"/>
            <w:tcBorders>
              <w:bottom w:val="single" w:sz="12" w:space="0" w:color="auto"/>
            </w:tcBorders>
          </w:tcPr>
          <w:p w14:paraId="0A2DCB6D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0.42 (3.31)</w:t>
            </w:r>
          </w:p>
        </w:tc>
        <w:tc>
          <w:tcPr>
            <w:tcW w:w="824" w:type="dxa"/>
            <w:tcBorders>
              <w:bottom w:val="single" w:sz="12" w:space="0" w:color="auto"/>
            </w:tcBorders>
          </w:tcPr>
          <w:p w14:paraId="19E1DDA8" w14:textId="77777777" w:rsidR="007635A3" w:rsidRPr="005E75E9" w:rsidRDefault="007635A3" w:rsidP="00ED3350">
            <w:pPr>
              <w:rPr>
                <w:sz w:val="18"/>
                <w:szCs w:val="18"/>
              </w:rPr>
            </w:pPr>
            <w:r w:rsidRPr="005E75E9">
              <w:rPr>
                <w:sz w:val="18"/>
                <w:szCs w:val="18"/>
              </w:rPr>
              <w:t>0.67 (3.47)</w:t>
            </w:r>
          </w:p>
        </w:tc>
        <w:tc>
          <w:tcPr>
            <w:tcW w:w="736" w:type="dxa"/>
            <w:tcBorders>
              <w:bottom w:val="single" w:sz="12" w:space="0" w:color="auto"/>
            </w:tcBorders>
          </w:tcPr>
          <w:p w14:paraId="09012D5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12" w:space="0" w:color="auto"/>
            </w:tcBorders>
          </w:tcPr>
          <w:p w14:paraId="0D34CB4E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3D68365E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single" w:sz="12" w:space="0" w:color="auto"/>
            </w:tcBorders>
          </w:tcPr>
          <w:p w14:paraId="61FA957B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12" w:space="0" w:color="auto"/>
            </w:tcBorders>
          </w:tcPr>
          <w:p w14:paraId="654567A6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12" w:space="0" w:color="auto"/>
            </w:tcBorders>
          </w:tcPr>
          <w:p w14:paraId="32A62E96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2C55FDD2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12" w:space="0" w:color="auto"/>
            </w:tcBorders>
          </w:tcPr>
          <w:p w14:paraId="79F72625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12" w:space="0" w:color="auto"/>
            </w:tcBorders>
          </w:tcPr>
          <w:p w14:paraId="197F56E0" w14:textId="77777777" w:rsidR="007635A3" w:rsidRPr="005E75E9" w:rsidRDefault="007635A3" w:rsidP="00ED3350">
            <w:pPr>
              <w:rPr>
                <w:sz w:val="18"/>
                <w:szCs w:val="18"/>
              </w:rPr>
            </w:pPr>
          </w:p>
        </w:tc>
      </w:tr>
    </w:tbl>
    <w:p w14:paraId="12EDFE6C" w14:textId="7964F94A" w:rsidR="007635A3" w:rsidRDefault="00151144" w:rsidP="0083669A">
      <w:pPr>
        <w:pStyle w:val="NormalWeb"/>
        <w:spacing w:line="480" w:lineRule="auto"/>
        <w:ind w:left="180"/>
        <w:jc w:val="both"/>
        <w:rPr>
          <w:rFonts w:ascii="Palatino Linotype" w:hAnsi="Palatino Linotype"/>
          <w:sz w:val="20"/>
          <w:szCs w:val="20"/>
        </w:rPr>
      </w:pPr>
      <w:r w:rsidRPr="0083669A">
        <w:rPr>
          <w:rFonts w:ascii="Palatino Linotype" w:hAnsi="Palatino Linotype"/>
          <w:sz w:val="20"/>
          <w:szCs w:val="20"/>
        </w:rPr>
        <w:t xml:space="preserve">The longitudinal trends for strength, ROM, and dynamic balance outcomes according to plaster cast immobilization are illustrated in </w:t>
      </w:r>
      <w:r w:rsidRPr="0083669A">
        <w:rPr>
          <w:rFonts w:ascii="Palatino Linotype" w:hAnsi="Palatino Linotype"/>
          <w:sz w:val="20"/>
          <w:szCs w:val="20"/>
        </w:rPr>
        <w:t xml:space="preserve">Appendix B </w:t>
      </w:r>
      <w:r w:rsidRPr="0083669A">
        <w:rPr>
          <w:rFonts w:ascii="Palatino Linotype" w:hAnsi="Palatino Linotype"/>
          <w:sz w:val="20"/>
          <w:szCs w:val="20"/>
        </w:rPr>
        <w:t>Figures 1–4, showing progressive recovery over time with overlapping 95% confidence intervals between subgroups.</w:t>
      </w:r>
    </w:p>
    <w:p w14:paraId="5B86973B" w14:textId="283C3687" w:rsidR="00667E26" w:rsidRPr="00912F74" w:rsidRDefault="00667E26" w:rsidP="00912F74">
      <w:pPr>
        <w:pStyle w:val="NormalWeb"/>
        <w:spacing w:line="480" w:lineRule="auto"/>
        <w:ind w:left="180"/>
        <w:jc w:val="both"/>
        <w:rPr>
          <w:rFonts w:ascii="Palatino Linotype" w:hAnsi="Palatino Linotype"/>
          <w:b/>
          <w:bCs/>
          <w:sz w:val="20"/>
          <w:szCs w:val="20"/>
        </w:rPr>
      </w:pPr>
      <w:r>
        <w:rPr>
          <w:rFonts w:ascii="Palatino Linotype" w:hAnsi="Palatino Linotype"/>
          <w:b/>
          <w:bCs/>
          <w:noProof/>
          <w:sz w:val="20"/>
          <w:szCs w:val="20"/>
          <w14:ligatures w14:val="standardContextual"/>
        </w:rPr>
        <w:drawing>
          <wp:inline distT="0" distB="0" distL="0" distR="0" wp14:anchorId="6AFB7079" wp14:editId="1CABB5D4">
            <wp:extent cx="5943600" cy="2324100"/>
            <wp:effectExtent l="0" t="0" r="0" b="0"/>
            <wp:docPr id="1970204135" name="Picture 2" descr="A graph of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204135" name="Picture 2" descr="A graph of a lin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E26">
        <w:rPr>
          <w:b/>
          <w:bCs/>
          <w:sz w:val="18"/>
          <w:szCs w:val="18"/>
        </w:rPr>
        <w:t>Appendix B</w:t>
      </w:r>
      <w:r>
        <w:rPr>
          <w:sz w:val="18"/>
          <w:szCs w:val="18"/>
        </w:rPr>
        <w:t xml:space="preserve"> </w:t>
      </w:r>
      <w:r w:rsidRPr="00667E26">
        <w:rPr>
          <w:b/>
          <w:bCs/>
          <w:sz w:val="18"/>
          <w:szCs w:val="18"/>
        </w:rPr>
        <w:t xml:space="preserve">Figure </w:t>
      </w:r>
      <w:r w:rsidRPr="00667E26">
        <w:rPr>
          <w:b/>
          <w:bCs/>
          <w:sz w:val="18"/>
          <w:szCs w:val="18"/>
        </w:rPr>
        <w:t>1</w:t>
      </w:r>
      <w:r w:rsidRPr="00667E26">
        <w:rPr>
          <w:b/>
          <w:bCs/>
          <w:sz w:val="18"/>
          <w:szCs w:val="18"/>
        </w:rPr>
        <w:t xml:space="preserve">. </w:t>
      </w:r>
      <w:r w:rsidRPr="0028455E">
        <w:rPr>
          <w:sz w:val="18"/>
          <w:szCs w:val="18"/>
        </w:rPr>
        <w:t>Inversion strength (Peak TQ/BW deficit, %) (Mean ±95%, CI)</w:t>
      </w:r>
    </w:p>
    <w:p w14:paraId="38B61CF1" w14:textId="0CD24C8B" w:rsidR="00667E26" w:rsidRDefault="00667E26" w:rsidP="00667E26">
      <w:pPr>
        <w:pStyle w:val="MDPI21heading1"/>
        <w:spacing w:before="0" w:after="0" w:line="480" w:lineRule="auto"/>
        <w:ind w:left="270"/>
        <w:rPr>
          <w:b w:val="0"/>
          <w:bCs/>
          <w:sz w:val="18"/>
          <w:szCs w:val="18"/>
        </w:rPr>
      </w:pPr>
      <w:r>
        <w:rPr>
          <w:b w:val="0"/>
          <w:bCs/>
          <w:noProof/>
          <w:snapToGrid/>
          <w:sz w:val="18"/>
          <w:szCs w:val="18"/>
          <w14:ligatures w14:val="standardContextual"/>
        </w:rPr>
        <w:drawing>
          <wp:inline distT="0" distB="0" distL="0" distR="0" wp14:anchorId="7ACF3833" wp14:editId="44055C1E">
            <wp:extent cx="5943600" cy="2346960"/>
            <wp:effectExtent l="0" t="0" r="0" b="2540"/>
            <wp:docPr id="214051496" name="Picture 3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51496" name="Picture 3" descr="A graph of different colored lin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41AF" w14:textId="153A895C" w:rsidR="00667E26" w:rsidRDefault="00912F74" w:rsidP="00667E26">
      <w:pPr>
        <w:pStyle w:val="MDPI21heading1"/>
        <w:spacing w:before="0" w:after="0" w:line="480" w:lineRule="auto"/>
        <w:ind w:left="270"/>
        <w:rPr>
          <w:sz w:val="18"/>
          <w:szCs w:val="18"/>
        </w:rPr>
      </w:pPr>
      <w:r w:rsidRPr="00912F74">
        <w:rPr>
          <w:sz w:val="18"/>
          <w:szCs w:val="18"/>
        </w:rPr>
        <w:t xml:space="preserve">Appendix B Figure </w:t>
      </w:r>
      <w:r w:rsidRPr="00912F74">
        <w:rPr>
          <w:sz w:val="18"/>
          <w:szCs w:val="18"/>
        </w:rPr>
        <w:t>2</w:t>
      </w:r>
      <w:r w:rsidRPr="00912F74">
        <w:rPr>
          <w:sz w:val="18"/>
          <w:szCs w:val="18"/>
        </w:rPr>
        <w:t xml:space="preserve">. </w:t>
      </w:r>
      <w:r w:rsidRPr="0028455E">
        <w:rPr>
          <w:b w:val="0"/>
          <w:bCs/>
          <w:sz w:val="18"/>
          <w:szCs w:val="18"/>
        </w:rPr>
        <w:t>E</w:t>
      </w:r>
      <w:r w:rsidRPr="0028455E">
        <w:rPr>
          <w:b w:val="0"/>
          <w:bCs/>
          <w:sz w:val="18"/>
          <w:szCs w:val="18"/>
        </w:rPr>
        <w:t>version strength (Peak TQ/BW deficit, %) (Mean ±95%, CI)</w:t>
      </w:r>
    </w:p>
    <w:p w14:paraId="0A0EB59C" w14:textId="5E768F85" w:rsidR="00912F74" w:rsidRPr="00912F74" w:rsidRDefault="00912F74" w:rsidP="00667E26">
      <w:pPr>
        <w:pStyle w:val="MDPI21heading1"/>
        <w:spacing w:before="0" w:after="0" w:line="480" w:lineRule="auto"/>
        <w:ind w:left="270"/>
        <w:rPr>
          <w:sz w:val="18"/>
          <w:szCs w:val="18"/>
        </w:rPr>
      </w:pPr>
      <w:r>
        <w:rPr>
          <w:noProof/>
          <w:snapToGrid/>
          <w:sz w:val="18"/>
          <w:szCs w:val="18"/>
          <w14:ligatures w14:val="standardContextual"/>
        </w:rPr>
        <w:lastRenderedPageBreak/>
        <w:drawing>
          <wp:inline distT="0" distB="0" distL="0" distR="0" wp14:anchorId="056CDB4E" wp14:editId="20CDD02F">
            <wp:extent cx="5943600" cy="2323465"/>
            <wp:effectExtent l="0" t="0" r="0" b="635"/>
            <wp:docPr id="1166517612" name="Picture 4" descr="A graph of a graph of a graph of a graph of a graph of a graph of a graph of a graph of a graph of a graph of a graph of a graph of a graph o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517612" name="Picture 4" descr="A graph of a graph of a graph of a graph of a graph of a graph of a graph of a graph of a graph of a graph of a graph of a graph of a graph of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653D2" w14:textId="5E8A242C" w:rsidR="00912F74" w:rsidRDefault="00912F74" w:rsidP="00912F74">
      <w:pPr>
        <w:pStyle w:val="MDPI21heading1"/>
        <w:spacing w:before="0" w:after="0" w:line="480" w:lineRule="auto"/>
        <w:ind w:left="270"/>
        <w:rPr>
          <w:b w:val="0"/>
          <w:bCs/>
          <w:sz w:val="18"/>
          <w:szCs w:val="18"/>
        </w:rPr>
      </w:pPr>
      <w:r>
        <w:rPr>
          <w:sz w:val="18"/>
          <w:szCs w:val="18"/>
        </w:rPr>
        <w:t xml:space="preserve">Appendix B </w:t>
      </w:r>
      <w:r>
        <w:rPr>
          <w:sz w:val="18"/>
          <w:szCs w:val="18"/>
        </w:rPr>
        <w:t xml:space="preserve">Figure </w:t>
      </w:r>
      <w:r>
        <w:rPr>
          <w:sz w:val="18"/>
          <w:szCs w:val="18"/>
        </w:rPr>
        <w:t>3</w:t>
      </w:r>
      <w:r>
        <w:rPr>
          <w:sz w:val="18"/>
          <w:szCs w:val="18"/>
        </w:rPr>
        <w:t xml:space="preserve">. </w:t>
      </w:r>
      <w:r>
        <w:rPr>
          <w:b w:val="0"/>
          <w:bCs/>
          <w:sz w:val="18"/>
          <w:szCs w:val="18"/>
        </w:rPr>
        <w:t>ROM deficit (degrees) (Mean ±95%, CI)</w:t>
      </w:r>
    </w:p>
    <w:p w14:paraId="55F5DFD1" w14:textId="77777777" w:rsidR="00912F74" w:rsidRDefault="00912F74" w:rsidP="00912F74">
      <w:pPr>
        <w:pStyle w:val="MDPI21heading1"/>
        <w:spacing w:before="0" w:after="0" w:line="480" w:lineRule="auto"/>
        <w:ind w:left="270"/>
        <w:rPr>
          <w:b w:val="0"/>
          <w:bCs/>
          <w:sz w:val="18"/>
          <w:szCs w:val="18"/>
        </w:rPr>
      </w:pPr>
    </w:p>
    <w:p w14:paraId="5772605E" w14:textId="14C1EFA2" w:rsidR="00912F74" w:rsidRDefault="00912F74" w:rsidP="00912F74">
      <w:pPr>
        <w:pStyle w:val="MDPI21heading1"/>
        <w:spacing w:before="0" w:after="0" w:line="480" w:lineRule="auto"/>
        <w:ind w:left="270"/>
        <w:rPr>
          <w:b w:val="0"/>
          <w:bCs/>
          <w:sz w:val="18"/>
          <w:szCs w:val="18"/>
        </w:rPr>
      </w:pPr>
      <w:r>
        <w:rPr>
          <w:b w:val="0"/>
          <w:bCs/>
          <w:noProof/>
          <w:snapToGrid/>
          <w:sz w:val="18"/>
          <w:szCs w:val="18"/>
          <w14:ligatures w14:val="standardContextual"/>
        </w:rPr>
        <w:drawing>
          <wp:inline distT="0" distB="0" distL="0" distR="0" wp14:anchorId="6F12D39E" wp14:editId="32AC8DEF">
            <wp:extent cx="2974019" cy="2042097"/>
            <wp:effectExtent l="0" t="0" r="0" b="3175"/>
            <wp:docPr id="2005251801" name="Picture 5" descr="A graph with blue and orang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51801" name="Picture 5" descr="A graph with blue and orange lin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5" cy="209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E55D5" w14:textId="543D958D" w:rsidR="00667E26" w:rsidRPr="0028455E" w:rsidRDefault="00912F74" w:rsidP="0028455E">
      <w:pPr>
        <w:pStyle w:val="MDPI21heading1"/>
        <w:spacing w:before="0" w:after="0" w:line="480" w:lineRule="auto"/>
        <w:ind w:left="270"/>
        <w:rPr>
          <w:b w:val="0"/>
          <w:bCs/>
          <w:sz w:val="18"/>
          <w:szCs w:val="18"/>
        </w:rPr>
      </w:pPr>
      <w:r w:rsidRPr="0028455E">
        <w:rPr>
          <w:sz w:val="18"/>
          <w:szCs w:val="18"/>
        </w:rPr>
        <w:t>Appendix B Figure 4.</w:t>
      </w:r>
      <w:r>
        <w:rPr>
          <w:b w:val="0"/>
          <w:bCs/>
          <w:sz w:val="18"/>
          <w:szCs w:val="18"/>
        </w:rPr>
        <w:t xml:space="preserve"> </w:t>
      </w:r>
      <w:r w:rsidR="0028455E">
        <w:rPr>
          <w:b w:val="0"/>
          <w:bCs/>
          <w:sz w:val="18"/>
          <w:szCs w:val="18"/>
        </w:rPr>
        <w:t>Dynamic balance (YBT CS deficit, %) (Mean ±95%, CI)</w:t>
      </w:r>
    </w:p>
    <w:sectPr w:rsidR="00667E26" w:rsidRPr="0028455E" w:rsidSect="00FD7E8A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8A"/>
    <w:rsid w:val="00004728"/>
    <w:rsid w:val="00130113"/>
    <w:rsid w:val="00132A0F"/>
    <w:rsid w:val="00151144"/>
    <w:rsid w:val="00197BA4"/>
    <w:rsid w:val="001A589D"/>
    <w:rsid w:val="0028455E"/>
    <w:rsid w:val="002B1E8E"/>
    <w:rsid w:val="00341DAB"/>
    <w:rsid w:val="00366A9E"/>
    <w:rsid w:val="003B1EE3"/>
    <w:rsid w:val="003E0BF4"/>
    <w:rsid w:val="003F31BD"/>
    <w:rsid w:val="00426476"/>
    <w:rsid w:val="004D5783"/>
    <w:rsid w:val="00667E26"/>
    <w:rsid w:val="007635A3"/>
    <w:rsid w:val="007F3D5A"/>
    <w:rsid w:val="00817F95"/>
    <w:rsid w:val="0083669A"/>
    <w:rsid w:val="008A2BBD"/>
    <w:rsid w:val="00912F74"/>
    <w:rsid w:val="00A10310"/>
    <w:rsid w:val="00B87950"/>
    <w:rsid w:val="00BD34DC"/>
    <w:rsid w:val="00C210B6"/>
    <w:rsid w:val="00C847DB"/>
    <w:rsid w:val="00C860CE"/>
    <w:rsid w:val="00F4130C"/>
    <w:rsid w:val="00FD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C294"/>
  <w15:chartTrackingRefBased/>
  <w15:docId w15:val="{E6A9E9FE-170A-DD4E-A4CE-34A4E436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E8A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E8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E8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E8A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E8A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E8A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E8A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E8A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E8A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E8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E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E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E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E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E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E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E8A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7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E8A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7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E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7E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E8A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7E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E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E8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D7E8A"/>
    <w:rPr>
      <w:b/>
      <w:bCs/>
    </w:rPr>
  </w:style>
  <w:style w:type="paragraph" w:customStyle="1" w:styleId="MDPI21heading1">
    <w:name w:val="MDPI_2.1_heading1"/>
    <w:qFormat/>
    <w:rsid w:val="00FD7E8A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Cs w:val="22"/>
      <w:lang w:eastAsia="de-DE" w:bidi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FD7E8A"/>
  </w:style>
  <w:style w:type="paragraph" w:styleId="NormalWeb">
    <w:name w:val="Normal (Web)"/>
    <w:basedOn w:val="Normal"/>
    <w:uiPriority w:val="99"/>
    <w:unhideWhenUsed/>
    <w:rsid w:val="00C860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Matas Meškauskas</dc:creator>
  <cp:keywords/>
  <dc:description/>
  <cp:lastModifiedBy>Matas Meškauskas</cp:lastModifiedBy>
  <cp:revision>19</cp:revision>
  <dcterms:created xsi:type="dcterms:W3CDTF">2026-01-19T19:32:00Z</dcterms:created>
  <dcterms:modified xsi:type="dcterms:W3CDTF">2026-02-22T18:32:00Z</dcterms:modified>
</cp:coreProperties>
</file>