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38"/>
        <w:gridCol w:w="587"/>
        <w:gridCol w:w="10767"/>
        <w:gridCol w:w="2208"/>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52159DE6">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Title page (Manuscript title)</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spacing w:before="40" w:after="40"/>
              <w:rPr>
                <w:rFonts w:ascii="Arial" w:hAnsi="Arial" w:eastAsia="Times New Roman" w:cs="Arial"/>
                <w:color w:val="000000"/>
                <w:sz w:val="18"/>
                <w:szCs w:val="18"/>
                <w:lang w:val="en-CA" w:eastAsia="en-CA" w:bidi="ar-SA"/>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5F06BE74">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Abstract section</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spacing w:before="40" w:after="40"/>
              <w:rPr>
                <w:rFonts w:ascii="Arial" w:hAnsi="Arial" w:eastAsia="Times New Roman" w:cs="Arial"/>
                <w:color w:val="000000"/>
                <w:sz w:val="18"/>
                <w:szCs w:val="18"/>
                <w:lang w:val="en-CA" w:eastAsia="en-CA" w:bidi="ar-SA"/>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2DB6602D">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Introduction (background and evidence gap)</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7981B09B">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Introduction, final paragraph (objective statement)</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spacing w:before="40" w:after="40"/>
              <w:rPr>
                <w:rFonts w:ascii="Arial" w:hAnsi="Arial" w:eastAsia="Times New Roman" w:cs="Arial"/>
                <w:color w:val="000000"/>
                <w:sz w:val="18"/>
                <w:szCs w:val="18"/>
                <w:lang w:val="en-CA" w:eastAsia="en-CA" w:bidi="ar-SA"/>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7F5D269C">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Eligibility Criteria; Table 1</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D425D5C">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 xml:space="preserve">Methods - Information Sources and Search Strategy (databases, PROSPERO, Cochrane Database of Systematic Reviews, </w:t>
            </w:r>
            <w:bookmarkStart w:id="0" w:name="_GoBack"/>
            <w:bookmarkEnd w:id="0"/>
            <w:r>
              <w:rPr>
                <w:rFonts w:ascii="Arial" w:hAnsi="Arial" w:eastAsia="Times New Roman" w:cs="Arial"/>
                <w:color w:val="000000"/>
                <w:sz w:val="18"/>
                <w:szCs w:val="18"/>
                <w:lang w:val="en-CA" w:eastAsia="en-CA" w:bidi="ar-SA"/>
              </w:rPr>
              <w:t>reference lists, and search dates)</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475BDDA8">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Information Sources and Search Strategy; Supplementary Tables S1-S2</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9CF1D8C">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Selection process</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75B6EB7E">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Data extraction</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6E5EAFFD">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Data extraction; Table 1 and Table 2 (outcome definitions and collection)</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18FDF9FA">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Data extraction; Tables 2-4 (participant/intervention variables)</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B7554B2">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Risk of bias assessment (RoB 2)</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3DFE0F19">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(SMD, Hedges' g, 95% CI)</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3954C857">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Eligibility Criteria and Statistical analysis (study grouping for syntheses)</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0BBF4343">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(change scores, SD imputation, split control groups)</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54B17395">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Results - Meta-analysis results; Table 6; Figures 4-5; Supplementary Figures S1-S7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509CB285">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(random-effects model, heterogeneity, software)</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37A0B4EF">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Exploratory subgroup analysis; Results - Exploratory subgroup analysis; Table S5</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1B2CFF52">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Results - Sensitivity analysis; Supplementary Figures S1-S7</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6793E35A">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(Egger's test and trim-and-fill rules)</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3947DBC1">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Certainty of evidence (GRADE)</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spacing w:before="40" w:after="40"/>
              <w:rPr>
                <w:rFonts w:ascii="Arial" w:hAnsi="Arial" w:eastAsia="Times New Roman" w:cs="Arial"/>
                <w:color w:val="000000"/>
                <w:sz w:val="18"/>
                <w:szCs w:val="18"/>
                <w:lang w:val="en-CA" w:eastAsia="en-CA" w:bidi="ar-SA"/>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23F5C515">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Study selection; Figure 1</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215FCF9D">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Study selection; Figure 1 (full-text exclusion reasons reported in the flow diagram)</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215317C">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Characteristics of participants and interventions; Tables 2-4</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2E38521C">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Risk of bias assessment; Figures 2 and 3</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D318EFE">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Meta-analysis results; Table 6; Figures 4-5; Supplementary Tables S3-S4</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16752EED">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Characteristics of participants/interventions and risk of bias; Tables 2-4; Figures 2-3</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9837E7F">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Meta-analysis results; Table 6; Figures 4 and 5</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6118A0B6">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Exploratory subgroup analysis; Table S5</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5333C5B1">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Sensitivity analysis; Supplementary Figures S1-S7</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06F2A7BA">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 Statistical analysis; Results - Meta-analysis results (Egger's test for outcomes with at least 10 studies)</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55E6B357">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Results - Certainty of evidence; Table 5</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spacing w:before="40" w:after="40"/>
              <w:rPr>
                <w:rFonts w:ascii="Arial" w:hAnsi="Arial" w:eastAsia="Times New Roman" w:cs="Arial"/>
                <w:color w:val="000000"/>
                <w:sz w:val="18"/>
                <w:szCs w:val="18"/>
                <w:lang w:val="en-CA" w:eastAsia="en-CA" w:bidi="ar-SA"/>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20C42D95">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Discussion (overall interpretation and comparison with prior evidence)</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213A37BC">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Discussion - Study limitations</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22E31E27">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Discussion - Study limitations (review-process limitations)</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446D5D3F">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Discussion - Practical Applications; Study limitations; Conclusion</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spacing w:before="40" w:after="40"/>
              <w:rPr>
                <w:rFonts w:ascii="Arial" w:hAnsi="Arial" w:eastAsia="Times New Roman" w:cs="Arial"/>
                <w:color w:val="000000"/>
                <w:sz w:val="18"/>
                <w:szCs w:val="18"/>
                <w:lang w:val="en-CA" w:eastAsia="en-CA" w:bidi="ar-SA"/>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4234E310">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Abstract (Registration); Methods (PROSPERO CRD420261293288)</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14B22392">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Methods (PROSPERO registration; protocol accessible through the PROSPERO database)</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5EFC0DAF">
            <w:pPr>
              <w:rPr>
                <w:rFonts w:ascii="Arial" w:hAnsi="Arial" w:eastAsia="Times New Roman" w:cs="Arial"/>
                <w:color w:val="000000"/>
                <w:sz w:val="18"/>
                <w:szCs w:val="18"/>
                <w:lang w:val="en-CA" w:eastAsia="en-CA" w:bidi="ar-SA"/>
              </w:rPr>
            </w:pPr>
            <w:r>
              <w:rPr>
                <w:rFonts w:hint="default" w:ascii="Arial" w:hAnsi="Arial" w:eastAsia="Times New Roman" w:cs="Arial"/>
                <w:color w:val="000000"/>
                <w:sz w:val="18"/>
                <w:szCs w:val="18"/>
                <w:lang w:val="en-CA" w:eastAsia="en-CA" w:bidi="ar-SA"/>
              </w:rPr>
              <w:t>Methods (no amendments were made to the registered protocol after PROSPERO registration)</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73C1FC70">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Declarations - Funding</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17ED71DA">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Declarations - Competing interests</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15BA1097">
            <w:pPr>
              <w:rPr>
                <w:rFonts w:ascii="Arial" w:hAnsi="Arial" w:eastAsia="Times New Roman" w:cs="Arial"/>
                <w:color w:val="000000"/>
                <w:sz w:val="18"/>
                <w:szCs w:val="18"/>
                <w:lang w:val="en-CA" w:eastAsia="en-CA" w:bidi="ar-SA"/>
              </w:rPr>
            </w:pPr>
            <w:r>
              <w:rPr>
                <w:rFonts w:ascii="Arial" w:hAnsi="Arial" w:eastAsia="Times New Roman" w:cs="Arial"/>
                <w:color w:val="000000"/>
                <w:sz w:val="18"/>
                <w:szCs w:val="18"/>
                <w:lang w:val="en-CA" w:eastAsia="en-CA" w:bidi="ar-SA"/>
              </w:rPr>
              <w:t>Declarations - Availability of data and materials</w:t>
            </w:r>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40502020204"/>
    <w:charset w:val="00"/>
    <w:family w:val="swiss"/>
    <w:pitch w:val="default"/>
    <w:sig w:usb0="8100AAF7" w:usb1="0000807B" w:usb2="00000008" w:usb3="00000000" w:csb0="6000009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pict>
        <v:shape id="_x0000_s4097" o:spid="_x0000_s4097" o:spt="75" type="#_x0000_t75" style="position:absolute;left:0pt;margin-left:0pt;margin-top:-14.5pt;height:39pt;width:40.9pt;mso-wrap-distance-bottom:0pt;mso-wrap-distance-left:9pt;mso-wrap-distance-right:9pt;mso-wrap-distance-top:0pt;z-index:251659264;mso-width-relative:page;mso-height-relative:page;" filled="f" o:preferrelative="t" stroked="f" coordsize="21600,21600">
          <v:path/>
          <v:fill on="f" focussize="0,0"/>
          <v:stroke on="f" joinstyle="miter"/>
          <v:imagedata r:id="rId1" o:title="Prisma-logo-Colour-white-BG"/>
          <o:lock v:ext="edit" aspectratio="t"/>
          <w10:wrap type="square"/>
        </v:shape>
      </w:pict>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286B2A64"/>
    <w:rsid w:val="4E85077D"/>
    <w:rsid w:val="6D585798"/>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1389</Words>
  <Characters>8207</Characters>
  <Lines>50</Lines>
  <Paragraphs>14</Paragraphs>
  <TotalTime>0</TotalTime>
  <ScaleCrop>false</ScaleCrop>
  <LinksUpToDate>false</LinksUpToDate>
  <CharactersWithSpaces>9457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cherish</cp:lastModifiedBy>
  <cp:lastPrinted>2020-11-24T03:02:00Z</cp:lastPrinted>
  <dcterms:modified xsi:type="dcterms:W3CDTF">2026-04-23T22:46:54Z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eyJoZGlkIjoiMDVhYmQ4NWVjMTA1OGQ3ZTc2OTFiZDg2YjBmZWIxZDAiLCJ1c2VySWQiOiI1Njk3Mjk0NzUifQ==</vt:lpwstr>
  </property>
  <property fmtid="{D5CDD505-2E9C-101B-9397-08002B2CF9AE}" pid="3" name="KSOProductBuildVer">
    <vt:lpwstr>2052-12.1.0.25865</vt:lpwstr>
  </property>
  <property fmtid="{D5CDD505-2E9C-101B-9397-08002B2CF9AE}" pid="4" name="ICV">
    <vt:lpwstr>F72DA6170D63421E878B4E8E263DFA21_12</vt:lpwstr>
  </property>
</Properties>
</file>