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5C619">
      <w:pPr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Supplementary Table S2. Study eligibility for the time-window sensitivity analysis restricted to 10–14 weeks within the quantitative evidence framework.</w:t>
      </w:r>
    </w:p>
    <w:tbl>
      <w:tblPr>
        <w:tblStyle w:val="5"/>
        <w:tblpPr w:leftFromText="180" w:rightFromText="180" w:vertAnchor="text" w:horzAnchor="page" w:tblpX="1735" w:tblpY="379"/>
        <w:tblOverlap w:val="never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1419"/>
        <w:gridCol w:w="1420"/>
        <w:gridCol w:w="1420"/>
        <w:gridCol w:w="1420"/>
      </w:tblGrid>
      <w:tr w14:paraId="7BC147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bottom w:val="single" w:color="auto" w:sz="6" w:space="0"/>
            </w:tcBorders>
            <w:vAlign w:val="center"/>
          </w:tcPr>
          <w:p w14:paraId="595EC39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Study</w:t>
            </w:r>
          </w:p>
        </w:tc>
        <w:tc>
          <w:tcPr>
            <w:tcW w:w="1419" w:type="dxa"/>
            <w:tcBorders>
              <w:bottom w:val="single" w:color="auto" w:sz="6" w:space="0"/>
            </w:tcBorders>
            <w:vAlign w:val="center"/>
          </w:tcPr>
          <w:p w14:paraId="087C497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Follow-up reported in trial</w:t>
            </w:r>
          </w:p>
        </w:tc>
        <w:tc>
          <w:tcPr>
            <w:tcW w:w="1419" w:type="dxa"/>
            <w:tcBorders>
              <w:bottom w:val="single" w:color="auto" w:sz="6" w:space="0"/>
            </w:tcBorders>
            <w:vAlign w:val="center"/>
          </w:tcPr>
          <w:p w14:paraId="4753F9F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Timepoint selected for review framework</w:t>
            </w:r>
          </w:p>
        </w:tc>
        <w:tc>
          <w:tcPr>
            <w:tcW w:w="1420" w:type="dxa"/>
            <w:tcBorders>
              <w:bottom w:val="single" w:color="auto" w:sz="6" w:space="0"/>
            </w:tcBorders>
            <w:vAlign w:val="center"/>
          </w:tcPr>
          <w:p w14:paraId="13668B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Within 10–14-week window</w:t>
            </w:r>
          </w:p>
        </w:tc>
        <w:tc>
          <w:tcPr>
            <w:tcW w:w="1420" w:type="dxa"/>
            <w:tcBorders>
              <w:bottom w:val="single" w:color="auto" w:sz="6" w:space="0"/>
            </w:tcBorders>
            <w:vAlign w:val="center"/>
          </w:tcPr>
          <w:p w14:paraId="5FFE7DB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Included in time-window sensitivity analysis</w:t>
            </w:r>
          </w:p>
        </w:tc>
        <w:tc>
          <w:tcPr>
            <w:tcW w:w="1420" w:type="dxa"/>
            <w:tcBorders>
              <w:bottom w:val="single" w:color="auto" w:sz="6" w:space="0"/>
            </w:tcBorders>
            <w:vAlign w:val="center"/>
          </w:tcPr>
          <w:p w14:paraId="14D96F77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Reason / note</w:t>
            </w:r>
          </w:p>
        </w:tc>
      </w:tr>
      <w:tr w14:paraId="07C6AD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00C986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Agergaard et al. (2021)</w:t>
            </w:r>
          </w:p>
        </w:tc>
        <w:tc>
          <w:tcPr>
            <w:tcW w:w="1419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38338C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weeks</w:t>
            </w:r>
          </w:p>
        </w:tc>
        <w:tc>
          <w:tcPr>
            <w:tcW w:w="1419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13EFC5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weeks</w:t>
            </w:r>
          </w:p>
        </w:tc>
        <w:tc>
          <w:tcPr>
            <w:tcW w:w="1420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62BD2E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152FB6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1A78B81B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Exact match to prespecified short-term window</w:t>
            </w:r>
          </w:p>
        </w:tc>
      </w:tr>
      <w:tr w14:paraId="24E010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593784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Breda et al. (2021)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14F96D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and 24 weeks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3467B1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weeks (revised primary framework)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1DD0DA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27F3C3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455AFCF0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12-week data selected as closest to the prespecified short-term window</w:t>
            </w:r>
          </w:p>
        </w:tc>
      </w:tr>
      <w:tr w14:paraId="409F89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44AB16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Frohm et al. (2007)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4512E1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weeks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7C3D1D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weeks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0BE4AC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210502A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1860C6A0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Exact match</w:t>
            </w:r>
          </w:p>
        </w:tc>
      </w:tr>
      <w:tr w14:paraId="7DB5A3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28CB54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Hjortshoej et al. (2025)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677748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weeks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4DD9C2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weeks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2CDFC2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2A5CA2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5A157717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Exact match</w:t>
            </w:r>
          </w:p>
        </w:tc>
      </w:tr>
      <w:tr w14:paraId="4B7FE9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72B72E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Jonsson et al. (2005)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5F3241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weeks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18ACC8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weeks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31479D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405DC2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120BF737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Exact match</w:t>
            </w:r>
          </w:p>
        </w:tc>
      </w:tr>
      <w:tr w14:paraId="3B85F5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0DDE00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Kongsgaard et al. (2009)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1D4269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weeks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1B2096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weeks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2AD04A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35A8D0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5E0D9FC4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Exact match</w:t>
            </w:r>
          </w:p>
        </w:tc>
      </w:tr>
      <w:tr w14:paraId="31045D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6F151D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Labanca et al. (2022)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405CD8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 weeks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412C93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 weeks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6B653A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No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2B19C1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No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622905CF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Follow-up outside the restricted 10–14-week window</w:t>
            </w:r>
          </w:p>
        </w:tc>
      </w:tr>
      <w:tr w14:paraId="70D45F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3085AA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MacDonald et al. (2019)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3F62D0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weeks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7CAEAD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weeks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175D9E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50DC8A8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7294D256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Timepoint eligible, although study was not retained in the revised primary connected network because of intervention structure</w:t>
            </w:r>
          </w:p>
        </w:tc>
      </w:tr>
      <w:tr w14:paraId="163ABC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613566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Rieder et al. (2022)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1D0316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weeks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6DE88E2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weeks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69A5AB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3754D3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0C5DDA12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Eligible by timepoint; design complexity should be considered separately</w:t>
            </w:r>
          </w:p>
        </w:tc>
      </w:tr>
      <w:tr w14:paraId="474B28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030930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Ruffino et al. (2021)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10D045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 and 12 weeks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6C3E01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weeks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6C8FD9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481C66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2B5D6C0A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12-week data selected; 6-week data not used for this sensitivity analysis</w:t>
            </w:r>
          </w:p>
        </w:tc>
      </w:tr>
      <w:tr w14:paraId="72F161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2B36E2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van Ark et al. (2016)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32373D2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 weeks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61310E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 weeks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7B96D8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No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2B1CD3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No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707E74A7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Only short-term 4-week endpoint available</w:t>
            </w:r>
          </w:p>
        </w:tc>
      </w:tr>
      <w:tr w14:paraId="02BFBF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342577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Visnes et al. (2005)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08DFDD1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weeks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27E906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weeks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7B7385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3724C1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20B1DDA8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Exact match</w:t>
            </w:r>
          </w:p>
        </w:tc>
      </w:tr>
      <w:tr w14:paraId="068B31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5E5C606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Xiao et al. (2024)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22E48B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 weeks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5D9142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 weeks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2F10AF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No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6C44BDB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No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65CED646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Follow-up outside the restricted 10–14-week window</w:t>
            </w:r>
          </w:p>
        </w:tc>
      </w:tr>
      <w:tr w14:paraId="098B9F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2703AA6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Young et al. (2005)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34E5C9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weeks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vAlign w:val="center"/>
          </w:tcPr>
          <w:p w14:paraId="391ACA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 weeks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77C660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6CA6CF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Yes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47204A63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Exact match</w:t>
            </w:r>
          </w:p>
        </w:tc>
      </w:tr>
    </w:tbl>
    <w:p w14:paraId="37C3317D">
      <w:pPr>
        <w:pStyle w:val="2"/>
        <w:keepNext w:val="0"/>
        <w:keepLines w:val="0"/>
        <w:widowControl/>
        <w:suppressLineNumbers w:val="0"/>
        <w:rPr>
          <w:rStyle w:val="7"/>
          <w:rFonts w:hint="default" w:ascii="Times New Roman" w:hAnsi="Times New Roman" w:cs="Times New Roman"/>
          <w:b/>
          <w:sz w:val="18"/>
          <w:szCs w:val="18"/>
        </w:rPr>
      </w:pPr>
      <w:r>
        <w:rPr>
          <w:rStyle w:val="7"/>
          <w:rFonts w:hint="default" w:ascii="Times New Roman" w:hAnsi="Times New Roman" w:cs="Times New Roman"/>
          <w:b/>
          <w:sz w:val="18"/>
          <w:szCs w:val="18"/>
        </w:rPr>
        <w:t>Notes:</w:t>
      </w:r>
    </w:p>
    <w:p w14:paraId="484FA36A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rPr>
          <w:rFonts w:hint="default" w:ascii="Times New Roman" w:hAnsi="Times New Roman" w:cs="Times New Roman"/>
          <w:b w:val="0"/>
          <w:bCs w:val="0"/>
          <w:sz w:val="18"/>
          <w:szCs w:val="18"/>
        </w:rPr>
      </w:pPr>
      <w:r>
        <w:rPr>
          <w:rFonts w:hint="default" w:ascii="Times New Roman" w:hAnsi="Times New Roman" w:cs="Times New Roman"/>
          <w:b w:val="0"/>
          <w:bCs w:val="0"/>
          <w:sz w:val="18"/>
          <w:szCs w:val="18"/>
        </w:rPr>
        <w:t xml:space="preserve">This table documents study eligibility for the time-window sensitivity analysis </w:t>
      </w:r>
      <w:r>
        <w:rPr>
          <w:rStyle w:val="7"/>
          <w:rFonts w:hint="default" w:ascii="Times New Roman" w:hAnsi="Times New Roman" w:cs="Times New Roman"/>
          <w:b w:val="0"/>
          <w:bCs w:val="0"/>
          <w:sz w:val="18"/>
          <w:szCs w:val="18"/>
        </w:rPr>
        <w:t>within the quantitative evidence framework</w:t>
      </w:r>
      <w:r>
        <w:rPr>
          <w:rFonts w:hint="default" w:ascii="Times New Roman" w:hAnsi="Times New Roman" w:cs="Times New Roman"/>
          <w:b w:val="0"/>
          <w:bCs w:val="0"/>
          <w:sz w:val="18"/>
          <w:szCs w:val="18"/>
        </w:rPr>
        <w:t>, not across all studies included in the qualitative synthesis.</w:t>
      </w:r>
    </w:p>
    <w:p w14:paraId="0CB0DBB0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rPr>
          <w:rFonts w:hint="default" w:ascii="Times New Roman" w:hAnsi="Times New Roman" w:cs="Times New Roman"/>
          <w:b w:val="0"/>
          <w:bCs w:val="0"/>
          <w:sz w:val="18"/>
          <w:szCs w:val="18"/>
        </w:rPr>
      </w:pPr>
      <w:r>
        <w:rPr>
          <w:rFonts w:hint="default" w:ascii="Times New Roman" w:hAnsi="Times New Roman" w:cs="Times New Roman"/>
          <w:b w:val="0"/>
          <w:bCs w:val="0"/>
          <w:sz w:val="18"/>
          <w:szCs w:val="18"/>
        </w:rPr>
        <w:t>The restricted time window of 10–14 weeks was used to examine a narrower short-term follow-up interval centered around 12 weeks.</w:t>
      </w:r>
    </w:p>
    <w:p w14:paraId="492EACE5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rPr>
          <w:rFonts w:hint="default" w:ascii="Times New Roman" w:hAnsi="Times New Roman" w:cs="Times New Roman"/>
          <w:b w:val="0"/>
          <w:bCs w:val="0"/>
          <w:sz w:val="18"/>
          <w:szCs w:val="18"/>
        </w:rPr>
      </w:pPr>
      <w:r>
        <w:rPr>
          <w:rFonts w:hint="default" w:ascii="Times New Roman" w:hAnsi="Times New Roman" w:cs="Times New Roman"/>
          <w:b w:val="0"/>
          <w:bCs w:val="0"/>
          <w:sz w:val="18"/>
          <w:szCs w:val="18"/>
        </w:rPr>
        <w:t>Where multiple follow-up assessments were reported, the timepoint closest to 12 weeks was selected.</w:t>
      </w:r>
    </w:p>
    <w:p w14:paraId="1FEAC450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rPr>
          <w:rFonts w:hint="default" w:ascii="Times New Roman" w:hAnsi="Times New Roman" w:eastAsia="宋体" w:cs="Times New Roman"/>
          <w:b w:val="0"/>
          <w:bCs w:val="0"/>
          <w:sz w:val="18"/>
          <w:szCs w:val="18"/>
        </w:rPr>
      </w:pPr>
      <w:r>
        <w:rPr>
          <w:rFonts w:hint="default" w:ascii="Times New Roman" w:hAnsi="Times New Roman" w:cs="Times New Roman"/>
          <w:b w:val="0"/>
          <w:bCs w:val="0"/>
          <w:sz w:val="18"/>
          <w:szCs w:val="18"/>
        </w:rPr>
        <w:t>Eligibility for this time-window sensitivity analysis was evaluated independently of whether a study was retained in the revised primary connected network.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7E678F"/>
    <w:multiLevelType w:val="singleLevel"/>
    <w:tmpl w:val="C27E678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B44CD0"/>
    <w:rsid w:val="333A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467</Words>
  <Characters>2678</Characters>
  <Lines>0</Lines>
  <Paragraphs>0</Paragraphs>
  <TotalTime>1</TotalTime>
  <ScaleCrop>false</ScaleCrop>
  <LinksUpToDate>false</LinksUpToDate>
  <CharactersWithSpaces>3060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2026-03-12T15:34:00Z</dcterms:created>
  <dc:creator>15776</dc:creator>
  <cp:lastModifiedBy>刘雨朔</cp:lastModifiedBy>
  <dcterms:modified xsi:type="dcterms:W3CDTF">2026-03-13T04:32:52Z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eyJoZGlkIjoiMTBhZWU2YzgwMTdkMzE3ZjU1ZTFhYmNjNzA2ODFkYTQiLCJ1c2VySWQiOiIxNzE0OTkxNzUwIn0=</vt:lpwstr>
  </property>
  <property fmtid="{D5CDD505-2E9C-101B-9397-08002B2CF9AE}" pid="4" name="ICV">
    <vt:lpwstr>12E29ABF052F4C269D587BDE102F73A0_12</vt:lpwstr>
  </property>
</Properties>
</file>