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1471D" w14:textId="77777777" w:rsidR="00565C40" w:rsidRDefault="0000000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Retrieval formula</w:t>
      </w:r>
    </w:p>
    <w:p w14:paraId="42F1ECAA" w14:textId="77777777" w:rsidR="00565C40" w:rsidRDefault="00000000">
      <w:pPr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PubMed</w:t>
      </w:r>
    </w:p>
    <w:p w14:paraId="56111A63" w14:textId="77777777" w:rsidR="00565C40" w:rsidRDefault="00565C40">
      <w:pPr>
        <w:rPr>
          <w:rFonts w:ascii="Times New Roman" w:hAnsi="Times New Roman" w:cs="Times New Roman"/>
        </w:rPr>
      </w:pPr>
    </w:p>
    <w:p w14:paraId="692E1FA1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</w:p>
    <w:p w14:paraId="29805143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</w:t>
      </w:r>
    </w:p>
    <w:p w14:paraId="3ABA2ECA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"Chronic Ankle Instability"[Mesh] OR "Chronic Ankle Instability" OR CAI </w:t>
      </w:r>
    </w:p>
    <w:p w14:paraId="13A1BEB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"recurrent ankle sprain*" OR "ankle instability"</w:t>
      </w:r>
    </w:p>
    <w:p w14:paraId="3F1F642D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) </w:t>
      </w:r>
    </w:p>
    <w:p w14:paraId="3252F46E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</w:t>
      </w:r>
    </w:p>
    <w:p w14:paraId="3377F0E2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</w:t>
      </w:r>
    </w:p>
    <w:p w14:paraId="1B60EE89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"Athletes"[Mesh] OR athlete* OR "sports participants" OR "competitive athlete*"</w:t>
      </w:r>
    </w:p>
    <w:p w14:paraId="70ABCED7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) </w:t>
      </w:r>
    </w:p>
    <w:p w14:paraId="0A2AFC7A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</w:t>
      </w:r>
    </w:p>
    <w:p w14:paraId="2E249D3A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</w:t>
      </w:r>
    </w:p>
    <w:p w14:paraId="4DB089CB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"Balance Training"[Mesh] OR "Postural Balance"[Mesh] </w:t>
      </w:r>
    </w:p>
    <w:p w14:paraId="08A314C7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"Proprioceptive Training" OR "Neuromuscular Training" </w:t>
      </w:r>
    </w:p>
    <w:p w14:paraId="7360DC93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"Functional Training"[Mesh] OR "Functional Training" </w:t>
      </w:r>
    </w:p>
    <w:p w14:paraId="65FADBC7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"CrossFit" OR "Self-Mobilization" OR "Joint Mobilization" </w:t>
      </w:r>
    </w:p>
    <w:p w14:paraId="63CE3C2E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"Dynamic Balance" OR "Star Excursion Balance Test" OR SEBT </w:t>
      </w:r>
    </w:p>
    <w:p w14:paraId="79E79736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"Y Balance Test" OR YBT </w:t>
      </w:r>
    </w:p>
    <w:p w14:paraId="44A0DF0A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) </w:t>
      </w:r>
    </w:p>
    <w:p w14:paraId="6A99562D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</w:t>
      </w:r>
    </w:p>
    <w:p w14:paraId="178BEA7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</w:t>
      </w:r>
    </w:p>
    <w:p w14:paraId="6DAFBE0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"Randomized Controlled Trial"[Publication Type] </w:t>
      </w:r>
    </w:p>
    <w:p w14:paraId="0A1B40E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"Controlled Clinical Trial"[Publication Type] </w:t>
      </w:r>
    </w:p>
    <w:p w14:paraId="5296D17D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RCT OR "randomized trial" OR "controlled trial"</w:t>
      </w:r>
    </w:p>
    <w:p w14:paraId="7EEF78E1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)</w:t>
      </w:r>
    </w:p>
    <w:p w14:paraId="43FD5316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) </w:t>
      </w:r>
    </w:p>
    <w:p w14:paraId="68695CDD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NOT ("Animals"[Mesh] NOT "Humans"[Mesh])</w:t>
      </w:r>
    </w:p>
    <w:p w14:paraId="2D1C7D60" w14:textId="77777777" w:rsidR="00565C40" w:rsidRDefault="00565C40">
      <w:pPr>
        <w:rPr>
          <w:rFonts w:ascii="Times New Roman" w:hAnsi="Times New Roman" w:cs="Times New Roman"/>
        </w:rPr>
      </w:pPr>
    </w:p>
    <w:p w14:paraId="3902A5B7" w14:textId="77777777" w:rsidR="00565C40" w:rsidRDefault="00000000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Web of Science​</w:t>
      </w:r>
      <w:r>
        <w:rPr>
          <w:rFonts w:ascii="Times New Roman" w:hAnsi="Times New Roman" w:cs="Times New Roman"/>
          <w:color w:val="FF0000"/>
        </w:rPr>
        <w:t>​</w:t>
      </w:r>
    </w:p>
    <w:p w14:paraId="359C2F27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TS=(</w:t>
      </w:r>
    </w:p>
    <w:p w14:paraId="43C9C48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("Chronic Ankle Instability" OR CAI OR "recurrent ankle sprain*") </w:t>
      </w:r>
    </w:p>
    <w:p w14:paraId="2E86702D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(athlete* OR "sports participants" OR "competitive athlete*") </w:t>
      </w:r>
    </w:p>
    <w:p w14:paraId="768A3A19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(</w:t>
      </w:r>
    </w:p>
    <w:p w14:paraId="2FE3C36D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"Balance Training" OR "Proprioceptive Training" </w:t>
      </w:r>
    </w:p>
    <w:p w14:paraId="4FCCE744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"Neuromuscular Training" OR "Functional Training" </w:t>
      </w:r>
    </w:p>
    <w:p w14:paraId="02D0FE2A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CrossFit OR "Self-Mobilization" OR "Joint Mobilization" </w:t>
      </w:r>
    </w:p>
    <w:p w14:paraId="26B3384C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"Dynamic Balance" OR "Star Excursion Balance Test" OR SEBT </w:t>
      </w:r>
    </w:p>
    <w:p w14:paraId="44838770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"Y Balance Test" OR YBT</w:t>
      </w:r>
    </w:p>
    <w:p w14:paraId="04EFBDA4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) </w:t>
      </w:r>
    </w:p>
    <w:p w14:paraId="7C4AE9E8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("randomized controlled trial" OR RCT)</w:t>
      </w:r>
    </w:p>
    <w:p w14:paraId="60FC655C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) </w:t>
      </w:r>
    </w:p>
    <w:p w14:paraId="4DC972D5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Refined by:  </w:t>
      </w:r>
    </w:p>
    <w:p w14:paraId="44472B3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[excluding NON-HUMAN]  </w:t>
      </w:r>
    </w:p>
    <w:p w14:paraId="7952EFDE" w14:textId="77777777" w:rsidR="00565C40" w:rsidRDefault="00565C40">
      <w:pPr>
        <w:rPr>
          <w:rFonts w:ascii="Times New Roman" w:hAnsi="Times New Roman" w:cs="Times New Roman"/>
        </w:rPr>
      </w:pPr>
    </w:p>
    <w:p w14:paraId="7DC90BA2" w14:textId="77777777" w:rsidR="00565C40" w:rsidRDefault="00000000">
      <w:pPr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/>
          <w:bCs/>
          <w:color w:val="FF0000"/>
        </w:rPr>
        <w:t>Cochrane Library​</w:t>
      </w:r>
      <w:r>
        <w:rPr>
          <w:rFonts w:ascii="Times New Roman" w:hAnsi="Times New Roman" w:cs="Times New Roman"/>
          <w:color w:val="FF0000"/>
        </w:rPr>
        <w:t>​</w:t>
      </w:r>
      <w:r>
        <w:rPr>
          <w:rFonts w:ascii="Times New Roman" w:hAnsi="Times New Roman" w:cs="Times New Roman"/>
          <w:color w:val="FF0000"/>
        </w:rPr>
        <w:t>：</w:t>
      </w:r>
    </w:p>
    <w:p w14:paraId="24D04CF3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</w:p>
    <w:p w14:paraId="6624CCE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("Chronic Ankle Instability" OR CAI OR "recurrent ankle sprain*") </w:t>
      </w:r>
    </w:p>
    <w:p w14:paraId="2CD6D1AE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(athlete* OR "sports participants" OR "competitive athlete*") </w:t>
      </w:r>
    </w:p>
    <w:p w14:paraId="4836C66B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(</w:t>
      </w:r>
    </w:p>
    <w:p w14:paraId="7866D846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"Balance Training" OR "Proprioceptive Training" </w:t>
      </w:r>
    </w:p>
    <w:p w14:paraId="1C83FABB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"Neuromuscular Training" OR "Functional Training" </w:t>
      </w:r>
    </w:p>
    <w:p w14:paraId="0E3690C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CrossFit OR "Self-Mobilization" OR "Joint Mobilization" </w:t>
      </w:r>
    </w:p>
    <w:p w14:paraId="5E5E0381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"Dynamic Balance" OR "Star Excursion Balance Test" OR SEBT </w:t>
      </w:r>
    </w:p>
    <w:p w14:paraId="57B94F71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OR "Y Balance Test" OR YBT</w:t>
      </w:r>
    </w:p>
    <w:p w14:paraId="7B298B3F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) </w:t>
      </w:r>
    </w:p>
    <w:p w14:paraId="03CFF0FE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AND (trial OR "randomized controlled trial" OR RCT)</w:t>
      </w:r>
    </w:p>
    <w:p w14:paraId="5B5CF28D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) </w:t>
      </w:r>
    </w:p>
    <w:p w14:paraId="17D1E07E" w14:textId="77777777" w:rsidR="00565C40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Title, Abstract, Keywords  </w:t>
      </w:r>
    </w:p>
    <w:p w14:paraId="470C6F7B" w14:textId="77777777" w:rsidR="006F7A3A" w:rsidRDefault="006F7A3A">
      <w:pPr>
        <w:widowControl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2DCC92" w14:textId="20A72393" w:rsidR="00945889" w:rsidRPr="00A46A26" w:rsidRDefault="00945889" w:rsidP="006F7A3A">
      <w:pPr>
        <w:jc w:val="center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/>
          <w:sz w:val="20"/>
          <w:szCs w:val="20"/>
        </w:rPr>
        <w:t>Diagnostic characteristics of CAI/FAI definitions across included studies</w:t>
      </w:r>
    </w:p>
    <w:tbl>
      <w:tblPr>
        <w:tblStyle w:val="ab"/>
        <w:tblW w:w="11766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0"/>
        <w:gridCol w:w="1415"/>
        <w:gridCol w:w="5954"/>
        <w:gridCol w:w="1276"/>
        <w:gridCol w:w="1701"/>
      </w:tblGrid>
      <w:tr w:rsidR="00945889" w:rsidRPr="00A46A26" w14:paraId="7CB50731" w14:textId="77777777" w:rsidTr="00945889">
        <w:trPr>
          <w:jc w:val="center"/>
        </w:trPr>
        <w:tc>
          <w:tcPr>
            <w:tcW w:w="14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04F9DCD" w14:textId="6D66A40B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Study</w:t>
            </w:r>
          </w:p>
        </w:tc>
        <w:tc>
          <w:tcPr>
            <w:tcW w:w="141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965B383" w14:textId="15B03E19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Original population label</w:t>
            </w:r>
          </w:p>
        </w:tc>
        <w:tc>
          <w:tcPr>
            <w:tcW w:w="595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DA493F5" w14:textId="254B018D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Extracted diagnostic information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CD295F" w14:textId="4987481A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Laterality reported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B8F5A8" w14:textId="65E5EB07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Suggested classification for sensitivity analysis</w:t>
            </w:r>
          </w:p>
        </w:tc>
      </w:tr>
      <w:tr w:rsidR="00945889" w:rsidRPr="00A46A26" w14:paraId="6DA71300" w14:textId="77777777" w:rsidTr="00945889">
        <w:trPr>
          <w:jc w:val="center"/>
        </w:trPr>
        <w:tc>
          <w:tcPr>
            <w:tcW w:w="1420" w:type="dxa"/>
            <w:tcBorders>
              <w:top w:val="single" w:sz="6" w:space="0" w:color="auto"/>
            </w:tcBorders>
            <w:vAlign w:val="center"/>
          </w:tcPr>
          <w:p w14:paraId="47E1E8D9" w14:textId="0F9D33F4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Cruz-Diaz 2015</w:t>
            </w:r>
          </w:p>
        </w:tc>
        <w:tc>
          <w:tcPr>
            <w:tcW w:w="1415" w:type="dxa"/>
            <w:tcBorders>
              <w:top w:val="single" w:sz="6" w:space="0" w:color="auto"/>
            </w:tcBorders>
            <w:vAlign w:val="center"/>
          </w:tcPr>
          <w:p w14:paraId="40AEA506" w14:textId="1CDECB32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CAI athletes</w:t>
            </w:r>
          </w:p>
        </w:tc>
        <w:tc>
          <w:tcPr>
            <w:tcW w:w="5954" w:type="dxa"/>
            <w:tcBorders>
              <w:top w:val="single" w:sz="6" w:space="0" w:color="auto"/>
            </w:tcBorders>
            <w:vAlign w:val="center"/>
          </w:tcPr>
          <w:p w14:paraId="06FDA901" w14:textId="2DE50883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Accessible original/secondary excerpt indicates previous unilateral ankle sprain with self-reported instability; article also assessed CAIT, but the full diagnostic threshold was not fully retrievable from the accessible original methods excerpt.</w:t>
            </w:r>
          </w:p>
        </w:tc>
        <w:tc>
          <w:tcPr>
            <w:tcW w:w="1276" w:type="dxa"/>
            <w:tcBorders>
              <w:top w:val="single" w:sz="6" w:space="0" w:color="auto"/>
            </w:tcBorders>
            <w:vAlign w:val="center"/>
          </w:tcPr>
          <w:p w14:paraId="4C494C53" w14:textId="0C5F9753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301F880" w14:textId="4A3CF363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Unclear / borderline</w:t>
            </w:r>
          </w:p>
        </w:tc>
      </w:tr>
      <w:tr w:rsidR="00945889" w:rsidRPr="00A46A26" w14:paraId="14C0F8E7" w14:textId="77777777" w:rsidTr="00945889">
        <w:trPr>
          <w:jc w:val="center"/>
        </w:trPr>
        <w:tc>
          <w:tcPr>
            <w:tcW w:w="1420" w:type="dxa"/>
            <w:vAlign w:val="center"/>
          </w:tcPr>
          <w:p w14:paraId="3D90D24C" w14:textId="1F520B90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Chang 2021</w:t>
            </w:r>
          </w:p>
        </w:tc>
        <w:tc>
          <w:tcPr>
            <w:tcW w:w="1415" w:type="dxa"/>
            <w:vAlign w:val="center"/>
          </w:tcPr>
          <w:p w14:paraId="77E08BA4" w14:textId="29924AB0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Female athletes with CAI</w:t>
            </w:r>
          </w:p>
        </w:tc>
        <w:tc>
          <w:tcPr>
            <w:tcW w:w="5954" w:type="dxa"/>
            <w:vAlign w:val="center"/>
          </w:tcPr>
          <w:p w14:paraId="7C5A1134" w14:textId="7DB1D1F3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History of at least one ankle sprain, dominant-leg lateral ankle instability, CAIT ≤ 24, and persistent sensation of ankle “giving way”.</w:t>
            </w:r>
          </w:p>
        </w:tc>
        <w:tc>
          <w:tcPr>
            <w:tcW w:w="1276" w:type="dxa"/>
            <w:vAlign w:val="center"/>
          </w:tcPr>
          <w:p w14:paraId="2652F732" w14:textId="20F4C5CB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57E20404" w14:textId="6954B829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Validated criteria: Yes</w:t>
            </w:r>
          </w:p>
        </w:tc>
      </w:tr>
      <w:tr w:rsidR="00945889" w:rsidRPr="00A46A26" w14:paraId="5899F2DE" w14:textId="77777777" w:rsidTr="00945889">
        <w:trPr>
          <w:jc w:val="center"/>
        </w:trPr>
        <w:tc>
          <w:tcPr>
            <w:tcW w:w="1420" w:type="dxa"/>
            <w:vAlign w:val="center"/>
          </w:tcPr>
          <w:p w14:paraId="4A197B87" w14:textId="7229FEAB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Jiang 2022</w:t>
            </w:r>
          </w:p>
        </w:tc>
        <w:tc>
          <w:tcPr>
            <w:tcW w:w="1415" w:type="dxa"/>
            <w:vAlign w:val="center"/>
          </w:tcPr>
          <w:p w14:paraId="4EA4BA11" w14:textId="501BD70A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College soccer players with CAI</w:t>
            </w:r>
          </w:p>
        </w:tc>
        <w:tc>
          <w:tcPr>
            <w:tcW w:w="5954" w:type="dxa"/>
            <w:vAlign w:val="center"/>
          </w:tcPr>
          <w:p w14:paraId="2082F7B8" w14:textId="110432BE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Accessible methods excerpt indicates players had experienced lateral ankle sprain within the previous month; a clear standardized CAI threshold was not retrievable from the accessible original text. This definition appears less consistent with established chronic-instability criteria.</w:t>
            </w:r>
          </w:p>
        </w:tc>
        <w:tc>
          <w:tcPr>
            <w:tcW w:w="1276" w:type="dxa"/>
            <w:vAlign w:val="center"/>
          </w:tcPr>
          <w:p w14:paraId="5B6603A4" w14:textId="6B9B2937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clearly reported</w:t>
            </w:r>
          </w:p>
        </w:tc>
        <w:tc>
          <w:tcPr>
            <w:tcW w:w="1701" w:type="dxa"/>
            <w:vAlign w:val="center"/>
          </w:tcPr>
          <w:p w14:paraId="73A69473" w14:textId="3A8913C0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 / questionable</w:t>
            </w:r>
          </w:p>
        </w:tc>
      </w:tr>
      <w:tr w:rsidR="00945889" w:rsidRPr="00A46A26" w14:paraId="51109CBA" w14:textId="77777777" w:rsidTr="00945889">
        <w:trPr>
          <w:jc w:val="center"/>
        </w:trPr>
        <w:tc>
          <w:tcPr>
            <w:tcW w:w="1420" w:type="dxa"/>
            <w:vAlign w:val="center"/>
          </w:tcPr>
          <w:p w14:paraId="2507087D" w14:textId="37C76E77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Naderi 2025</w:t>
            </w:r>
          </w:p>
        </w:tc>
        <w:tc>
          <w:tcPr>
            <w:tcW w:w="1415" w:type="dxa"/>
            <w:vAlign w:val="center"/>
          </w:tcPr>
          <w:p w14:paraId="19DD7516" w14:textId="78E58A2B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Athletes with CAI</w:t>
            </w:r>
          </w:p>
        </w:tc>
        <w:tc>
          <w:tcPr>
            <w:tcW w:w="5954" w:type="dxa"/>
            <w:vAlign w:val="center"/>
          </w:tcPr>
          <w:p w14:paraId="5FE18004" w14:textId="00E86019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Significant ankle sprain history, symptoms lasting &gt;3 months, at least two episodes of instability/giving way or recurrent sprain, and CAIT ≤ 24; additional clinical exclusion criteria were reported.</w:t>
            </w:r>
          </w:p>
        </w:tc>
        <w:tc>
          <w:tcPr>
            <w:tcW w:w="1276" w:type="dxa"/>
            <w:vAlign w:val="center"/>
          </w:tcPr>
          <w:p w14:paraId="68F90E0A" w14:textId="2AB0F356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359C87C0" w14:textId="6173EC07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Validated criteria: Yes</w:t>
            </w:r>
          </w:p>
        </w:tc>
      </w:tr>
      <w:tr w:rsidR="00945889" w:rsidRPr="00A46A26" w14:paraId="2382847E" w14:textId="77777777" w:rsidTr="00945889">
        <w:trPr>
          <w:jc w:val="center"/>
        </w:trPr>
        <w:tc>
          <w:tcPr>
            <w:tcW w:w="1420" w:type="dxa"/>
            <w:vAlign w:val="center"/>
          </w:tcPr>
          <w:p w14:paraId="05596C75" w14:textId="3732B4D1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Sierra-Guzmán 2018</w:t>
            </w:r>
          </w:p>
        </w:tc>
        <w:tc>
          <w:tcPr>
            <w:tcW w:w="1415" w:type="dxa"/>
            <w:vAlign w:val="center"/>
          </w:tcPr>
          <w:p w14:paraId="52A272A9" w14:textId="2F4F7B76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Recreational athletes with CAI</w:t>
            </w:r>
          </w:p>
        </w:tc>
        <w:tc>
          <w:tcPr>
            <w:tcW w:w="5954" w:type="dxa"/>
            <w:vAlign w:val="center"/>
          </w:tcPr>
          <w:p w14:paraId="3D15930A" w14:textId="062CEC51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At least one substantial ankle sprain, most recent sprain &gt;3 months before enrollment, ≥2 episodes of giving way in the previous 6 months, and CAIT ≤ 24.</w:t>
            </w:r>
          </w:p>
        </w:tc>
        <w:tc>
          <w:tcPr>
            <w:tcW w:w="1276" w:type="dxa"/>
            <w:vAlign w:val="center"/>
          </w:tcPr>
          <w:p w14:paraId="7FB6B1B5" w14:textId="13220966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1ECC6D1C" w14:textId="1BCF437B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Validated criteria: Yes</w:t>
            </w:r>
          </w:p>
        </w:tc>
      </w:tr>
      <w:tr w:rsidR="00945889" w:rsidRPr="00A46A26" w14:paraId="3F08D281" w14:textId="77777777" w:rsidTr="00945889">
        <w:trPr>
          <w:jc w:val="center"/>
        </w:trPr>
        <w:tc>
          <w:tcPr>
            <w:tcW w:w="1420" w:type="dxa"/>
            <w:vAlign w:val="center"/>
          </w:tcPr>
          <w:p w14:paraId="6121ADE3" w14:textId="795C8CB6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Pengsri 2024</w:t>
            </w:r>
          </w:p>
        </w:tc>
        <w:tc>
          <w:tcPr>
            <w:tcW w:w="1415" w:type="dxa"/>
            <w:vAlign w:val="center"/>
          </w:tcPr>
          <w:p w14:paraId="6418CEAE" w14:textId="6E8F29CF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Athletes with chronic ankle sprains / chronic ankle instability screening</w:t>
            </w:r>
          </w:p>
        </w:tc>
        <w:tc>
          <w:tcPr>
            <w:tcW w:w="5954" w:type="dxa"/>
            <w:vAlign w:val="center"/>
          </w:tcPr>
          <w:p w14:paraId="26BDD4A9" w14:textId="395826A7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CAIT was used for screening; participants with CAIT &lt; 25 were classified as having chronic ankle instability in the accessible report. Other standardized instability-history criteria were not clearly visible in the accessible original text.</w:t>
            </w:r>
          </w:p>
        </w:tc>
        <w:tc>
          <w:tcPr>
            <w:tcW w:w="1276" w:type="dxa"/>
            <w:vAlign w:val="center"/>
          </w:tcPr>
          <w:p w14:paraId="5B941D00" w14:textId="193F4645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clearly reported</w:t>
            </w:r>
          </w:p>
        </w:tc>
        <w:tc>
          <w:tcPr>
            <w:tcW w:w="1701" w:type="dxa"/>
            <w:vAlign w:val="center"/>
          </w:tcPr>
          <w:p w14:paraId="5C297F63" w14:textId="2B77953E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Borderline / partial</w:t>
            </w:r>
          </w:p>
        </w:tc>
      </w:tr>
      <w:tr w:rsidR="00945889" w:rsidRPr="00A46A26" w14:paraId="3FA9FDBF" w14:textId="77777777" w:rsidTr="00945889">
        <w:trPr>
          <w:jc w:val="center"/>
        </w:trPr>
        <w:tc>
          <w:tcPr>
            <w:tcW w:w="1420" w:type="dxa"/>
            <w:vAlign w:val="center"/>
          </w:tcPr>
          <w:p w14:paraId="50807B06" w14:textId="25A52CA3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Cain 2020</w:t>
            </w:r>
          </w:p>
        </w:tc>
        <w:tc>
          <w:tcPr>
            <w:tcW w:w="1415" w:type="dxa"/>
            <w:vAlign w:val="center"/>
          </w:tcPr>
          <w:p w14:paraId="6BFC7F0D" w14:textId="4CAE3D22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Adolescent athletes with CAI</w:t>
            </w:r>
          </w:p>
        </w:tc>
        <w:tc>
          <w:tcPr>
            <w:tcW w:w="5954" w:type="dxa"/>
            <w:vAlign w:val="center"/>
          </w:tcPr>
          <w:p w14:paraId="50A308D0" w14:textId="35E43605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Accessible original snippet indicates CAIT-based inclusion (≤24). Full diagnostic history criteria were not fully retrievable from the accessible original text.</w:t>
            </w:r>
          </w:p>
        </w:tc>
        <w:tc>
          <w:tcPr>
            <w:tcW w:w="1276" w:type="dxa"/>
            <w:vAlign w:val="center"/>
          </w:tcPr>
          <w:p w14:paraId="1995ED67" w14:textId="77DFDB80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27C15A17" w14:textId="61F4BADA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Borderline / partial</w:t>
            </w:r>
          </w:p>
        </w:tc>
      </w:tr>
      <w:tr w:rsidR="00945889" w:rsidRPr="00A46A26" w14:paraId="0ABF4A68" w14:textId="77777777" w:rsidTr="00945889">
        <w:trPr>
          <w:jc w:val="center"/>
        </w:trPr>
        <w:tc>
          <w:tcPr>
            <w:tcW w:w="1420" w:type="dxa"/>
            <w:vAlign w:val="center"/>
          </w:tcPr>
          <w:p w14:paraId="7778569C" w14:textId="04B1390E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Cain 2017</w:t>
            </w:r>
          </w:p>
        </w:tc>
        <w:tc>
          <w:tcPr>
            <w:tcW w:w="1415" w:type="dxa"/>
            <w:vAlign w:val="center"/>
          </w:tcPr>
          <w:p w14:paraId="5E9F90C9" w14:textId="1DE68B3B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High school athletes with CAI</w:t>
            </w:r>
          </w:p>
        </w:tc>
        <w:tc>
          <w:tcPr>
            <w:tcW w:w="5954" w:type="dxa"/>
            <w:vAlign w:val="center"/>
          </w:tcPr>
          <w:p w14:paraId="2A826170" w14:textId="67FC4A1F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Accessible excerpt indicates repeated inversion injury with residual symptoms and at least two moderate ankle sprains to the same ankle; however, a full standardized questionnaire threshold was not clearly retrievable from accessible original text.</w:t>
            </w:r>
          </w:p>
        </w:tc>
        <w:tc>
          <w:tcPr>
            <w:tcW w:w="1276" w:type="dxa"/>
            <w:vAlign w:val="center"/>
          </w:tcPr>
          <w:p w14:paraId="66E0C72C" w14:textId="0962F2D6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5845D9BF" w14:textId="340AAD92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Borderline / partial</w:t>
            </w:r>
          </w:p>
        </w:tc>
      </w:tr>
      <w:tr w:rsidR="00945889" w:rsidRPr="00A46A26" w14:paraId="7F108407" w14:textId="77777777" w:rsidTr="00945889">
        <w:trPr>
          <w:jc w:val="center"/>
        </w:trPr>
        <w:tc>
          <w:tcPr>
            <w:tcW w:w="1420" w:type="dxa"/>
            <w:vAlign w:val="center"/>
          </w:tcPr>
          <w:p w14:paraId="67963F56" w14:textId="18B18BDD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Mohammadi 2022</w:t>
            </w:r>
          </w:p>
        </w:tc>
        <w:tc>
          <w:tcPr>
            <w:tcW w:w="1415" w:type="dxa"/>
            <w:vAlign w:val="center"/>
          </w:tcPr>
          <w:p w14:paraId="0A08B1FE" w14:textId="6E4F5E3F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Professional male soccer players with CAI</w:t>
            </w:r>
          </w:p>
        </w:tc>
        <w:tc>
          <w:tcPr>
            <w:tcW w:w="5954" w:type="dxa"/>
            <w:vAlign w:val="center"/>
          </w:tcPr>
          <w:p w14:paraId="0AA11865" w14:textId="27BE8B74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Diagnosis based on International Ankle Consortium-style criteria: prior significant ankle sprain, first sprain ≥12 months earlier, most recent injury ≥3 months earlier, episodes of giving way/recurrent sprain, and CAIT &lt; 27.</w:t>
            </w:r>
          </w:p>
        </w:tc>
        <w:tc>
          <w:tcPr>
            <w:tcW w:w="1276" w:type="dxa"/>
            <w:vAlign w:val="center"/>
          </w:tcPr>
          <w:p w14:paraId="61319A3B" w14:textId="1ABA6173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46F6A479" w14:textId="7B394BB8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Validated criteria: Yes</w:t>
            </w:r>
          </w:p>
        </w:tc>
      </w:tr>
      <w:tr w:rsidR="00945889" w:rsidRPr="00A46A26" w14:paraId="5929D249" w14:textId="77777777" w:rsidTr="00945889">
        <w:trPr>
          <w:jc w:val="center"/>
        </w:trPr>
        <w:tc>
          <w:tcPr>
            <w:tcW w:w="1420" w:type="dxa"/>
            <w:vAlign w:val="center"/>
          </w:tcPr>
          <w:p w14:paraId="37A60B16" w14:textId="601AD4F7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Melam 2018</w:t>
            </w:r>
          </w:p>
        </w:tc>
        <w:tc>
          <w:tcPr>
            <w:tcW w:w="1415" w:type="dxa"/>
            <w:vAlign w:val="center"/>
          </w:tcPr>
          <w:p w14:paraId="78041F49" w14:textId="00690324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University-level competitive athletes with CAI</w:t>
            </w:r>
          </w:p>
        </w:tc>
        <w:tc>
          <w:tcPr>
            <w:tcW w:w="5954" w:type="dxa"/>
            <w:vAlign w:val="center"/>
          </w:tcPr>
          <w:p w14:paraId="51311A9F" w14:textId="370168A6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Original accessible abstract confirms CAI population, but detailed diagnostic thresholds were not fully retrievable from the accessible original report.</w:t>
            </w:r>
          </w:p>
        </w:tc>
        <w:tc>
          <w:tcPr>
            <w:tcW w:w="1276" w:type="dxa"/>
            <w:vAlign w:val="center"/>
          </w:tcPr>
          <w:p w14:paraId="63D71D34" w14:textId="37DDC187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clearly reported</w:t>
            </w:r>
          </w:p>
        </w:tc>
        <w:tc>
          <w:tcPr>
            <w:tcW w:w="1701" w:type="dxa"/>
            <w:vAlign w:val="center"/>
          </w:tcPr>
          <w:p w14:paraId="4E882CC1" w14:textId="51561CAD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Unclear</w:t>
            </w:r>
          </w:p>
        </w:tc>
      </w:tr>
      <w:tr w:rsidR="00945889" w:rsidRPr="00A46A26" w14:paraId="51ECDABF" w14:textId="77777777" w:rsidTr="00945889">
        <w:trPr>
          <w:jc w:val="center"/>
        </w:trPr>
        <w:tc>
          <w:tcPr>
            <w:tcW w:w="1420" w:type="dxa"/>
            <w:vAlign w:val="center"/>
          </w:tcPr>
          <w:p w14:paraId="3475231F" w14:textId="6F97015F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Naderi 2024</w:t>
            </w:r>
          </w:p>
        </w:tc>
        <w:tc>
          <w:tcPr>
            <w:tcW w:w="1415" w:type="dxa"/>
            <w:vAlign w:val="center"/>
          </w:tcPr>
          <w:p w14:paraId="0CD1259F" w14:textId="0F1C8244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Athletes with functional ankle instability (FAI)</w:t>
            </w:r>
          </w:p>
        </w:tc>
        <w:tc>
          <w:tcPr>
            <w:tcW w:w="5954" w:type="dxa"/>
            <w:vAlign w:val="center"/>
          </w:tcPr>
          <w:p w14:paraId="4E9CF191" w14:textId="52CD6C63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Original report clearly used an FAI population rather than a strictly labeled CAI population; CAIT was measured, but full standardized eligibility thresholds were not fully retrievable from the accessible original excerpt.</w:t>
            </w:r>
          </w:p>
        </w:tc>
        <w:tc>
          <w:tcPr>
            <w:tcW w:w="1276" w:type="dxa"/>
            <w:vAlign w:val="center"/>
          </w:tcPr>
          <w:p w14:paraId="75EC3957" w14:textId="3F3CA086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0260AD81" w14:textId="13E6F87E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Unclear / not strict CAI</w:t>
            </w:r>
          </w:p>
        </w:tc>
      </w:tr>
      <w:tr w:rsidR="00945889" w:rsidRPr="00A46A26" w14:paraId="1B455C53" w14:textId="77777777" w:rsidTr="00945889">
        <w:trPr>
          <w:jc w:val="center"/>
        </w:trPr>
        <w:tc>
          <w:tcPr>
            <w:tcW w:w="1420" w:type="dxa"/>
            <w:vAlign w:val="center"/>
          </w:tcPr>
          <w:p w14:paraId="0690A3AA" w14:textId="1ED7BC03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Cruz-Díaz 2020</w:t>
            </w:r>
          </w:p>
        </w:tc>
        <w:tc>
          <w:tcPr>
            <w:tcW w:w="1415" w:type="dxa"/>
            <w:vAlign w:val="center"/>
          </w:tcPr>
          <w:p w14:paraId="75E365CE" w14:textId="55548872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Recreational athletes with CAI</w:t>
            </w:r>
          </w:p>
        </w:tc>
        <w:tc>
          <w:tcPr>
            <w:tcW w:w="5954" w:type="dxa"/>
            <w:vAlign w:val="center"/>
          </w:tcPr>
          <w:p w14:paraId="2FC580C1" w14:textId="52AB17E9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Original accessible abstract confirms recreational athletes with CAI and reports CAIT as an outcome, but detailed eligibility thresholds were not fully retrievable from the accessible original report.</w:t>
            </w:r>
          </w:p>
        </w:tc>
        <w:tc>
          <w:tcPr>
            <w:tcW w:w="1276" w:type="dxa"/>
            <w:vAlign w:val="center"/>
          </w:tcPr>
          <w:p w14:paraId="46E93BC3" w14:textId="453755CC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7CA684E6" w14:textId="76E33BA3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Unclear / borderline</w:t>
            </w:r>
          </w:p>
        </w:tc>
      </w:tr>
      <w:tr w:rsidR="00945889" w:rsidRPr="00A46A26" w14:paraId="7CEC3B2B" w14:textId="77777777" w:rsidTr="00945889">
        <w:trPr>
          <w:jc w:val="center"/>
        </w:trPr>
        <w:tc>
          <w:tcPr>
            <w:tcW w:w="1420" w:type="dxa"/>
            <w:vAlign w:val="center"/>
          </w:tcPr>
          <w:p w14:paraId="4EF39DDD" w14:textId="0673D5D4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Taghavi Asl 2022</w:t>
            </w:r>
          </w:p>
        </w:tc>
        <w:tc>
          <w:tcPr>
            <w:tcW w:w="1415" w:type="dxa"/>
            <w:vAlign w:val="center"/>
          </w:tcPr>
          <w:p w14:paraId="72FC0C96" w14:textId="24DED200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Men with CAI</w:t>
            </w:r>
          </w:p>
        </w:tc>
        <w:tc>
          <w:tcPr>
            <w:tcW w:w="5954" w:type="dxa"/>
            <w:vAlign w:val="center"/>
          </w:tcPr>
          <w:p w14:paraId="4A7BC682" w14:textId="40890DAE" w:rsidR="00945889" w:rsidRPr="00A46A26" w:rsidRDefault="00945889" w:rsidP="0094588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At least one significant unilateral lateral ankle sprain, ≥2 reports of giving way within 6 months, last injury &gt;6 weeks earlier, FADI &lt; 90% and FADI-S &lt; 80%.</w:t>
            </w:r>
          </w:p>
        </w:tc>
        <w:tc>
          <w:tcPr>
            <w:tcW w:w="1276" w:type="dxa"/>
            <w:vAlign w:val="center"/>
          </w:tcPr>
          <w:p w14:paraId="097B5859" w14:textId="76DFF9BC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701" w:type="dxa"/>
            <w:vAlign w:val="center"/>
          </w:tcPr>
          <w:p w14:paraId="5BF9101E" w14:textId="097C96CA" w:rsidR="00945889" w:rsidRPr="00A46A26" w:rsidRDefault="00945889" w:rsidP="0094588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Validated criteria: Yes</w:t>
            </w:r>
          </w:p>
        </w:tc>
      </w:tr>
    </w:tbl>
    <w:p w14:paraId="7BCA19BB" w14:textId="77777777" w:rsidR="00945889" w:rsidRPr="00A46A26" w:rsidRDefault="00945889">
      <w:pPr>
        <w:rPr>
          <w:rFonts w:hint="eastAsia"/>
        </w:rPr>
      </w:pPr>
    </w:p>
    <w:p w14:paraId="0F30D842" w14:textId="2A0CA2C3" w:rsidR="005748AB" w:rsidRPr="00A46A26" w:rsidRDefault="005748AB" w:rsidP="005748AB">
      <w:pPr>
        <w:jc w:val="center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/>
          <w:sz w:val="20"/>
          <w:szCs w:val="20"/>
        </w:rPr>
        <w:t>Operational definitions and study-level assignment of intervention-modality categories</w:t>
      </w:r>
    </w:p>
    <w:tbl>
      <w:tblPr>
        <w:tblStyle w:val="ab"/>
        <w:tblW w:w="1162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3"/>
        <w:gridCol w:w="1595"/>
        <w:gridCol w:w="1595"/>
        <w:gridCol w:w="1365"/>
        <w:gridCol w:w="1999"/>
        <w:gridCol w:w="3827"/>
      </w:tblGrid>
      <w:tr w:rsidR="005748AB" w:rsidRPr="00A46A26" w14:paraId="1B07D1F8" w14:textId="77777777" w:rsidTr="002A00F9">
        <w:trPr>
          <w:jc w:val="center"/>
        </w:trPr>
        <w:tc>
          <w:tcPr>
            <w:tcW w:w="12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488C64" w14:textId="59D12824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Study</w:t>
            </w:r>
          </w:p>
        </w:tc>
        <w:tc>
          <w:tcPr>
            <w:tcW w:w="15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3EB7B6" w14:textId="47FDD96D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intervention (as extracted)</w:t>
            </w:r>
          </w:p>
        </w:tc>
        <w:tc>
          <w:tcPr>
            <w:tcW w:w="159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1AA3B9" w14:textId="708AF719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Mode 1: Primary intervention modality</w:t>
            </w:r>
          </w:p>
        </w:tc>
        <w:tc>
          <w:tcPr>
            <w:tcW w:w="136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07CB8C" w14:textId="1E366562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Mode 2: Comparator type</w:t>
            </w:r>
          </w:p>
        </w:tc>
        <w:tc>
          <w:tcPr>
            <w:tcW w:w="19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187D71" w14:textId="27DC1846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Mode 3: Training environment / delivery emphasis</w:t>
            </w:r>
          </w:p>
        </w:tc>
        <w:tc>
          <w:tcPr>
            <w:tcW w:w="382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91521D" w14:textId="419C0DB2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Coding rationale</w:t>
            </w:r>
          </w:p>
        </w:tc>
      </w:tr>
      <w:tr w:rsidR="005748AB" w:rsidRPr="00A46A26" w14:paraId="23D12ECE" w14:textId="77777777" w:rsidTr="002A00F9">
        <w:trPr>
          <w:jc w:val="center"/>
        </w:trPr>
        <w:tc>
          <w:tcPr>
            <w:tcW w:w="1243" w:type="dxa"/>
            <w:tcBorders>
              <w:top w:val="single" w:sz="6" w:space="0" w:color="auto"/>
            </w:tcBorders>
            <w:vAlign w:val="center"/>
          </w:tcPr>
          <w:p w14:paraId="160EC9C0" w14:textId="1AC63E75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Cruz-Diaz 2015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vAlign w:val="center"/>
          </w:tcPr>
          <w:p w14:paraId="505E7622" w14:textId="4256CB59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Balance Training vs. Control Group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vAlign w:val="center"/>
          </w:tcPr>
          <w:p w14:paraId="52E6D6B5" w14:textId="6B26864B" w:rsidR="005748AB" w:rsidRPr="00A46A26" w:rsidRDefault="00047D7A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</w:t>
            </w:r>
            <w:r w:rsidR="005748AB"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BT</w:t>
            </w:r>
          </w:p>
        </w:tc>
        <w:tc>
          <w:tcPr>
            <w:tcW w:w="1365" w:type="dxa"/>
            <w:tcBorders>
              <w:top w:val="single" w:sz="6" w:space="0" w:color="auto"/>
            </w:tcBorders>
            <w:vAlign w:val="center"/>
          </w:tcPr>
          <w:p w14:paraId="7CC7CE38" w14:textId="72CFDE47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</w:t>
            </w:r>
          </w:p>
        </w:tc>
        <w:tc>
          <w:tcPr>
            <w:tcW w:w="1999" w:type="dxa"/>
            <w:tcBorders>
              <w:top w:val="single" w:sz="6" w:space="0" w:color="auto"/>
            </w:tcBorders>
            <w:vAlign w:val="center"/>
          </w:tcPr>
          <w:p w14:paraId="183F2CD6" w14:textId="2B8F46DA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SST</w:t>
            </w:r>
          </w:p>
        </w:tc>
        <w:tc>
          <w:tcPr>
            <w:tcW w:w="3827" w:type="dxa"/>
            <w:tcBorders>
              <w:top w:val="single" w:sz="6" w:space="0" w:color="auto"/>
            </w:tcBorders>
            <w:vAlign w:val="center"/>
          </w:tcPr>
          <w:p w14:paraId="4AA7D633" w14:textId="329DD2D1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General balance-training program without vibration, aquatic delivery, explicit strength combination, or function-oriented whole-body task emphasis</w:t>
            </w:r>
          </w:p>
        </w:tc>
      </w:tr>
      <w:tr w:rsidR="005748AB" w:rsidRPr="00A46A26" w14:paraId="06A5E00A" w14:textId="77777777" w:rsidTr="002A00F9">
        <w:trPr>
          <w:jc w:val="center"/>
        </w:trPr>
        <w:tc>
          <w:tcPr>
            <w:tcW w:w="1243" w:type="dxa"/>
            <w:vAlign w:val="center"/>
          </w:tcPr>
          <w:p w14:paraId="2AFD6B3B" w14:textId="6BAD698D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Chang 2021</w:t>
            </w:r>
          </w:p>
        </w:tc>
        <w:tc>
          <w:tcPr>
            <w:tcW w:w="1595" w:type="dxa"/>
            <w:vAlign w:val="center"/>
          </w:tcPr>
          <w:p w14:paraId="57077A78" w14:textId="76B726F4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Whole-Body Vibration + Balance vs. Control Group</w:t>
            </w:r>
          </w:p>
        </w:tc>
        <w:tc>
          <w:tcPr>
            <w:tcW w:w="1595" w:type="dxa"/>
            <w:vAlign w:val="center"/>
          </w:tcPr>
          <w:p w14:paraId="54F224BC" w14:textId="6B5E4BA9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WBT+BT</w:t>
            </w:r>
          </w:p>
        </w:tc>
        <w:tc>
          <w:tcPr>
            <w:tcW w:w="1365" w:type="dxa"/>
            <w:vAlign w:val="center"/>
          </w:tcPr>
          <w:p w14:paraId="687823A6" w14:textId="1B897753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</w:t>
            </w:r>
          </w:p>
        </w:tc>
        <w:tc>
          <w:tcPr>
            <w:tcW w:w="1999" w:type="dxa"/>
            <w:vAlign w:val="center"/>
          </w:tcPr>
          <w:p w14:paraId="63FC91F6" w14:textId="03B37868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UST</w:t>
            </w:r>
          </w:p>
        </w:tc>
        <w:tc>
          <w:tcPr>
            <w:tcW w:w="3827" w:type="dxa"/>
            <w:vAlign w:val="center"/>
          </w:tcPr>
          <w:p w14:paraId="6B787177" w14:textId="171EEBAD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intervention combined vibration-platform exposure with balance exercise; unstable/perturbation-based stimulus was central</w:t>
            </w:r>
          </w:p>
        </w:tc>
      </w:tr>
      <w:tr w:rsidR="005748AB" w:rsidRPr="00A46A26" w14:paraId="2E0B2421" w14:textId="77777777" w:rsidTr="002A00F9">
        <w:trPr>
          <w:jc w:val="center"/>
        </w:trPr>
        <w:tc>
          <w:tcPr>
            <w:tcW w:w="1243" w:type="dxa"/>
            <w:vAlign w:val="center"/>
          </w:tcPr>
          <w:p w14:paraId="24909236" w14:textId="184400AD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Jiang 2022</w:t>
            </w:r>
          </w:p>
        </w:tc>
        <w:tc>
          <w:tcPr>
            <w:tcW w:w="1595" w:type="dxa"/>
            <w:vAlign w:val="center"/>
          </w:tcPr>
          <w:p w14:paraId="5945EC65" w14:textId="03DAA280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Balance Training vs. Pilates Training</w:t>
            </w:r>
          </w:p>
        </w:tc>
        <w:tc>
          <w:tcPr>
            <w:tcW w:w="1595" w:type="dxa"/>
            <w:vAlign w:val="center"/>
          </w:tcPr>
          <w:p w14:paraId="6A8AC32B" w14:textId="5D0D87FB" w:rsidR="005748AB" w:rsidRPr="00A46A26" w:rsidRDefault="00047D7A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</w:t>
            </w:r>
            <w:r w:rsidR="005748AB"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BT</w:t>
            </w:r>
          </w:p>
        </w:tc>
        <w:tc>
          <w:tcPr>
            <w:tcW w:w="1365" w:type="dxa"/>
            <w:vAlign w:val="center"/>
          </w:tcPr>
          <w:p w14:paraId="686E38B6" w14:textId="7FC0B3DE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</w:t>
            </w:r>
          </w:p>
        </w:tc>
        <w:tc>
          <w:tcPr>
            <w:tcW w:w="1999" w:type="dxa"/>
            <w:vAlign w:val="center"/>
          </w:tcPr>
          <w:p w14:paraId="67829421" w14:textId="1EC14B41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SST</w:t>
            </w:r>
          </w:p>
        </w:tc>
        <w:tc>
          <w:tcPr>
            <w:tcW w:w="3827" w:type="dxa"/>
            <w:vAlign w:val="center"/>
          </w:tcPr>
          <w:p w14:paraId="1779930D" w14:textId="7870BCF9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arm was conventional balance training; comparator was another active exercise program</w:t>
            </w:r>
          </w:p>
        </w:tc>
      </w:tr>
      <w:tr w:rsidR="005748AB" w:rsidRPr="00A46A26" w14:paraId="0DC8896E" w14:textId="77777777" w:rsidTr="002A00F9">
        <w:trPr>
          <w:jc w:val="center"/>
        </w:trPr>
        <w:tc>
          <w:tcPr>
            <w:tcW w:w="1243" w:type="dxa"/>
            <w:vAlign w:val="center"/>
          </w:tcPr>
          <w:p w14:paraId="7C75C79F" w14:textId="180E9DC9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Naderi 2025</w:t>
            </w:r>
          </w:p>
        </w:tc>
        <w:tc>
          <w:tcPr>
            <w:tcW w:w="1595" w:type="dxa"/>
            <w:vAlign w:val="center"/>
          </w:tcPr>
          <w:p w14:paraId="4D782376" w14:textId="03C7EF48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Water-Based vs. Land-Based Balance Exercises</w:t>
            </w:r>
          </w:p>
        </w:tc>
        <w:tc>
          <w:tcPr>
            <w:tcW w:w="1595" w:type="dxa"/>
            <w:vAlign w:val="center"/>
          </w:tcPr>
          <w:p w14:paraId="14F533B8" w14:textId="283346AB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WBBE</w:t>
            </w:r>
          </w:p>
        </w:tc>
        <w:tc>
          <w:tcPr>
            <w:tcW w:w="1365" w:type="dxa"/>
            <w:vAlign w:val="center"/>
          </w:tcPr>
          <w:p w14:paraId="1DCDE91F" w14:textId="522AD9B9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</w:t>
            </w:r>
          </w:p>
        </w:tc>
        <w:tc>
          <w:tcPr>
            <w:tcW w:w="1999" w:type="dxa"/>
            <w:vAlign w:val="center"/>
          </w:tcPr>
          <w:p w14:paraId="7F75047A" w14:textId="50EF729C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SST</w:t>
            </w:r>
          </w:p>
        </w:tc>
        <w:tc>
          <w:tcPr>
            <w:tcW w:w="3827" w:type="dxa"/>
            <w:vAlign w:val="center"/>
          </w:tcPr>
          <w:p w14:paraId="4739C1B1" w14:textId="0D0CB3CD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arm was delivered in an aquatic environment; comparator was another active balance-oriented exercise condition</w:t>
            </w:r>
          </w:p>
        </w:tc>
      </w:tr>
      <w:tr w:rsidR="005748AB" w:rsidRPr="00A46A26" w14:paraId="460B54D3" w14:textId="77777777" w:rsidTr="002A00F9">
        <w:trPr>
          <w:jc w:val="center"/>
        </w:trPr>
        <w:tc>
          <w:tcPr>
            <w:tcW w:w="1243" w:type="dxa"/>
            <w:vAlign w:val="center"/>
          </w:tcPr>
          <w:p w14:paraId="614D0A8A" w14:textId="3B5A6CE1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Sierra-Guzmán 2018</w:t>
            </w:r>
          </w:p>
        </w:tc>
        <w:tc>
          <w:tcPr>
            <w:tcW w:w="1595" w:type="dxa"/>
            <w:vAlign w:val="center"/>
          </w:tcPr>
          <w:p w14:paraId="639A3835" w14:textId="170FD06D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Whole-Body Vibration + Balance vs. Balance Training</w:t>
            </w:r>
          </w:p>
        </w:tc>
        <w:tc>
          <w:tcPr>
            <w:tcW w:w="1595" w:type="dxa"/>
            <w:vAlign w:val="center"/>
          </w:tcPr>
          <w:p w14:paraId="2E6B2E8F" w14:textId="54BBB386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WBT+BT</w:t>
            </w:r>
          </w:p>
        </w:tc>
        <w:tc>
          <w:tcPr>
            <w:tcW w:w="1365" w:type="dxa"/>
            <w:vAlign w:val="center"/>
          </w:tcPr>
          <w:p w14:paraId="60E5ED9A" w14:textId="3FE2F1EC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</w:t>
            </w:r>
          </w:p>
        </w:tc>
        <w:tc>
          <w:tcPr>
            <w:tcW w:w="1999" w:type="dxa"/>
            <w:vAlign w:val="center"/>
          </w:tcPr>
          <w:p w14:paraId="6FD91BFD" w14:textId="0067C733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UST</w:t>
            </w:r>
          </w:p>
        </w:tc>
        <w:tc>
          <w:tcPr>
            <w:tcW w:w="3827" w:type="dxa"/>
            <w:vAlign w:val="center"/>
          </w:tcPr>
          <w:p w14:paraId="77139A17" w14:textId="2851A88D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intervention combined vibration-platform exposure with balance training; comparator was active balance training</w:t>
            </w:r>
          </w:p>
        </w:tc>
      </w:tr>
      <w:tr w:rsidR="005748AB" w:rsidRPr="00A46A26" w14:paraId="33A07471" w14:textId="77777777" w:rsidTr="002A00F9">
        <w:trPr>
          <w:jc w:val="center"/>
        </w:trPr>
        <w:tc>
          <w:tcPr>
            <w:tcW w:w="1243" w:type="dxa"/>
            <w:vAlign w:val="center"/>
          </w:tcPr>
          <w:p w14:paraId="3BC1EEDB" w14:textId="5FBBE577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Pengsri 2024</w:t>
            </w:r>
          </w:p>
        </w:tc>
        <w:tc>
          <w:tcPr>
            <w:tcW w:w="1595" w:type="dxa"/>
            <w:vAlign w:val="center"/>
          </w:tcPr>
          <w:p w14:paraId="19F516FC" w14:textId="465EEFF4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Balance Board vs. Jump Rope Training</w:t>
            </w:r>
          </w:p>
        </w:tc>
        <w:tc>
          <w:tcPr>
            <w:tcW w:w="1595" w:type="dxa"/>
            <w:vAlign w:val="center"/>
          </w:tcPr>
          <w:p w14:paraId="6A7F89B3" w14:textId="47D1F76A" w:rsidR="005748AB" w:rsidRPr="00A46A26" w:rsidRDefault="00047D7A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</w:t>
            </w:r>
            <w:r w:rsidR="005748AB"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BT</w:t>
            </w:r>
          </w:p>
        </w:tc>
        <w:tc>
          <w:tcPr>
            <w:tcW w:w="1365" w:type="dxa"/>
            <w:vAlign w:val="center"/>
          </w:tcPr>
          <w:p w14:paraId="39D29529" w14:textId="7B7D75D3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</w:t>
            </w:r>
          </w:p>
        </w:tc>
        <w:tc>
          <w:tcPr>
            <w:tcW w:w="1999" w:type="dxa"/>
            <w:vAlign w:val="center"/>
          </w:tcPr>
          <w:p w14:paraId="5EB10668" w14:textId="171E16F1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SST</w:t>
            </w:r>
          </w:p>
        </w:tc>
        <w:tc>
          <w:tcPr>
            <w:tcW w:w="3827" w:type="dxa"/>
            <w:vAlign w:val="center"/>
          </w:tcPr>
          <w:p w14:paraId="484FACAE" w14:textId="7862D59E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arm was coded as conventional balance-oriented training in the primary-modality framework; comparator was another active exercise program</w:t>
            </w:r>
          </w:p>
        </w:tc>
      </w:tr>
      <w:tr w:rsidR="005748AB" w:rsidRPr="00A46A26" w14:paraId="43527AC9" w14:textId="77777777" w:rsidTr="002A00F9">
        <w:trPr>
          <w:jc w:val="center"/>
        </w:trPr>
        <w:tc>
          <w:tcPr>
            <w:tcW w:w="1243" w:type="dxa"/>
            <w:vAlign w:val="center"/>
          </w:tcPr>
          <w:p w14:paraId="2D9FD5BD" w14:textId="02AA05D7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Cain 2020</w:t>
            </w:r>
          </w:p>
        </w:tc>
        <w:tc>
          <w:tcPr>
            <w:tcW w:w="1595" w:type="dxa"/>
            <w:vAlign w:val="center"/>
          </w:tcPr>
          <w:p w14:paraId="67D78076" w14:textId="4FAEAAE6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BAPS Board Training vs. Control Group</w:t>
            </w:r>
          </w:p>
        </w:tc>
        <w:tc>
          <w:tcPr>
            <w:tcW w:w="1595" w:type="dxa"/>
            <w:vAlign w:val="center"/>
          </w:tcPr>
          <w:p w14:paraId="51680FAC" w14:textId="7E70C8BD" w:rsidR="005748AB" w:rsidRPr="00A46A26" w:rsidRDefault="00047D7A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</w:t>
            </w:r>
            <w:r w:rsidR="005748AB"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BT</w:t>
            </w:r>
          </w:p>
        </w:tc>
        <w:tc>
          <w:tcPr>
            <w:tcW w:w="1365" w:type="dxa"/>
            <w:vAlign w:val="center"/>
          </w:tcPr>
          <w:p w14:paraId="202E2D67" w14:textId="5A8217AB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</w:t>
            </w:r>
          </w:p>
        </w:tc>
        <w:tc>
          <w:tcPr>
            <w:tcW w:w="1999" w:type="dxa"/>
            <w:vAlign w:val="center"/>
          </w:tcPr>
          <w:p w14:paraId="26907BD2" w14:textId="4BD2DAF4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SST</w:t>
            </w:r>
          </w:p>
        </w:tc>
        <w:tc>
          <w:tcPr>
            <w:tcW w:w="3827" w:type="dxa"/>
            <w:vAlign w:val="center"/>
          </w:tcPr>
          <w:p w14:paraId="0FEAF1FF" w14:textId="7326A8B1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arm was coded as a clinic-style balance rehabilitation program rather than vibration-, water-, strength-, or function-dominant training</w:t>
            </w:r>
          </w:p>
        </w:tc>
      </w:tr>
      <w:tr w:rsidR="005748AB" w:rsidRPr="00A46A26" w14:paraId="63F5FF2A" w14:textId="77777777" w:rsidTr="002A00F9">
        <w:trPr>
          <w:jc w:val="center"/>
        </w:trPr>
        <w:tc>
          <w:tcPr>
            <w:tcW w:w="1243" w:type="dxa"/>
            <w:vAlign w:val="center"/>
          </w:tcPr>
          <w:p w14:paraId="4E3D3EDF" w14:textId="2D227747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Cain 2017</w:t>
            </w:r>
          </w:p>
        </w:tc>
        <w:tc>
          <w:tcPr>
            <w:tcW w:w="1595" w:type="dxa"/>
            <w:vAlign w:val="center"/>
          </w:tcPr>
          <w:p w14:paraId="1EA1C04A" w14:textId="1E46A4B4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BAPS Balance Training vs. Control Group</w:t>
            </w:r>
          </w:p>
        </w:tc>
        <w:tc>
          <w:tcPr>
            <w:tcW w:w="1595" w:type="dxa"/>
            <w:vAlign w:val="center"/>
          </w:tcPr>
          <w:p w14:paraId="3E5A911A" w14:textId="3DEE6A4C" w:rsidR="005748AB" w:rsidRPr="00A46A26" w:rsidRDefault="00047D7A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</w:t>
            </w:r>
            <w:r w:rsidR="005748AB"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BT</w:t>
            </w:r>
          </w:p>
        </w:tc>
        <w:tc>
          <w:tcPr>
            <w:tcW w:w="1365" w:type="dxa"/>
            <w:vAlign w:val="center"/>
          </w:tcPr>
          <w:p w14:paraId="337D7175" w14:textId="275F1728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</w:t>
            </w:r>
          </w:p>
        </w:tc>
        <w:tc>
          <w:tcPr>
            <w:tcW w:w="1999" w:type="dxa"/>
            <w:vAlign w:val="center"/>
          </w:tcPr>
          <w:p w14:paraId="6E765544" w14:textId="060810D5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SST</w:t>
            </w:r>
          </w:p>
        </w:tc>
        <w:tc>
          <w:tcPr>
            <w:tcW w:w="3827" w:type="dxa"/>
            <w:vAlign w:val="center"/>
          </w:tcPr>
          <w:p w14:paraId="4CB201A5" w14:textId="7E7A70CD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arm was coded as conventional balance rehabilitation; comparator was passive control</w:t>
            </w:r>
          </w:p>
        </w:tc>
      </w:tr>
      <w:tr w:rsidR="005748AB" w:rsidRPr="00A46A26" w14:paraId="30CD2E6B" w14:textId="77777777" w:rsidTr="002A00F9">
        <w:trPr>
          <w:jc w:val="center"/>
        </w:trPr>
        <w:tc>
          <w:tcPr>
            <w:tcW w:w="1243" w:type="dxa"/>
            <w:vAlign w:val="center"/>
          </w:tcPr>
          <w:p w14:paraId="6F4AE17F" w14:textId="3A4655DE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Mohammadi 2022</w:t>
            </w:r>
          </w:p>
        </w:tc>
        <w:tc>
          <w:tcPr>
            <w:tcW w:w="1595" w:type="dxa"/>
            <w:vAlign w:val="center"/>
          </w:tcPr>
          <w:p w14:paraId="26B9ACEA" w14:textId="375906FB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Balance + Strength vs. Conventional Training</w:t>
            </w:r>
          </w:p>
        </w:tc>
        <w:tc>
          <w:tcPr>
            <w:tcW w:w="1595" w:type="dxa"/>
            <w:vAlign w:val="center"/>
          </w:tcPr>
          <w:p w14:paraId="3C2B5683" w14:textId="6D6DA326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BST</w:t>
            </w:r>
          </w:p>
        </w:tc>
        <w:tc>
          <w:tcPr>
            <w:tcW w:w="1365" w:type="dxa"/>
            <w:vAlign w:val="center"/>
          </w:tcPr>
          <w:p w14:paraId="65A2C0B2" w14:textId="2218CC16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</w:t>
            </w:r>
          </w:p>
        </w:tc>
        <w:tc>
          <w:tcPr>
            <w:tcW w:w="1999" w:type="dxa"/>
            <w:vAlign w:val="center"/>
          </w:tcPr>
          <w:p w14:paraId="2FC75617" w14:textId="2C5A3565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SST</w:t>
            </w:r>
          </w:p>
        </w:tc>
        <w:tc>
          <w:tcPr>
            <w:tcW w:w="3827" w:type="dxa"/>
            <w:vAlign w:val="center"/>
          </w:tcPr>
          <w:p w14:paraId="0D3E79A4" w14:textId="1BBF2F85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program explicitly combined balance and strength components</w:t>
            </w:r>
          </w:p>
        </w:tc>
      </w:tr>
      <w:tr w:rsidR="005748AB" w:rsidRPr="00A46A26" w14:paraId="066FE672" w14:textId="77777777" w:rsidTr="002A00F9">
        <w:trPr>
          <w:jc w:val="center"/>
        </w:trPr>
        <w:tc>
          <w:tcPr>
            <w:tcW w:w="1243" w:type="dxa"/>
            <w:vAlign w:val="center"/>
          </w:tcPr>
          <w:p w14:paraId="4A7A8E4B" w14:textId="108ED444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Melam 2018</w:t>
            </w:r>
          </w:p>
        </w:tc>
        <w:tc>
          <w:tcPr>
            <w:tcW w:w="1595" w:type="dxa"/>
            <w:vAlign w:val="center"/>
          </w:tcPr>
          <w:p w14:paraId="5AB1C1C4" w14:textId="5271EB1A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Elastic Tubing Balance Training vs. Control Group</w:t>
            </w:r>
          </w:p>
        </w:tc>
        <w:tc>
          <w:tcPr>
            <w:tcW w:w="1595" w:type="dxa"/>
            <w:vAlign w:val="center"/>
          </w:tcPr>
          <w:p w14:paraId="706352F8" w14:textId="77551956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BST</w:t>
            </w:r>
          </w:p>
        </w:tc>
        <w:tc>
          <w:tcPr>
            <w:tcW w:w="1365" w:type="dxa"/>
            <w:vAlign w:val="center"/>
          </w:tcPr>
          <w:p w14:paraId="2D72DAF9" w14:textId="16B9F0BB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</w:t>
            </w:r>
          </w:p>
        </w:tc>
        <w:tc>
          <w:tcPr>
            <w:tcW w:w="1999" w:type="dxa"/>
            <w:vAlign w:val="center"/>
          </w:tcPr>
          <w:p w14:paraId="2A474512" w14:textId="7654EC67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SST</w:t>
            </w:r>
          </w:p>
        </w:tc>
        <w:tc>
          <w:tcPr>
            <w:tcW w:w="3827" w:type="dxa"/>
            <w:vAlign w:val="center"/>
          </w:tcPr>
          <w:p w14:paraId="0B318960" w14:textId="32FE2DA5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program combined balance work with resistance/overload elements using elastic tubing</w:t>
            </w:r>
          </w:p>
        </w:tc>
      </w:tr>
      <w:tr w:rsidR="005748AB" w:rsidRPr="00A46A26" w14:paraId="61DDEA68" w14:textId="77777777" w:rsidTr="002A00F9">
        <w:trPr>
          <w:jc w:val="center"/>
        </w:trPr>
        <w:tc>
          <w:tcPr>
            <w:tcW w:w="1243" w:type="dxa"/>
            <w:vAlign w:val="center"/>
          </w:tcPr>
          <w:p w14:paraId="0DE84A3B" w14:textId="5C29E117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Naderi 2024</w:t>
            </w:r>
          </w:p>
        </w:tc>
        <w:tc>
          <w:tcPr>
            <w:tcW w:w="1595" w:type="dxa"/>
            <w:vAlign w:val="center"/>
          </w:tcPr>
          <w:p w14:paraId="2374705C" w14:textId="4DAD1A81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Mind-Body Balance (Tai Chi) vs. Control Group</w:t>
            </w:r>
          </w:p>
        </w:tc>
        <w:tc>
          <w:tcPr>
            <w:tcW w:w="1595" w:type="dxa"/>
            <w:vAlign w:val="center"/>
          </w:tcPr>
          <w:p w14:paraId="4507325E" w14:textId="02958A7C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FBT</w:t>
            </w:r>
          </w:p>
        </w:tc>
        <w:tc>
          <w:tcPr>
            <w:tcW w:w="1365" w:type="dxa"/>
            <w:vAlign w:val="center"/>
          </w:tcPr>
          <w:p w14:paraId="40241BC9" w14:textId="6A523BDF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</w:t>
            </w:r>
          </w:p>
        </w:tc>
        <w:tc>
          <w:tcPr>
            <w:tcW w:w="1999" w:type="dxa"/>
            <w:vAlign w:val="center"/>
          </w:tcPr>
          <w:p w14:paraId="444ACD7A" w14:textId="11D063E9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FBT</w:t>
            </w:r>
          </w:p>
        </w:tc>
        <w:tc>
          <w:tcPr>
            <w:tcW w:w="3827" w:type="dxa"/>
            <w:vAlign w:val="center"/>
          </w:tcPr>
          <w:p w14:paraId="04B9AAE6" w14:textId="13AE44C2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Tai Chi was coded as function-oriented, whole-body, task-integrated balance training rather than a purely surface-based protocol</w:t>
            </w:r>
          </w:p>
        </w:tc>
      </w:tr>
      <w:tr w:rsidR="005748AB" w:rsidRPr="00A46A26" w14:paraId="57B82CD9" w14:textId="77777777" w:rsidTr="002A00F9">
        <w:trPr>
          <w:jc w:val="center"/>
        </w:trPr>
        <w:tc>
          <w:tcPr>
            <w:tcW w:w="1243" w:type="dxa"/>
            <w:vAlign w:val="center"/>
          </w:tcPr>
          <w:p w14:paraId="1976821B" w14:textId="1F908FD5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Cruz-Díaz 2020</w:t>
            </w:r>
          </w:p>
        </w:tc>
        <w:tc>
          <w:tcPr>
            <w:tcW w:w="1595" w:type="dxa"/>
            <w:vAlign w:val="center"/>
          </w:tcPr>
          <w:p w14:paraId="726A15FB" w14:textId="07EAB18E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CrossFit + Self-Mobilization vs. Control Group</w:t>
            </w:r>
          </w:p>
        </w:tc>
        <w:tc>
          <w:tcPr>
            <w:tcW w:w="1595" w:type="dxa"/>
            <w:vAlign w:val="center"/>
          </w:tcPr>
          <w:p w14:paraId="6ADA25A8" w14:textId="502231C9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FBT</w:t>
            </w:r>
          </w:p>
        </w:tc>
        <w:tc>
          <w:tcPr>
            <w:tcW w:w="1365" w:type="dxa"/>
            <w:vAlign w:val="center"/>
          </w:tcPr>
          <w:p w14:paraId="4DE39863" w14:textId="0A6DB894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PC</w:t>
            </w:r>
          </w:p>
        </w:tc>
        <w:tc>
          <w:tcPr>
            <w:tcW w:w="1999" w:type="dxa"/>
            <w:vAlign w:val="center"/>
          </w:tcPr>
          <w:p w14:paraId="2F59FFA2" w14:textId="4ADCC077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FBT</w:t>
            </w:r>
          </w:p>
        </w:tc>
        <w:tc>
          <w:tcPr>
            <w:tcW w:w="3827" w:type="dxa"/>
            <w:vAlign w:val="center"/>
          </w:tcPr>
          <w:p w14:paraId="2AB0B262" w14:textId="1C285C94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CrossFit plus self-mobilization was coded as function-oriented balance training because of its multijoint, task-based, kinetic-chain emphasis</w:t>
            </w:r>
          </w:p>
        </w:tc>
      </w:tr>
      <w:tr w:rsidR="005748AB" w:rsidRPr="00A46A26" w14:paraId="6808D371" w14:textId="77777777" w:rsidTr="002A00F9">
        <w:trPr>
          <w:jc w:val="center"/>
        </w:trPr>
        <w:tc>
          <w:tcPr>
            <w:tcW w:w="1243" w:type="dxa"/>
            <w:vAlign w:val="center"/>
          </w:tcPr>
          <w:p w14:paraId="4F9D531A" w14:textId="53745E2D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Taghavi Asl 2022</w:t>
            </w:r>
          </w:p>
        </w:tc>
        <w:tc>
          <w:tcPr>
            <w:tcW w:w="1595" w:type="dxa"/>
            <w:vAlign w:val="center"/>
          </w:tcPr>
          <w:p w14:paraId="6189F737" w14:textId="324DB7F8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Wobble Board ± Cognitive Intervention vs. Wobble Board</w:t>
            </w:r>
          </w:p>
        </w:tc>
        <w:tc>
          <w:tcPr>
            <w:tcW w:w="1595" w:type="dxa"/>
            <w:vAlign w:val="center"/>
          </w:tcPr>
          <w:p w14:paraId="04DDF2F8" w14:textId="6DF0F635" w:rsidR="005748AB" w:rsidRPr="00A46A26" w:rsidRDefault="00047D7A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 w:hint="eastAsia"/>
                <w:kern w:val="0"/>
                <w:sz w:val="20"/>
                <w:szCs w:val="20"/>
              </w:rPr>
              <w:t>C</w:t>
            </w:r>
            <w:r w:rsidR="005748AB"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BT</w:t>
            </w:r>
          </w:p>
        </w:tc>
        <w:tc>
          <w:tcPr>
            <w:tcW w:w="1365" w:type="dxa"/>
            <w:vAlign w:val="center"/>
          </w:tcPr>
          <w:p w14:paraId="51BEBC7B" w14:textId="4F43FBA3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</w:t>
            </w:r>
          </w:p>
        </w:tc>
        <w:tc>
          <w:tcPr>
            <w:tcW w:w="1999" w:type="dxa"/>
            <w:vAlign w:val="center"/>
          </w:tcPr>
          <w:p w14:paraId="1D5190DB" w14:textId="7E1971B4" w:rsidR="005748AB" w:rsidRPr="00A46A26" w:rsidRDefault="005748AB" w:rsidP="0057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UST</w:t>
            </w:r>
          </w:p>
        </w:tc>
        <w:tc>
          <w:tcPr>
            <w:tcW w:w="3827" w:type="dxa"/>
            <w:vAlign w:val="center"/>
          </w:tcPr>
          <w:p w14:paraId="5D2ED0B0" w14:textId="312C1043" w:rsidR="005748AB" w:rsidRPr="00A46A26" w:rsidRDefault="005748AB" w:rsidP="005748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Experimental arm was coded as balance training in the primary-modality framework, and as unstable-surface training in Mode 3 because wobble-board perturbation was central</w:t>
            </w:r>
          </w:p>
        </w:tc>
      </w:tr>
    </w:tbl>
    <w:p w14:paraId="50D63C23" w14:textId="45251995" w:rsidR="005748AB" w:rsidRPr="00A46A26" w:rsidRDefault="005748AB" w:rsidP="005748AB">
      <w:pPr>
        <w:ind w:firstLineChars="20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A46A26">
        <w:rPr>
          <w:rFonts w:ascii="Times New Roman" w:hAnsi="Times New Roman" w:cs="Times New Roman"/>
          <w:b/>
          <w:bCs/>
          <w:sz w:val="18"/>
          <w:szCs w:val="18"/>
        </w:rPr>
        <w:t>Note:</w:t>
      </w:r>
      <w:r w:rsidRPr="00A46A26">
        <w:rPr>
          <w:rFonts w:ascii="Times New Roman" w:hAnsi="Times New Roman" w:cs="Times New Roman"/>
          <w:sz w:val="18"/>
          <w:szCs w:val="18"/>
        </w:rPr>
        <w:t xml:space="preserve"> BT, conventional balance training; WBT+BT, whole-body vibration plus balance training; WBBE, water-based balance exercise; BST, balance plus strength training; FBT, functional balance training; </w:t>
      </w:r>
      <w:r w:rsidR="00047D7A" w:rsidRPr="00A46A26">
        <w:rPr>
          <w:rFonts w:ascii="Times New Roman" w:hAnsi="Times New Roman" w:cs="Times New Roman" w:hint="eastAsia"/>
          <w:sz w:val="18"/>
          <w:szCs w:val="18"/>
        </w:rPr>
        <w:t>C</w:t>
      </w:r>
      <w:r w:rsidR="00047D7A" w:rsidRPr="00A46A26">
        <w:rPr>
          <w:rFonts w:ascii="Times New Roman" w:hAnsi="Times New Roman" w:cs="Times New Roman"/>
          <w:sz w:val="18"/>
          <w:szCs w:val="18"/>
        </w:rPr>
        <w:t xml:space="preserve">BT: </w:t>
      </w:r>
      <w:r w:rsidR="00047D7A" w:rsidRPr="00A46A26">
        <w:rPr>
          <w:rFonts w:ascii="Times New Roman" w:hAnsi="Times New Roman" w:cs="Times New Roman" w:hint="eastAsia"/>
          <w:sz w:val="18"/>
          <w:szCs w:val="18"/>
        </w:rPr>
        <w:t>C</w:t>
      </w:r>
      <w:r w:rsidR="00047D7A" w:rsidRPr="00A46A26">
        <w:rPr>
          <w:rFonts w:ascii="Times New Roman" w:hAnsi="Times New Roman" w:cs="Times New Roman"/>
          <w:sz w:val="18"/>
          <w:szCs w:val="18"/>
        </w:rPr>
        <w:t xml:space="preserve">onventional </w:t>
      </w:r>
      <w:r w:rsidR="00047D7A" w:rsidRPr="00A46A26">
        <w:rPr>
          <w:rFonts w:ascii="Times New Roman" w:hAnsi="Times New Roman" w:cs="Times New Roman" w:hint="eastAsia"/>
          <w:sz w:val="18"/>
          <w:szCs w:val="18"/>
        </w:rPr>
        <w:t>B</w:t>
      </w:r>
      <w:r w:rsidR="00047D7A" w:rsidRPr="00A46A26">
        <w:rPr>
          <w:rFonts w:ascii="Times New Roman" w:hAnsi="Times New Roman" w:cs="Times New Roman"/>
          <w:sz w:val="18"/>
          <w:szCs w:val="18"/>
        </w:rPr>
        <w:t xml:space="preserve">alance </w:t>
      </w:r>
      <w:r w:rsidR="00047D7A" w:rsidRPr="00A46A26">
        <w:rPr>
          <w:rFonts w:ascii="Times New Roman" w:hAnsi="Times New Roman" w:cs="Times New Roman" w:hint="eastAsia"/>
          <w:sz w:val="18"/>
          <w:szCs w:val="18"/>
        </w:rPr>
        <w:t>T</w:t>
      </w:r>
      <w:r w:rsidR="00047D7A" w:rsidRPr="00A46A26">
        <w:rPr>
          <w:rFonts w:ascii="Times New Roman" w:hAnsi="Times New Roman" w:cs="Times New Roman"/>
          <w:sz w:val="18"/>
          <w:szCs w:val="18"/>
        </w:rPr>
        <w:t>raining</w:t>
      </w:r>
      <w:r w:rsidR="00047D7A" w:rsidRPr="00A46A26">
        <w:rPr>
          <w:rFonts w:ascii="Times New Roman" w:hAnsi="Times New Roman" w:cs="Times New Roman" w:hint="eastAsia"/>
          <w:sz w:val="18"/>
          <w:szCs w:val="18"/>
        </w:rPr>
        <w:t xml:space="preserve">; </w:t>
      </w:r>
      <w:r w:rsidRPr="00A46A26">
        <w:rPr>
          <w:rFonts w:ascii="Times New Roman" w:hAnsi="Times New Roman" w:cs="Times New Roman"/>
          <w:sz w:val="18"/>
          <w:szCs w:val="18"/>
        </w:rPr>
        <w:t>PC, passive control; AC, active control; SST, stable-surface/conventional-surface training; UST, unstable-surface/perturbation-device training.</w:t>
      </w:r>
      <w:r w:rsidRPr="00A46A26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A46A26">
        <w:rPr>
          <w:rFonts w:ascii="Times New Roman" w:hAnsi="Times New Roman" w:cs="Times New Roman"/>
          <w:sz w:val="18"/>
          <w:szCs w:val="18"/>
        </w:rPr>
        <w:t>Some categories defined in the coding framework (e.g., WBBE) may not appear in the final pooled subgroup table if only one study met that category and single-study subgroup estimates were omitted from the revised Table 2.</w:t>
      </w:r>
    </w:p>
    <w:p w14:paraId="3F4D6D25" w14:textId="77777777" w:rsidR="002A00F9" w:rsidRPr="00A46A26" w:rsidRDefault="002A00F9" w:rsidP="005748AB">
      <w:pPr>
        <w:ind w:firstLineChars="200" w:firstLine="360"/>
        <w:jc w:val="both"/>
        <w:rPr>
          <w:rFonts w:ascii="Times New Roman" w:hAnsi="Times New Roman" w:cs="Times New Roman"/>
          <w:sz w:val="18"/>
          <w:szCs w:val="18"/>
        </w:rPr>
      </w:pPr>
    </w:p>
    <w:p w14:paraId="59224331" w14:textId="7A459C84" w:rsidR="002A00F9" w:rsidRPr="00A46A26" w:rsidRDefault="002A00F9" w:rsidP="002A00F9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/>
          <w:sz w:val="20"/>
          <w:szCs w:val="20"/>
        </w:rPr>
        <w:t>H</w:t>
      </w:r>
      <w:bookmarkStart w:id="0" w:name="OLE_LINK16"/>
      <w:r w:rsidRPr="00A46A26">
        <w:rPr>
          <w:rFonts w:ascii="Times New Roman" w:hAnsi="Times New Roman" w:cs="Times New Roman"/>
          <w:sz w:val="20"/>
          <w:szCs w:val="20"/>
        </w:rPr>
        <w:t>andling of potentially multi-ar</w:t>
      </w:r>
      <w:bookmarkEnd w:id="0"/>
      <w:r w:rsidRPr="00A46A26">
        <w:rPr>
          <w:rFonts w:ascii="Times New Roman" w:hAnsi="Times New Roman" w:cs="Times New Roman"/>
          <w:sz w:val="20"/>
          <w:szCs w:val="20"/>
        </w:rPr>
        <w:t>m trials and multiple outcome domains</w:t>
      </w:r>
    </w:p>
    <w:tbl>
      <w:tblPr>
        <w:tblStyle w:val="ab"/>
        <w:tblW w:w="992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1842"/>
        <w:gridCol w:w="2127"/>
        <w:gridCol w:w="2835"/>
        <w:gridCol w:w="1842"/>
      </w:tblGrid>
      <w:tr w:rsidR="002A00F9" w:rsidRPr="00A46A26" w14:paraId="2AFB1864" w14:textId="77777777" w:rsidTr="002A00F9">
        <w:trPr>
          <w:jc w:val="center"/>
        </w:trPr>
        <w:tc>
          <w:tcPr>
            <w:tcW w:w="12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62CD35" w14:textId="5740D9E2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Study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6742E5" w14:textId="6DF38AEA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Potential source of non-independence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57E2075" w14:textId="33252EB7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Study design feature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2B01D77" w14:textId="347DF820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Decision used in this review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74CD4" w14:textId="5FA4AEB4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Rationale</w:t>
            </w:r>
          </w:p>
        </w:tc>
      </w:tr>
      <w:tr w:rsidR="002A00F9" w:rsidRPr="00A46A26" w14:paraId="6FF7C0C8" w14:textId="77777777" w:rsidTr="002A00F9">
        <w:trPr>
          <w:jc w:val="center"/>
        </w:trPr>
        <w:tc>
          <w:tcPr>
            <w:tcW w:w="1277" w:type="dxa"/>
            <w:tcBorders>
              <w:top w:val="single" w:sz="6" w:space="0" w:color="auto"/>
            </w:tcBorders>
            <w:vAlign w:val="center"/>
          </w:tcPr>
          <w:p w14:paraId="7DE370B8" w14:textId="4BCF0961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Cain 2020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19682C1F" w14:textId="60A7ADD8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Multi-arm trial</w:t>
            </w:r>
          </w:p>
        </w:tc>
        <w:tc>
          <w:tcPr>
            <w:tcW w:w="2127" w:type="dxa"/>
            <w:tcBorders>
              <w:top w:val="single" w:sz="6" w:space="0" w:color="auto"/>
            </w:tcBorders>
            <w:vAlign w:val="center"/>
          </w:tcPr>
          <w:p w14:paraId="4C715CAE" w14:textId="1BC52EFB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Three-arm rehabilitation design</w:t>
            </w:r>
          </w:p>
        </w:tc>
        <w:tc>
          <w:tcPr>
            <w:tcW w:w="2835" w:type="dxa"/>
            <w:tcBorders>
              <w:top w:val="single" w:sz="6" w:space="0" w:color="auto"/>
            </w:tcBorders>
            <w:vAlign w:val="center"/>
          </w:tcPr>
          <w:p w14:paraId="33FD5AA0" w14:textId="76A82228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Only one eligible pairwise comparison was retained in each pooled analysis; the comparison entered into the review was BAPS board training vs control</w:t>
            </w:r>
          </w:p>
        </w:tc>
        <w:tc>
          <w:tcPr>
            <w:tcW w:w="1842" w:type="dxa"/>
            <w:tcBorders>
              <w:top w:val="single" w:sz="6" w:space="0" w:color="auto"/>
            </w:tcBorders>
            <w:vAlign w:val="center"/>
          </w:tcPr>
          <w:p w14:paraId="198A76AE" w14:textId="2B33439B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To avoid double-counting participants and shared control data</w:t>
            </w:r>
          </w:p>
        </w:tc>
      </w:tr>
      <w:tr w:rsidR="002A00F9" w:rsidRPr="00A46A26" w14:paraId="72476EB9" w14:textId="77777777" w:rsidTr="002A00F9">
        <w:trPr>
          <w:jc w:val="center"/>
        </w:trPr>
        <w:tc>
          <w:tcPr>
            <w:tcW w:w="1277" w:type="dxa"/>
            <w:vAlign w:val="center"/>
          </w:tcPr>
          <w:p w14:paraId="0EABB51E" w14:textId="68B55A83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Naderi 2025</w:t>
            </w:r>
          </w:p>
        </w:tc>
        <w:tc>
          <w:tcPr>
            <w:tcW w:w="1842" w:type="dxa"/>
            <w:vAlign w:val="center"/>
          </w:tcPr>
          <w:p w14:paraId="6C4FE822" w14:textId="105E3F31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Active-versus-active comparison</w:t>
            </w:r>
          </w:p>
        </w:tc>
        <w:tc>
          <w:tcPr>
            <w:tcW w:w="2127" w:type="dxa"/>
            <w:vAlign w:val="center"/>
          </w:tcPr>
          <w:p w14:paraId="50894EF2" w14:textId="0AAAE7FC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Water-based balance exercise vs land-based balance exercise</w:t>
            </w:r>
          </w:p>
        </w:tc>
        <w:tc>
          <w:tcPr>
            <w:tcW w:w="2835" w:type="dxa"/>
            <w:vAlign w:val="center"/>
          </w:tcPr>
          <w:p w14:paraId="3EA677A6" w14:textId="59927654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study was treated as a single pairwise comparison in the active-control framework</w:t>
            </w:r>
          </w:p>
        </w:tc>
        <w:tc>
          <w:tcPr>
            <w:tcW w:w="1842" w:type="dxa"/>
            <w:vAlign w:val="center"/>
          </w:tcPr>
          <w:p w14:paraId="1348FE10" w14:textId="62D24ECD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Participants contributed only once to each pooled analysis</w:t>
            </w:r>
          </w:p>
        </w:tc>
      </w:tr>
      <w:tr w:rsidR="002A00F9" w:rsidRPr="00A46A26" w14:paraId="565EF63C" w14:textId="77777777" w:rsidTr="002A00F9">
        <w:trPr>
          <w:jc w:val="center"/>
        </w:trPr>
        <w:tc>
          <w:tcPr>
            <w:tcW w:w="1277" w:type="dxa"/>
            <w:vAlign w:val="center"/>
          </w:tcPr>
          <w:p w14:paraId="396F90EA" w14:textId="392609F5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Mohammadi 2022</w:t>
            </w:r>
          </w:p>
        </w:tc>
        <w:tc>
          <w:tcPr>
            <w:tcW w:w="1842" w:type="dxa"/>
            <w:vAlign w:val="center"/>
          </w:tcPr>
          <w:p w14:paraId="08173575" w14:textId="0358BCAC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Multi-arm trial</w:t>
            </w:r>
          </w:p>
        </w:tc>
        <w:tc>
          <w:tcPr>
            <w:tcW w:w="2127" w:type="dxa"/>
            <w:vAlign w:val="center"/>
          </w:tcPr>
          <w:p w14:paraId="7D6A71D0" w14:textId="7E4ABC97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More than one active intervention reported in the original trial</w:t>
            </w:r>
          </w:p>
        </w:tc>
        <w:tc>
          <w:tcPr>
            <w:tcW w:w="2835" w:type="dxa"/>
            <w:vAlign w:val="center"/>
          </w:tcPr>
          <w:p w14:paraId="779D2E1F" w14:textId="1431F035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Only the balance-plus-strength vs conventional-training comparison was retained for the primary synthesis</w:t>
            </w:r>
          </w:p>
        </w:tc>
        <w:tc>
          <w:tcPr>
            <w:tcW w:w="1842" w:type="dxa"/>
            <w:vAlign w:val="center"/>
          </w:tcPr>
          <w:p w14:paraId="63FF5B50" w14:textId="5AD8E4C3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To match the prespecified intervention framework and avoid duplicate use of participants</w:t>
            </w:r>
          </w:p>
        </w:tc>
      </w:tr>
      <w:tr w:rsidR="002A00F9" w:rsidRPr="00A46A26" w14:paraId="0A91CD7B" w14:textId="77777777" w:rsidTr="002A00F9">
        <w:trPr>
          <w:jc w:val="center"/>
        </w:trPr>
        <w:tc>
          <w:tcPr>
            <w:tcW w:w="1277" w:type="dxa"/>
            <w:vAlign w:val="center"/>
          </w:tcPr>
          <w:p w14:paraId="14194466" w14:textId="4DCCFFEE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Taghavi Asl 2022</w:t>
            </w:r>
          </w:p>
        </w:tc>
        <w:tc>
          <w:tcPr>
            <w:tcW w:w="1842" w:type="dxa"/>
            <w:vAlign w:val="center"/>
          </w:tcPr>
          <w:p w14:paraId="2861C669" w14:textId="4C83274D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Parallel active arms</w:t>
            </w:r>
          </w:p>
        </w:tc>
        <w:tc>
          <w:tcPr>
            <w:tcW w:w="2127" w:type="dxa"/>
            <w:vAlign w:val="center"/>
          </w:tcPr>
          <w:p w14:paraId="4A057D51" w14:textId="5E8786A5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Wobble board with versus without cognitive intervention</w:t>
            </w:r>
          </w:p>
        </w:tc>
        <w:tc>
          <w:tcPr>
            <w:tcW w:w="2835" w:type="dxa"/>
            <w:vAlign w:val="center"/>
          </w:tcPr>
          <w:p w14:paraId="4FA557BA" w14:textId="10454156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The study was entered as one active-comparator comparison</w:t>
            </w:r>
          </w:p>
        </w:tc>
        <w:tc>
          <w:tcPr>
            <w:tcW w:w="1842" w:type="dxa"/>
            <w:vAlign w:val="center"/>
          </w:tcPr>
          <w:p w14:paraId="15236978" w14:textId="4BE8281B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To ensure that only one comparison from the same participant pool entered a given pooled model</w:t>
            </w:r>
          </w:p>
        </w:tc>
      </w:tr>
      <w:tr w:rsidR="002A00F9" w:rsidRPr="00A46A26" w14:paraId="669A3048" w14:textId="77777777" w:rsidTr="002A00F9">
        <w:trPr>
          <w:jc w:val="center"/>
        </w:trPr>
        <w:tc>
          <w:tcPr>
            <w:tcW w:w="1277" w:type="dxa"/>
            <w:vAlign w:val="center"/>
          </w:tcPr>
          <w:p w14:paraId="16849398" w14:textId="24575F90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All included studies</w:t>
            </w:r>
          </w:p>
        </w:tc>
        <w:tc>
          <w:tcPr>
            <w:tcW w:w="1842" w:type="dxa"/>
            <w:vAlign w:val="center"/>
          </w:tcPr>
          <w:p w14:paraId="771EF2A0" w14:textId="46F9E34A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Multiple dynamic-balance outcomes</w:t>
            </w:r>
          </w:p>
        </w:tc>
        <w:tc>
          <w:tcPr>
            <w:tcW w:w="2127" w:type="dxa"/>
            <w:vAlign w:val="center"/>
          </w:tcPr>
          <w:p w14:paraId="794EDE1B" w14:textId="7B916EC3" w:rsidR="002A00F9" w:rsidRPr="00A46A26" w:rsidRDefault="002A00F9" w:rsidP="002A00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Composite and direction-specific outcomes (anterior, posteromedial, posterolateral)</w:t>
            </w:r>
          </w:p>
        </w:tc>
        <w:tc>
          <w:tcPr>
            <w:tcW w:w="2835" w:type="dxa"/>
            <w:vAlign w:val="center"/>
          </w:tcPr>
          <w:p w14:paraId="61ABA6EB" w14:textId="155329BA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Each outcome domain was synthesized in a separate meta-analysis</w:t>
            </w:r>
          </w:p>
        </w:tc>
        <w:tc>
          <w:tcPr>
            <w:tcW w:w="1842" w:type="dxa"/>
            <w:vAlign w:val="center"/>
          </w:tcPr>
          <w:p w14:paraId="112F81FB" w14:textId="327473DA" w:rsidR="002A00F9" w:rsidRPr="00A46A26" w:rsidRDefault="002A00F9" w:rsidP="002A00F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kern w:val="0"/>
                <w:sz w:val="20"/>
                <w:szCs w:val="20"/>
              </w:rPr>
              <w:t>To avoid entering multiple correlated outcomes from the same study into a single pooled analysis</w:t>
            </w:r>
          </w:p>
        </w:tc>
      </w:tr>
    </w:tbl>
    <w:p w14:paraId="6EAFE584" w14:textId="77777777" w:rsidR="002A00F9" w:rsidRPr="00A46A26" w:rsidRDefault="002A00F9" w:rsidP="005748AB">
      <w:pPr>
        <w:ind w:firstLineChars="200" w:firstLine="440"/>
        <w:jc w:val="both"/>
        <w:rPr>
          <w:rFonts w:hint="eastAsia"/>
        </w:rPr>
      </w:pPr>
    </w:p>
    <w:p w14:paraId="1A709C59" w14:textId="72F60CF4" w:rsidR="006E7CA9" w:rsidRPr="00A46A26" w:rsidRDefault="006E7CA9" w:rsidP="006E7CA9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/>
          <w:sz w:val="20"/>
          <w:szCs w:val="20"/>
        </w:rPr>
        <w:t>GRADE certainty of evidence for the main outcomes</w:t>
      </w:r>
    </w:p>
    <w:tbl>
      <w:tblPr>
        <w:tblStyle w:val="ab"/>
        <w:tblW w:w="11766" w:type="dxa"/>
        <w:tblInd w:w="-1706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2"/>
        <w:gridCol w:w="778"/>
        <w:gridCol w:w="816"/>
        <w:gridCol w:w="1316"/>
        <w:gridCol w:w="1183"/>
        <w:gridCol w:w="1172"/>
        <w:gridCol w:w="1128"/>
        <w:gridCol w:w="916"/>
        <w:gridCol w:w="3095"/>
      </w:tblGrid>
      <w:tr w:rsidR="00CF328A" w:rsidRPr="00A46A26" w14:paraId="75FC40AA" w14:textId="77777777" w:rsidTr="00CF328A">
        <w:tc>
          <w:tcPr>
            <w:tcW w:w="13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5152EB6" w14:textId="547A2B98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7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ADCC97" w14:textId="6DE735F1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Pooled effect</w:t>
            </w:r>
          </w:p>
        </w:tc>
        <w:tc>
          <w:tcPr>
            <w:tcW w:w="79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8E99D8" w14:textId="5A0D4294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Risk of bias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FB0B6E7" w14:textId="49C0147C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Inconsistency</w:t>
            </w:r>
          </w:p>
        </w:tc>
        <w:tc>
          <w:tcPr>
            <w:tcW w:w="116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65A80B" w14:textId="68DEC863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Indirectness</w:t>
            </w:r>
          </w:p>
        </w:tc>
        <w:tc>
          <w:tcPr>
            <w:tcW w:w="113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EC6597" w14:textId="45BA7B05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Imprecision</w:t>
            </w:r>
          </w:p>
        </w:tc>
        <w:tc>
          <w:tcPr>
            <w:tcW w:w="11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024984" w14:textId="1E0E4EBA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Publication bias</w:t>
            </w:r>
          </w:p>
        </w:tc>
        <w:tc>
          <w:tcPr>
            <w:tcW w:w="9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DCB29F0" w14:textId="25EEFC3B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Overall certainty</w:t>
            </w:r>
          </w:p>
        </w:tc>
        <w:tc>
          <w:tcPr>
            <w:tcW w:w="323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14C5FC" w14:textId="5C4F21EC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Main reason(s) for downgrading</w:t>
            </w:r>
          </w:p>
        </w:tc>
      </w:tr>
      <w:tr w:rsidR="00CF328A" w:rsidRPr="00A46A26" w14:paraId="701FBCA1" w14:textId="77777777" w:rsidTr="00CF328A">
        <w:tc>
          <w:tcPr>
            <w:tcW w:w="1363" w:type="dxa"/>
            <w:tcBorders>
              <w:top w:val="single" w:sz="6" w:space="0" w:color="auto"/>
            </w:tcBorders>
            <w:vAlign w:val="center"/>
          </w:tcPr>
          <w:p w14:paraId="6949BE14" w14:textId="62D5474E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Composite score</w:t>
            </w:r>
          </w:p>
        </w:tc>
        <w:tc>
          <w:tcPr>
            <w:tcW w:w="778" w:type="dxa"/>
            <w:tcBorders>
              <w:top w:val="single" w:sz="6" w:space="0" w:color="auto"/>
            </w:tcBorders>
            <w:vAlign w:val="center"/>
          </w:tcPr>
          <w:p w14:paraId="4D0DFD13" w14:textId="2B1D5CBF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SMD = 1.316 (95% CI: 0.08 to 2.55)</w:t>
            </w:r>
          </w:p>
        </w:tc>
        <w:tc>
          <w:tcPr>
            <w:tcW w:w="799" w:type="dxa"/>
            <w:tcBorders>
              <w:top w:val="single" w:sz="6" w:space="0" w:color="auto"/>
            </w:tcBorders>
            <w:vAlign w:val="center"/>
          </w:tcPr>
          <w:p w14:paraId="2CB2ACC0" w14:textId="207BC3F6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14:paraId="5D9A1C56" w14:textId="47196D2A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Very serious</w:t>
            </w:r>
          </w:p>
        </w:tc>
        <w:tc>
          <w:tcPr>
            <w:tcW w:w="1167" w:type="dxa"/>
            <w:tcBorders>
              <w:top w:val="single" w:sz="6" w:space="0" w:color="auto"/>
            </w:tcBorders>
            <w:vAlign w:val="center"/>
          </w:tcPr>
          <w:p w14:paraId="7C3E003B" w14:textId="357DB1F6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139" w:type="dxa"/>
            <w:tcBorders>
              <w:top w:val="single" w:sz="6" w:space="0" w:color="auto"/>
            </w:tcBorders>
            <w:vAlign w:val="center"/>
          </w:tcPr>
          <w:p w14:paraId="719BD456" w14:textId="3220EBB5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1101" w:type="dxa"/>
            <w:tcBorders>
              <w:top w:val="single" w:sz="6" w:space="0" w:color="auto"/>
            </w:tcBorders>
            <w:vAlign w:val="center"/>
          </w:tcPr>
          <w:p w14:paraId="022DDFA8" w14:textId="33FF4137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904" w:type="dxa"/>
            <w:tcBorders>
              <w:top w:val="single" w:sz="6" w:space="0" w:color="auto"/>
            </w:tcBorders>
            <w:vAlign w:val="center"/>
          </w:tcPr>
          <w:p w14:paraId="34E9DF9D" w14:textId="6275B93D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Very low</w:t>
            </w:r>
          </w:p>
        </w:tc>
        <w:tc>
          <w:tcPr>
            <w:tcW w:w="3233" w:type="dxa"/>
            <w:tcBorders>
              <w:top w:val="single" w:sz="6" w:space="0" w:color="auto"/>
            </w:tcBorders>
            <w:vAlign w:val="center"/>
          </w:tcPr>
          <w:p w14:paraId="0B344AA1" w14:textId="59504654" w:rsidR="00CF328A" w:rsidRPr="00A46A26" w:rsidRDefault="00CF328A" w:rsidP="00C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Downgraded for risk-of-bias concerns across several included trials, very high heterogeneity (I² = 94.1%), a wide confidence interval, the CR2-adjusted sensitivity analysis in which the effect no longer remained statistically significant, and trim-and-fill evidence suggesting possible missing studies.</w:t>
            </w:r>
          </w:p>
        </w:tc>
      </w:tr>
      <w:tr w:rsidR="00CF328A" w:rsidRPr="00A46A26" w14:paraId="41AFCC91" w14:textId="77777777" w:rsidTr="00CF328A">
        <w:tc>
          <w:tcPr>
            <w:tcW w:w="1363" w:type="dxa"/>
            <w:vAlign w:val="center"/>
          </w:tcPr>
          <w:p w14:paraId="0C946AE5" w14:textId="77A6F74D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Anterior direction</w:t>
            </w:r>
          </w:p>
        </w:tc>
        <w:tc>
          <w:tcPr>
            <w:tcW w:w="778" w:type="dxa"/>
            <w:vAlign w:val="center"/>
          </w:tcPr>
          <w:p w14:paraId="34D59727" w14:textId="5B6A4FAA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SMD = 0.671 (95% CI: 0.29 to 1.06)</w:t>
            </w:r>
          </w:p>
        </w:tc>
        <w:tc>
          <w:tcPr>
            <w:tcW w:w="799" w:type="dxa"/>
            <w:vAlign w:val="center"/>
          </w:tcPr>
          <w:p w14:paraId="01148358" w14:textId="187F0EFE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1282" w:type="dxa"/>
            <w:vAlign w:val="center"/>
          </w:tcPr>
          <w:p w14:paraId="0AFF8816" w14:textId="5D6EDEC5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1167" w:type="dxa"/>
            <w:vAlign w:val="center"/>
          </w:tcPr>
          <w:p w14:paraId="0814618E" w14:textId="016503C3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139" w:type="dxa"/>
            <w:vAlign w:val="center"/>
          </w:tcPr>
          <w:p w14:paraId="10EF2DFD" w14:textId="1B4DFB4D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101" w:type="dxa"/>
            <w:vAlign w:val="center"/>
          </w:tcPr>
          <w:p w14:paraId="42C3F0E1" w14:textId="19AE79F0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904" w:type="dxa"/>
            <w:vAlign w:val="center"/>
          </w:tcPr>
          <w:p w14:paraId="71FCBF24" w14:textId="5588BDAC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3233" w:type="dxa"/>
            <w:vAlign w:val="center"/>
          </w:tcPr>
          <w:p w14:paraId="083DB0AF" w14:textId="79E14AA2" w:rsidR="00CF328A" w:rsidRPr="00A46A26" w:rsidRDefault="00CF328A" w:rsidP="00C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Downgraded for methodological limitations, substantial heterogeneity (I² = 76.6%), and possible small-study effects suggested by trim-and-fill.</w:t>
            </w:r>
          </w:p>
        </w:tc>
      </w:tr>
      <w:tr w:rsidR="00CF328A" w:rsidRPr="00A46A26" w14:paraId="5F9611B9" w14:textId="77777777" w:rsidTr="00CF328A">
        <w:tc>
          <w:tcPr>
            <w:tcW w:w="1363" w:type="dxa"/>
            <w:vAlign w:val="center"/>
          </w:tcPr>
          <w:p w14:paraId="1047A9D9" w14:textId="52F91499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Posteromedial direction</w:t>
            </w:r>
          </w:p>
        </w:tc>
        <w:tc>
          <w:tcPr>
            <w:tcW w:w="778" w:type="dxa"/>
            <w:vAlign w:val="center"/>
          </w:tcPr>
          <w:p w14:paraId="284BB523" w14:textId="38981337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SMD = 0.591 (95% CI: 0.16 to 1.02)</w:t>
            </w:r>
          </w:p>
        </w:tc>
        <w:tc>
          <w:tcPr>
            <w:tcW w:w="799" w:type="dxa"/>
            <w:vAlign w:val="center"/>
          </w:tcPr>
          <w:p w14:paraId="7B70C83E" w14:textId="3D25F275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1282" w:type="dxa"/>
            <w:vAlign w:val="center"/>
          </w:tcPr>
          <w:p w14:paraId="30BEEC22" w14:textId="73D3454C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1167" w:type="dxa"/>
            <w:vAlign w:val="center"/>
          </w:tcPr>
          <w:p w14:paraId="2775A6B3" w14:textId="0B1669CD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139" w:type="dxa"/>
            <w:vAlign w:val="center"/>
          </w:tcPr>
          <w:p w14:paraId="6788EC67" w14:textId="75E5943E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101" w:type="dxa"/>
            <w:vAlign w:val="center"/>
          </w:tcPr>
          <w:p w14:paraId="0AE22149" w14:textId="03750643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904" w:type="dxa"/>
            <w:vAlign w:val="center"/>
          </w:tcPr>
          <w:p w14:paraId="20239648" w14:textId="3B7DF602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3233" w:type="dxa"/>
            <w:vAlign w:val="center"/>
          </w:tcPr>
          <w:p w14:paraId="10491ACE" w14:textId="6A537102" w:rsidR="00CF328A" w:rsidRPr="00A46A26" w:rsidRDefault="00CF328A" w:rsidP="00C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Downgraded for methodological limitations and substantial heterogeneity (I² = 80.5%). No clear publication-bias signal was identified.</w:t>
            </w:r>
          </w:p>
        </w:tc>
      </w:tr>
      <w:tr w:rsidR="00CF328A" w:rsidRPr="00A46A26" w14:paraId="0DF38583" w14:textId="77777777" w:rsidTr="00CF328A">
        <w:tc>
          <w:tcPr>
            <w:tcW w:w="1363" w:type="dxa"/>
            <w:vAlign w:val="center"/>
          </w:tcPr>
          <w:p w14:paraId="1B32CB96" w14:textId="1E23421B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Posterolateral direction</w:t>
            </w:r>
          </w:p>
        </w:tc>
        <w:tc>
          <w:tcPr>
            <w:tcW w:w="778" w:type="dxa"/>
            <w:vAlign w:val="center"/>
          </w:tcPr>
          <w:p w14:paraId="06B90A1E" w14:textId="49ABBA42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SMD = 0.74 (95% CI: 0.12 to 1.36)</w:t>
            </w:r>
          </w:p>
        </w:tc>
        <w:tc>
          <w:tcPr>
            <w:tcW w:w="799" w:type="dxa"/>
            <w:vAlign w:val="center"/>
          </w:tcPr>
          <w:p w14:paraId="03C5E576" w14:textId="5C155582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1282" w:type="dxa"/>
            <w:vAlign w:val="center"/>
          </w:tcPr>
          <w:p w14:paraId="5A009B0F" w14:textId="397E4CC5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Serious</w:t>
            </w:r>
          </w:p>
        </w:tc>
        <w:tc>
          <w:tcPr>
            <w:tcW w:w="1167" w:type="dxa"/>
            <w:vAlign w:val="center"/>
          </w:tcPr>
          <w:p w14:paraId="64497B51" w14:textId="3D53F4AA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139" w:type="dxa"/>
            <w:vAlign w:val="center"/>
          </w:tcPr>
          <w:p w14:paraId="720CCFB4" w14:textId="58DDE217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1101" w:type="dxa"/>
            <w:vAlign w:val="center"/>
          </w:tcPr>
          <w:p w14:paraId="70892134" w14:textId="53377F5F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serious</w:t>
            </w:r>
          </w:p>
        </w:tc>
        <w:tc>
          <w:tcPr>
            <w:tcW w:w="904" w:type="dxa"/>
            <w:vAlign w:val="center"/>
          </w:tcPr>
          <w:p w14:paraId="57CBA89F" w14:textId="131E3263" w:rsidR="00CF328A" w:rsidRPr="00A46A26" w:rsidRDefault="00CF328A" w:rsidP="00CF3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Low</w:t>
            </w:r>
          </w:p>
        </w:tc>
        <w:tc>
          <w:tcPr>
            <w:tcW w:w="3233" w:type="dxa"/>
            <w:vAlign w:val="center"/>
          </w:tcPr>
          <w:p w14:paraId="3B10C8C8" w14:textId="087FAF66" w:rsidR="00CF328A" w:rsidRPr="00A46A26" w:rsidRDefault="00CF328A" w:rsidP="00CF32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Downgraded for methodological limitations and substantial heterogeneity (I² = 88.4%). No clear publication-bias signal was identified.</w:t>
            </w:r>
          </w:p>
        </w:tc>
      </w:tr>
    </w:tbl>
    <w:p w14:paraId="3191FA92" w14:textId="77777777" w:rsidR="006E7CA9" w:rsidRPr="00A46A26" w:rsidRDefault="006E7CA9" w:rsidP="005748AB">
      <w:pPr>
        <w:ind w:firstLineChars="200" w:firstLine="440"/>
        <w:jc w:val="both"/>
        <w:rPr>
          <w:rFonts w:hint="eastAsia"/>
        </w:rPr>
      </w:pPr>
    </w:p>
    <w:p w14:paraId="7504DE1D" w14:textId="77777777" w:rsidR="00CF328A" w:rsidRPr="00A46A26" w:rsidRDefault="00CF328A" w:rsidP="005748AB">
      <w:pPr>
        <w:ind w:firstLineChars="200" w:firstLine="440"/>
        <w:jc w:val="both"/>
        <w:rPr>
          <w:rFonts w:hint="eastAsia"/>
        </w:rPr>
      </w:pPr>
    </w:p>
    <w:p w14:paraId="36C28E6F" w14:textId="39A67189" w:rsidR="00FD1B84" w:rsidRPr="00A46A26" w:rsidRDefault="00FD1B84" w:rsidP="005748AB">
      <w:pPr>
        <w:ind w:firstLineChars="200" w:firstLine="400"/>
        <w:jc w:val="both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/>
          <w:sz w:val="20"/>
          <w:szCs w:val="20"/>
        </w:rPr>
        <w:t>Cluster-robust (CR2) sensitivity analyses for the primary three-level meta-analytic models</w:t>
      </w:r>
    </w:p>
    <w:tbl>
      <w:tblPr>
        <w:tblStyle w:val="ab"/>
        <w:tblW w:w="10490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993"/>
        <w:gridCol w:w="1275"/>
        <w:gridCol w:w="709"/>
        <w:gridCol w:w="992"/>
        <w:gridCol w:w="993"/>
        <w:gridCol w:w="3118"/>
      </w:tblGrid>
      <w:tr w:rsidR="00FD1B84" w:rsidRPr="00A46A26" w14:paraId="0E21883C" w14:textId="77777777" w:rsidTr="00FD1B84">
        <w:trPr>
          <w:jc w:val="center"/>
        </w:trPr>
        <w:tc>
          <w:tcPr>
            <w:tcW w:w="241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A3AA67" w14:textId="6D924DC7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Outcome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CCEF62" w14:textId="20BEC44F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Estimate</w:t>
            </w:r>
          </w:p>
        </w:tc>
        <w:tc>
          <w:tcPr>
            <w:tcW w:w="127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70864C2" w14:textId="517DBC3A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Robust SE (CR2)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0E3E5F" w14:textId="5FAAD961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t-stat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7B7876" w14:textId="3862560D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df (Satt)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C91851" w14:textId="2F8BF535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69FEA" w14:textId="274ACCD8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Interpretation</w:t>
            </w:r>
          </w:p>
        </w:tc>
      </w:tr>
      <w:tr w:rsidR="00FD1B84" w:rsidRPr="00A46A26" w14:paraId="3DC25212" w14:textId="77777777" w:rsidTr="00FD1B84">
        <w:trPr>
          <w:jc w:val="center"/>
        </w:trPr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14:paraId="3774306D" w14:textId="7BA14518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Composite score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7F729C23" w14:textId="74E4A69F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1.32</w:t>
            </w:r>
          </w:p>
        </w:tc>
        <w:tc>
          <w:tcPr>
            <w:tcW w:w="1275" w:type="dxa"/>
            <w:tcBorders>
              <w:top w:val="single" w:sz="6" w:space="0" w:color="auto"/>
            </w:tcBorders>
            <w:vAlign w:val="center"/>
          </w:tcPr>
          <w:p w14:paraId="6ADCE30C" w14:textId="02D91A2D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0.628</w:t>
            </w:r>
          </w:p>
        </w:tc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14:paraId="36FF38C6" w14:textId="5DCDDFED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831CFAE" w14:textId="3E146E0D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4.98</w:t>
            </w: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29F9388E" w14:textId="30CEC93B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0.0903</w:t>
            </w:r>
          </w:p>
        </w:tc>
        <w:tc>
          <w:tcPr>
            <w:tcW w:w="3118" w:type="dxa"/>
            <w:tcBorders>
              <w:top w:val="single" w:sz="6" w:space="0" w:color="auto"/>
            </w:tcBorders>
            <w:vAlign w:val="center"/>
          </w:tcPr>
          <w:p w14:paraId="58FB5A41" w14:textId="080AB47A" w:rsidR="00FD1B84" w:rsidRPr="00A46A26" w:rsidRDefault="00FD1B84" w:rsidP="00FD1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Not statistically significant after CR2 adjustment</w:t>
            </w:r>
          </w:p>
        </w:tc>
      </w:tr>
      <w:tr w:rsidR="00FD1B84" w:rsidRPr="00A46A26" w14:paraId="288A7B05" w14:textId="77777777" w:rsidTr="00FD1B84">
        <w:trPr>
          <w:jc w:val="center"/>
        </w:trPr>
        <w:tc>
          <w:tcPr>
            <w:tcW w:w="2410" w:type="dxa"/>
            <w:vAlign w:val="center"/>
          </w:tcPr>
          <w:p w14:paraId="62D349F0" w14:textId="1DBA7035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Anterior direction</w:t>
            </w:r>
          </w:p>
        </w:tc>
        <w:tc>
          <w:tcPr>
            <w:tcW w:w="993" w:type="dxa"/>
            <w:vAlign w:val="center"/>
          </w:tcPr>
          <w:p w14:paraId="5EC86E60" w14:textId="146F6A76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0.671</w:t>
            </w:r>
          </w:p>
        </w:tc>
        <w:tc>
          <w:tcPr>
            <w:tcW w:w="1275" w:type="dxa"/>
            <w:vAlign w:val="center"/>
          </w:tcPr>
          <w:p w14:paraId="4A3F522F" w14:textId="1153F61B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0.196</w:t>
            </w:r>
          </w:p>
        </w:tc>
        <w:tc>
          <w:tcPr>
            <w:tcW w:w="709" w:type="dxa"/>
            <w:vAlign w:val="center"/>
          </w:tcPr>
          <w:p w14:paraId="7A40B1D5" w14:textId="5D1516FD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3.42</w:t>
            </w:r>
          </w:p>
        </w:tc>
        <w:tc>
          <w:tcPr>
            <w:tcW w:w="992" w:type="dxa"/>
            <w:vAlign w:val="center"/>
          </w:tcPr>
          <w:p w14:paraId="1EF333A3" w14:textId="0D1FD60F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10.1</w:t>
            </w:r>
          </w:p>
        </w:tc>
        <w:tc>
          <w:tcPr>
            <w:tcW w:w="993" w:type="dxa"/>
            <w:vAlign w:val="center"/>
          </w:tcPr>
          <w:p w14:paraId="7310C669" w14:textId="1963B161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0.00644</w:t>
            </w:r>
          </w:p>
        </w:tc>
        <w:tc>
          <w:tcPr>
            <w:tcW w:w="3118" w:type="dxa"/>
            <w:vAlign w:val="center"/>
          </w:tcPr>
          <w:p w14:paraId="65988DF2" w14:textId="209884FF" w:rsidR="00FD1B84" w:rsidRPr="00A46A26" w:rsidRDefault="00FD1B84" w:rsidP="00FD1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Remained significant</w:t>
            </w:r>
          </w:p>
        </w:tc>
      </w:tr>
      <w:tr w:rsidR="00FD1B84" w:rsidRPr="00A46A26" w14:paraId="4145F228" w14:textId="77777777" w:rsidTr="00FD1B84">
        <w:trPr>
          <w:jc w:val="center"/>
        </w:trPr>
        <w:tc>
          <w:tcPr>
            <w:tcW w:w="2410" w:type="dxa"/>
            <w:tcBorders>
              <w:bottom w:val="nil"/>
            </w:tcBorders>
            <w:vAlign w:val="center"/>
          </w:tcPr>
          <w:p w14:paraId="639E3D31" w14:textId="1632EB4D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Posteromedial direction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489E5A7D" w14:textId="3A79B972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0.591</w:t>
            </w:r>
          </w:p>
        </w:tc>
        <w:tc>
          <w:tcPr>
            <w:tcW w:w="1275" w:type="dxa"/>
            <w:tcBorders>
              <w:bottom w:val="nil"/>
            </w:tcBorders>
            <w:vAlign w:val="center"/>
          </w:tcPr>
          <w:p w14:paraId="7E025781" w14:textId="6ACC2766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0.220</w:t>
            </w:r>
          </w:p>
        </w:tc>
        <w:tc>
          <w:tcPr>
            <w:tcW w:w="709" w:type="dxa"/>
            <w:tcBorders>
              <w:bottom w:val="nil"/>
            </w:tcBorders>
            <w:vAlign w:val="center"/>
          </w:tcPr>
          <w:p w14:paraId="3AE3F7DC" w14:textId="35105DDB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2.69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14:paraId="56A88079" w14:textId="4FED6051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10.7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14:paraId="19557BB9" w14:textId="6094E162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0.0216</w:t>
            </w:r>
          </w:p>
        </w:tc>
        <w:tc>
          <w:tcPr>
            <w:tcW w:w="3118" w:type="dxa"/>
            <w:tcBorders>
              <w:bottom w:val="nil"/>
            </w:tcBorders>
            <w:vAlign w:val="center"/>
          </w:tcPr>
          <w:p w14:paraId="7F7832E8" w14:textId="4A976443" w:rsidR="00FD1B84" w:rsidRPr="00A46A26" w:rsidRDefault="00FD1B84" w:rsidP="00FD1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Remained significant</w:t>
            </w:r>
          </w:p>
        </w:tc>
      </w:tr>
      <w:tr w:rsidR="00FD1B84" w:rsidRPr="00A46A26" w14:paraId="0168C666" w14:textId="77777777" w:rsidTr="00FD1B84">
        <w:trPr>
          <w:jc w:val="center"/>
        </w:trPr>
        <w:tc>
          <w:tcPr>
            <w:tcW w:w="2410" w:type="dxa"/>
            <w:tcBorders>
              <w:top w:val="nil"/>
              <w:bottom w:val="single" w:sz="12" w:space="0" w:color="auto"/>
            </w:tcBorders>
            <w:vAlign w:val="center"/>
          </w:tcPr>
          <w:p w14:paraId="3367B662" w14:textId="2CEE3B41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Posterolateral direction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14:paraId="2CCC9CE1" w14:textId="4A63E915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0.736</w:t>
            </w:r>
          </w:p>
        </w:tc>
        <w:tc>
          <w:tcPr>
            <w:tcW w:w="1275" w:type="dxa"/>
            <w:tcBorders>
              <w:top w:val="nil"/>
              <w:bottom w:val="single" w:sz="12" w:space="0" w:color="auto"/>
            </w:tcBorders>
            <w:vAlign w:val="center"/>
          </w:tcPr>
          <w:p w14:paraId="40AB1DF5" w14:textId="75F19481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0.316</w:t>
            </w:r>
          </w:p>
        </w:tc>
        <w:tc>
          <w:tcPr>
            <w:tcW w:w="709" w:type="dxa"/>
            <w:tcBorders>
              <w:top w:val="nil"/>
              <w:bottom w:val="single" w:sz="12" w:space="0" w:color="auto"/>
            </w:tcBorders>
            <w:vAlign w:val="center"/>
          </w:tcPr>
          <w:p w14:paraId="7FA91F02" w14:textId="4FDB1CD0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</w:p>
        </w:tc>
        <w:tc>
          <w:tcPr>
            <w:tcW w:w="992" w:type="dxa"/>
            <w:tcBorders>
              <w:top w:val="nil"/>
              <w:bottom w:val="single" w:sz="12" w:space="0" w:color="auto"/>
            </w:tcBorders>
            <w:vAlign w:val="center"/>
          </w:tcPr>
          <w:p w14:paraId="16179C38" w14:textId="23ED2C75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8.97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14:paraId="22D0DA00" w14:textId="5CCF56A0" w:rsidR="00FD1B84" w:rsidRPr="00A46A26" w:rsidRDefault="00FD1B84" w:rsidP="00FD1B8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0.0450</w:t>
            </w:r>
          </w:p>
        </w:tc>
        <w:tc>
          <w:tcPr>
            <w:tcW w:w="3118" w:type="dxa"/>
            <w:tcBorders>
              <w:top w:val="nil"/>
              <w:bottom w:val="single" w:sz="12" w:space="0" w:color="auto"/>
            </w:tcBorders>
            <w:vAlign w:val="center"/>
          </w:tcPr>
          <w:p w14:paraId="4147FAAE" w14:textId="46525E09" w:rsidR="00FD1B84" w:rsidRPr="00A46A26" w:rsidRDefault="00FD1B84" w:rsidP="00FD1B8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6A26">
              <w:rPr>
                <w:rFonts w:ascii="Times New Roman" w:hAnsi="Times New Roman" w:cs="Times New Roman"/>
                <w:sz w:val="20"/>
                <w:szCs w:val="20"/>
              </w:rPr>
              <w:t>Remained significant</w:t>
            </w:r>
          </w:p>
        </w:tc>
      </w:tr>
    </w:tbl>
    <w:p w14:paraId="7B2E0166" w14:textId="468C1BAA" w:rsidR="00FD1B84" w:rsidRPr="00FD1B84" w:rsidRDefault="00FD1B84" w:rsidP="00FD1B84">
      <w:pPr>
        <w:ind w:firstLineChars="200" w:firstLine="360"/>
        <w:jc w:val="both"/>
        <w:rPr>
          <w:rFonts w:ascii="Times New Roman" w:hAnsi="Times New Roman" w:cs="Times New Roman"/>
          <w:sz w:val="18"/>
          <w:szCs w:val="18"/>
        </w:rPr>
      </w:pPr>
      <w:r w:rsidRPr="00A46A26">
        <w:rPr>
          <w:rFonts w:ascii="Times New Roman" w:hAnsi="Times New Roman" w:cs="Times New Roman"/>
          <w:b/>
          <w:bCs/>
          <w:sz w:val="18"/>
          <w:szCs w:val="18"/>
        </w:rPr>
        <w:t>Note:</w:t>
      </w:r>
      <w:r w:rsidRPr="00A46A26">
        <w:rPr>
          <w:rFonts w:ascii="Times New Roman" w:hAnsi="Times New Roman" w:cs="Times New Roman"/>
          <w:sz w:val="18"/>
          <w:szCs w:val="18"/>
        </w:rPr>
        <w:t xml:space="preserve"> CR2-adjusted cluster-robust variance estimation was conducted using the clubSandwich package with study ID as the clustering variable. Satterthwaite degrees of freedom were used for inference. These analyses were performed as a sensitivity check for dependence among effect sizes and small-sample uncertainty.</w:t>
      </w:r>
    </w:p>
    <w:p w14:paraId="123D0B2F" w14:textId="77777777" w:rsidR="00FD1B84" w:rsidRDefault="00FD1B84" w:rsidP="005748AB">
      <w:pPr>
        <w:ind w:firstLineChars="200" w:firstLine="440"/>
        <w:jc w:val="both"/>
        <w:rPr>
          <w:rFonts w:ascii="Times New Roman" w:hAnsi="Times New Roman" w:cs="Times New Roman"/>
        </w:rPr>
      </w:pPr>
    </w:p>
    <w:p w14:paraId="64E779AF" w14:textId="209D8AD0" w:rsidR="00FD1B84" w:rsidRDefault="00FD1B84" w:rsidP="005748AB">
      <w:pPr>
        <w:ind w:firstLineChars="200" w:firstLine="440"/>
        <w:jc w:val="both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56E322E8" wp14:editId="6BAB8809">
            <wp:extent cx="5274310" cy="4206240"/>
            <wp:effectExtent l="0" t="0" r="2540" b="3810"/>
            <wp:docPr id="16540377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03770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2E9855" w14:textId="6D9387CA" w:rsidR="00FD1B84" w:rsidRPr="0086259F" w:rsidRDefault="00FD1B84" w:rsidP="00FD1B84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/>
          <w:sz w:val="20"/>
          <w:szCs w:val="20"/>
        </w:rPr>
        <w:t>CR2-adjusted cluster-robust sensitivity analysis for the composite dynamic balance score</w:t>
      </w:r>
    </w:p>
    <w:p w14:paraId="6228B5AA" w14:textId="77777777" w:rsidR="00FD1B84" w:rsidRDefault="00FD1B84" w:rsidP="005748AB">
      <w:pPr>
        <w:ind w:firstLineChars="200" w:firstLine="440"/>
        <w:jc w:val="both"/>
        <w:rPr>
          <w:rFonts w:ascii="Times New Roman" w:hAnsi="Times New Roman" w:cs="Times New Roman"/>
        </w:rPr>
      </w:pPr>
    </w:p>
    <w:p w14:paraId="578DCE7D" w14:textId="63460E29" w:rsidR="00FD1B84" w:rsidRDefault="00FD1B84" w:rsidP="005748AB">
      <w:pPr>
        <w:ind w:firstLineChars="200" w:firstLine="440"/>
        <w:jc w:val="both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119A1D5A" wp14:editId="669166C4">
            <wp:extent cx="5274310" cy="4253230"/>
            <wp:effectExtent l="0" t="0" r="2540" b="0"/>
            <wp:docPr id="5139786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978645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5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7DC1" w14:textId="3D67519D" w:rsidR="00FD1B84" w:rsidRPr="00FD1B84" w:rsidRDefault="00FD1B84" w:rsidP="00FD1B84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 w:hint="eastAsia"/>
          <w:sz w:val="20"/>
          <w:szCs w:val="20"/>
        </w:rPr>
        <w:t>CR2-adjusted cluster-robust sensitivity analysis for the anterior direction</w:t>
      </w:r>
    </w:p>
    <w:p w14:paraId="46F8D9EC" w14:textId="77777777" w:rsidR="00FD1B84" w:rsidRDefault="00FD1B84" w:rsidP="005748AB">
      <w:pPr>
        <w:ind w:firstLineChars="200" w:firstLine="440"/>
        <w:jc w:val="both"/>
        <w:rPr>
          <w:rFonts w:ascii="Times New Roman" w:hAnsi="Times New Roman" w:cs="Times New Roman"/>
        </w:rPr>
      </w:pPr>
    </w:p>
    <w:p w14:paraId="7B45E222" w14:textId="34100B4B" w:rsidR="00FD1B84" w:rsidRDefault="00FD1B84" w:rsidP="005748AB">
      <w:pPr>
        <w:ind w:firstLineChars="200" w:firstLine="440"/>
        <w:jc w:val="both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668E146F" wp14:editId="1296DD34">
            <wp:extent cx="5274310" cy="4225925"/>
            <wp:effectExtent l="0" t="0" r="2540" b="3175"/>
            <wp:docPr id="109567719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677199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9BB9D" w14:textId="7CA297F9" w:rsidR="00FD1B84" w:rsidRPr="00FD1B84" w:rsidRDefault="00FD1B84" w:rsidP="00FD1B84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 w:hint="eastAsia"/>
          <w:sz w:val="20"/>
          <w:szCs w:val="20"/>
        </w:rPr>
        <w:t>CR2-adjusted cluster-robust sensitivity analysis for the posteromedial direction</w:t>
      </w:r>
    </w:p>
    <w:p w14:paraId="02E69EC5" w14:textId="77777777" w:rsidR="00FD1B84" w:rsidRDefault="00FD1B84" w:rsidP="005748AB">
      <w:pPr>
        <w:ind w:firstLineChars="200" w:firstLine="440"/>
        <w:jc w:val="both"/>
        <w:rPr>
          <w:rFonts w:ascii="Times New Roman" w:hAnsi="Times New Roman" w:cs="Times New Roman"/>
        </w:rPr>
      </w:pPr>
    </w:p>
    <w:p w14:paraId="272EF638" w14:textId="448F4EF9" w:rsidR="00FD1B84" w:rsidRDefault="00FD1B84" w:rsidP="005748AB">
      <w:pPr>
        <w:ind w:firstLineChars="200" w:firstLine="440"/>
        <w:jc w:val="both"/>
        <w:rPr>
          <w:rFonts w:ascii="Times New Roman" w:hAnsi="Times New Roman" w:cs="Times New Roman"/>
        </w:rPr>
      </w:pPr>
      <w:r>
        <w:rPr>
          <w:noProof/>
          <w14:ligatures w14:val="none"/>
        </w:rPr>
        <w:drawing>
          <wp:inline distT="0" distB="0" distL="0" distR="0" wp14:anchorId="48D582EB" wp14:editId="3A82FEF7">
            <wp:extent cx="5274310" cy="3245485"/>
            <wp:effectExtent l="0" t="0" r="2540" b="0"/>
            <wp:docPr id="2533681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368169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53B663" w14:textId="363F2C73" w:rsidR="00FD1B84" w:rsidRPr="00FD1B84" w:rsidRDefault="00FD1B84" w:rsidP="00FD1B84">
      <w:pPr>
        <w:ind w:firstLineChars="200" w:firstLine="400"/>
        <w:jc w:val="center"/>
        <w:rPr>
          <w:rFonts w:ascii="Times New Roman" w:hAnsi="Times New Roman" w:cs="Times New Roman"/>
          <w:sz w:val="20"/>
          <w:szCs w:val="20"/>
        </w:rPr>
      </w:pPr>
      <w:r w:rsidRPr="00A46A26">
        <w:rPr>
          <w:rFonts w:ascii="Times New Roman" w:hAnsi="Times New Roman" w:cs="Times New Roman" w:hint="eastAsia"/>
          <w:sz w:val="20"/>
          <w:szCs w:val="20"/>
        </w:rPr>
        <w:t>CR2-adjusted cluster-robust sensitivity analysis for the posterolateral direction</w:t>
      </w:r>
    </w:p>
    <w:sectPr w:rsidR="00FD1B84" w:rsidRPr="00FD1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CDD1" w14:textId="77777777" w:rsidR="00A96F5A" w:rsidRDefault="00A96F5A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0AE4A4CE" w14:textId="77777777" w:rsidR="00A96F5A" w:rsidRDefault="00A96F5A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C20E8" w14:textId="77777777" w:rsidR="00A96F5A" w:rsidRDefault="00A96F5A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07648F0B" w14:textId="77777777" w:rsidR="00A96F5A" w:rsidRDefault="00A96F5A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2C8"/>
    <w:rsid w:val="00021B2E"/>
    <w:rsid w:val="0002613A"/>
    <w:rsid w:val="00026BCF"/>
    <w:rsid w:val="000472F6"/>
    <w:rsid w:val="00047D7A"/>
    <w:rsid w:val="000555CB"/>
    <w:rsid w:val="00067C8D"/>
    <w:rsid w:val="00093C7F"/>
    <w:rsid w:val="00096B30"/>
    <w:rsid w:val="000F35C6"/>
    <w:rsid w:val="0014302D"/>
    <w:rsid w:val="00164DC9"/>
    <w:rsid w:val="001D298F"/>
    <w:rsid w:val="00200EE9"/>
    <w:rsid w:val="00233278"/>
    <w:rsid w:val="002631BB"/>
    <w:rsid w:val="002A00F9"/>
    <w:rsid w:val="002A3E9E"/>
    <w:rsid w:val="002B138D"/>
    <w:rsid w:val="002B1469"/>
    <w:rsid w:val="002C68A6"/>
    <w:rsid w:val="002E2033"/>
    <w:rsid w:val="002E479E"/>
    <w:rsid w:val="00325757"/>
    <w:rsid w:val="00327DED"/>
    <w:rsid w:val="0033334B"/>
    <w:rsid w:val="00334785"/>
    <w:rsid w:val="00392E6A"/>
    <w:rsid w:val="004109B0"/>
    <w:rsid w:val="00420D3E"/>
    <w:rsid w:val="00442B4F"/>
    <w:rsid w:val="0045372F"/>
    <w:rsid w:val="00462760"/>
    <w:rsid w:val="004B5B27"/>
    <w:rsid w:val="004C29B4"/>
    <w:rsid w:val="004D2F2B"/>
    <w:rsid w:val="004E70B4"/>
    <w:rsid w:val="004F06EF"/>
    <w:rsid w:val="00500BD0"/>
    <w:rsid w:val="00530E1C"/>
    <w:rsid w:val="0053423B"/>
    <w:rsid w:val="005504F4"/>
    <w:rsid w:val="00565C40"/>
    <w:rsid w:val="005748AB"/>
    <w:rsid w:val="0059304B"/>
    <w:rsid w:val="005C016A"/>
    <w:rsid w:val="005F1A01"/>
    <w:rsid w:val="0062701D"/>
    <w:rsid w:val="00646893"/>
    <w:rsid w:val="006D0428"/>
    <w:rsid w:val="006E6446"/>
    <w:rsid w:val="006E7CA9"/>
    <w:rsid w:val="006F4CE9"/>
    <w:rsid w:val="006F7A3A"/>
    <w:rsid w:val="00701CD8"/>
    <w:rsid w:val="00704E63"/>
    <w:rsid w:val="00711408"/>
    <w:rsid w:val="00742604"/>
    <w:rsid w:val="007600CC"/>
    <w:rsid w:val="007C3FA7"/>
    <w:rsid w:val="007D4101"/>
    <w:rsid w:val="007F6826"/>
    <w:rsid w:val="0081317C"/>
    <w:rsid w:val="0086259F"/>
    <w:rsid w:val="008913C7"/>
    <w:rsid w:val="008B680D"/>
    <w:rsid w:val="00945889"/>
    <w:rsid w:val="00945C97"/>
    <w:rsid w:val="009566FA"/>
    <w:rsid w:val="009A4A37"/>
    <w:rsid w:val="00A00A2B"/>
    <w:rsid w:val="00A278CA"/>
    <w:rsid w:val="00A46A26"/>
    <w:rsid w:val="00A53E30"/>
    <w:rsid w:val="00A66A74"/>
    <w:rsid w:val="00A74BE0"/>
    <w:rsid w:val="00A96F5A"/>
    <w:rsid w:val="00AD51EA"/>
    <w:rsid w:val="00B1561E"/>
    <w:rsid w:val="00B17D27"/>
    <w:rsid w:val="00B673E4"/>
    <w:rsid w:val="00B72D6F"/>
    <w:rsid w:val="00B96D1A"/>
    <w:rsid w:val="00BB62C8"/>
    <w:rsid w:val="00BE6380"/>
    <w:rsid w:val="00BF4F2A"/>
    <w:rsid w:val="00BF6FED"/>
    <w:rsid w:val="00C22071"/>
    <w:rsid w:val="00C26766"/>
    <w:rsid w:val="00C4399A"/>
    <w:rsid w:val="00C67D6F"/>
    <w:rsid w:val="00C94689"/>
    <w:rsid w:val="00CC1352"/>
    <w:rsid w:val="00CD2BBC"/>
    <w:rsid w:val="00CF328A"/>
    <w:rsid w:val="00D01EF2"/>
    <w:rsid w:val="00D63C08"/>
    <w:rsid w:val="00D72E44"/>
    <w:rsid w:val="00D870A9"/>
    <w:rsid w:val="00D94472"/>
    <w:rsid w:val="00DA22FC"/>
    <w:rsid w:val="00DB2D79"/>
    <w:rsid w:val="00DC2461"/>
    <w:rsid w:val="00DF0031"/>
    <w:rsid w:val="00E432C1"/>
    <w:rsid w:val="00E51C20"/>
    <w:rsid w:val="00E7488D"/>
    <w:rsid w:val="00E80A37"/>
    <w:rsid w:val="00EA4B8F"/>
    <w:rsid w:val="00EB6F08"/>
    <w:rsid w:val="00ED1B9C"/>
    <w:rsid w:val="00F121DC"/>
    <w:rsid w:val="00F12B2C"/>
    <w:rsid w:val="00F27A15"/>
    <w:rsid w:val="00F33235"/>
    <w:rsid w:val="00F33360"/>
    <w:rsid w:val="00F47572"/>
    <w:rsid w:val="00F72413"/>
    <w:rsid w:val="00F812C8"/>
    <w:rsid w:val="00FB6D9D"/>
    <w:rsid w:val="00FC7831"/>
    <w:rsid w:val="00FD1B84"/>
    <w:rsid w:val="00FD5550"/>
    <w:rsid w:val="4BE31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5F2C1CD"/>
  <w15:docId w15:val="{E4002B6C-470C-4905-9CED-45D3E8856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customStyle="1" w:styleId="13">
    <w:name w:val="网格型1"/>
    <w:basedOn w:val="a1"/>
    <w:uiPriority w:val="59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945889"/>
    <w:rPr>
      <w:color w:val="0000FF"/>
      <w:u w:val="single"/>
    </w:rPr>
  </w:style>
  <w:style w:type="character" w:customStyle="1" w:styleId="16">
    <w:name w:val="16"/>
    <w:basedOn w:val="a0"/>
    <w:rsid w:val="00945889"/>
    <w:rPr>
      <w:rFonts w:ascii="Times New Roman" w:hAnsi="Times New Roman" w:cs="Times New Roman" w:hint="default"/>
      <w:b/>
    </w:rPr>
  </w:style>
  <w:style w:type="character" w:customStyle="1" w:styleId="15">
    <w:name w:val="15"/>
    <w:basedOn w:val="a0"/>
    <w:rsid w:val="006E7CA9"/>
    <w:rPr>
      <w:rFonts w:ascii="Times New Roman" w:hAnsi="Times New Roman" w:cs="Times New Roman" w:hint="default"/>
      <w:b/>
    </w:rPr>
  </w:style>
  <w:style w:type="character" w:styleId="af3">
    <w:name w:val="annotation reference"/>
    <w:basedOn w:val="a0"/>
    <w:uiPriority w:val="99"/>
    <w:semiHidden/>
    <w:unhideWhenUsed/>
    <w:rsid w:val="00F27A15"/>
    <w:rPr>
      <w:sz w:val="21"/>
      <w:szCs w:val="21"/>
    </w:rPr>
  </w:style>
  <w:style w:type="paragraph" w:styleId="af4">
    <w:name w:val="annotation text"/>
    <w:basedOn w:val="a"/>
    <w:link w:val="af5"/>
    <w:uiPriority w:val="99"/>
    <w:semiHidden/>
    <w:unhideWhenUsed/>
    <w:rsid w:val="00F27A15"/>
  </w:style>
  <w:style w:type="character" w:customStyle="1" w:styleId="af5">
    <w:name w:val="批注文字 字符"/>
    <w:basedOn w:val="a0"/>
    <w:link w:val="af4"/>
    <w:uiPriority w:val="99"/>
    <w:semiHidden/>
    <w:rsid w:val="00F27A15"/>
    <w:rPr>
      <w:kern w:val="2"/>
      <w:sz w:val="22"/>
      <w:szCs w:val="24"/>
      <w14:ligatures w14:val="standardContextual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F27A15"/>
    <w:rPr>
      <w:b/>
      <w:bCs/>
    </w:rPr>
  </w:style>
  <w:style w:type="character" w:customStyle="1" w:styleId="af7">
    <w:name w:val="批注主题 字符"/>
    <w:basedOn w:val="af5"/>
    <w:link w:val="af6"/>
    <w:uiPriority w:val="99"/>
    <w:semiHidden/>
    <w:rsid w:val="00F27A15"/>
    <w:rPr>
      <w:b/>
      <w:bCs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1973</Words>
  <Characters>11249</Characters>
  <Application>Microsoft Office Word</Application>
  <DocSecurity>0</DocSecurity>
  <Lines>93</Lines>
  <Paragraphs>26</Paragraphs>
  <ScaleCrop>false</ScaleCrop>
  <Company/>
  <LinksUpToDate>false</LinksUpToDate>
  <CharactersWithSpaces>13196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 志凯</dc:creator>
  <cp:lastModifiedBy>MECHREVO</cp:lastModifiedBy>
  <cp:revision>28</cp:revision>
  <dcterms:created xsi:type="dcterms:W3CDTF">2025-04-11T11:57:00Z</dcterms:created>
  <dcterms:modified xsi:type="dcterms:W3CDTF">2026-04-11T07:13:00Z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eyJoZGlkIjoiOWM4OWRjNDA0ODEwYmE0NTZhYTgzYTQwMzUzYzRlNmMiLCJ1c2VySWQiOiI2NTk5Mzg3MTMifQ==</vt:lpwstr>
  </property>
  <property fmtid="{D5CDD505-2E9C-101B-9397-08002B2CF9AE}" pid="3" name="KSOProductBuildVer">
    <vt:lpwstr>2052-12.1.0.21915</vt:lpwstr>
  </property>
  <property fmtid="{D5CDD505-2E9C-101B-9397-08002B2CF9AE}" pid="4" name="ICV">
    <vt:lpwstr>1F5DD8CF913840CBA6D05DF574B29EF4_12</vt:lpwstr>
  </property>
  <property fmtid="{D5CDD505-2E9C-101B-9397-08002B2CF9AE}" pid="5" name="GrammarlyDocumentId">
    <vt:lpwstr>e43f8eea-62d6-4bb5-a3a3-f242ba1e3504</vt:lpwstr>
  </property>
</Properties>
</file>