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media/image10.svg" ContentType="image/svg+xml"/>
  <Override PartName="/word/media/image12.svg" ContentType="image/svg+xml"/>
  <Override PartName="/word/media/image14.svg" ContentType="image/svg+xml"/>
  <Override PartName="/word/media/image16.svg" ContentType="image/svg+xml"/>
  <Override PartName="/word/media/image18.svg" ContentType="image/svg+xml"/>
  <Override PartName="/word/media/image20.svg" ContentType="image/svg+xml"/>
  <Override PartName="/word/media/image22.svg" ContentType="image/svg+xml"/>
  <Override PartName="/word/media/image24.svg" ContentType="image/svg+xml"/>
  <Override PartName="/word/media/image6.svg" ContentType="image/svg+xml"/>
  <Override PartName="/word/media/image8.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AF3F1">
      <w:pPr>
        <w:rPr>
          <w:rFonts w:hint="default" w:ascii="Times New Roman" w:hAnsi="Times New Roman" w:eastAsia="宋体" w:cs="Times New Roman"/>
          <w:b/>
          <w:bCs/>
          <w:color w:val="auto"/>
          <w:sz w:val="24"/>
          <w:szCs w:val="32"/>
        </w:rPr>
      </w:pPr>
      <w:bookmarkStart w:id="12" w:name="_GoBack"/>
    </w:p>
    <w:p w14:paraId="44BD3B78">
      <w:pPr>
        <w:tabs>
          <w:tab w:val="left" w:pos="260"/>
        </w:tabs>
        <w:jc w:val="center"/>
        <w:rPr>
          <w:rFonts w:hint="default" w:ascii="Times New Roman" w:hAnsi="Times New Roman" w:eastAsia="Segoe UI" w:cs="Times New Roman"/>
          <w:color w:val="auto"/>
          <w:sz w:val="24"/>
          <w:szCs w:val="24"/>
          <w:shd w:val="clear" w:color="auto" w:fill="FFFFFF"/>
        </w:rPr>
      </w:pPr>
      <w:r>
        <w:rPr>
          <w:rFonts w:hint="default" w:ascii="Times New Roman" w:hAnsi="Times New Roman" w:eastAsia="宋体" w:cs="Times New Roman"/>
          <w:b/>
          <w:bCs/>
          <w:color w:val="auto"/>
          <w:sz w:val="24"/>
          <w:szCs w:val="24"/>
          <w:shd w:val="clear" w:color="auto" w:fill="FFFFFF"/>
        </w:rPr>
        <w:t xml:space="preserve">Optimal Exercise Modality and Dose for Reducing Visceral Adipose Tissue in Overweight or Obese Adults: A Network Meta-Analysis and </w:t>
      </w:r>
      <w:r>
        <w:rPr>
          <w:rFonts w:hint="default" w:ascii="Times New Roman" w:hAnsi="Times New Roman" w:eastAsia="宋体" w:cs="Times New Roman"/>
          <w:b/>
          <w:bCs/>
          <w:color w:val="auto"/>
          <w:sz w:val="24"/>
          <w:szCs w:val="24"/>
          <w:shd w:val="clear" w:color="auto" w:fill="FFFFFF"/>
          <w:lang w:eastAsia="zh-CN"/>
        </w:rPr>
        <w:t>Dose-Response</w:t>
      </w:r>
      <w:r>
        <w:rPr>
          <w:rFonts w:hint="default" w:ascii="Times New Roman" w:hAnsi="Times New Roman" w:eastAsia="宋体" w:cs="Times New Roman"/>
          <w:b/>
          <w:bCs/>
          <w:color w:val="auto"/>
          <w:sz w:val="24"/>
          <w:szCs w:val="24"/>
          <w:shd w:val="clear" w:color="auto" w:fill="FFFFFF"/>
        </w:rPr>
        <w:t xml:space="preserve"> Study</w:t>
      </w:r>
    </w:p>
    <w:p w14:paraId="2A9F390C">
      <w:pPr>
        <w:spacing w:line="360" w:lineRule="exact"/>
        <w:jc w:val="center"/>
        <w:rPr>
          <w:rFonts w:hint="default" w:ascii="Times New Roman" w:hAnsi="Times New Roman" w:eastAsia="宋体" w:cs="Times New Roman"/>
          <w:color w:val="auto"/>
        </w:rPr>
      </w:pPr>
    </w:p>
    <w:p w14:paraId="395C3BA8">
      <w:pPr>
        <w:adjustRightInd w:val="0"/>
        <w:snapToGrid w:val="0"/>
        <w:spacing w:line="360" w:lineRule="exact"/>
        <w:rPr>
          <w:rFonts w:hint="default" w:ascii="Times New Roman" w:hAnsi="Times New Roman" w:cs="Times New Roman"/>
          <w:b/>
          <w:bCs/>
          <w:color w:val="auto"/>
        </w:rPr>
      </w:pPr>
    </w:p>
    <w:p w14:paraId="22695BA6">
      <w:pPr>
        <w:adjustRightInd w:val="0"/>
        <w:snapToGrid w:val="0"/>
        <w:spacing w:line="360" w:lineRule="exact"/>
        <w:rPr>
          <w:rFonts w:hint="default" w:ascii="Times New Roman" w:hAnsi="Times New Roman" w:cs="Times New Roman"/>
          <w:b/>
          <w:bCs/>
          <w:color w:val="auto"/>
        </w:rPr>
      </w:pPr>
    </w:p>
    <w:tbl>
      <w:tblPr>
        <w:tblStyle w:val="7"/>
        <w:tblpPr w:leftFromText="180" w:rightFromText="180" w:vertAnchor="page" w:horzAnchor="page" w:tblpXSpec="center" w:tblpY="2835"/>
        <w:tblOverlap w:val="never"/>
        <w:tblW w:w="101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6"/>
        <w:gridCol w:w="1593"/>
      </w:tblGrid>
      <w:tr w14:paraId="7ECA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single" w:color="auto" w:sz="12" w:space="0"/>
              <w:left w:val="nil"/>
              <w:bottom w:val="single" w:color="auto" w:sz="6" w:space="0"/>
              <w:right w:val="nil"/>
            </w:tcBorders>
            <w:vAlign w:val="center"/>
          </w:tcPr>
          <w:p w14:paraId="3EEDAAF3">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Supplementary materials</w:t>
            </w:r>
          </w:p>
        </w:tc>
        <w:tc>
          <w:tcPr>
            <w:tcW w:w="1593" w:type="dxa"/>
            <w:tcBorders>
              <w:top w:val="single" w:color="auto" w:sz="12" w:space="0"/>
              <w:left w:val="nil"/>
              <w:bottom w:val="single" w:color="auto" w:sz="6" w:space="0"/>
              <w:right w:val="nil"/>
            </w:tcBorders>
            <w:vAlign w:val="center"/>
          </w:tcPr>
          <w:p w14:paraId="3EC3F63B">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Page</w:t>
            </w:r>
          </w:p>
        </w:tc>
      </w:tr>
      <w:tr w14:paraId="6263E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single" w:color="auto" w:sz="6" w:space="0"/>
              <w:left w:val="nil"/>
              <w:bottom w:val="nil"/>
              <w:right w:val="nil"/>
            </w:tcBorders>
            <w:vAlign w:val="center"/>
          </w:tcPr>
          <w:p w14:paraId="2A53CF9C">
            <w:pPr>
              <w:adjustRightInd w:val="0"/>
              <w:snapToGrid w:val="0"/>
              <w:spacing w:line="360" w:lineRule="exact"/>
              <w:rPr>
                <w:rFonts w:hint="default" w:ascii="Times New Roman" w:hAnsi="Times New Roman" w:cs="Times New Roman"/>
                <w:color w:val="auto"/>
                <w:szCs w:val="21"/>
              </w:rPr>
            </w:pPr>
            <w:r>
              <w:rPr>
                <w:rFonts w:hint="default" w:ascii="Times New Roman" w:hAnsi="Times New Roman" w:cs="Times New Roman"/>
                <w:b/>
                <w:bCs/>
                <w:color w:val="auto"/>
                <w:szCs w:val="21"/>
              </w:rPr>
              <w:t>Appendix 1</w:t>
            </w:r>
            <w:r>
              <w:rPr>
                <w:rFonts w:hint="default" w:ascii="Times New Roman" w:hAnsi="Times New Roman" w:cs="Times New Roman"/>
                <w:color w:val="auto"/>
                <w:szCs w:val="21"/>
              </w:rPr>
              <w:t xml:space="preserve"> Search Strategy</w:t>
            </w:r>
          </w:p>
        </w:tc>
        <w:tc>
          <w:tcPr>
            <w:tcW w:w="1593" w:type="dxa"/>
            <w:tcBorders>
              <w:top w:val="single" w:color="auto" w:sz="6" w:space="0"/>
              <w:left w:val="nil"/>
              <w:bottom w:val="nil"/>
              <w:right w:val="nil"/>
            </w:tcBorders>
            <w:vAlign w:val="center"/>
          </w:tcPr>
          <w:p w14:paraId="6C505F46">
            <w:pPr>
              <w:widowControl/>
              <w:spacing w:line="36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P1-P4</w:t>
            </w:r>
          </w:p>
        </w:tc>
      </w:tr>
      <w:tr w14:paraId="388D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2D4EA881">
            <w:pPr>
              <w:widowControl/>
              <w:spacing w:line="360" w:lineRule="exact"/>
              <w:jc w:val="left"/>
              <w:rPr>
                <w:rFonts w:hint="default" w:ascii="Times New Roman" w:hAnsi="Times New Roman" w:cs="Times New Roman"/>
                <w:color w:val="auto"/>
                <w:szCs w:val="21"/>
              </w:rPr>
            </w:pPr>
            <w:r>
              <w:rPr>
                <w:rFonts w:hint="default" w:ascii="Times New Roman" w:hAnsi="Times New Roman" w:cs="Times New Roman"/>
                <w:b/>
                <w:bCs/>
                <w:color w:val="auto"/>
                <w:szCs w:val="21"/>
              </w:rPr>
              <w:t>Appendix 2</w:t>
            </w:r>
            <w:r>
              <w:rPr>
                <w:rFonts w:hint="default" w:ascii="Times New Roman" w:hAnsi="Times New Roman" w:cs="Times New Roman"/>
                <w:color w:val="auto"/>
                <w:szCs w:val="21"/>
              </w:rPr>
              <w:t xml:space="preserve"> </w:t>
            </w:r>
            <w:r>
              <w:rPr>
                <w:rFonts w:hint="default" w:ascii="Times New Roman" w:hAnsi="Times New Roman" w:eastAsia="宋体" w:cs="Times New Roman"/>
                <w:color w:val="auto"/>
              </w:rPr>
              <w:t xml:space="preserve">Definitions of </w:t>
            </w:r>
            <w:r>
              <w:rPr>
                <w:rFonts w:hint="default" w:ascii="Times New Roman" w:hAnsi="Times New Roman" w:eastAsia="宋体" w:cs="Times New Roman"/>
                <w:color w:val="auto"/>
              </w:rPr>
              <w:t>E</w:t>
            </w:r>
            <w:r>
              <w:rPr>
                <w:rFonts w:hint="default" w:ascii="Times New Roman" w:hAnsi="Times New Roman" w:eastAsia="宋体" w:cs="Times New Roman"/>
                <w:color w:val="auto"/>
              </w:rPr>
              <w:t xml:space="preserve">xercise </w:t>
            </w:r>
            <w:r>
              <w:rPr>
                <w:rFonts w:hint="default" w:ascii="Times New Roman" w:hAnsi="Times New Roman" w:eastAsia="宋体" w:cs="Times New Roman"/>
                <w:color w:val="auto"/>
              </w:rPr>
              <w:t>T</w:t>
            </w:r>
            <w:r>
              <w:rPr>
                <w:rFonts w:hint="default" w:ascii="Times New Roman" w:hAnsi="Times New Roman" w:eastAsia="宋体" w:cs="Times New Roman"/>
                <w:color w:val="auto"/>
              </w:rPr>
              <w:t xml:space="preserve">raining </w:t>
            </w:r>
            <w:r>
              <w:rPr>
                <w:rFonts w:hint="default" w:ascii="Times New Roman" w:hAnsi="Times New Roman" w:eastAsia="宋体" w:cs="Times New Roman"/>
                <w:color w:val="auto"/>
              </w:rPr>
              <w:t>I</w:t>
            </w:r>
            <w:r>
              <w:rPr>
                <w:rFonts w:hint="default" w:ascii="Times New Roman" w:hAnsi="Times New Roman" w:eastAsia="宋体" w:cs="Times New Roman"/>
                <w:color w:val="auto"/>
              </w:rPr>
              <w:t>nterventions</w:t>
            </w:r>
          </w:p>
        </w:tc>
        <w:tc>
          <w:tcPr>
            <w:tcW w:w="1593" w:type="dxa"/>
            <w:tcBorders>
              <w:top w:val="nil"/>
              <w:left w:val="nil"/>
              <w:bottom w:val="nil"/>
              <w:right w:val="nil"/>
            </w:tcBorders>
            <w:vAlign w:val="center"/>
          </w:tcPr>
          <w:p w14:paraId="3DA330A2">
            <w:pPr>
              <w:widowControl/>
              <w:spacing w:line="36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P5</w:t>
            </w:r>
          </w:p>
        </w:tc>
      </w:tr>
      <w:tr w14:paraId="1532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2A61E30F">
            <w:pPr>
              <w:widowControl/>
              <w:spacing w:line="360" w:lineRule="exact"/>
              <w:jc w:val="left"/>
              <w:rPr>
                <w:rFonts w:hint="default" w:ascii="Times New Roman" w:hAnsi="Times New Roman" w:cs="Times New Roman"/>
                <w:color w:val="auto"/>
                <w:szCs w:val="21"/>
              </w:rPr>
            </w:pPr>
            <w:r>
              <w:rPr>
                <w:rFonts w:hint="default" w:ascii="Times New Roman" w:hAnsi="Times New Roman" w:cs="Times New Roman"/>
                <w:b/>
                <w:bCs/>
                <w:color w:val="auto"/>
                <w:szCs w:val="21"/>
              </w:rPr>
              <w:t>Appendix 3</w:t>
            </w:r>
            <w:r>
              <w:rPr>
                <w:rFonts w:hint="default" w:ascii="Times New Roman" w:hAnsi="Times New Roman" w:cs="Times New Roman"/>
                <w:color w:val="auto"/>
                <w:szCs w:val="21"/>
              </w:rPr>
              <w:t xml:space="preserve"> </w:t>
            </w:r>
            <w:r>
              <w:rPr>
                <w:rFonts w:hint="default" w:ascii="Times New Roman" w:hAnsi="Times New Roman" w:eastAsia="宋体" w:cs="Times New Roman"/>
                <w:color w:val="auto"/>
                <w:sz w:val="21"/>
                <w:szCs w:val="21"/>
              </w:rPr>
              <w:t>Basic Characteristics and Exercise Intervention Details of the Included Studies</w:t>
            </w:r>
          </w:p>
        </w:tc>
        <w:tc>
          <w:tcPr>
            <w:tcW w:w="1593" w:type="dxa"/>
            <w:tcBorders>
              <w:top w:val="nil"/>
              <w:left w:val="nil"/>
              <w:bottom w:val="nil"/>
              <w:right w:val="nil"/>
            </w:tcBorders>
            <w:vAlign w:val="center"/>
          </w:tcPr>
          <w:p w14:paraId="08508CB2">
            <w:pPr>
              <w:widowControl/>
              <w:spacing w:line="360" w:lineRule="exact"/>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6-P10</w:t>
            </w:r>
          </w:p>
        </w:tc>
      </w:tr>
      <w:tr w14:paraId="343F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439E9E39">
            <w:pPr>
              <w:widowControl/>
              <w:spacing w:line="360" w:lineRule="exact"/>
              <w:jc w:val="left"/>
              <w:rPr>
                <w:rFonts w:hint="default" w:ascii="Times New Roman" w:hAnsi="Times New Roman" w:cs="Times New Roman"/>
                <w:color w:val="auto"/>
                <w:szCs w:val="21"/>
              </w:rPr>
            </w:pPr>
            <w:r>
              <w:rPr>
                <w:rFonts w:hint="default" w:ascii="Times New Roman" w:hAnsi="Times New Roman" w:cs="Times New Roman"/>
                <w:b/>
                <w:bCs/>
                <w:color w:val="auto"/>
                <w:szCs w:val="21"/>
              </w:rPr>
              <w:t>Appendix 4</w:t>
            </w:r>
            <w:r>
              <w:rPr>
                <w:rFonts w:hint="default" w:ascii="Times New Roman" w:hAnsi="Times New Roman" w:cs="Times New Roman"/>
                <w:color w:val="auto"/>
                <w:szCs w:val="21"/>
              </w:rPr>
              <w:t xml:space="preserve"> </w:t>
            </w:r>
            <w:r>
              <w:rPr>
                <w:rFonts w:hint="default" w:ascii="Times New Roman" w:hAnsi="Times New Roman" w:cs="Times New Roman"/>
                <w:color w:val="auto"/>
              </w:rPr>
              <w:t>Risk of Bias Assessment with the RoB</w:t>
            </w:r>
            <w:r>
              <w:rPr>
                <w:rFonts w:hint="default" w:ascii="Times New Roman" w:hAnsi="Times New Roman" w:cs="Times New Roman"/>
                <w:color w:val="auto"/>
                <w:lang w:val="en-US" w:eastAsia="zh-CN"/>
              </w:rPr>
              <w:t xml:space="preserve"> 2.0</w:t>
            </w:r>
            <w:r>
              <w:rPr>
                <w:rFonts w:hint="default" w:ascii="Times New Roman" w:hAnsi="Times New Roman" w:cs="Times New Roman"/>
                <w:color w:val="auto"/>
              </w:rPr>
              <w:t xml:space="preserve"> Tool</w:t>
            </w:r>
          </w:p>
        </w:tc>
        <w:tc>
          <w:tcPr>
            <w:tcW w:w="1593" w:type="dxa"/>
            <w:tcBorders>
              <w:top w:val="nil"/>
              <w:left w:val="nil"/>
              <w:bottom w:val="nil"/>
              <w:right w:val="nil"/>
            </w:tcBorders>
            <w:vAlign w:val="center"/>
          </w:tcPr>
          <w:p w14:paraId="3728D350">
            <w:pPr>
              <w:widowControl/>
              <w:spacing w:line="360" w:lineRule="exact"/>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color w:val="auto"/>
                <w:szCs w:val="21"/>
              </w:rPr>
              <w:t>P1</w:t>
            </w:r>
            <w:r>
              <w:rPr>
                <w:rFonts w:hint="default" w:ascii="Times New Roman" w:hAnsi="Times New Roman" w:cs="Times New Roman"/>
                <w:color w:val="auto"/>
                <w:szCs w:val="21"/>
                <w:lang w:val="en-US" w:eastAsia="zh-CN"/>
              </w:rPr>
              <w:t>1</w:t>
            </w:r>
          </w:p>
        </w:tc>
      </w:tr>
      <w:tr w14:paraId="5122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18101FCE">
            <w:pPr>
              <w:spacing w:line="360" w:lineRule="exact"/>
              <w:outlineLvl w:val="9"/>
              <w:rPr>
                <w:rFonts w:hint="default" w:ascii="Times New Roman" w:hAnsi="Times New Roman" w:cs="Times New Roman"/>
                <w:color w:val="auto"/>
                <w:szCs w:val="21"/>
              </w:rPr>
            </w:pPr>
            <w:r>
              <w:rPr>
                <w:rFonts w:hint="default" w:ascii="Times New Roman" w:hAnsi="Times New Roman" w:cs="Times New Roman"/>
                <w:b/>
                <w:bCs/>
                <w:color w:val="auto"/>
                <w:szCs w:val="21"/>
              </w:rPr>
              <w:t xml:space="preserve">Appendix </w:t>
            </w:r>
            <w:r>
              <w:rPr>
                <w:rFonts w:hint="default" w:ascii="Times New Roman" w:hAnsi="Times New Roman" w:cs="Times New Roman"/>
                <w:b/>
                <w:bCs/>
                <w:color w:val="auto"/>
                <w:szCs w:val="21"/>
              </w:rPr>
              <w:t>5</w:t>
            </w:r>
            <w:r>
              <w:rPr>
                <w:rFonts w:hint="default" w:ascii="Times New Roman" w:hAnsi="Times New Roman" w:cs="Times New Roman"/>
                <w:b/>
                <w:bCs/>
                <w:color w:val="auto"/>
                <w:szCs w:val="21"/>
              </w:rPr>
              <w:t xml:space="preserve"> </w:t>
            </w:r>
            <w:r>
              <w:rPr>
                <w:rFonts w:hint="default" w:ascii="Times New Roman" w:hAnsi="Times New Roman" w:cs="Times New Roman"/>
                <w:color w:val="auto"/>
              </w:rPr>
              <w:t>Contribution of Direct and Indirect Comparisons to the Network Meta-Analysis (NMA) and the Number of Studies in Each Direct Comparison</w:t>
            </w:r>
          </w:p>
        </w:tc>
        <w:tc>
          <w:tcPr>
            <w:tcW w:w="1593" w:type="dxa"/>
            <w:tcBorders>
              <w:top w:val="nil"/>
              <w:left w:val="nil"/>
              <w:bottom w:val="nil"/>
              <w:right w:val="nil"/>
            </w:tcBorders>
            <w:vAlign w:val="center"/>
          </w:tcPr>
          <w:p w14:paraId="4B7B380F">
            <w:pPr>
              <w:widowControl/>
              <w:spacing w:line="360" w:lineRule="exact"/>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color w:val="auto"/>
                <w:szCs w:val="21"/>
              </w:rPr>
              <w:t>P1</w:t>
            </w:r>
            <w:r>
              <w:rPr>
                <w:rFonts w:hint="default" w:ascii="Times New Roman" w:hAnsi="Times New Roman" w:cs="Times New Roman"/>
                <w:color w:val="auto"/>
                <w:szCs w:val="21"/>
                <w:lang w:val="en-US" w:eastAsia="zh-CN"/>
              </w:rPr>
              <w:t>3</w:t>
            </w:r>
          </w:p>
        </w:tc>
      </w:tr>
      <w:tr w14:paraId="3565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197DC9BD">
            <w:pPr>
              <w:spacing w:line="360" w:lineRule="exact"/>
              <w:jc w:val="left"/>
              <w:outlineLvl w:val="9"/>
              <w:rPr>
                <w:rFonts w:hint="default" w:ascii="Times New Roman" w:hAnsi="Times New Roman" w:cs="Times New Roman"/>
                <w:color w:val="auto"/>
                <w:szCs w:val="21"/>
              </w:rPr>
            </w:pPr>
            <w:r>
              <w:rPr>
                <w:rFonts w:hint="default" w:ascii="Times New Roman" w:hAnsi="Times New Roman" w:cs="Times New Roman"/>
                <w:b/>
                <w:bCs/>
                <w:color w:val="auto"/>
                <w:szCs w:val="21"/>
              </w:rPr>
              <w:t xml:space="preserve">Appendix </w:t>
            </w:r>
            <w:r>
              <w:rPr>
                <w:rFonts w:hint="default" w:ascii="Times New Roman" w:hAnsi="Times New Roman" w:cs="Times New Roman"/>
                <w:b/>
                <w:bCs/>
                <w:color w:val="auto"/>
                <w:szCs w:val="21"/>
              </w:rPr>
              <w:t>6</w:t>
            </w:r>
            <w:r>
              <w:rPr>
                <w:rFonts w:hint="default" w:ascii="Times New Roman" w:hAnsi="Times New Roman" w:cs="Times New Roman"/>
                <w:color w:val="auto"/>
                <w:szCs w:val="21"/>
              </w:rPr>
              <w:t xml:space="preserve"> </w:t>
            </w:r>
            <w:r>
              <w:rPr>
                <w:rFonts w:hint="default" w:ascii="Times New Roman" w:hAnsi="Times New Roman" w:cs="Times New Roman"/>
                <w:color w:val="auto"/>
              </w:rPr>
              <w:t>Inconsistency Analysis Using Loop, Global, and Local Inconsistency</w:t>
            </w:r>
            <w:r>
              <w:rPr>
                <w:rFonts w:hint="default" w:ascii="Times New Roman" w:hAnsi="Times New Roman" w:cs="Times New Roman"/>
                <w:color w:val="auto"/>
              </w:rPr>
              <w:t xml:space="preserve"> </w:t>
            </w:r>
            <w:r>
              <w:rPr>
                <w:rFonts w:hint="default" w:ascii="Times New Roman" w:hAnsi="Times New Roman" w:cs="Times New Roman"/>
                <w:color w:val="auto"/>
              </w:rPr>
              <w:t>Tests</w:t>
            </w:r>
          </w:p>
        </w:tc>
        <w:tc>
          <w:tcPr>
            <w:tcW w:w="1593" w:type="dxa"/>
            <w:tcBorders>
              <w:top w:val="nil"/>
              <w:left w:val="nil"/>
              <w:bottom w:val="nil"/>
              <w:right w:val="nil"/>
            </w:tcBorders>
            <w:vAlign w:val="center"/>
          </w:tcPr>
          <w:p w14:paraId="420ADA49">
            <w:pPr>
              <w:widowControl/>
              <w:spacing w:line="360" w:lineRule="exact"/>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color w:val="auto"/>
                <w:szCs w:val="21"/>
              </w:rPr>
              <w:t>P1</w:t>
            </w:r>
            <w:r>
              <w:rPr>
                <w:rFonts w:hint="default" w:ascii="Times New Roman" w:hAnsi="Times New Roman" w:cs="Times New Roman"/>
                <w:color w:val="auto"/>
                <w:szCs w:val="21"/>
                <w:lang w:val="en-US" w:eastAsia="zh-CN"/>
              </w:rPr>
              <w:t>4</w:t>
            </w:r>
          </w:p>
        </w:tc>
      </w:tr>
      <w:tr w14:paraId="48DB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7F3D7B10">
            <w:pPr>
              <w:spacing w:line="360" w:lineRule="exact"/>
              <w:rPr>
                <w:rFonts w:hint="default" w:ascii="Times New Roman" w:hAnsi="Times New Roman" w:cs="Times New Roman"/>
                <w:color w:val="auto"/>
              </w:rPr>
            </w:pPr>
            <w:r>
              <w:rPr>
                <w:rFonts w:hint="default" w:ascii="Times New Roman" w:hAnsi="Times New Roman" w:cs="Times New Roman"/>
                <w:b/>
                <w:bCs/>
                <w:color w:val="auto"/>
              </w:rPr>
              <w:t>Appendix 7</w:t>
            </w:r>
            <w:r>
              <w:rPr>
                <w:rFonts w:hint="default" w:ascii="Times New Roman" w:hAnsi="Times New Roman" w:cs="Times New Roman"/>
                <w:color w:val="auto"/>
              </w:rPr>
              <w:t xml:space="preserve"> Results of Pairwise Comparison</w:t>
            </w:r>
          </w:p>
        </w:tc>
        <w:tc>
          <w:tcPr>
            <w:tcW w:w="1593" w:type="dxa"/>
            <w:tcBorders>
              <w:top w:val="nil"/>
              <w:left w:val="nil"/>
              <w:bottom w:val="nil"/>
              <w:right w:val="nil"/>
            </w:tcBorders>
            <w:vAlign w:val="center"/>
          </w:tcPr>
          <w:p w14:paraId="74A714F0">
            <w:pPr>
              <w:widowControl/>
              <w:spacing w:line="360" w:lineRule="exact"/>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15</w:t>
            </w:r>
          </w:p>
        </w:tc>
      </w:tr>
      <w:tr w14:paraId="06EF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379AC5A3">
            <w:pPr>
              <w:widowControl/>
              <w:spacing w:line="360" w:lineRule="exact"/>
              <w:jc w:val="left"/>
              <w:outlineLvl w:val="9"/>
              <w:rPr>
                <w:rFonts w:hint="default" w:ascii="Times New Roman" w:hAnsi="Times New Roman" w:cs="Times New Roman"/>
                <w:color w:val="auto"/>
              </w:rPr>
            </w:pPr>
            <w:r>
              <w:rPr>
                <w:rFonts w:hint="default" w:ascii="Times New Roman" w:hAnsi="Times New Roman" w:cs="Times New Roman"/>
                <w:b/>
                <w:bCs/>
                <w:color w:val="auto"/>
              </w:rPr>
              <w:t>Appendix 8</w:t>
            </w:r>
            <w:r>
              <w:rPr>
                <w:rFonts w:hint="default" w:ascii="Times New Roman" w:hAnsi="Times New Roman" w:cs="Times New Roman"/>
                <w:color w:val="auto"/>
              </w:rPr>
              <w:t xml:space="preserve"> Results of the GRADE Assessment of the Quality of Evidence</w:t>
            </w:r>
          </w:p>
        </w:tc>
        <w:tc>
          <w:tcPr>
            <w:tcW w:w="1593" w:type="dxa"/>
            <w:tcBorders>
              <w:top w:val="nil"/>
              <w:left w:val="nil"/>
              <w:bottom w:val="nil"/>
              <w:right w:val="nil"/>
            </w:tcBorders>
            <w:vAlign w:val="center"/>
          </w:tcPr>
          <w:p w14:paraId="016B2822">
            <w:pPr>
              <w:widowControl/>
              <w:spacing w:line="360" w:lineRule="exact"/>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16</w:t>
            </w: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17</w:t>
            </w:r>
          </w:p>
        </w:tc>
      </w:tr>
      <w:tr w14:paraId="165A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245915BF">
            <w:pPr>
              <w:widowControl/>
              <w:spacing w:line="360" w:lineRule="exact"/>
              <w:jc w:val="left"/>
              <w:rPr>
                <w:rFonts w:hint="default" w:ascii="Times New Roman" w:hAnsi="Times New Roman" w:cs="Times New Roman"/>
                <w:color w:val="auto"/>
                <w:szCs w:val="21"/>
              </w:rPr>
            </w:pPr>
            <w:r>
              <w:rPr>
                <w:rFonts w:hint="default" w:ascii="Times New Roman" w:hAnsi="Times New Roman" w:cs="Times New Roman"/>
                <w:b/>
                <w:bCs/>
                <w:color w:val="auto"/>
                <w:szCs w:val="21"/>
              </w:rPr>
              <w:t xml:space="preserve">Appendix 9 </w:t>
            </w:r>
            <w:r>
              <w:rPr>
                <w:rFonts w:hint="default" w:ascii="Times New Roman" w:hAnsi="Times New Roman" w:cs="Times New Roman"/>
                <w:color w:val="auto"/>
              </w:rPr>
              <w:t xml:space="preserve">Key Assumptions of Bayesian </w:t>
            </w:r>
            <w:r>
              <w:rPr>
                <w:rFonts w:hint="default" w:ascii="Times New Roman" w:hAnsi="Times New Roman" w:cs="Times New Roman"/>
                <w:color w:val="auto"/>
                <w:lang w:eastAsia="zh-CN"/>
              </w:rPr>
              <w:t>Dose-Response</w:t>
            </w:r>
            <w:r>
              <w:rPr>
                <w:rFonts w:hint="default" w:ascii="Times New Roman" w:hAnsi="Times New Roman" w:cs="Times New Roman"/>
                <w:color w:val="auto"/>
              </w:rPr>
              <w:t xml:space="preserve"> Analysis</w:t>
            </w:r>
          </w:p>
        </w:tc>
        <w:tc>
          <w:tcPr>
            <w:tcW w:w="1593" w:type="dxa"/>
            <w:tcBorders>
              <w:top w:val="nil"/>
              <w:left w:val="nil"/>
              <w:bottom w:val="nil"/>
              <w:right w:val="nil"/>
            </w:tcBorders>
            <w:vAlign w:val="center"/>
          </w:tcPr>
          <w:p w14:paraId="08A3FE2B">
            <w:pPr>
              <w:widowControl/>
              <w:spacing w:line="360" w:lineRule="exact"/>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18-P21</w:t>
            </w:r>
          </w:p>
        </w:tc>
      </w:tr>
      <w:tr w14:paraId="56CF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274E0E5D">
            <w:pPr>
              <w:widowControl/>
              <w:spacing w:line="360" w:lineRule="exact"/>
              <w:jc w:val="left"/>
              <w:rPr>
                <w:rFonts w:hint="default" w:ascii="Times New Roman" w:hAnsi="Times New Roman" w:cs="Times New Roman"/>
                <w:color w:val="auto"/>
                <w:szCs w:val="21"/>
              </w:rPr>
            </w:pPr>
            <w:r>
              <w:rPr>
                <w:rFonts w:hint="default" w:ascii="Times New Roman" w:hAnsi="Times New Roman" w:cs="Times New Roman"/>
                <w:b/>
                <w:bCs/>
                <w:color w:val="auto"/>
                <w:szCs w:val="21"/>
              </w:rPr>
              <w:t>Appendix 10</w:t>
            </w:r>
            <w:r>
              <w:rPr>
                <w:rFonts w:hint="default" w:ascii="Times New Roman" w:hAnsi="Times New Roman" w:cs="Times New Roman"/>
                <w:color w:val="auto"/>
              </w:rPr>
              <w:t xml:space="preserve"> </w:t>
            </w:r>
            <w:r>
              <w:rPr>
                <w:rFonts w:hint="default" w:ascii="Times New Roman" w:hAnsi="Times New Roman" w:eastAsia="Times New Roman" w:cs="Times New Roman"/>
                <w:color w:val="auto"/>
                <w:sz w:val="22"/>
                <w:szCs w:val="22"/>
              </w:rPr>
              <w:t xml:space="preserve">Model Selection in Bayesian </w:t>
            </w:r>
            <w:r>
              <w:rPr>
                <w:rFonts w:hint="default" w:ascii="Times New Roman" w:hAnsi="Times New Roman" w:eastAsia="宋体" w:cs="Times New Roman"/>
                <w:color w:val="auto"/>
                <w:sz w:val="22"/>
                <w:szCs w:val="22"/>
                <w:lang w:eastAsia="zh-CN"/>
              </w:rPr>
              <w:t>Dose-Response</w:t>
            </w:r>
            <w:r>
              <w:rPr>
                <w:rFonts w:hint="default" w:ascii="Times New Roman" w:hAnsi="Times New Roman" w:eastAsia="Times New Roman" w:cs="Times New Roman"/>
                <w:color w:val="auto"/>
                <w:sz w:val="22"/>
                <w:szCs w:val="22"/>
              </w:rPr>
              <w:t xml:space="preserve"> Analysis</w:t>
            </w:r>
          </w:p>
        </w:tc>
        <w:tc>
          <w:tcPr>
            <w:tcW w:w="1593" w:type="dxa"/>
            <w:tcBorders>
              <w:top w:val="nil"/>
              <w:left w:val="nil"/>
              <w:bottom w:val="nil"/>
              <w:right w:val="nil"/>
            </w:tcBorders>
            <w:vAlign w:val="center"/>
          </w:tcPr>
          <w:p w14:paraId="7889BACB">
            <w:pPr>
              <w:widowControl/>
              <w:spacing w:line="36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P22-P24</w:t>
            </w:r>
          </w:p>
        </w:tc>
      </w:tr>
      <w:tr w14:paraId="34EA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nil"/>
              <w:right w:val="nil"/>
            </w:tcBorders>
            <w:vAlign w:val="center"/>
          </w:tcPr>
          <w:p w14:paraId="225356A6">
            <w:pPr>
              <w:widowControl/>
              <w:spacing w:line="360" w:lineRule="exact"/>
              <w:jc w:val="left"/>
              <w:outlineLvl w:val="9"/>
              <w:rPr>
                <w:rFonts w:hint="default" w:ascii="Times New Roman" w:hAnsi="Times New Roman" w:cs="Times New Roman"/>
                <w:b/>
                <w:bCs/>
                <w:color w:val="auto"/>
                <w:szCs w:val="21"/>
              </w:rPr>
            </w:pPr>
            <w:r>
              <w:rPr>
                <w:rFonts w:hint="default" w:ascii="Times New Roman" w:hAnsi="Times New Roman" w:cs="Times New Roman"/>
                <w:b/>
                <w:bCs/>
                <w:color w:val="auto"/>
              </w:rPr>
              <w:t>Appendix</w:t>
            </w:r>
            <w:r>
              <w:rPr>
                <w:rFonts w:hint="default" w:ascii="Times New Roman" w:hAnsi="Times New Roman" w:eastAsia="宋体" w:cs="Times New Roman"/>
                <w:b/>
                <w:bCs/>
                <w:color w:val="auto"/>
              </w:rPr>
              <w:t xml:space="preserve"> 11</w:t>
            </w:r>
            <w:r>
              <w:rPr>
                <w:rFonts w:hint="default" w:ascii="Times New Roman" w:hAnsi="Times New Roman" w:cs="Times New Roman"/>
                <w:b/>
                <w:bCs/>
                <w:color w:val="auto"/>
              </w:rPr>
              <w:t xml:space="preserve"> </w:t>
            </w:r>
            <w:r>
              <w:rPr>
                <w:rFonts w:hint="default" w:ascii="Times New Roman" w:hAnsi="Times New Roman" w:cs="Times New Roman"/>
                <w:color w:val="auto"/>
              </w:rPr>
              <w:t>Bayesian Dose-Response Relationship</w:t>
            </w:r>
          </w:p>
        </w:tc>
        <w:tc>
          <w:tcPr>
            <w:tcW w:w="1593" w:type="dxa"/>
            <w:tcBorders>
              <w:top w:val="nil"/>
              <w:left w:val="nil"/>
              <w:bottom w:val="nil"/>
              <w:right w:val="nil"/>
            </w:tcBorders>
            <w:vAlign w:val="center"/>
          </w:tcPr>
          <w:p w14:paraId="722FF585">
            <w:pPr>
              <w:widowControl/>
              <w:spacing w:line="360" w:lineRule="exact"/>
              <w:jc w:val="center"/>
              <w:rPr>
                <w:rFonts w:hint="default" w:ascii="Times New Roman" w:hAnsi="Times New Roman" w:cs="Times New Roman" w:eastAsiaTheme="minorEastAsia"/>
                <w:color w:val="auto"/>
                <w:szCs w:val="21"/>
                <w:lang w:eastAsia="zh-CN"/>
              </w:rPr>
            </w:pPr>
            <w:r>
              <w:rPr>
                <w:rFonts w:hint="default" w:ascii="Times New Roman" w:hAnsi="Times New Roman" w:cs="Times New Roman"/>
                <w:color w:val="auto"/>
                <w:szCs w:val="21"/>
              </w:rPr>
              <w:t>P25-P2</w:t>
            </w:r>
            <w:r>
              <w:rPr>
                <w:rFonts w:hint="default" w:ascii="Times New Roman" w:hAnsi="Times New Roman" w:cs="Times New Roman"/>
                <w:color w:val="auto"/>
                <w:szCs w:val="21"/>
                <w:lang w:val="en-US" w:eastAsia="zh-CN"/>
              </w:rPr>
              <w:t>7</w:t>
            </w:r>
          </w:p>
        </w:tc>
      </w:tr>
      <w:tr w14:paraId="1F7C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536" w:type="dxa"/>
            <w:tcBorders>
              <w:top w:val="nil"/>
              <w:left w:val="nil"/>
              <w:bottom w:val="single" w:color="auto" w:sz="12" w:space="0"/>
              <w:right w:val="nil"/>
            </w:tcBorders>
            <w:vAlign w:val="center"/>
          </w:tcPr>
          <w:p w14:paraId="6E07F762">
            <w:pPr>
              <w:spacing w:line="360" w:lineRule="exact"/>
              <w:rPr>
                <w:rFonts w:hint="default" w:ascii="Times New Roman" w:hAnsi="Times New Roman" w:cs="Times New Roman" w:eastAsiaTheme="minorEastAsia"/>
                <w:b/>
                <w:bCs/>
                <w:color w:val="auto"/>
                <w:lang w:val="en-US" w:eastAsia="zh-CN"/>
              </w:rPr>
            </w:pPr>
            <w:r>
              <w:rPr>
                <w:rFonts w:hint="default" w:ascii="Times New Roman" w:hAnsi="Times New Roman" w:eastAsia="Times New Roman" w:cs="Times New Roman"/>
                <w:b/>
                <w:bCs/>
                <w:color w:val="auto"/>
                <w:szCs w:val="21"/>
                <w:highlight w:val="white"/>
              </w:rPr>
              <w:t>Appendix 12</w:t>
            </w:r>
            <w:r>
              <w:rPr>
                <w:rFonts w:hint="default" w:ascii="Times New Roman" w:hAnsi="Times New Roman" w:eastAsia="Times New Roman" w:cs="Times New Roman"/>
                <w:color w:val="auto"/>
                <w:szCs w:val="21"/>
                <w:highlight w:val="white"/>
              </w:rPr>
              <w:t xml:space="preserve"> References of Included Studies</w:t>
            </w:r>
          </w:p>
        </w:tc>
        <w:tc>
          <w:tcPr>
            <w:tcW w:w="1593" w:type="dxa"/>
            <w:tcBorders>
              <w:top w:val="nil"/>
              <w:left w:val="nil"/>
              <w:bottom w:val="single" w:color="auto" w:sz="12" w:space="0"/>
              <w:right w:val="nil"/>
            </w:tcBorders>
            <w:vAlign w:val="center"/>
          </w:tcPr>
          <w:p w14:paraId="16057D8F">
            <w:pPr>
              <w:widowControl/>
              <w:spacing w:line="360" w:lineRule="exact"/>
              <w:jc w:val="center"/>
              <w:rPr>
                <w:rFonts w:hint="default" w:ascii="Times New Roman" w:hAnsi="Times New Roman" w:cs="Times New Roman" w:eastAsiaTheme="minorEastAsia"/>
                <w:color w:val="auto"/>
                <w:szCs w:val="21"/>
                <w:lang w:val="en-US" w:eastAsia="zh-CN"/>
              </w:rPr>
            </w:pPr>
            <w:r>
              <w:rPr>
                <w:rFonts w:hint="default" w:ascii="Times New Roman" w:hAnsi="Times New Roman" w:cs="Times New Roman"/>
                <w:color w:val="auto"/>
                <w:szCs w:val="21"/>
              </w:rPr>
              <w:t>P2</w:t>
            </w:r>
            <w:r>
              <w:rPr>
                <w:rFonts w:hint="default" w:ascii="Times New Roman" w:hAnsi="Times New Roman" w:cs="Times New Roman"/>
                <w:color w:val="auto"/>
                <w:szCs w:val="21"/>
                <w:lang w:val="en-US" w:eastAsia="zh-CN"/>
              </w:rPr>
              <w:t>8</w:t>
            </w:r>
            <w:r>
              <w:rPr>
                <w:rFonts w:hint="default" w:ascii="Times New Roman" w:hAnsi="Times New Roman" w:cs="Times New Roman"/>
                <w:color w:val="auto"/>
                <w:szCs w:val="21"/>
              </w:rPr>
              <w:t>-P</w:t>
            </w:r>
            <w:r>
              <w:rPr>
                <w:rFonts w:hint="default" w:ascii="Times New Roman" w:hAnsi="Times New Roman" w:cs="Times New Roman"/>
                <w:color w:val="auto"/>
                <w:szCs w:val="21"/>
                <w:lang w:val="en-US" w:eastAsia="zh-CN"/>
              </w:rPr>
              <w:t>32</w:t>
            </w:r>
          </w:p>
        </w:tc>
      </w:tr>
    </w:tbl>
    <w:p w14:paraId="280992ED">
      <w:pPr>
        <w:adjustRightInd w:val="0"/>
        <w:snapToGrid w:val="0"/>
        <w:spacing w:line="360" w:lineRule="exact"/>
        <w:rPr>
          <w:rFonts w:hint="default" w:ascii="Times New Roman" w:hAnsi="Times New Roman" w:cs="Times New Roman"/>
          <w:b/>
          <w:bCs/>
          <w:color w:val="auto"/>
        </w:rPr>
      </w:pPr>
    </w:p>
    <w:p w14:paraId="5A0CE518">
      <w:pPr>
        <w:adjustRightInd w:val="0"/>
        <w:snapToGrid w:val="0"/>
        <w:spacing w:line="360" w:lineRule="exact"/>
        <w:rPr>
          <w:rFonts w:hint="default" w:ascii="Times New Roman" w:hAnsi="Times New Roman" w:cs="Times New Roman"/>
          <w:b/>
          <w:bCs/>
          <w:color w:val="auto"/>
        </w:rPr>
      </w:pPr>
    </w:p>
    <w:p w14:paraId="3BBDBFE2">
      <w:pPr>
        <w:adjustRightInd w:val="0"/>
        <w:snapToGrid w:val="0"/>
        <w:spacing w:line="360" w:lineRule="exact"/>
        <w:rPr>
          <w:rFonts w:hint="default" w:ascii="Times New Roman" w:hAnsi="Times New Roman" w:cs="Times New Roman"/>
          <w:b/>
          <w:bCs/>
          <w:color w:val="auto"/>
        </w:rPr>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14:paraId="797705BC">
      <w:pPr>
        <w:tabs>
          <w:tab w:val="left" w:pos="260"/>
        </w:tabs>
        <w:spacing w:line="360" w:lineRule="exact"/>
        <w:jc w:val="left"/>
        <w:outlineLvl w:val="9"/>
        <w:rPr>
          <w:rFonts w:hint="default" w:ascii="Times New Roman" w:hAnsi="Times New Roman" w:cs="Times New Roman"/>
          <w:b/>
          <w:bCs/>
          <w:color w:val="auto"/>
        </w:rPr>
      </w:pP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 xml:space="preserve">1 </w:t>
      </w:r>
      <w:r>
        <w:rPr>
          <w:rFonts w:hint="default" w:ascii="Times New Roman" w:hAnsi="Times New Roman" w:cs="Times New Roman"/>
          <w:color w:val="auto"/>
        </w:rPr>
        <w:t xml:space="preserve">Search </w:t>
      </w:r>
      <w:r>
        <w:rPr>
          <w:rFonts w:hint="default" w:ascii="Times New Roman" w:hAnsi="Times New Roman" w:cs="Times New Roman"/>
          <w:color w:val="auto"/>
        </w:rPr>
        <w:t>S</w:t>
      </w:r>
      <w:r>
        <w:rPr>
          <w:rFonts w:hint="default" w:ascii="Times New Roman" w:hAnsi="Times New Roman" w:cs="Times New Roman"/>
          <w:color w:val="auto"/>
        </w:rPr>
        <w:t>trategy</w:t>
      </w:r>
    </w:p>
    <w:p w14:paraId="6623E5D2">
      <w:pPr>
        <w:tabs>
          <w:tab w:val="left" w:pos="260"/>
        </w:tabs>
        <w:spacing w:line="360" w:lineRule="exact"/>
        <w:jc w:val="left"/>
        <w:rPr>
          <w:rFonts w:hint="default" w:ascii="Times New Roman" w:hAnsi="Times New Roman" w:cs="Times New Roman"/>
          <w:color w:val="auto"/>
        </w:rPr>
      </w:pPr>
      <w:r>
        <w:rPr>
          <w:rFonts w:hint="default" w:ascii="Times New Roman" w:hAnsi="Times New Roman" w:eastAsia="宋体" w:cs="Times New Roman"/>
          <w:b/>
          <w:bCs/>
          <w:color w:val="auto"/>
        </w:rPr>
        <w:t>Table S</w:t>
      </w:r>
      <w:r>
        <w:rPr>
          <w:rFonts w:hint="default" w:ascii="Times New Roman" w:hAnsi="Times New Roman" w:eastAsia="宋体" w:cs="Times New Roman"/>
          <w:b/>
          <w:bCs/>
          <w:color w:val="auto"/>
        </w:rPr>
        <w:t>1</w:t>
      </w:r>
      <w:r>
        <w:rPr>
          <w:rFonts w:hint="default" w:ascii="Times New Roman" w:hAnsi="Times New Roman" w:eastAsia="宋体" w:cs="Times New Roman"/>
          <w:b/>
          <w:bCs/>
          <w:color w:val="auto"/>
        </w:rPr>
        <w:t xml:space="preserve"> </w:t>
      </w:r>
      <w:r>
        <w:rPr>
          <w:rFonts w:hint="default" w:ascii="Times New Roman" w:hAnsi="Times New Roman" w:eastAsia="宋体" w:cs="Times New Roman"/>
          <w:color w:val="auto"/>
        </w:rPr>
        <w:t>PubMed</w:t>
      </w:r>
    </w:p>
    <w:tbl>
      <w:tblPr>
        <w:tblStyle w:val="7"/>
        <w:tblW w:w="110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8"/>
        <w:gridCol w:w="8693"/>
        <w:gridCol w:w="1148"/>
      </w:tblGrid>
      <w:tr w14:paraId="4377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single" w:color="auto" w:sz="12" w:space="0"/>
              <w:bottom w:val="single" w:color="auto" w:sz="6" w:space="0"/>
            </w:tcBorders>
            <w:vAlign w:val="center"/>
          </w:tcPr>
          <w:p w14:paraId="0A34921E">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Search procedure</w:t>
            </w:r>
          </w:p>
        </w:tc>
        <w:tc>
          <w:tcPr>
            <w:tcW w:w="8693" w:type="dxa"/>
            <w:tcBorders>
              <w:top w:val="single" w:color="auto" w:sz="12" w:space="0"/>
              <w:bottom w:val="single" w:color="auto" w:sz="6" w:space="0"/>
            </w:tcBorders>
            <w:vAlign w:val="center"/>
          </w:tcPr>
          <w:p w14:paraId="1DD640CC">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Query</w:t>
            </w:r>
          </w:p>
        </w:tc>
        <w:tc>
          <w:tcPr>
            <w:tcW w:w="1148" w:type="dxa"/>
            <w:tcBorders>
              <w:top w:val="single" w:color="auto" w:sz="12" w:space="0"/>
              <w:bottom w:val="single" w:color="auto" w:sz="6" w:space="0"/>
            </w:tcBorders>
            <w:vAlign w:val="center"/>
          </w:tcPr>
          <w:p w14:paraId="3F8098EB">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Results</w:t>
            </w:r>
          </w:p>
        </w:tc>
      </w:tr>
      <w:tr w14:paraId="7D478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45C47B9D">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#11</w:t>
            </w:r>
          </w:p>
        </w:tc>
        <w:tc>
          <w:tcPr>
            <w:tcW w:w="8693" w:type="dxa"/>
            <w:tcBorders>
              <w:top w:val="nil"/>
            </w:tcBorders>
            <w:shd w:val="clear" w:color="auto" w:fill="auto"/>
            <w:vAlign w:val="center"/>
          </w:tcPr>
          <w:p w14:paraId="1DC71CC4">
            <w:pPr>
              <w:widowControl/>
              <w:jc w:val="left"/>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Cs w:val="21"/>
                <w:lang w:bidi="ar"/>
              </w:rPr>
              <w:t>(((("Exercise"[Mesh]) OR (((((((((((((Physical Exercise[Title/Abstract]) OR (Aerobic Exercise[Title/Abstract])) OR (Physical Activity[Title/Abstract])) OR (walking[Title/Abstract])) OR (running[Title/Abstract])) OR (cycling[Title/Abstract])) OR (resistance training[Title/Abstract])) OR (treadmill[Title/Abstract])) OR (strength training[Title/Abstract])) OR (resistance exercise[Title/Abstract])) OR (Combined Aerobic[Title/Abstract] AND Resistance Training[Title/Abstract])) OR (mixed exercise program[Title/Abstract])) OR (High-intensity interval training[Title/Abstract]))) AND (("Obesity"[Mesh]) OR ("Overweight"[Mesh]))) AND (("Intra-Abdominal Fat"[Mesh]) OR ((((((((((Intra Abdominal Fat[Title/Abstract]) OR (Intra-Abdominal Adipose Tissue[Title/Abstract])) OR (Adipose Tissue, Intra-Abdominal[Title/Abstract])) OR (Visceral Fat[Title/Abstract])) OR (Fat, Visceral[Title/Abstract])) OR (Visceral Adipose Tissue[Title/Abstract])) OR (Abdominal Visceral Fat[Title/Abstract])) OR (Fat, Abdominal Visceral[Title/Abstract])) OR (Retroperitoneal Fat[Title/Abstract])) OR (Retroperitoneal Adipose Tissue[Title/Abstract])))) AND ((((randomized controlled trial[Title/Abstract]) OR (randomized[Title/Abstract])) OR (placebo[Title/Abstract])) OR (RCT[Title/Abstract]))</w:t>
            </w:r>
          </w:p>
        </w:tc>
        <w:tc>
          <w:tcPr>
            <w:tcW w:w="1148" w:type="dxa"/>
            <w:tcBorders>
              <w:top w:val="nil"/>
            </w:tcBorders>
            <w:shd w:val="clear" w:color="auto" w:fill="auto"/>
            <w:vAlign w:val="center"/>
          </w:tcPr>
          <w:p w14:paraId="7AA73FCD">
            <w:pPr>
              <w:widowControl/>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Cs w:val="21"/>
                <w:lang w:bidi="ar"/>
              </w:rPr>
              <w:t>180</w:t>
            </w:r>
          </w:p>
        </w:tc>
      </w:tr>
      <w:tr w14:paraId="340D6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3C5D6DED">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8693" w:type="dxa"/>
            <w:tcBorders>
              <w:top w:val="nil"/>
            </w:tcBorders>
            <w:shd w:val="clear" w:color="auto" w:fill="auto"/>
            <w:vAlign w:val="center"/>
          </w:tcPr>
          <w:p w14:paraId="674EF7FC">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(((randomized controlled trial[Title/Abstract]) OR (randomized[Title/Abstract])) OR (placebo[Title/Abstract])) OR (RCT[Title/Abstract])</w:t>
            </w:r>
          </w:p>
        </w:tc>
        <w:tc>
          <w:tcPr>
            <w:tcW w:w="1148" w:type="dxa"/>
            <w:tcBorders>
              <w:top w:val="nil"/>
            </w:tcBorders>
            <w:shd w:val="clear" w:color="auto" w:fill="auto"/>
            <w:vAlign w:val="center"/>
          </w:tcPr>
          <w:p w14:paraId="5B8C650C">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959230</w:t>
            </w:r>
          </w:p>
        </w:tc>
      </w:tr>
      <w:tr w14:paraId="30FE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019FF121">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8693" w:type="dxa"/>
            <w:tcBorders>
              <w:top w:val="nil"/>
            </w:tcBorders>
            <w:shd w:val="clear" w:color="auto" w:fill="auto"/>
            <w:vAlign w:val="center"/>
          </w:tcPr>
          <w:p w14:paraId="6FF23FCC">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("Intra-Abdominal Fat"[Mesh]) OR ((((((((((Intra Abdominal Fat[Title/Abstract]) OR (Intra-Abdominal Adipose Tissue[Title/Abstract])) OR (Adipose Tissue, Intra-Abdominal[Title/Abstract])) OR (Visceral Fat[Title/Abstract])) OR (Fat, Visceral[Title/Abstract])) OR (Visceral Adipose Tissue[Title/Abstract])) OR (Abdominal Visceral Fat[Title/Abstract])) OR (Fat, Abdominal Visceral[Title/Abstract])) OR (Retroperitoneal Fat[Title/Abstract])) OR (Retroperitoneal Adipose Tissue[Title/Abstract]))</w:t>
            </w:r>
          </w:p>
        </w:tc>
        <w:tc>
          <w:tcPr>
            <w:tcW w:w="1148" w:type="dxa"/>
            <w:tcBorders>
              <w:top w:val="nil"/>
            </w:tcBorders>
            <w:shd w:val="clear" w:color="auto" w:fill="auto"/>
            <w:vAlign w:val="center"/>
          </w:tcPr>
          <w:p w14:paraId="3B8679E2">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22095</w:t>
            </w:r>
          </w:p>
        </w:tc>
      </w:tr>
      <w:tr w14:paraId="007CD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3634A01A">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8693" w:type="dxa"/>
            <w:tcBorders>
              <w:top w:val="nil"/>
            </w:tcBorders>
            <w:shd w:val="clear" w:color="auto" w:fill="auto"/>
            <w:vAlign w:val="center"/>
          </w:tcPr>
          <w:p w14:paraId="1BEED5B2">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(((((((((Intra Abdominal Fat[Title/Abstract]) OR (Intra-Abdominal Adipose Tissue[Title/Abstract])) OR (Adipose Tissue, Intra-Abdominal[Title/Abstract])) OR (Visceral Fat[Title/Abstract])) OR (Fat, Visceral[Title/Abstract])) OR (Visceral Adipose Tissue[Title/Abstract])) OR (Abdominal Visceral Fat[Title/Abstract])) OR (Fat, Abdominal Visceral[Title/Abstract])) OR (Retroperitoneal Fat[Title/Abstract])) OR (Retroperitoneal Adipose Tissue[Title/Abstract])</w:t>
            </w:r>
          </w:p>
        </w:tc>
        <w:tc>
          <w:tcPr>
            <w:tcW w:w="1148" w:type="dxa"/>
            <w:tcBorders>
              <w:top w:val="nil"/>
            </w:tcBorders>
            <w:shd w:val="clear" w:color="auto" w:fill="auto"/>
            <w:vAlign w:val="center"/>
          </w:tcPr>
          <w:p w14:paraId="3488D5BF">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20066</w:t>
            </w:r>
          </w:p>
        </w:tc>
      </w:tr>
      <w:tr w14:paraId="1FD6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4F4B8612">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8693" w:type="dxa"/>
            <w:tcBorders>
              <w:top w:val="nil"/>
            </w:tcBorders>
            <w:shd w:val="clear" w:color="auto" w:fill="auto"/>
            <w:vAlign w:val="center"/>
          </w:tcPr>
          <w:p w14:paraId="1F634911">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"Intra-Abdominal Fat"[Mesh]</w:t>
            </w:r>
          </w:p>
        </w:tc>
        <w:tc>
          <w:tcPr>
            <w:tcW w:w="1148" w:type="dxa"/>
            <w:tcBorders>
              <w:top w:val="nil"/>
            </w:tcBorders>
            <w:shd w:val="clear" w:color="auto" w:fill="auto"/>
            <w:vAlign w:val="center"/>
          </w:tcPr>
          <w:p w14:paraId="3EF6DF07">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8008</w:t>
            </w:r>
          </w:p>
        </w:tc>
      </w:tr>
      <w:tr w14:paraId="7D58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top w:val="nil"/>
            </w:tcBorders>
            <w:vAlign w:val="center"/>
          </w:tcPr>
          <w:p w14:paraId="112ED883">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#6</w:t>
            </w:r>
          </w:p>
        </w:tc>
        <w:tc>
          <w:tcPr>
            <w:tcW w:w="8693" w:type="dxa"/>
            <w:tcBorders>
              <w:top w:val="nil"/>
            </w:tcBorders>
            <w:shd w:val="clear" w:color="auto" w:fill="auto"/>
            <w:vAlign w:val="center"/>
          </w:tcPr>
          <w:p w14:paraId="4D34D23C">
            <w:pPr>
              <w:widowControl/>
              <w:jc w:val="left"/>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("Obesity"[Mesh]) OR ("Overweight"[Mesh])</w:t>
            </w:r>
          </w:p>
        </w:tc>
        <w:tc>
          <w:tcPr>
            <w:tcW w:w="1148" w:type="dxa"/>
            <w:tcBorders>
              <w:top w:val="nil"/>
            </w:tcBorders>
            <w:shd w:val="clear" w:color="auto" w:fill="auto"/>
            <w:vAlign w:val="center"/>
          </w:tcPr>
          <w:p w14:paraId="7E722DEC">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lang w:bidi="ar"/>
              </w:rPr>
              <w:t>304629</w:t>
            </w:r>
          </w:p>
        </w:tc>
      </w:tr>
      <w:tr w14:paraId="53E4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vAlign w:val="center"/>
          </w:tcPr>
          <w:p w14:paraId="4CFF2313">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w:t>
            </w:r>
          </w:p>
        </w:tc>
        <w:tc>
          <w:tcPr>
            <w:tcW w:w="8693" w:type="dxa"/>
            <w:vAlign w:val="center"/>
          </w:tcPr>
          <w:p w14:paraId="72F15CDA">
            <w:pPr>
              <w:widowControl/>
              <w:jc w:val="left"/>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"Overweight"[Mesh]</w:t>
            </w:r>
          </w:p>
        </w:tc>
        <w:tc>
          <w:tcPr>
            <w:tcW w:w="1148" w:type="dxa"/>
            <w:vAlign w:val="center"/>
          </w:tcPr>
          <w:p w14:paraId="308405F1">
            <w:pPr>
              <w:widowControl/>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304629</w:t>
            </w:r>
          </w:p>
        </w:tc>
      </w:tr>
      <w:tr w14:paraId="3E57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vAlign w:val="center"/>
          </w:tcPr>
          <w:p w14:paraId="07DA992E">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w:t>
            </w:r>
          </w:p>
        </w:tc>
        <w:tc>
          <w:tcPr>
            <w:tcW w:w="8693" w:type="dxa"/>
            <w:vAlign w:val="center"/>
          </w:tcPr>
          <w:p w14:paraId="68333520">
            <w:pPr>
              <w:widowControl/>
              <w:jc w:val="left"/>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"Obesity"[Mesh]</w:t>
            </w:r>
          </w:p>
        </w:tc>
        <w:tc>
          <w:tcPr>
            <w:tcW w:w="1148" w:type="dxa"/>
            <w:vAlign w:val="center"/>
          </w:tcPr>
          <w:p w14:paraId="0F8A0E67">
            <w:pPr>
              <w:widowControl/>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292444</w:t>
            </w:r>
          </w:p>
        </w:tc>
      </w:tr>
      <w:tr w14:paraId="1E11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vAlign w:val="center"/>
          </w:tcPr>
          <w:p w14:paraId="36A3D308">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#3</w:t>
            </w:r>
          </w:p>
        </w:tc>
        <w:tc>
          <w:tcPr>
            <w:tcW w:w="8693" w:type="dxa"/>
            <w:vAlign w:val="center"/>
          </w:tcPr>
          <w:p w14:paraId="45E3B000">
            <w:pPr>
              <w:widowControl/>
              <w:jc w:val="left"/>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("Exercise"[Mesh]) OR (((((((((((((Physical Exercise[Title/Abstract]) OR (Aerobic Exercise[Title/Abstract])) OR (Physical Activity[Title/Abstract])) OR (walking[Title/Abstract])) OR (running[Title/Abstract])) OR (cycling[Title/Abstract])) OR (resistance training[Title/Abstract])) OR (treadmill[Title/Abstract])) OR (strength training[Title/Abstract])) OR (resistance exercise[Title/Abstract])) OR (Combined Aerobic[Title/Abstract] AND Resistance Training[Title/Abstract])) OR (mixed exercise program[Title/Abstract])) OR (High-intensity interval training[Title/Abstract]))</w:t>
            </w:r>
          </w:p>
        </w:tc>
        <w:tc>
          <w:tcPr>
            <w:tcW w:w="1148" w:type="dxa"/>
            <w:vAlign w:val="center"/>
          </w:tcPr>
          <w:p w14:paraId="4AE3BE86">
            <w:pPr>
              <w:widowControl/>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639251</w:t>
            </w:r>
          </w:p>
        </w:tc>
      </w:tr>
      <w:tr w14:paraId="0F8D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vAlign w:val="center"/>
          </w:tcPr>
          <w:p w14:paraId="0D924C32">
            <w:pPr>
              <w:spacing w:line="360" w:lineRule="exact"/>
              <w:ind w:firstLine="420" w:firstLineChars="200"/>
              <w:jc w:val="center"/>
              <w:rPr>
                <w:rFonts w:hint="default" w:ascii="Times New Roman" w:hAnsi="Times New Roman" w:eastAsia="宋体" w:cs="Times New Roman"/>
                <w:color w:val="auto"/>
                <w:szCs w:val="21"/>
              </w:rPr>
            </w:pPr>
          </w:p>
          <w:p w14:paraId="4081D62F">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#2</w:t>
            </w:r>
          </w:p>
        </w:tc>
        <w:tc>
          <w:tcPr>
            <w:tcW w:w="8693" w:type="dxa"/>
            <w:vAlign w:val="center"/>
          </w:tcPr>
          <w:p w14:paraId="50028F82">
            <w:pPr>
              <w:widowControl/>
              <w:jc w:val="left"/>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((((((((((((Physical Exercise[Title/Abstract]) OR (Aerobic Exercise[Title/Abstract])) OR (Physical Activity[Title/Abstract])) OR (walking[Title/Abstract])) OR (running[Title/Abstract])) OR (cycling[Title/Abstract])) OR (resistance training[Title/Abstract])) OR (treadmill[Title/Abstract])) OR (strength training[Title/Abstract])) OR (resistance exercise[Title/Abstract])) OR (Combined Aerobic[Title/Abstract] AND Resistance Training[Title/Abstract])) OR (mixed exercise program[Title/Abstract])) OR (High-intensity interval training[Title/Abstract])</w:t>
            </w:r>
          </w:p>
        </w:tc>
        <w:tc>
          <w:tcPr>
            <w:tcW w:w="1148" w:type="dxa"/>
            <w:vAlign w:val="center"/>
          </w:tcPr>
          <w:p w14:paraId="0D483E2E">
            <w:pPr>
              <w:widowControl/>
              <w:jc w:val="center"/>
              <w:textAlignment w:val="center"/>
              <w:rPr>
                <w:rFonts w:hint="default" w:ascii="Times New Roman" w:hAnsi="Times New Roman" w:eastAsia="宋体" w:cs="Times New Roman"/>
                <w:color w:val="auto"/>
                <w:kern w:val="0"/>
                <w:szCs w:val="21"/>
                <w:lang w:bidi="ar"/>
              </w:rPr>
            </w:pPr>
          </w:p>
          <w:p w14:paraId="278616EC">
            <w:pPr>
              <w:widowControl/>
              <w:jc w:val="center"/>
              <w:textAlignment w:val="center"/>
              <w:rPr>
                <w:rFonts w:hint="default" w:ascii="Times New Roman" w:hAnsi="Times New Roman" w:eastAsia="宋体" w:cs="Times New Roman"/>
                <w:color w:val="auto"/>
                <w:kern w:val="0"/>
                <w:szCs w:val="21"/>
                <w:lang w:bidi="ar"/>
              </w:rPr>
            </w:pPr>
          </w:p>
          <w:p w14:paraId="5E2A15A7">
            <w:pPr>
              <w:widowControl/>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520252</w:t>
            </w:r>
          </w:p>
        </w:tc>
      </w:tr>
      <w:tr w14:paraId="4C862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8" w:type="dxa"/>
            <w:tcBorders>
              <w:bottom w:val="single" w:color="auto" w:sz="12" w:space="0"/>
            </w:tcBorders>
            <w:vAlign w:val="center"/>
          </w:tcPr>
          <w:p w14:paraId="4506EEDF">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8693" w:type="dxa"/>
            <w:tcBorders>
              <w:bottom w:val="single" w:color="auto" w:sz="12" w:space="0"/>
            </w:tcBorders>
            <w:vAlign w:val="center"/>
          </w:tcPr>
          <w:p w14:paraId="3606A918">
            <w:pPr>
              <w:widowControl/>
              <w:jc w:val="left"/>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"Exercise"[Mesh]</w:t>
            </w:r>
          </w:p>
        </w:tc>
        <w:tc>
          <w:tcPr>
            <w:tcW w:w="1148" w:type="dxa"/>
            <w:tcBorders>
              <w:bottom w:val="single" w:color="auto" w:sz="12" w:space="0"/>
            </w:tcBorders>
            <w:vAlign w:val="center"/>
          </w:tcPr>
          <w:p w14:paraId="3891CD85">
            <w:pPr>
              <w:widowControl/>
              <w:jc w:val="center"/>
              <w:textAlignment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283369</w:t>
            </w:r>
          </w:p>
        </w:tc>
      </w:tr>
    </w:tbl>
    <w:p w14:paraId="2F8C6B51">
      <w:pPr>
        <w:spacing w:line="360" w:lineRule="exact"/>
        <w:rPr>
          <w:rFonts w:hint="default" w:ascii="Times New Roman" w:hAnsi="Times New Roman" w:cs="Times New Roman"/>
          <w:color w:val="auto"/>
        </w:rPr>
      </w:pPr>
    </w:p>
    <w:p w14:paraId="06592E3A">
      <w:pPr>
        <w:spacing w:line="360" w:lineRule="exact"/>
        <w:rPr>
          <w:rFonts w:hint="default" w:ascii="Times New Roman" w:hAnsi="Times New Roman" w:eastAsia="宋体" w:cs="Times New Roman"/>
          <w:color w:val="auto"/>
        </w:rPr>
      </w:pPr>
      <w:r>
        <w:rPr>
          <w:rFonts w:hint="default" w:ascii="Times New Roman" w:hAnsi="Times New Roman" w:eastAsia="宋体" w:cs="Times New Roman"/>
          <w:b/>
          <w:bCs/>
          <w:color w:val="auto"/>
        </w:rPr>
        <w:t>Table S</w:t>
      </w:r>
      <w:r>
        <w:rPr>
          <w:rFonts w:hint="default" w:ascii="Times New Roman" w:hAnsi="Times New Roman" w:eastAsia="宋体" w:cs="Times New Roman"/>
          <w:b/>
          <w:bCs/>
          <w:color w:val="auto"/>
        </w:rPr>
        <w:t>2</w:t>
      </w:r>
      <w:r>
        <w:rPr>
          <w:rFonts w:hint="default" w:ascii="Times New Roman" w:hAnsi="Times New Roman" w:eastAsia="宋体" w:cs="Times New Roman"/>
          <w:color w:val="auto"/>
        </w:rPr>
        <w:t xml:space="preserve"> </w:t>
      </w:r>
      <w:r>
        <w:rPr>
          <w:rFonts w:hint="default" w:ascii="Times New Roman" w:hAnsi="Times New Roman" w:eastAsia="宋体" w:cs="Times New Roman"/>
          <w:color w:val="auto"/>
        </w:rPr>
        <w:t>Embase</w:t>
      </w:r>
    </w:p>
    <w:tbl>
      <w:tblPr>
        <w:tblStyle w:val="7"/>
        <w:tblW w:w="109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52"/>
        <w:gridCol w:w="8454"/>
        <w:gridCol w:w="1064"/>
      </w:tblGrid>
      <w:tr w14:paraId="63B77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single" w:color="auto" w:sz="12" w:space="0"/>
              <w:bottom w:val="single" w:color="auto" w:sz="6" w:space="0"/>
            </w:tcBorders>
            <w:vAlign w:val="center"/>
          </w:tcPr>
          <w:p w14:paraId="264F1800">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Search procedure</w:t>
            </w:r>
          </w:p>
        </w:tc>
        <w:tc>
          <w:tcPr>
            <w:tcW w:w="8454" w:type="dxa"/>
            <w:tcBorders>
              <w:top w:val="single" w:color="auto" w:sz="12" w:space="0"/>
              <w:bottom w:val="single" w:color="auto" w:sz="6" w:space="0"/>
            </w:tcBorders>
            <w:vAlign w:val="center"/>
          </w:tcPr>
          <w:p w14:paraId="435882EE">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Query</w:t>
            </w:r>
          </w:p>
        </w:tc>
        <w:tc>
          <w:tcPr>
            <w:tcW w:w="1064" w:type="dxa"/>
            <w:tcBorders>
              <w:top w:val="single" w:color="auto" w:sz="12" w:space="0"/>
              <w:bottom w:val="single" w:color="auto" w:sz="6" w:space="0"/>
            </w:tcBorders>
            <w:vAlign w:val="center"/>
          </w:tcPr>
          <w:p w14:paraId="35A3B084">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Results</w:t>
            </w:r>
          </w:p>
        </w:tc>
      </w:tr>
      <w:tr w14:paraId="21899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nil"/>
            </w:tcBorders>
            <w:vAlign w:val="center"/>
          </w:tcPr>
          <w:p w14:paraId="10BAB474">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8454" w:type="dxa"/>
            <w:tcBorders>
              <w:top w:val="nil"/>
            </w:tcBorders>
            <w:vAlign w:val="center"/>
          </w:tcPr>
          <w:p w14:paraId="65A975CB">
            <w:pPr>
              <w:spacing w:line="360" w:lineRule="exact"/>
              <w:jc w:val="left"/>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#3 AND #4 AND #5 AND #8 AND #9</w:t>
            </w:r>
          </w:p>
        </w:tc>
        <w:tc>
          <w:tcPr>
            <w:tcW w:w="1064" w:type="dxa"/>
            <w:tcBorders>
              <w:top w:val="nil"/>
            </w:tcBorders>
            <w:vAlign w:val="center"/>
          </w:tcPr>
          <w:p w14:paraId="3118DAAB">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412</w:t>
            </w:r>
          </w:p>
        </w:tc>
      </w:tr>
      <w:tr w14:paraId="5E240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nil"/>
            </w:tcBorders>
            <w:vAlign w:val="center"/>
          </w:tcPr>
          <w:p w14:paraId="36861159">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#9</w:t>
            </w:r>
          </w:p>
        </w:tc>
        <w:tc>
          <w:tcPr>
            <w:tcW w:w="8454" w:type="dxa"/>
            <w:tcBorders>
              <w:top w:val="nil"/>
            </w:tcBorders>
            <w:vAlign w:val="center"/>
          </w:tcPr>
          <w:p w14:paraId="505442DF">
            <w:pPr>
              <w:spacing w:line="360" w:lineRule="exact"/>
              <w:jc w:val="left"/>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'randomized controlled trial':ab,ti OR 'randomized':ab,ti OR 'placebo':ab,ti OR 'rct':ab,ti</w:t>
            </w:r>
          </w:p>
        </w:tc>
        <w:tc>
          <w:tcPr>
            <w:tcW w:w="1064" w:type="dxa"/>
            <w:tcBorders>
              <w:top w:val="nil"/>
            </w:tcBorders>
            <w:vAlign w:val="center"/>
          </w:tcPr>
          <w:p w14:paraId="4B96400D">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1592185</w:t>
            </w:r>
          </w:p>
        </w:tc>
      </w:tr>
      <w:tr w14:paraId="462C6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nil"/>
            </w:tcBorders>
            <w:vAlign w:val="center"/>
          </w:tcPr>
          <w:p w14:paraId="263F764A">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#8</w:t>
            </w:r>
          </w:p>
        </w:tc>
        <w:tc>
          <w:tcPr>
            <w:tcW w:w="8454" w:type="dxa"/>
            <w:tcBorders>
              <w:top w:val="nil"/>
            </w:tcBorders>
            <w:vAlign w:val="center"/>
          </w:tcPr>
          <w:p w14:paraId="6BA9C91A">
            <w:pPr>
              <w:widowControl/>
              <w:spacing w:line="360" w:lineRule="exact"/>
              <w:jc w:val="left"/>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#6 OR #7</w:t>
            </w:r>
          </w:p>
        </w:tc>
        <w:tc>
          <w:tcPr>
            <w:tcW w:w="1064" w:type="dxa"/>
            <w:tcBorders>
              <w:top w:val="nil"/>
            </w:tcBorders>
            <w:vAlign w:val="center"/>
          </w:tcPr>
          <w:p w14:paraId="6B94CA93">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40539</w:t>
            </w:r>
          </w:p>
        </w:tc>
      </w:tr>
      <w:tr w14:paraId="74546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nil"/>
            </w:tcBorders>
            <w:vAlign w:val="center"/>
          </w:tcPr>
          <w:p w14:paraId="31212DF4">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w:t>
            </w:r>
          </w:p>
        </w:tc>
        <w:tc>
          <w:tcPr>
            <w:tcW w:w="8454" w:type="dxa"/>
            <w:tcBorders>
              <w:top w:val="nil"/>
            </w:tcBorders>
            <w:vAlign w:val="center"/>
          </w:tcPr>
          <w:p w14:paraId="60ECB3D1">
            <w:pPr>
              <w:widowControl/>
              <w:spacing w:line="360" w:lineRule="exact"/>
              <w:jc w:val="left"/>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'intra abdominal fat':ab,ti OR 'adipose tissue, intra-abdominal':ab,ti OR 'intra-abdominal adipose tissue':ab,ti OR 'visceral fat':ab,ti OR 'fat, visceral':ab,ti OR 'visceral adipose tissue':ab,ti OR 'abdominal visceral fat':ab,ti OR 'fat, abdominal visceral':ab,ti OR 'retroperitoneal fat':ab,ti OR 'fats, retroperitoneal':ab,ti OR 'retroperitoneal adipose tissue':ab,ti</w:t>
            </w:r>
          </w:p>
        </w:tc>
        <w:tc>
          <w:tcPr>
            <w:tcW w:w="1064" w:type="dxa"/>
            <w:tcBorders>
              <w:top w:val="nil"/>
            </w:tcBorders>
            <w:vAlign w:val="center"/>
          </w:tcPr>
          <w:p w14:paraId="73BB5262">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31173</w:t>
            </w:r>
          </w:p>
        </w:tc>
      </w:tr>
      <w:tr w14:paraId="07029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top w:val="nil"/>
            </w:tcBorders>
            <w:vAlign w:val="center"/>
          </w:tcPr>
          <w:p w14:paraId="6498AA9F">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#6</w:t>
            </w:r>
          </w:p>
        </w:tc>
        <w:tc>
          <w:tcPr>
            <w:tcW w:w="8454" w:type="dxa"/>
            <w:tcBorders>
              <w:top w:val="nil"/>
            </w:tcBorders>
            <w:vAlign w:val="center"/>
          </w:tcPr>
          <w:p w14:paraId="4FD68F12">
            <w:pPr>
              <w:spacing w:line="360" w:lineRule="exact"/>
              <w:jc w:val="left"/>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'intra-abdominal fat'/exp</w:t>
            </w:r>
          </w:p>
        </w:tc>
        <w:tc>
          <w:tcPr>
            <w:tcW w:w="1064" w:type="dxa"/>
            <w:tcBorders>
              <w:top w:val="nil"/>
            </w:tcBorders>
            <w:vAlign w:val="center"/>
          </w:tcPr>
          <w:p w14:paraId="753B824C">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32702</w:t>
            </w:r>
          </w:p>
        </w:tc>
      </w:tr>
      <w:tr w14:paraId="56CA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vAlign w:val="center"/>
          </w:tcPr>
          <w:p w14:paraId="09AF4ED9">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#5</w:t>
            </w:r>
          </w:p>
        </w:tc>
        <w:tc>
          <w:tcPr>
            <w:tcW w:w="8454" w:type="dxa"/>
            <w:vAlign w:val="center"/>
          </w:tcPr>
          <w:p w14:paraId="25709846">
            <w:pPr>
              <w:widowControl/>
              <w:spacing w:line="360" w:lineRule="exact"/>
              <w:jc w:val="left"/>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'adult'/exp</w:t>
            </w:r>
          </w:p>
        </w:tc>
        <w:tc>
          <w:tcPr>
            <w:tcW w:w="1064" w:type="dxa"/>
            <w:vAlign w:val="center"/>
          </w:tcPr>
          <w:p w14:paraId="6B8E8D2B">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13621546</w:t>
            </w:r>
          </w:p>
        </w:tc>
      </w:tr>
      <w:tr w14:paraId="22DC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452" w:type="dxa"/>
            <w:vAlign w:val="center"/>
          </w:tcPr>
          <w:p w14:paraId="36506643">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#4</w:t>
            </w:r>
          </w:p>
        </w:tc>
        <w:tc>
          <w:tcPr>
            <w:tcW w:w="8454" w:type="dxa"/>
            <w:vAlign w:val="center"/>
          </w:tcPr>
          <w:p w14:paraId="456FEA03">
            <w:pPr>
              <w:widowControl/>
              <w:spacing w:line="360" w:lineRule="exact"/>
              <w:jc w:val="left"/>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'obesity'/exp</w:t>
            </w:r>
          </w:p>
        </w:tc>
        <w:tc>
          <w:tcPr>
            <w:tcW w:w="1064" w:type="dxa"/>
            <w:vAlign w:val="center"/>
          </w:tcPr>
          <w:p w14:paraId="71714E7A">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830488</w:t>
            </w:r>
          </w:p>
        </w:tc>
      </w:tr>
      <w:tr w14:paraId="7A975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vAlign w:val="center"/>
          </w:tcPr>
          <w:p w14:paraId="02FCC067">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#3</w:t>
            </w:r>
          </w:p>
        </w:tc>
        <w:tc>
          <w:tcPr>
            <w:tcW w:w="8454" w:type="dxa"/>
            <w:vAlign w:val="center"/>
          </w:tcPr>
          <w:p w14:paraId="356DD508">
            <w:pPr>
              <w:spacing w:line="360" w:lineRule="exact"/>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 OR #2</w:t>
            </w:r>
          </w:p>
        </w:tc>
        <w:tc>
          <w:tcPr>
            <w:tcW w:w="1064" w:type="dxa"/>
            <w:vAlign w:val="center"/>
          </w:tcPr>
          <w:p w14:paraId="519274CA">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1056018</w:t>
            </w:r>
          </w:p>
        </w:tc>
      </w:tr>
      <w:tr w14:paraId="66517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1" w:hRule="atLeast"/>
          <w:jc w:val="center"/>
        </w:trPr>
        <w:tc>
          <w:tcPr>
            <w:tcW w:w="1452" w:type="dxa"/>
            <w:vAlign w:val="center"/>
          </w:tcPr>
          <w:p w14:paraId="1AA114DC">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#2</w:t>
            </w:r>
          </w:p>
        </w:tc>
        <w:tc>
          <w:tcPr>
            <w:tcW w:w="8454" w:type="dxa"/>
            <w:vAlign w:val="center"/>
          </w:tcPr>
          <w:p w14:paraId="30AA07FA">
            <w:pPr>
              <w:widowControl/>
              <w:spacing w:line="360" w:lineRule="exact"/>
              <w:jc w:val="left"/>
              <w:textAlignment w:val="top"/>
              <w:rPr>
                <w:rFonts w:hint="default" w:ascii="Times New Roman" w:hAnsi="Times New Roman" w:cs="Times New Roman"/>
                <w:color w:val="auto"/>
                <w:szCs w:val="21"/>
              </w:rPr>
            </w:pPr>
            <w:r>
              <w:rPr>
                <w:rFonts w:hint="default" w:ascii="Times New Roman" w:hAnsi="Times New Roman" w:eastAsia="Helvetica" w:cs="Times New Roman"/>
                <w:color w:val="auto"/>
                <w:szCs w:val="21"/>
                <w:shd w:val="clear" w:color="auto" w:fill="FFFFFF"/>
              </w:rPr>
              <w:t>'physical exercise':ab,ti OR 'aerobic exercise':ab,ti OR 'physical activity':ab,ti OR 'walking':ab,ti OR 'running':ab,ti OR 'cycling':ab,ti OR 'resistance training':ab,ti OR 'treadmill':ab,ti OR 'strength training':ab,ti OR 'resistance exercise':ab,ti OR 'combined aerobic and resistance training':ab,ti OR 'mixed exercise program':ab,ti OR 'high-intensity interval training':ab,ti</w:t>
            </w:r>
          </w:p>
        </w:tc>
        <w:tc>
          <w:tcPr>
            <w:tcW w:w="1064" w:type="dxa"/>
            <w:vAlign w:val="center"/>
          </w:tcPr>
          <w:p w14:paraId="0600C350">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681134</w:t>
            </w:r>
          </w:p>
        </w:tc>
      </w:tr>
      <w:tr w14:paraId="5982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52" w:type="dxa"/>
            <w:tcBorders>
              <w:bottom w:val="single" w:color="auto" w:sz="12" w:space="0"/>
            </w:tcBorders>
            <w:vAlign w:val="center"/>
          </w:tcPr>
          <w:p w14:paraId="5F5F5B19">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8454" w:type="dxa"/>
            <w:tcBorders>
              <w:bottom w:val="single" w:color="auto" w:sz="12" w:space="0"/>
            </w:tcBorders>
            <w:vAlign w:val="center"/>
          </w:tcPr>
          <w:p w14:paraId="6836BC00">
            <w:pPr>
              <w:widowControl/>
              <w:spacing w:line="360" w:lineRule="exact"/>
              <w:jc w:val="left"/>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'exercise'/exp</w:t>
            </w:r>
          </w:p>
        </w:tc>
        <w:tc>
          <w:tcPr>
            <w:tcW w:w="1064" w:type="dxa"/>
            <w:tcBorders>
              <w:bottom w:val="single" w:color="auto" w:sz="12" w:space="0"/>
            </w:tcBorders>
            <w:vAlign w:val="center"/>
          </w:tcPr>
          <w:p w14:paraId="16D737C0">
            <w:pPr>
              <w:widowControl/>
              <w:spacing w:line="360" w:lineRule="exact"/>
              <w:jc w:val="center"/>
              <w:textAlignment w:val="top"/>
              <w:rPr>
                <w:rFonts w:hint="default" w:ascii="Times New Roman" w:hAnsi="Times New Roman" w:eastAsia="宋体" w:cs="Times New Roman"/>
                <w:color w:val="auto"/>
                <w:szCs w:val="21"/>
              </w:rPr>
            </w:pPr>
            <w:r>
              <w:rPr>
                <w:rFonts w:hint="default" w:ascii="Times New Roman" w:hAnsi="Times New Roman" w:eastAsia="Helvetica" w:cs="Times New Roman"/>
                <w:color w:val="auto"/>
                <w:szCs w:val="21"/>
                <w:shd w:val="clear" w:color="auto" w:fill="FFFFFF"/>
              </w:rPr>
              <w:t>570439</w:t>
            </w:r>
          </w:p>
        </w:tc>
      </w:tr>
    </w:tbl>
    <w:p w14:paraId="7DD6D98C">
      <w:pPr>
        <w:spacing w:line="360" w:lineRule="exact"/>
        <w:rPr>
          <w:rFonts w:hint="default" w:ascii="Times New Roman" w:hAnsi="Times New Roman" w:eastAsia="宋体" w:cs="Times New Roman"/>
          <w:color w:val="auto"/>
        </w:rPr>
      </w:pPr>
    </w:p>
    <w:p w14:paraId="3664D143">
      <w:pPr>
        <w:spacing w:line="360" w:lineRule="exact"/>
        <w:jc w:val="left"/>
        <w:rPr>
          <w:rFonts w:hint="default" w:ascii="Times New Roman" w:hAnsi="Times New Roman" w:eastAsia="宋体" w:cs="Times New Roman"/>
          <w:color w:val="auto"/>
        </w:rPr>
      </w:pPr>
      <w:r>
        <w:rPr>
          <w:rFonts w:hint="default" w:ascii="Times New Roman" w:hAnsi="Times New Roman" w:eastAsia="宋体" w:cs="Times New Roman"/>
          <w:b/>
          <w:bCs/>
          <w:color w:val="auto"/>
        </w:rPr>
        <w:t>Table S</w:t>
      </w:r>
      <w:r>
        <w:rPr>
          <w:rFonts w:hint="default" w:ascii="Times New Roman" w:hAnsi="Times New Roman" w:eastAsia="宋体" w:cs="Times New Roman"/>
          <w:b/>
          <w:bCs/>
          <w:color w:val="auto"/>
        </w:rPr>
        <w:t>3</w:t>
      </w:r>
      <w:r>
        <w:rPr>
          <w:rFonts w:hint="default" w:ascii="Times New Roman" w:hAnsi="Times New Roman" w:eastAsia="宋体" w:cs="Times New Roman"/>
          <w:color w:val="auto"/>
        </w:rPr>
        <w:t xml:space="preserve"> </w:t>
      </w:r>
      <w:r>
        <w:rPr>
          <w:rFonts w:hint="default" w:ascii="Times New Roman" w:hAnsi="Times New Roman" w:eastAsia="宋体" w:cs="Times New Roman"/>
          <w:color w:val="auto"/>
        </w:rPr>
        <w:t>Cochrane Library</w:t>
      </w:r>
    </w:p>
    <w:tbl>
      <w:tblPr>
        <w:tblStyle w:val="7"/>
        <w:tblW w:w="109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709"/>
        <w:gridCol w:w="1048"/>
      </w:tblGrid>
      <w:tr w14:paraId="0FB26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single" w:color="auto" w:sz="12" w:space="0"/>
              <w:bottom w:val="single" w:color="auto" w:sz="6" w:space="0"/>
            </w:tcBorders>
            <w:vAlign w:val="center"/>
          </w:tcPr>
          <w:p w14:paraId="54BCC57D">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Search procedure</w:t>
            </w:r>
          </w:p>
        </w:tc>
        <w:tc>
          <w:tcPr>
            <w:tcW w:w="8709" w:type="dxa"/>
            <w:tcBorders>
              <w:top w:val="single" w:color="auto" w:sz="12" w:space="0"/>
              <w:bottom w:val="single" w:color="auto" w:sz="6" w:space="0"/>
            </w:tcBorders>
            <w:vAlign w:val="center"/>
          </w:tcPr>
          <w:p w14:paraId="68F1378E">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Query</w:t>
            </w:r>
          </w:p>
        </w:tc>
        <w:tc>
          <w:tcPr>
            <w:tcW w:w="1048" w:type="dxa"/>
            <w:tcBorders>
              <w:top w:val="single" w:color="auto" w:sz="12" w:space="0"/>
              <w:bottom w:val="single" w:color="auto" w:sz="6" w:space="0"/>
            </w:tcBorders>
            <w:vAlign w:val="center"/>
          </w:tcPr>
          <w:p w14:paraId="08ED390D">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Results</w:t>
            </w:r>
          </w:p>
        </w:tc>
      </w:tr>
      <w:tr w14:paraId="496D2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496159B0">
            <w:pPr>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r>
              <w:rPr>
                <w:rFonts w:hint="default" w:ascii="Times New Roman" w:hAnsi="Times New Roman" w:cs="Times New Roman"/>
                <w:color w:val="auto"/>
                <w:szCs w:val="21"/>
              </w:rPr>
              <w:t>1</w:t>
            </w:r>
          </w:p>
        </w:tc>
        <w:tc>
          <w:tcPr>
            <w:tcW w:w="8709" w:type="dxa"/>
            <w:tcBorders>
              <w:top w:val="nil"/>
            </w:tcBorders>
            <w:vAlign w:val="center"/>
          </w:tcPr>
          <w:p w14:paraId="36BA9F30">
            <w:pPr>
              <w:rPr>
                <w:rFonts w:hint="default" w:ascii="Times New Roman" w:hAnsi="Times New Roman" w:cs="Times New Roman"/>
                <w:color w:val="auto"/>
                <w:szCs w:val="21"/>
              </w:rPr>
            </w:pPr>
            <w:r>
              <w:rPr>
                <w:rFonts w:hint="default" w:ascii="Times New Roman" w:hAnsi="Times New Roman" w:cs="Times New Roman"/>
                <w:color w:val="auto"/>
                <w:szCs w:val="21"/>
              </w:rPr>
              <w:t xml:space="preserve">#3 and #6 </w:t>
            </w:r>
            <w:r>
              <w:rPr>
                <w:rFonts w:hint="default" w:ascii="Times New Roman" w:hAnsi="Times New Roman" w:cs="Times New Roman"/>
                <w:color w:val="auto"/>
                <w:szCs w:val="21"/>
                <w:lang w:val="en-US" w:eastAsia="zh-CN"/>
              </w:rPr>
              <w:t xml:space="preserve">and </w:t>
            </w:r>
            <w:r>
              <w:rPr>
                <w:rFonts w:hint="default" w:ascii="Times New Roman" w:hAnsi="Times New Roman" w:cs="Times New Roman"/>
                <w:color w:val="auto"/>
                <w:szCs w:val="21"/>
              </w:rPr>
              <w:t>#7 and #10</w:t>
            </w:r>
          </w:p>
        </w:tc>
        <w:tc>
          <w:tcPr>
            <w:tcW w:w="1048" w:type="dxa"/>
            <w:tcBorders>
              <w:top w:val="nil"/>
            </w:tcBorders>
            <w:vAlign w:val="center"/>
          </w:tcPr>
          <w:p w14:paraId="3079BDA5">
            <w:pPr>
              <w:jc w:val="center"/>
              <w:rPr>
                <w:rFonts w:hint="default" w:ascii="Times New Roman" w:hAnsi="Times New Roman" w:cs="Times New Roman"/>
                <w:color w:val="auto"/>
                <w:szCs w:val="21"/>
              </w:rPr>
            </w:pPr>
            <w:r>
              <w:rPr>
                <w:rFonts w:hint="default" w:ascii="Times New Roman" w:hAnsi="Times New Roman" w:cs="Times New Roman"/>
                <w:color w:val="auto"/>
                <w:szCs w:val="21"/>
              </w:rPr>
              <w:t>568</w:t>
            </w:r>
          </w:p>
        </w:tc>
      </w:tr>
      <w:tr w14:paraId="2435C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7BAB19E4">
            <w:pPr>
              <w:jc w:val="center"/>
              <w:rPr>
                <w:rFonts w:hint="default" w:ascii="Times New Roman" w:hAnsi="Times New Roman" w:cs="Times New Roman"/>
                <w:color w:val="auto"/>
                <w:szCs w:val="21"/>
              </w:rPr>
            </w:pPr>
            <w:r>
              <w:rPr>
                <w:rFonts w:hint="default" w:ascii="Times New Roman" w:hAnsi="Times New Roman" w:cs="Times New Roman"/>
                <w:color w:val="auto"/>
                <w:szCs w:val="21"/>
              </w:rPr>
              <w:t>#10</w:t>
            </w:r>
          </w:p>
        </w:tc>
        <w:tc>
          <w:tcPr>
            <w:tcW w:w="8709" w:type="dxa"/>
            <w:tcBorders>
              <w:top w:val="nil"/>
            </w:tcBorders>
            <w:vAlign w:val="center"/>
          </w:tcPr>
          <w:p w14:paraId="6E0D2DF8">
            <w:pPr>
              <w:rPr>
                <w:rFonts w:hint="default" w:ascii="Times New Roman" w:hAnsi="Times New Roman" w:cs="Times New Roman"/>
                <w:color w:val="auto"/>
                <w:szCs w:val="21"/>
              </w:rPr>
            </w:pPr>
            <w:r>
              <w:rPr>
                <w:rFonts w:hint="default" w:ascii="Times New Roman" w:hAnsi="Times New Roman" w:cs="Times New Roman"/>
                <w:color w:val="auto"/>
                <w:szCs w:val="21"/>
              </w:rPr>
              <w:t>#8 or #9</w:t>
            </w:r>
          </w:p>
        </w:tc>
        <w:tc>
          <w:tcPr>
            <w:tcW w:w="1048" w:type="dxa"/>
            <w:tcBorders>
              <w:top w:val="nil"/>
            </w:tcBorders>
            <w:vAlign w:val="center"/>
          </w:tcPr>
          <w:p w14:paraId="0AA983E6">
            <w:pPr>
              <w:jc w:val="center"/>
              <w:rPr>
                <w:rFonts w:hint="default" w:ascii="Times New Roman" w:hAnsi="Times New Roman" w:cs="Times New Roman"/>
                <w:color w:val="auto"/>
                <w:szCs w:val="21"/>
              </w:rPr>
            </w:pPr>
            <w:r>
              <w:rPr>
                <w:rFonts w:hint="default" w:ascii="Times New Roman" w:hAnsi="Times New Roman" w:cs="Times New Roman"/>
                <w:color w:val="auto"/>
                <w:szCs w:val="21"/>
              </w:rPr>
              <w:t>4226</w:t>
            </w:r>
          </w:p>
        </w:tc>
      </w:tr>
      <w:tr w14:paraId="0C31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3EC5EE8B">
            <w:pPr>
              <w:jc w:val="center"/>
              <w:rPr>
                <w:rFonts w:hint="default" w:ascii="Times New Roman" w:hAnsi="Times New Roman" w:cs="Times New Roman"/>
                <w:color w:val="auto"/>
                <w:szCs w:val="21"/>
              </w:rPr>
            </w:pPr>
            <w:r>
              <w:rPr>
                <w:rFonts w:hint="default" w:ascii="Times New Roman" w:hAnsi="Times New Roman" w:cs="Times New Roman"/>
                <w:color w:val="auto"/>
                <w:szCs w:val="21"/>
              </w:rPr>
              <w:t>#9</w:t>
            </w:r>
          </w:p>
        </w:tc>
        <w:tc>
          <w:tcPr>
            <w:tcW w:w="8709" w:type="dxa"/>
            <w:tcBorders>
              <w:top w:val="nil"/>
            </w:tcBorders>
            <w:vAlign w:val="center"/>
          </w:tcPr>
          <w:p w14:paraId="4A5D1799">
            <w:pPr>
              <w:rPr>
                <w:rFonts w:hint="default" w:ascii="Times New Roman" w:hAnsi="Times New Roman" w:cs="Times New Roman"/>
                <w:color w:val="auto"/>
                <w:szCs w:val="21"/>
              </w:rPr>
            </w:pPr>
            <w:r>
              <w:rPr>
                <w:rFonts w:hint="default" w:ascii="Times New Roman" w:hAnsi="Times New Roman" w:cs="Times New Roman"/>
                <w:color w:val="auto"/>
                <w:szCs w:val="21"/>
              </w:rPr>
              <w:t>(Intra Abdominal Fat):ti,ab,kw or (Intra-Abdominal Adipose Tissue):ti,ab,kw or (Adipose Tissue, Intra-Abdominal):ti,ab,kw or (Visceral Fat):ti,ab,kw or (Fat, Visceral):ti,ab,kw or (Visceral Adipose Tissue):ti,ab,kw or (Abdominal Visceral Fat):ti,ab,kw or (Fat, Abdominal Visceral):ti,ab,kw or (Retroperitoneal Fat):ti,ab,kw or (Fats, Retroperitoneal):ti,ab,kw or (Retroperitoneal Adipose Tissue):ti,ab,kw</w:t>
            </w:r>
          </w:p>
        </w:tc>
        <w:tc>
          <w:tcPr>
            <w:tcW w:w="1048" w:type="dxa"/>
            <w:tcBorders>
              <w:top w:val="nil"/>
            </w:tcBorders>
            <w:vAlign w:val="center"/>
          </w:tcPr>
          <w:p w14:paraId="705F1EE6">
            <w:pPr>
              <w:jc w:val="center"/>
              <w:rPr>
                <w:rFonts w:hint="default" w:ascii="Times New Roman" w:hAnsi="Times New Roman" w:cs="Times New Roman"/>
                <w:color w:val="auto"/>
                <w:szCs w:val="21"/>
              </w:rPr>
            </w:pPr>
            <w:r>
              <w:rPr>
                <w:rFonts w:hint="default" w:ascii="Times New Roman" w:hAnsi="Times New Roman" w:cs="Times New Roman"/>
                <w:color w:val="auto"/>
                <w:szCs w:val="21"/>
              </w:rPr>
              <w:t>4226</w:t>
            </w:r>
          </w:p>
        </w:tc>
      </w:tr>
      <w:tr w14:paraId="4CA42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5896DEE2">
            <w:pPr>
              <w:jc w:val="center"/>
              <w:rPr>
                <w:rFonts w:hint="default" w:ascii="Times New Roman" w:hAnsi="Times New Roman" w:cs="Times New Roman"/>
                <w:color w:val="auto"/>
                <w:szCs w:val="21"/>
              </w:rPr>
            </w:pPr>
            <w:r>
              <w:rPr>
                <w:rFonts w:hint="default" w:ascii="Times New Roman" w:hAnsi="Times New Roman" w:cs="Times New Roman"/>
                <w:color w:val="auto"/>
                <w:szCs w:val="21"/>
              </w:rPr>
              <w:t>#8</w:t>
            </w:r>
          </w:p>
        </w:tc>
        <w:tc>
          <w:tcPr>
            <w:tcW w:w="8709" w:type="dxa"/>
            <w:tcBorders>
              <w:top w:val="nil"/>
            </w:tcBorders>
            <w:vAlign w:val="center"/>
          </w:tcPr>
          <w:p w14:paraId="2EF16E0D">
            <w:pPr>
              <w:rPr>
                <w:rFonts w:hint="default" w:ascii="Times New Roman" w:hAnsi="Times New Roman" w:cs="Times New Roman"/>
                <w:color w:val="auto"/>
                <w:szCs w:val="21"/>
              </w:rPr>
            </w:pPr>
            <w:r>
              <w:rPr>
                <w:rFonts w:hint="default" w:ascii="Times New Roman" w:hAnsi="Times New Roman" w:cs="Times New Roman"/>
                <w:color w:val="auto"/>
                <w:szCs w:val="21"/>
              </w:rPr>
              <w:t>MeSH descriptor: [Intra-Abdominal Fat] explode all trees</w:t>
            </w:r>
          </w:p>
        </w:tc>
        <w:tc>
          <w:tcPr>
            <w:tcW w:w="1048" w:type="dxa"/>
            <w:tcBorders>
              <w:top w:val="nil"/>
            </w:tcBorders>
            <w:vAlign w:val="center"/>
          </w:tcPr>
          <w:p w14:paraId="7F17BC6A">
            <w:pPr>
              <w:jc w:val="center"/>
              <w:rPr>
                <w:rFonts w:hint="default" w:ascii="Times New Roman" w:hAnsi="Times New Roman" w:cs="Times New Roman"/>
                <w:color w:val="auto"/>
                <w:szCs w:val="21"/>
              </w:rPr>
            </w:pPr>
            <w:r>
              <w:rPr>
                <w:rFonts w:hint="default" w:ascii="Times New Roman" w:hAnsi="Times New Roman" w:cs="Times New Roman"/>
                <w:color w:val="auto"/>
                <w:szCs w:val="21"/>
              </w:rPr>
              <w:t>476</w:t>
            </w:r>
          </w:p>
        </w:tc>
      </w:tr>
      <w:tr w14:paraId="165B6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5102B4E7">
            <w:pPr>
              <w:jc w:val="center"/>
              <w:rPr>
                <w:rFonts w:hint="default" w:ascii="Times New Roman" w:hAnsi="Times New Roman" w:cs="Times New Roman"/>
                <w:color w:val="auto"/>
                <w:szCs w:val="21"/>
              </w:rPr>
            </w:pPr>
            <w:r>
              <w:rPr>
                <w:rFonts w:hint="default" w:ascii="Times New Roman" w:hAnsi="Times New Roman" w:cs="Times New Roman"/>
                <w:color w:val="auto"/>
                <w:szCs w:val="21"/>
              </w:rPr>
              <w:t>#7</w:t>
            </w:r>
          </w:p>
        </w:tc>
        <w:tc>
          <w:tcPr>
            <w:tcW w:w="8709" w:type="dxa"/>
            <w:tcBorders>
              <w:top w:val="nil"/>
            </w:tcBorders>
            <w:vAlign w:val="center"/>
          </w:tcPr>
          <w:p w14:paraId="6FE2D7C8">
            <w:pPr>
              <w:rPr>
                <w:rFonts w:hint="default" w:ascii="Times New Roman" w:hAnsi="Times New Roman" w:cs="Times New Roman"/>
                <w:color w:val="auto"/>
                <w:szCs w:val="21"/>
              </w:rPr>
            </w:pPr>
            <w:r>
              <w:rPr>
                <w:rFonts w:hint="default" w:ascii="Times New Roman" w:hAnsi="Times New Roman" w:cs="Times New Roman"/>
                <w:color w:val="auto"/>
                <w:szCs w:val="21"/>
              </w:rPr>
              <w:t>MeSH descriptor: [Adult] explode all trees</w:t>
            </w:r>
          </w:p>
        </w:tc>
        <w:tc>
          <w:tcPr>
            <w:tcW w:w="1048" w:type="dxa"/>
            <w:tcBorders>
              <w:top w:val="nil"/>
            </w:tcBorders>
            <w:vAlign w:val="center"/>
          </w:tcPr>
          <w:p w14:paraId="6C7D1A00">
            <w:pPr>
              <w:jc w:val="center"/>
              <w:rPr>
                <w:rFonts w:hint="default" w:ascii="Times New Roman" w:hAnsi="Times New Roman" w:cs="Times New Roman"/>
                <w:color w:val="auto"/>
                <w:szCs w:val="21"/>
              </w:rPr>
            </w:pPr>
            <w:r>
              <w:rPr>
                <w:rFonts w:hint="default" w:ascii="Times New Roman" w:hAnsi="Times New Roman" w:cs="Times New Roman"/>
                <w:color w:val="auto"/>
                <w:szCs w:val="21"/>
              </w:rPr>
              <w:t>642782</w:t>
            </w:r>
          </w:p>
        </w:tc>
      </w:tr>
      <w:tr w14:paraId="3DF37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top w:val="nil"/>
            </w:tcBorders>
            <w:vAlign w:val="center"/>
          </w:tcPr>
          <w:p w14:paraId="4B675B96">
            <w:pPr>
              <w:jc w:val="center"/>
              <w:rPr>
                <w:rFonts w:hint="default" w:ascii="Times New Roman" w:hAnsi="Times New Roman" w:cs="Times New Roman"/>
                <w:color w:val="auto"/>
                <w:szCs w:val="21"/>
              </w:rPr>
            </w:pPr>
            <w:r>
              <w:rPr>
                <w:rFonts w:hint="default" w:ascii="Times New Roman" w:hAnsi="Times New Roman" w:cs="Times New Roman"/>
                <w:color w:val="auto"/>
                <w:szCs w:val="21"/>
              </w:rPr>
              <w:t>#6</w:t>
            </w:r>
          </w:p>
        </w:tc>
        <w:tc>
          <w:tcPr>
            <w:tcW w:w="8709" w:type="dxa"/>
            <w:tcBorders>
              <w:top w:val="nil"/>
            </w:tcBorders>
            <w:vAlign w:val="center"/>
          </w:tcPr>
          <w:p w14:paraId="57317949">
            <w:pPr>
              <w:rPr>
                <w:rFonts w:hint="default" w:ascii="Times New Roman" w:hAnsi="Times New Roman" w:cs="Times New Roman"/>
                <w:color w:val="auto"/>
                <w:szCs w:val="21"/>
              </w:rPr>
            </w:pPr>
            <w:r>
              <w:rPr>
                <w:rFonts w:hint="default" w:ascii="Times New Roman" w:hAnsi="Times New Roman" w:cs="Times New Roman"/>
                <w:color w:val="auto"/>
                <w:szCs w:val="21"/>
              </w:rPr>
              <w:t>#4 or #5</w:t>
            </w:r>
          </w:p>
        </w:tc>
        <w:tc>
          <w:tcPr>
            <w:tcW w:w="1048" w:type="dxa"/>
            <w:tcBorders>
              <w:top w:val="nil"/>
            </w:tcBorders>
            <w:vAlign w:val="center"/>
          </w:tcPr>
          <w:p w14:paraId="2006BFA9">
            <w:pPr>
              <w:jc w:val="center"/>
              <w:rPr>
                <w:rFonts w:hint="default" w:ascii="Times New Roman" w:hAnsi="Times New Roman" w:cs="Times New Roman"/>
                <w:color w:val="auto"/>
                <w:szCs w:val="21"/>
              </w:rPr>
            </w:pPr>
            <w:r>
              <w:rPr>
                <w:rFonts w:hint="default" w:ascii="Times New Roman" w:hAnsi="Times New Roman" w:cs="Times New Roman"/>
                <w:color w:val="auto"/>
                <w:szCs w:val="21"/>
              </w:rPr>
              <w:t>26703</w:t>
            </w:r>
          </w:p>
        </w:tc>
      </w:tr>
      <w:tr w14:paraId="0643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41255FAC">
            <w:pPr>
              <w:jc w:val="center"/>
              <w:rPr>
                <w:rFonts w:hint="default" w:ascii="Times New Roman" w:hAnsi="Times New Roman" w:cs="Times New Roman"/>
                <w:color w:val="auto"/>
                <w:szCs w:val="21"/>
              </w:rPr>
            </w:pPr>
            <w:r>
              <w:rPr>
                <w:rFonts w:hint="default" w:ascii="Times New Roman" w:hAnsi="Times New Roman" w:cs="Times New Roman"/>
                <w:color w:val="auto"/>
                <w:szCs w:val="21"/>
              </w:rPr>
              <w:t>#5</w:t>
            </w:r>
          </w:p>
        </w:tc>
        <w:tc>
          <w:tcPr>
            <w:tcW w:w="8709" w:type="dxa"/>
            <w:vAlign w:val="center"/>
          </w:tcPr>
          <w:p w14:paraId="51D41935">
            <w:pPr>
              <w:rPr>
                <w:rFonts w:hint="default" w:ascii="Times New Roman" w:hAnsi="Times New Roman" w:cs="Times New Roman"/>
                <w:color w:val="auto"/>
                <w:szCs w:val="21"/>
              </w:rPr>
            </w:pPr>
            <w:r>
              <w:rPr>
                <w:rFonts w:hint="default" w:ascii="Times New Roman" w:hAnsi="Times New Roman" w:cs="Times New Roman"/>
                <w:color w:val="auto"/>
                <w:szCs w:val="21"/>
              </w:rPr>
              <w:t>MeSH descriptor: [Overweight] explode all trees</w:t>
            </w:r>
          </w:p>
        </w:tc>
        <w:tc>
          <w:tcPr>
            <w:tcW w:w="1048" w:type="dxa"/>
            <w:vAlign w:val="center"/>
          </w:tcPr>
          <w:p w14:paraId="50D7EA48">
            <w:pPr>
              <w:jc w:val="center"/>
              <w:rPr>
                <w:rFonts w:hint="default" w:ascii="Times New Roman" w:hAnsi="Times New Roman" w:cs="Times New Roman"/>
                <w:color w:val="auto"/>
                <w:szCs w:val="21"/>
              </w:rPr>
            </w:pPr>
            <w:r>
              <w:rPr>
                <w:rFonts w:hint="default" w:ascii="Times New Roman" w:hAnsi="Times New Roman" w:cs="Times New Roman"/>
                <w:color w:val="auto"/>
                <w:szCs w:val="21"/>
              </w:rPr>
              <w:t>26703</w:t>
            </w:r>
          </w:p>
        </w:tc>
      </w:tr>
      <w:tr w14:paraId="1C6B9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6F1578D8">
            <w:pPr>
              <w:jc w:val="center"/>
              <w:rPr>
                <w:rFonts w:hint="default" w:ascii="Times New Roman" w:hAnsi="Times New Roman" w:cs="Times New Roman"/>
                <w:color w:val="auto"/>
                <w:szCs w:val="21"/>
              </w:rPr>
            </w:pPr>
            <w:r>
              <w:rPr>
                <w:rFonts w:hint="default" w:ascii="Times New Roman" w:hAnsi="Times New Roman" w:cs="Times New Roman"/>
                <w:color w:val="auto"/>
                <w:szCs w:val="21"/>
              </w:rPr>
              <w:t>#4</w:t>
            </w:r>
          </w:p>
        </w:tc>
        <w:tc>
          <w:tcPr>
            <w:tcW w:w="8709" w:type="dxa"/>
            <w:vAlign w:val="center"/>
          </w:tcPr>
          <w:p w14:paraId="25C9F7A6">
            <w:pPr>
              <w:rPr>
                <w:rFonts w:hint="default" w:ascii="Times New Roman" w:hAnsi="Times New Roman" w:cs="Times New Roman"/>
                <w:color w:val="auto"/>
                <w:szCs w:val="21"/>
              </w:rPr>
            </w:pPr>
            <w:r>
              <w:rPr>
                <w:rFonts w:hint="default" w:ascii="Times New Roman" w:hAnsi="Times New Roman" w:cs="Times New Roman"/>
                <w:color w:val="auto"/>
                <w:szCs w:val="21"/>
              </w:rPr>
              <w:t>MeSH descriptor: [Obesity] explode all trees</w:t>
            </w:r>
          </w:p>
        </w:tc>
        <w:tc>
          <w:tcPr>
            <w:tcW w:w="1048" w:type="dxa"/>
            <w:vAlign w:val="center"/>
          </w:tcPr>
          <w:p w14:paraId="502E5479">
            <w:pPr>
              <w:jc w:val="center"/>
              <w:rPr>
                <w:rFonts w:hint="default" w:ascii="Times New Roman" w:hAnsi="Times New Roman" w:cs="Times New Roman"/>
                <w:color w:val="auto"/>
                <w:szCs w:val="21"/>
              </w:rPr>
            </w:pPr>
            <w:r>
              <w:rPr>
                <w:rFonts w:hint="default" w:ascii="Times New Roman" w:hAnsi="Times New Roman" w:cs="Times New Roman"/>
                <w:color w:val="auto"/>
                <w:szCs w:val="21"/>
              </w:rPr>
              <w:t>22903</w:t>
            </w:r>
          </w:p>
        </w:tc>
      </w:tr>
      <w:tr w14:paraId="6C61A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66797F98">
            <w:pPr>
              <w:jc w:val="center"/>
              <w:rPr>
                <w:rFonts w:hint="default" w:ascii="Times New Roman" w:hAnsi="Times New Roman" w:cs="Times New Roman"/>
                <w:color w:val="auto"/>
                <w:szCs w:val="21"/>
              </w:rPr>
            </w:pPr>
            <w:r>
              <w:rPr>
                <w:rFonts w:hint="default" w:ascii="Times New Roman" w:hAnsi="Times New Roman" w:cs="Times New Roman"/>
                <w:color w:val="auto"/>
                <w:szCs w:val="21"/>
              </w:rPr>
              <w:t>#3</w:t>
            </w:r>
          </w:p>
        </w:tc>
        <w:tc>
          <w:tcPr>
            <w:tcW w:w="8709" w:type="dxa"/>
            <w:vAlign w:val="center"/>
          </w:tcPr>
          <w:p w14:paraId="5E20D4EA">
            <w:pPr>
              <w:rPr>
                <w:rFonts w:hint="default" w:ascii="Times New Roman" w:hAnsi="Times New Roman" w:cs="Times New Roman"/>
                <w:color w:val="auto"/>
                <w:szCs w:val="21"/>
              </w:rPr>
            </w:pPr>
            <w:r>
              <w:rPr>
                <w:rFonts w:hint="default" w:ascii="Times New Roman" w:hAnsi="Times New Roman" w:cs="Times New Roman"/>
                <w:color w:val="auto"/>
                <w:szCs w:val="21"/>
              </w:rPr>
              <w:t>#1 or #2</w:t>
            </w:r>
          </w:p>
        </w:tc>
        <w:tc>
          <w:tcPr>
            <w:tcW w:w="1048" w:type="dxa"/>
            <w:vAlign w:val="center"/>
          </w:tcPr>
          <w:p w14:paraId="2C950806">
            <w:pPr>
              <w:jc w:val="center"/>
              <w:rPr>
                <w:rFonts w:hint="default" w:ascii="Times New Roman" w:hAnsi="Times New Roman" w:cs="Times New Roman"/>
                <w:color w:val="auto"/>
                <w:szCs w:val="21"/>
              </w:rPr>
            </w:pPr>
            <w:r>
              <w:rPr>
                <w:rFonts w:hint="default" w:ascii="Times New Roman" w:hAnsi="Times New Roman" w:cs="Times New Roman"/>
                <w:color w:val="auto"/>
                <w:szCs w:val="21"/>
              </w:rPr>
              <w:t>1427789</w:t>
            </w:r>
          </w:p>
        </w:tc>
      </w:tr>
      <w:tr w14:paraId="67A3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vAlign w:val="center"/>
          </w:tcPr>
          <w:p w14:paraId="786C4583">
            <w:pPr>
              <w:jc w:val="center"/>
              <w:rPr>
                <w:rFonts w:hint="default" w:ascii="Times New Roman" w:hAnsi="Times New Roman" w:cs="Times New Roman"/>
                <w:color w:val="auto"/>
                <w:szCs w:val="21"/>
              </w:rPr>
            </w:pPr>
            <w:r>
              <w:rPr>
                <w:rFonts w:hint="default" w:ascii="Times New Roman" w:hAnsi="Times New Roman" w:cs="Times New Roman"/>
                <w:color w:val="auto"/>
                <w:szCs w:val="21"/>
              </w:rPr>
              <w:t>#2</w:t>
            </w:r>
          </w:p>
        </w:tc>
        <w:tc>
          <w:tcPr>
            <w:tcW w:w="8709" w:type="dxa"/>
            <w:vAlign w:val="center"/>
          </w:tcPr>
          <w:p w14:paraId="6CB3B20A">
            <w:pPr>
              <w:rPr>
                <w:rFonts w:hint="default" w:ascii="Times New Roman" w:hAnsi="Times New Roman" w:cs="Times New Roman"/>
                <w:color w:val="auto"/>
                <w:szCs w:val="21"/>
              </w:rPr>
            </w:pPr>
            <w:r>
              <w:rPr>
                <w:rFonts w:hint="default" w:ascii="Times New Roman" w:hAnsi="Times New Roman" w:cs="Times New Roman"/>
                <w:color w:val="auto"/>
                <w:szCs w:val="21"/>
              </w:rPr>
              <w:t>(Physical Exercise):ti,ab,kw or (Aerobic Exercise):ti,ab,kw or (Physical Activity):ti,ab,kw or (walking):ti,ab,kw or (running):ti,ab,kw or (cycling):ti,ab,kw or (resistance training):ti,ab,kw or (treadmill):ti,ab,kw or (strength training):ti,ab,kw or (resistance exercise):ti,ab,kw or (Combined Aerobic and Resistance Training):ti,ab,kw or (mixed exercise program):ti,ab,kw or (High-intensity interval training):ti,ab,kw</w:t>
            </w:r>
          </w:p>
        </w:tc>
        <w:tc>
          <w:tcPr>
            <w:tcW w:w="1048" w:type="dxa"/>
            <w:vAlign w:val="center"/>
          </w:tcPr>
          <w:p w14:paraId="44C228C9">
            <w:pPr>
              <w:jc w:val="center"/>
              <w:rPr>
                <w:rFonts w:hint="default" w:ascii="Times New Roman" w:hAnsi="Times New Roman" w:cs="Times New Roman"/>
                <w:color w:val="auto"/>
                <w:szCs w:val="21"/>
              </w:rPr>
            </w:pPr>
            <w:r>
              <w:rPr>
                <w:rFonts w:hint="default" w:ascii="Times New Roman" w:hAnsi="Times New Roman" w:cs="Times New Roman"/>
                <w:color w:val="auto"/>
                <w:szCs w:val="21"/>
              </w:rPr>
              <w:t>164515</w:t>
            </w:r>
          </w:p>
        </w:tc>
      </w:tr>
      <w:tr w14:paraId="7253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11" w:type="dxa"/>
            <w:tcBorders>
              <w:bottom w:val="single" w:color="auto" w:sz="12" w:space="0"/>
            </w:tcBorders>
            <w:vAlign w:val="center"/>
          </w:tcPr>
          <w:p w14:paraId="07FD794D">
            <w:pPr>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8709" w:type="dxa"/>
            <w:tcBorders>
              <w:bottom w:val="single" w:color="auto" w:sz="12" w:space="0"/>
            </w:tcBorders>
            <w:vAlign w:val="center"/>
          </w:tcPr>
          <w:p w14:paraId="222343D5">
            <w:pPr>
              <w:rPr>
                <w:rFonts w:hint="default" w:ascii="Times New Roman" w:hAnsi="Times New Roman" w:cs="Times New Roman"/>
                <w:color w:val="auto"/>
                <w:szCs w:val="21"/>
              </w:rPr>
            </w:pPr>
            <w:r>
              <w:rPr>
                <w:rFonts w:hint="default" w:ascii="Times New Roman" w:hAnsi="Times New Roman" w:cs="Times New Roman"/>
                <w:color w:val="auto"/>
                <w:szCs w:val="21"/>
              </w:rPr>
              <w:t>MeSH descriptor: [Exercise] explode all trees</w:t>
            </w:r>
          </w:p>
        </w:tc>
        <w:tc>
          <w:tcPr>
            <w:tcW w:w="1048" w:type="dxa"/>
            <w:tcBorders>
              <w:bottom w:val="single" w:color="auto" w:sz="12" w:space="0"/>
            </w:tcBorders>
            <w:vAlign w:val="center"/>
          </w:tcPr>
          <w:p w14:paraId="3DEE1972">
            <w:pPr>
              <w:jc w:val="center"/>
              <w:rPr>
                <w:rFonts w:hint="default" w:ascii="Times New Roman" w:hAnsi="Times New Roman" w:cs="Times New Roman"/>
                <w:color w:val="auto"/>
                <w:szCs w:val="21"/>
              </w:rPr>
            </w:pPr>
            <w:r>
              <w:rPr>
                <w:rFonts w:hint="default" w:ascii="Times New Roman" w:hAnsi="Times New Roman" w:cs="Times New Roman"/>
                <w:color w:val="auto"/>
                <w:szCs w:val="21"/>
              </w:rPr>
              <w:t>42079</w:t>
            </w:r>
          </w:p>
        </w:tc>
      </w:tr>
    </w:tbl>
    <w:p w14:paraId="7638BEE3">
      <w:pPr>
        <w:spacing w:line="360" w:lineRule="exact"/>
        <w:rPr>
          <w:rFonts w:hint="default" w:ascii="Times New Roman" w:hAnsi="Times New Roman" w:eastAsia="宋体" w:cs="Times New Roman"/>
          <w:b/>
          <w:bCs/>
          <w:color w:val="auto"/>
        </w:rPr>
      </w:pPr>
    </w:p>
    <w:p w14:paraId="79FFF130">
      <w:pPr>
        <w:spacing w:line="360" w:lineRule="exact"/>
        <w:rPr>
          <w:rFonts w:hint="default" w:ascii="Times New Roman" w:hAnsi="Times New Roman" w:eastAsia="宋体" w:cs="Times New Roman"/>
          <w:color w:val="auto"/>
        </w:rPr>
      </w:pPr>
      <w:r>
        <w:rPr>
          <w:rFonts w:hint="default" w:ascii="Times New Roman" w:hAnsi="Times New Roman" w:eastAsia="宋体" w:cs="Times New Roman"/>
          <w:b/>
          <w:bCs/>
          <w:color w:val="auto"/>
        </w:rPr>
        <w:t>Table S</w:t>
      </w:r>
      <w:r>
        <w:rPr>
          <w:rFonts w:hint="default" w:ascii="Times New Roman" w:hAnsi="Times New Roman" w:eastAsia="宋体" w:cs="Times New Roman"/>
          <w:b/>
          <w:bCs/>
          <w:color w:val="auto"/>
        </w:rPr>
        <w:t xml:space="preserve">4 </w:t>
      </w:r>
      <w:r>
        <w:rPr>
          <w:rFonts w:hint="default" w:ascii="Times New Roman" w:hAnsi="Times New Roman" w:eastAsia="宋体" w:cs="Times New Roman"/>
          <w:color w:val="auto"/>
        </w:rPr>
        <w:t>Web of Science</w:t>
      </w:r>
    </w:p>
    <w:tbl>
      <w:tblPr>
        <w:tblStyle w:val="7"/>
        <w:tblW w:w="108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1"/>
        <w:gridCol w:w="8638"/>
        <w:gridCol w:w="951"/>
      </w:tblGrid>
      <w:tr w14:paraId="157F6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211" w:type="dxa"/>
            <w:tcBorders>
              <w:top w:val="single" w:color="auto" w:sz="12" w:space="0"/>
              <w:bottom w:val="single" w:color="auto" w:sz="6" w:space="0"/>
            </w:tcBorders>
            <w:vAlign w:val="center"/>
          </w:tcPr>
          <w:p w14:paraId="6AD4BFD6">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Search procedure</w:t>
            </w:r>
          </w:p>
        </w:tc>
        <w:tc>
          <w:tcPr>
            <w:tcW w:w="8638" w:type="dxa"/>
            <w:tcBorders>
              <w:top w:val="single" w:color="auto" w:sz="12" w:space="0"/>
              <w:bottom w:val="single" w:color="auto" w:sz="6" w:space="0"/>
            </w:tcBorders>
            <w:vAlign w:val="center"/>
          </w:tcPr>
          <w:p w14:paraId="7ED06941">
            <w:pPr>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szCs w:val="21"/>
              </w:rPr>
              <w:t>Query</w:t>
            </w:r>
          </w:p>
        </w:tc>
        <w:tc>
          <w:tcPr>
            <w:tcW w:w="951" w:type="dxa"/>
            <w:tcBorders>
              <w:top w:val="single" w:color="auto" w:sz="12" w:space="0"/>
              <w:bottom w:val="single" w:color="auto" w:sz="6" w:space="0"/>
            </w:tcBorders>
            <w:vAlign w:val="center"/>
          </w:tcPr>
          <w:p w14:paraId="1C62CDD7">
            <w:pPr>
              <w:spacing w:line="360" w:lineRule="exact"/>
              <w:jc w:val="center"/>
              <w:rPr>
                <w:rFonts w:hint="default" w:ascii="Times New Roman" w:hAnsi="Times New Roman" w:eastAsia="宋体" w:cs="Times New Roman"/>
                <w:color w:val="auto"/>
                <w:szCs w:val="21"/>
              </w:rPr>
            </w:pPr>
            <w:r>
              <w:rPr>
                <w:rFonts w:hint="default" w:ascii="Times New Roman" w:hAnsi="Times New Roman" w:eastAsia="宋体" w:cs="Times New Roman"/>
                <w:b/>
                <w:bCs/>
                <w:color w:val="auto"/>
                <w:szCs w:val="21"/>
              </w:rPr>
              <w:t>Results</w:t>
            </w:r>
          </w:p>
        </w:tc>
      </w:tr>
      <w:tr w14:paraId="554F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vAlign w:val="center"/>
          </w:tcPr>
          <w:p w14:paraId="52DAFE75">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w:t>
            </w:r>
            <w:r>
              <w:rPr>
                <w:rFonts w:hint="default" w:ascii="Times New Roman" w:hAnsi="Times New Roman" w:eastAsia="宋体" w:cs="Times New Roman"/>
                <w:color w:val="auto"/>
                <w:szCs w:val="21"/>
              </w:rPr>
              <w:t>6</w:t>
            </w:r>
          </w:p>
        </w:tc>
        <w:tc>
          <w:tcPr>
            <w:tcW w:w="8638" w:type="dxa"/>
            <w:vAlign w:val="center"/>
          </w:tcPr>
          <w:p w14:paraId="3660A2CD">
            <w:pPr>
              <w:widowControl/>
              <w:jc w:val="left"/>
              <w:textAlignment w:val="bottom"/>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w:t>
            </w:r>
            <w:r>
              <w:rPr>
                <w:rFonts w:hint="default" w:ascii="Times New Roman" w:hAnsi="Times New Roman" w:eastAsia="宋体" w:cs="Times New Roman"/>
                <w:color w:val="auto"/>
                <w:kern w:val="0"/>
                <w:szCs w:val="21"/>
                <w:lang w:val="en-US" w:eastAsia="zh-CN" w:bidi="ar"/>
              </w:rPr>
              <w:t>1</w:t>
            </w:r>
            <w:r>
              <w:rPr>
                <w:rFonts w:hint="default" w:ascii="Times New Roman" w:hAnsi="Times New Roman" w:eastAsia="宋体" w:cs="Times New Roman"/>
                <w:color w:val="auto"/>
                <w:kern w:val="0"/>
                <w:szCs w:val="21"/>
                <w:lang w:bidi="ar"/>
              </w:rPr>
              <w:t xml:space="preserve"> AND #</w:t>
            </w:r>
            <w:r>
              <w:rPr>
                <w:rFonts w:hint="default" w:ascii="Times New Roman" w:hAnsi="Times New Roman" w:eastAsia="宋体" w:cs="Times New Roman"/>
                <w:color w:val="auto"/>
                <w:kern w:val="0"/>
                <w:szCs w:val="21"/>
                <w:lang w:val="en-US" w:eastAsia="zh-CN" w:bidi="ar"/>
              </w:rPr>
              <w:t>2</w:t>
            </w:r>
            <w:r>
              <w:rPr>
                <w:rFonts w:hint="default" w:ascii="Times New Roman" w:hAnsi="Times New Roman" w:eastAsia="宋体" w:cs="Times New Roman"/>
                <w:color w:val="auto"/>
                <w:kern w:val="0"/>
                <w:szCs w:val="21"/>
                <w:lang w:bidi="ar"/>
              </w:rPr>
              <w:t xml:space="preserve"> AND #</w:t>
            </w:r>
            <w:r>
              <w:rPr>
                <w:rFonts w:hint="default" w:ascii="Times New Roman" w:hAnsi="Times New Roman" w:eastAsia="宋体" w:cs="Times New Roman"/>
                <w:color w:val="auto"/>
                <w:kern w:val="0"/>
                <w:szCs w:val="21"/>
                <w:lang w:val="en-US" w:eastAsia="zh-CN" w:bidi="ar"/>
              </w:rPr>
              <w:t>3</w:t>
            </w:r>
            <w:r>
              <w:rPr>
                <w:rFonts w:hint="default" w:ascii="Times New Roman" w:hAnsi="Times New Roman" w:eastAsia="宋体" w:cs="Times New Roman"/>
                <w:color w:val="auto"/>
                <w:kern w:val="0"/>
                <w:szCs w:val="21"/>
                <w:lang w:bidi="ar"/>
              </w:rPr>
              <w:t xml:space="preserve"> AND #</w:t>
            </w:r>
            <w:r>
              <w:rPr>
                <w:rFonts w:hint="default" w:ascii="Times New Roman" w:hAnsi="Times New Roman" w:eastAsia="宋体" w:cs="Times New Roman"/>
                <w:color w:val="auto"/>
                <w:kern w:val="0"/>
                <w:szCs w:val="21"/>
                <w:lang w:val="en-US" w:eastAsia="zh-CN" w:bidi="ar"/>
              </w:rPr>
              <w:t>4</w:t>
            </w:r>
            <w:r>
              <w:rPr>
                <w:rFonts w:hint="default" w:ascii="Times New Roman" w:hAnsi="Times New Roman" w:eastAsia="宋体" w:cs="Times New Roman"/>
                <w:color w:val="auto"/>
                <w:kern w:val="0"/>
                <w:szCs w:val="21"/>
                <w:lang w:bidi="ar"/>
              </w:rPr>
              <w:t xml:space="preserve"> AND #</w:t>
            </w:r>
            <w:r>
              <w:rPr>
                <w:rFonts w:hint="default" w:ascii="Times New Roman" w:hAnsi="Times New Roman" w:eastAsia="宋体" w:cs="Times New Roman"/>
                <w:color w:val="auto"/>
                <w:kern w:val="0"/>
                <w:szCs w:val="21"/>
                <w:lang w:val="en-US" w:eastAsia="zh-CN" w:bidi="ar"/>
              </w:rPr>
              <w:t>5</w:t>
            </w:r>
            <w:r>
              <w:rPr>
                <w:rFonts w:hint="default" w:ascii="Times New Roman" w:hAnsi="Times New Roman" w:eastAsia="宋体" w:cs="Times New Roman"/>
                <w:color w:val="auto"/>
                <w:kern w:val="0"/>
                <w:szCs w:val="21"/>
                <w:lang w:bidi="ar"/>
              </w:rPr>
              <w:t xml:space="preserve">   </w:t>
            </w:r>
          </w:p>
        </w:tc>
        <w:tc>
          <w:tcPr>
            <w:tcW w:w="951" w:type="dxa"/>
            <w:vAlign w:val="center"/>
          </w:tcPr>
          <w:p w14:paraId="34525336">
            <w:pPr>
              <w:widowControl/>
              <w:jc w:val="center"/>
              <w:textAlignment w:val="bottom"/>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169</w:t>
            </w:r>
          </w:p>
        </w:tc>
      </w:tr>
      <w:tr w14:paraId="05C3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vAlign w:val="center"/>
          </w:tcPr>
          <w:p w14:paraId="560E1650">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#5</w:t>
            </w:r>
          </w:p>
        </w:tc>
        <w:tc>
          <w:tcPr>
            <w:tcW w:w="8638" w:type="dxa"/>
            <w:vAlign w:val="center"/>
          </w:tcPr>
          <w:p w14:paraId="757AE53C">
            <w:pPr>
              <w:widowControl/>
              <w:jc w:val="left"/>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 xml:space="preserve">randomized controlled trial  (Topic) OR randomized  (Topic) OR placebo  (Topic) OR RCT  (Topic)   </w:t>
            </w:r>
          </w:p>
        </w:tc>
        <w:tc>
          <w:tcPr>
            <w:tcW w:w="951" w:type="dxa"/>
            <w:vAlign w:val="center"/>
          </w:tcPr>
          <w:p w14:paraId="06B91767">
            <w:pPr>
              <w:widowControl/>
              <w:jc w:val="center"/>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1416751</w:t>
            </w:r>
          </w:p>
        </w:tc>
      </w:tr>
      <w:tr w14:paraId="717C2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vAlign w:val="center"/>
          </w:tcPr>
          <w:p w14:paraId="35492851">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#4</w:t>
            </w:r>
          </w:p>
        </w:tc>
        <w:tc>
          <w:tcPr>
            <w:tcW w:w="8638" w:type="dxa"/>
            <w:vAlign w:val="center"/>
          </w:tcPr>
          <w:p w14:paraId="529C76BA">
            <w:pPr>
              <w:widowControl/>
              <w:jc w:val="left"/>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 xml:space="preserve">Obesity  (Topic) OR Overweight  (Topic)   </w:t>
            </w:r>
          </w:p>
        </w:tc>
        <w:tc>
          <w:tcPr>
            <w:tcW w:w="951" w:type="dxa"/>
            <w:vAlign w:val="center"/>
          </w:tcPr>
          <w:p w14:paraId="5783AC77">
            <w:pPr>
              <w:widowControl/>
              <w:jc w:val="center"/>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580864</w:t>
            </w:r>
          </w:p>
        </w:tc>
      </w:tr>
      <w:tr w14:paraId="6C8A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vAlign w:val="center"/>
          </w:tcPr>
          <w:p w14:paraId="42902E97">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#3</w:t>
            </w:r>
          </w:p>
        </w:tc>
        <w:tc>
          <w:tcPr>
            <w:tcW w:w="8638" w:type="dxa"/>
            <w:vAlign w:val="center"/>
          </w:tcPr>
          <w:p w14:paraId="305841C8">
            <w:pPr>
              <w:widowControl/>
              <w:jc w:val="left"/>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 xml:space="preserve">Adult  (Topic)   </w:t>
            </w:r>
          </w:p>
        </w:tc>
        <w:tc>
          <w:tcPr>
            <w:tcW w:w="951" w:type="dxa"/>
            <w:vAlign w:val="center"/>
          </w:tcPr>
          <w:p w14:paraId="44E050DA">
            <w:pPr>
              <w:widowControl/>
              <w:jc w:val="center"/>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2321532</w:t>
            </w:r>
          </w:p>
        </w:tc>
      </w:tr>
      <w:tr w14:paraId="4EF58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vAlign w:val="center"/>
          </w:tcPr>
          <w:p w14:paraId="189EAD4F">
            <w:pPr>
              <w:spacing w:line="360" w:lineRule="exact"/>
              <w:ind w:firstLine="420" w:firstLineChars="200"/>
              <w:jc w:val="left"/>
              <w:rPr>
                <w:rFonts w:hint="default" w:ascii="Times New Roman" w:hAnsi="Times New Roman" w:eastAsia="宋体" w:cs="Times New Roman"/>
                <w:b/>
                <w:bCs/>
                <w:color w:val="auto"/>
                <w:szCs w:val="21"/>
              </w:rPr>
            </w:pPr>
            <w:r>
              <w:rPr>
                <w:rFonts w:hint="default" w:ascii="Times New Roman" w:hAnsi="Times New Roman" w:eastAsia="宋体" w:cs="Times New Roman"/>
                <w:color w:val="auto"/>
                <w:szCs w:val="21"/>
              </w:rPr>
              <w:t>#2</w:t>
            </w:r>
          </w:p>
        </w:tc>
        <w:tc>
          <w:tcPr>
            <w:tcW w:w="8638" w:type="dxa"/>
            <w:vAlign w:val="center"/>
          </w:tcPr>
          <w:p w14:paraId="1A6B7E27">
            <w:pPr>
              <w:widowControl/>
              <w:jc w:val="left"/>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 xml:space="preserve">Intra-Abdominal Fat  (Topic) OR Intra Abdominal Fat  (Topic) OR Intra-Abdominal Adipose Tissue  (Topic) OR Adipose Tissue, Intra-Abdominal  (Topic) OR Visceral Fat  (Topic) OR Fat, Visceral  (Topic) OR Visceral Adipose Tissue  (Topic) OR Abdominal Visceral Fat  (Topic) OR Fat, Abdominal Visceral  (Topic) OR Retroperitoneal Fat  (Topic) OR Fats, Retroperitoneal  (Topic) OR Retroperitoneal Adipose Tissue  (Topic)   </w:t>
            </w:r>
          </w:p>
        </w:tc>
        <w:tc>
          <w:tcPr>
            <w:tcW w:w="951" w:type="dxa"/>
            <w:vAlign w:val="center"/>
          </w:tcPr>
          <w:p w14:paraId="28D35877">
            <w:pPr>
              <w:widowControl/>
              <w:jc w:val="center"/>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34540</w:t>
            </w:r>
          </w:p>
        </w:tc>
      </w:tr>
      <w:tr w14:paraId="7873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11" w:type="dxa"/>
            <w:tcBorders>
              <w:bottom w:val="single" w:color="auto" w:sz="12" w:space="0"/>
            </w:tcBorders>
            <w:vAlign w:val="center"/>
          </w:tcPr>
          <w:p w14:paraId="3D291C7A">
            <w:pPr>
              <w:spacing w:line="360" w:lineRule="exact"/>
              <w:ind w:firstLine="420" w:firstLineChars="20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8638" w:type="dxa"/>
            <w:tcBorders>
              <w:bottom w:val="single" w:color="auto" w:sz="12" w:space="0"/>
            </w:tcBorders>
            <w:vAlign w:val="center"/>
          </w:tcPr>
          <w:p w14:paraId="6D363E46">
            <w:pPr>
              <w:widowControl/>
              <w:jc w:val="left"/>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 xml:space="preserve">Exercise  (Topic) OR Physical Exercise  (Topic) OR Aerobic Exercise  (Topic) OR Physical Activity  (Topic) OR running  (Topic) OR walking  (Topic) OR cycling  (Topic) OR resistance training  (Topic) OR treadmill  (Topic) OR strength training  (Topic) OR resistance exercise  (Topic) OR Combined Aerobic and Resistance Training  (Topic) OR mixed exercise program  (Topic) OR High-intensity interval training  (Topic)   </w:t>
            </w:r>
          </w:p>
        </w:tc>
        <w:tc>
          <w:tcPr>
            <w:tcW w:w="951" w:type="dxa"/>
            <w:tcBorders>
              <w:bottom w:val="single" w:color="auto" w:sz="12" w:space="0"/>
            </w:tcBorders>
            <w:vAlign w:val="center"/>
          </w:tcPr>
          <w:p w14:paraId="54FFE7FC">
            <w:pPr>
              <w:widowControl/>
              <w:jc w:val="center"/>
              <w:textAlignment w:val="bottom"/>
              <w:rPr>
                <w:rFonts w:hint="default" w:ascii="Times New Roman" w:hAnsi="Times New Roman" w:eastAsia="宋体" w:cs="Times New Roman"/>
                <w:color w:val="auto"/>
                <w:szCs w:val="21"/>
              </w:rPr>
            </w:pPr>
            <w:r>
              <w:rPr>
                <w:rFonts w:hint="default" w:ascii="Times New Roman" w:hAnsi="Times New Roman" w:eastAsia="宋体" w:cs="Times New Roman"/>
                <w:color w:val="auto"/>
                <w:kern w:val="0"/>
                <w:szCs w:val="21"/>
                <w:lang w:bidi="ar"/>
              </w:rPr>
              <w:t>4092466</w:t>
            </w:r>
          </w:p>
        </w:tc>
      </w:tr>
    </w:tbl>
    <w:p w14:paraId="01EB1F29">
      <w:pPr>
        <w:spacing w:line="360" w:lineRule="exact"/>
        <w:rPr>
          <w:rFonts w:hint="default" w:ascii="Times New Roman" w:hAnsi="Times New Roman" w:eastAsia="宋体" w:cs="Times New Roman"/>
          <w:color w:val="auto"/>
        </w:rPr>
      </w:pPr>
    </w:p>
    <w:p w14:paraId="341716E0">
      <w:pPr>
        <w:tabs>
          <w:tab w:val="left" w:pos="260"/>
        </w:tabs>
        <w:spacing w:line="360" w:lineRule="exact"/>
        <w:jc w:val="left"/>
        <w:rPr>
          <w:rFonts w:hint="default" w:ascii="Times New Roman" w:hAnsi="Times New Roman" w:cs="Times New Roman"/>
          <w:b/>
          <w:bCs/>
          <w:color w:val="auto"/>
        </w:rPr>
      </w:pPr>
    </w:p>
    <w:p w14:paraId="74D564F1">
      <w:pPr>
        <w:tabs>
          <w:tab w:val="left" w:pos="260"/>
        </w:tabs>
        <w:spacing w:line="360" w:lineRule="exact"/>
        <w:jc w:val="left"/>
        <w:rPr>
          <w:rFonts w:hint="default" w:ascii="Times New Roman" w:hAnsi="Times New Roman" w:cs="Times New Roman"/>
          <w:b/>
          <w:bCs/>
          <w:color w:val="auto"/>
        </w:rPr>
      </w:pPr>
    </w:p>
    <w:p w14:paraId="398E7307">
      <w:pPr>
        <w:tabs>
          <w:tab w:val="left" w:pos="260"/>
        </w:tabs>
        <w:spacing w:line="360" w:lineRule="exact"/>
        <w:jc w:val="left"/>
        <w:rPr>
          <w:rFonts w:hint="default" w:ascii="Times New Roman" w:hAnsi="Times New Roman" w:cs="Times New Roman"/>
          <w:b/>
          <w:bCs/>
          <w:color w:val="auto"/>
        </w:rPr>
      </w:pPr>
    </w:p>
    <w:p w14:paraId="28DFA897">
      <w:pPr>
        <w:tabs>
          <w:tab w:val="left" w:pos="260"/>
        </w:tabs>
        <w:spacing w:line="360" w:lineRule="exact"/>
        <w:jc w:val="left"/>
        <w:rPr>
          <w:rFonts w:hint="default" w:ascii="Times New Roman" w:hAnsi="Times New Roman" w:cs="Times New Roman"/>
          <w:b/>
          <w:bCs/>
          <w:color w:val="auto"/>
        </w:rPr>
      </w:pPr>
    </w:p>
    <w:p w14:paraId="2753628D">
      <w:pPr>
        <w:rPr>
          <w:rFonts w:hint="default" w:ascii="Times New Roman" w:hAnsi="Times New Roman" w:cs="Times New Roman"/>
          <w:b/>
          <w:bCs/>
          <w:color w:val="auto"/>
        </w:rPr>
      </w:pPr>
      <w:r>
        <w:rPr>
          <w:rFonts w:hint="default" w:ascii="Times New Roman" w:hAnsi="Times New Roman" w:cs="Times New Roman"/>
          <w:b/>
          <w:bCs/>
          <w:color w:val="auto"/>
        </w:rPr>
        <w:br w:type="page"/>
      </w:r>
    </w:p>
    <w:p w14:paraId="44F88FD1">
      <w:pPr>
        <w:tabs>
          <w:tab w:val="left" w:pos="260"/>
        </w:tabs>
        <w:spacing w:line="360" w:lineRule="exact"/>
        <w:jc w:val="left"/>
        <w:outlineLvl w:val="0"/>
        <w:rPr>
          <w:rFonts w:hint="default" w:ascii="Times New Roman" w:hAnsi="Times New Roman" w:eastAsia="宋体" w:cs="Times New Roman"/>
          <w:b/>
          <w:bCs/>
          <w:color w:val="auto"/>
          <w:kern w:val="0"/>
          <w:szCs w:val="21"/>
          <w:lang w:bidi="ar"/>
        </w:rPr>
      </w:pP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2</w:t>
      </w:r>
      <w:r>
        <w:rPr>
          <w:rFonts w:hint="default" w:ascii="Times New Roman" w:hAnsi="Times New Roman" w:eastAsia="宋体" w:cs="Times New Roman"/>
          <w:color w:val="auto"/>
        </w:rPr>
        <w:t xml:space="preserve"> Definitions of </w:t>
      </w:r>
      <w:r>
        <w:rPr>
          <w:rFonts w:hint="default" w:ascii="Times New Roman" w:hAnsi="Times New Roman" w:eastAsia="宋体" w:cs="Times New Roman"/>
          <w:color w:val="auto"/>
        </w:rPr>
        <w:t>E</w:t>
      </w:r>
      <w:r>
        <w:rPr>
          <w:rFonts w:hint="default" w:ascii="Times New Roman" w:hAnsi="Times New Roman" w:eastAsia="宋体" w:cs="Times New Roman"/>
          <w:color w:val="auto"/>
        </w:rPr>
        <w:t xml:space="preserve">xercise </w:t>
      </w:r>
      <w:r>
        <w:rPr>
          <w:rFonts w:hint="default" w:ascii="Times New Roman" w:hAnsi="Times New Roman" w:eastAsia="宋体" w:cs="Times New Roman"/>
          <w:color w:val="auto"/>
        </w:rPr>
        <w:t>T</w:t>
      </w:r>
      <w:r>
        <w:rPr>
          <w:rFonts w:hint="default" w:ascii="Times New Roman" w:hAnsi="Times New Roman" w:eastAsia="宋体" w:cs="Times New Roman"/>
          <w:color w:val="auto"/>
        </w:rPr>
        <w:t xml:space="preserve">raining </w:t>
      </w:r>
      <w:r>
        <w:rPr>
          <w:rFonts w:hint="default" w:ascii="Times New Roman" w:hAnsi="Times New Roman" w:eastAsia="宋体" w:cs="Times New Roman"/>
          <w:color w:val="auto"/>
        </w:rPr>
        <w:t>I</w:t>
      </w:r>
      <w:r>
        <w:rPr>
          <w:rFonts w:hint="default" w:ascii="Times New Roman" w:hAnsi="Times New Roman" w:eastAsia="宋体" w:cs="Times New Roman"/>
          <w:color w:val="auto"/>
        </w:rPr>
        <w:t>nterventions</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2"/>
        <w:gridCol w:w="8337"/>
      </w:tblGrid>
      <w:tr w14:paraId="18CE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142" w:type="dxa"/>
            <w:tcBorders>
              <w:top w:val="single" w:color="auto" w:sz="12" w:space="0"/>
              <w:left w:val="nil"/>
              <w:bottom w:val="single" w:color="auto" w:sz="6" w:space="0"/>
              <w:right w:val="nil"/>
            </w:tcBorders>
            <w:vAlign w:val="center"/>
          </w:tcPr>
          <w:p w14:paraId="0EB2218A">
            <w:pPr>
              <w:widowControl/>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lang w:bidi="ar"/>
              </w:rPr>
              <w:t>Exercise</w:t>
            </w:r>
          </w:p>
        </w:tc>
        <w:tc>
          <w:tcPr>
            <w:tcW w:w="8337" w:type="dxa"/>
            <w:tcBorders>
              <w:top w:val="single" w:color="auto" w:sz="12" w:space="0"/>
              <w:left w:val="nil"/>
              <w:bottom w:val="single" w:color="auto" w:sz="6" w:space="0"/>
              <w:right w:val="nil"/>
            </w:tcBorders>
            <w:vAlign w:val="center"/>
          </w:tcPr>
          <w:p w14:paraId="62BD7217">
            <w:pPr>
              <w:widowControl/>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b/>
                <w:bCs/>
                <w:color w:val="auto"/>
                <w:kern w:val="0"/>
                <w:szCs w:val="21"/>
                <w:lang w:bidi="ar"/>
              </w:rPr>
              <w:t>Description</w:t>
            </w:r>
          </w:p>
        </w:tc>
      </w:tr>
      <w:tr w14:paraId="4A0B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2142" w:type="dxa"/>
            <w:tcBorders>
              <w:top w:val="single" w:color="auto" w:sz="6" w:space="0"/>
              <w:left w:val="nil"/>
              <w:bottom w:val="nil"/>
              <w:right w:val="nil"/>
            </w:tcBorders>
            <w:vAlign w:val="center"/>
          </w:tcPr>
          <w:p w14:paraId="4D448CEE">
            <w:pPr>
              <w:widowControl/>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color w:val="auto"/>
                <w:kern w:val="0"/>
                <w:szCs w:val="21"/>
                <w:lang w:bidi="ar"/>
              </w:rPr>
              <w:t xml:space="preserve">Aerobic </w:t>
            </w:r>
            <w:r>
              <w:rPr>
                <w:rFonts w:hint="default" w:ascii="Times New Roman" w:hAnsi="Times New Roman" w:eastAsia="宋体" w:cs="Times New Roman"/>
                <w:color w:val="auto"/>
                <w:kern w:val="0"/>
                <w:szCs w:val="21"/>
                <w:lang w:bidi="ar"/>
              </w:rPr>
              <w:t>e</w:t>
            </w:r>
            <w:r>
              <w:rPr>
                <w:rFonts w:hint="default" w:ascii="Times New Roman" w:hAnsi="Times New Roman" w:eastAsia="宋体" w:cs="Times New Roman"/>
                <w:color w:val="auto"/>
                <w:kern w:val="0"/>
                <w:szCs w:val="21"/>
                <w:lang w:bidi="ar"/>
              </w:rPr>
              <w:t>xercise</w:t>
            </w:r>
          </w:p>
        </w:tc>
        <w:tc>
          <w:tcPr>
            <w:tcW w:w="8337" w:type="dxa"/>
            <w:tcBorders>
              <w:top w:val="single" w:color="auto" w:sz="6" w:space="0"/>
              <w:left w:val="nil"/>
              <w:bottom w:val="nil"/>
              <w:right w:val="nil"/>
            </w:tcBorders>
            <w:vAlign w:val="center"/>
          </w:tcPr>
          <w:p w14:paraId="59DF695D">
            <w:pPr>
              <w:tabs>
                <w:tab w:val="left" w:pos="260"/>
              </w:tabs>
              <w:spacing w:line="360" w:lineRule="exact"/>
              <w:jc w:val="left"/>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Activities in which the body’s large muscle groups move rhythmically and continuously over a prolonged period, typically performed to improve cardiorespiratory fitness and endurance.</w:t>
            </w:r>
          </w:p>
          <w:p w14:paraId="6ADA0BFE">
            <w:pPr>
              <w:tabs>
                <w:tab w:val="left" w:pos="260"/>
              </w:tabs>
              <w:spacing w:line="360" w:lineRule="exact"/>
              <w:jc w:val="left"/>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Examples: walking, jogging, cycling, swimming.</w:t>
            </w:r>
          </w:p>
        </w:tc>
      </w:tr>
      <w:tr w14:paraId="3219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142" w:type="dxa"/>
            <w:tcBorders>
              <w:top w:val="nil"/>
              <w:left w:val="nil"/>
              <w:bottom w:val="nil"/>
              <w:right w:val="nil"/>
            </w:tcBorders>
            <w:vAlign w:val="center"/>
          </w:tcPr>
          <w:p w14:paraId="254F2DCA">
            <w:pPr>
              <w:widowControl/>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color w:val="auto"/>
                <w:kern w:val="0"/>
                <w:szCs w:val="21"/>
                <w:lang w:bidi="ar"/>
              </w:rPr>
              <w:t xml:space="preserve">Resistance </w:t>
            </w:r>
            <w:r>
              <w:rPr>
                <w:rFonts w:hint="default" w:ascii="Times New Roman" w:hAnsi="Times New Roman" w:eastAsia="宋体" w:cs="Times New Roman"/>
                <w:color w:val="auto"/>
                <w:kern w:val="0"/>
                <w:szCs w:val="21"/>
                <w:lang w:bidi="ar"/>
              </w:rPr>
              <w:t>t</w:t>
            </w:r>
            <w:r>
              <w:rPr>
                <w:rFonts w:hint="default" w:ascii="Times New Roman" w:hAnsi="Times New Roman" w:eastAsia="宋体" w:cs="Times New Roman"/>
                <w:color w:val="auto"/>
                <w:kern w:val="0"/>
                <w:szCs w:val="21"/>
                <w:lang w:bidi="ar"/>
              </w:rPr>
              <w:t>raining</w:t>
            </w:r>
          </w:p>
        </w:tc>
        <w:tc>
          <w:tcPr>
            <w:tcW w:w="8337" w:type="dxa"/>
            <w:tcBorders>
              <w:top w:val="nil"/>
              <w:left w:val="nil"/>
              <w:bottom w:val="nil"/>
              <w:right w:val="nil"/>
            </w:tcBorders>
            <w:vAlign w:val="center"/>
          </w:tcPr>
          <w:p w14:paraId="699C73F3">
            <w:pPr>
              <w:tabs>
                <w:tab w:val="left" w:pos="260"/>
              </w:tabs>
              <w:spacing w:line="360" w:lineRule="exact"/>
              <w:jc w:val="left"/>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Exercise performed by having a specific muscle or muscle group work against an external resistance to improve muscular fitness, such as strength, endurance, and muscle mass.</w:t>
            </w:r>
          </w:p>
        </w:tc>
      </w:tr>
      <w:tr w14:paraId="4F41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142" w:type="dxa"/>
            <w:tcBorders>
              <w:top w:val="nil"/>
              <w:left w:val="nil"/>
              <w:bottom w:val="nil"/>
              <w:right w:val="nil"/>
            </w:tcBorders>
            <w:vAlign w:val="center"/>
          </w:tcPr>
          <w:p w14:paraId="084A72DD">
            <w:pPr>
              <w:tabs>
                <w:tab w:val="left" w:pos="260"/>
              </w:tabs>
              <w:spacing w:line="360" w:lineRule="exact"/>
              <w:jc w:val="center"/>
              <w:rPr>
                <w:rFonts w:hint="default" w:ascii="Times New Roman" w:hAnsi="Times New Roman" w:eastAsia="宋体" w:cs="Times New Roman"/>
                <w:b/>
                <w:bCs/>
                <w:color w:val="auto"/>
                <w:szCs w:val="21"/>
              </w:rPr>
            </w:pPr>
            <w:r>
              <w:rPr>
                <w:rFonts w:hint="default" w:ascii="Times New Roman" w:hAnsi="Times New Roman" w:eastAsia="宋体" w:cs="Times New Roman"/>
                <w:color w:val="auto"/>
                <w:kern w:val="0"/>
                <w:szCs w:val="21"/>
                <w:lang w:bidi="ar"/>
              </w:rPr>
              <w:t>Combined</w:t>
            </w:r>
            <w:r>
              <w:rPr>
                <w:rFonts w:hint="default" w:ascii="Times New Roman" w:hAnsi="Times New Roman" w:eastAsia="宋体" w:cs="Times New Roman"/>
                <w:color w:val="auto"/>
                <w:kern w:val="0"/>
                <w:szCs w:val="21"/>
                <w:lang w:bidi="ar"/>
              </w:rPr>
              <w:t xml:space="preserve"> a</w:t>
            </w:r>
            <w:r>
              <w:rPr>
                <w:rFonts w:hint="default" w:ascii="Times New Roman" w:hAnsi="Times New Roman" w:eastAsia="宋体" w:cs="Times New Roman"/>
                <w:color w:val="auto"/>
                <w:kern w:val="0"/>
                <w:szCs w:val="21"/>
                <w:lang w:bidi="ar"/>
              </w:rPr>
              <w:t xml:space="preserve">erobic and </w:t>
            </w:r>
            <w:r>
              <w:rPr>
                <w:rFonts w:hint="default" w:ascii="Times New Roman" w:hAnsi="Times New Roman" w:eastAsia="宋体" w:cs="Times New Roman"/>
                <w:color w:val="auto"/>
                <w:kern w:val="0"/>
                <w:szCs w:val="21"/>
                <w:lang w:bidi="ar"/>
              </w:rPr>
              <w:t>r</w:t>
            </w:r>
            <w:r>
              <w:rPr>
                <w:rFonts w:hint="default" w:ascii="Times New Roman" w:hAnsi="Times New Roman" w:eastAsia="宋体" w:cs="Times New Roman"/>
                <w:color w:val="auto"/>
                <w:kern w:val="0"/>
                <w:szCs w:val="21"/>
                <w:lang w:bidi="ar"/>
              </w:rPr>
              <w:t xml:space="preserve">esistance </w:t>
            </w:r>
            <w:r>
              <w:rPr>
                <w:rFonts w:hint="default" w:ascii="Times New Roman" w:hAnsi="Times New Roman" w:eastAsia="宋体" w:cs="Times New Roman"/>
                <w:color w:val="auto"/>
                <w:kern w:val="0"/>
                <w:szCs w:val="21"/>
                <w:lang w:bidi="ar"/>
              </w:rPr>
              <w:t>t</w:t>
            </w:r>
            <w:r>
              <w:rPr>
                <w:rFonts w:hint="default" w:ascii="Times New Roman" w:hAnsi="Times New Roman" w:eastAsia="宋体" w:cs="Times New Roman"/>
                <w:color w:val="auto"/>
                <w:kern w:val="0"/>
                <w:szCs w:val="21"/>
                <w:lang w:bidi="ar"/>
              </w:rPr>
              <w:t>raining</w:t>
            </w:r>
          </w:p>
        </w:tc>
        <w:tc>
          <w:tcPr>
            <w:tcW w:w="8337" w:type="dxa"/>
            <w:tcBorders>
              <w:top w:val="nil"/>
              <w:left w:val="nil"/>
              <w:bottom w:val="nil"/>
              <w:right w:val="nil"/>
            </w:tcBorders>
            <w:vAlign w:val="center"/>
          </w:tcPr>
          <w:p w14:paraId="2B254128">
            <w:pPr>
              <w:tabs>
                <w:tab w:val="left" w:pos="260"/>
              </w:tabs>
              <w:spacing w:line="360" w:lineRule="exact"/>
              <w:jc w:val="left"/>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An integrated program that delivers both aerobic and resistance components within the same training period (same session or on alternate days).</w:t>
            </w:r>
          </w:p>
        </w:tc>
      </w:tr>
      <w:tr w14:paraId="53E2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2142" w:type="dxa"/>
            <w:tcBorders>
              <w:top w:val="nil"/>
              <w:left w:val="nil"/>
              <w:bottom w:val="single" w:color="auto" w:sz="12" w:space="0"/>
              <w:right w:val="nil"/>
            </w:tcBorders>
            <w:vAlign w:val="center"/>
          </w:tcPr>
          <w:p w14:paraId="1C7A381C">
            <w:pPr>
              <w:tabs>
                <w:tab w:val="left" w:pos="260"/>
              </w:tabs>
              <w:spacing w:line="360" w:lineRule="exact"/>
              <w:jc w:val="center"/>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High-intensity interval training</w:t>
            </w:r>
          </w:p>
        </w:tc>
        <w:tc>
          <w:tcPr>
            <w:tcW w:w="8337" w:type="dxa"/>
            <w:tcBorders>
              <w:top w:val="nil"/>
              <w:left w:val="nil"/>
              <w:bottom w:val="single" w:color="auto" w:sz="12" w:space="0"/>
              <w:right w:val="nil"/>
            </w:tcBorders>
            <w:vAlign w:val="center"/>
          </w:tcPr>
          <w:p w14:paraId="17C74D03">
            <w:pPr>
              <w:tabs>
                <w:tab w:val="left" w:pos="260"/>
              </w:tabs>
              <w:spacing w:line="360" w:lineRule="exact"/>
              <w:jc w:val="left"/>
              <w:rPr>
                <w:rFonts w:hint="default" w:ascii="Times New Roman" w:hAnsi="Times New Roman" w:eastAsia="宋体" w:cs="Times New Roman"/>
                <w:color w:val="auto"/>
                <w:kern w:val="0"/>
                <w:szCs w:val="21"/>
                <w:lang w:bidi="ar"/>
              </w:rPr>
            </w:pPr>
            <w:r>
              <w:rPr>
                <w:rFonts w:hint="default" w:ascii="Times New Roman" w:hAnsi="Times New Roman" w:eastAsia="宋体" w:cs="Times New Roman"/>
                <w:color w:val="auto"/>
                <w:kern w:val="0"/>
                <w:szCs w:val="21"/>
                <w:lang w:bidi="ar"/>
              </w:rPr>
              <w:t>High-intensity interval training is characterized by brief, intermittent bouts of vigorous activity interspersed with rest periods or lower-intensity recovery; exercise intensity is commonly described as 85–95% of maximal heart rate (HRmax) or 80–100% of peak power/output (or workload).</w:t>
            </w:r>
          </w:p>
        </w:tc>
      </w:tr>
    </w:tbl>
    <w:p w14:paraId="25044DCC">
      <w:pPr>
        <w:spacing w:line="360" w:lineRule="exact"/>
        <w:rPr>
          <w:rFonts w:hint="default" w:ascii="Times New Roman" w:hAnsi="Times New Roman" w:eastAsia="宋体" w:cs="Times New Roman"/>
          <w:color w:val="auto"/>
        </w:rPr>
      </w:pPr>
    </w:p>
    <w:p w14:paraId="31295969">
      <w:pPr>
        <w:spacing w:line="360" w:lineRule="exact"/>
        <w:rPr>
          <w:rFonts w:hint="default" w:ascii="Times New Roman" w:hAnsi="Times New Roman" w:eastAsia="宋体" w:cs="Times New Roman"/>
          <w:color w:val="auto"/>
        </w:rPr>
      </w:pPr>
    </w:p>
    <w:p w14:paraId="1A57E3DE">
      <w:pPr>
        <w:spacing w:line="360" w:lineRule="exact"/>
        <w:rPr>
          <w:rFonts w:hint="default" w:ascii="Times New Roman" w:hAnsi="Times New Roman" w:eastAsia="宋体" w:cs="Times New Roman"/>
          <w:color w:val="auto"/>
        </w:rPr>
      </w:pPr>
    </w:p>
    <w:p w14:paraId="38CD8381">
      <w:pPr>
        <w:spacing w:line="360" w:lineRule="exact"/>
        <w:rPr>
          <w:rFonts w:hint="default" w:ascii="Times New Roman" w:hAnsi="Times New Roman" w:eastAsia="宋体" w:cs="Times New Roman"/>
          <w:color w:val="auto"/>
        </w:rPr>
      </w:pPr>
    </w:p>
    <w:p w14:paraId="3F3ACD1F">
      <w:pPr>
        <w:spacing w:line="360" w:lineRule="exact"/>
        <w:rPr>
          <w:rFonts w:hint="default" w:ascii="Times New Roman" w:hAnsi="Times New Roman" w:eastAsia="宋体" w:cs="Times New Roman"/>
          <w:color w:val="auto"/>
        </w:rPr>
      </w:pPr>
    </w:p>
    <w:p w14:paraId="4DDBEF42">
      <w:pPr>
        <w:spacing w:line="360" w:lineRule="exact"/>
        <w:rPr>
          <w:rFonts w:hint="default" w:ascii="Times New Roman" w:hAnsi="Times New Roman" w:eastAsia="宋体" w:cs="Times New Roman"/>
          <w:color w:val="auto"/>
        </w:rPr>
      </w:pPr>
    </w:p>
    <w:p w14:paraId="09769E62">
      <w:pPr>
        <w:spacing w:line="360" w:lineRule="exact"/>
        <w:rPr>
          <w:rFonts w:hint="default" w:ascii="Times New Roman" w:hAnsi="Times New Roman" w:eastAsia="宋体" w:cs="Times New Roman"/>
          <w:color w:val="auto"/>
        </w:rPr>
        <w:sectPr>
          <w:footerReference r:id="rId3" w:type="default"/>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p>
    <w:p w14:paraId="26A6BC31">
      <w:pPr>
        <w:spacing w:line="360" w:lineRule="exact"/>
        <w:outlineLvl w:val="0"/>
        <w:rPr>
          <w:rFonts w:hint="default" w:ascii="Times New Roman" w:hAnsi="Times New Roman" w:eastAsia="宋体" w:cs="Times New Roman"/>
          <w:b/>
          <w:bCs/>
          <w:color w:val="auto"/>
          <w:kern w:val="0"/>
          <w:sz w:val="20"/>
          <w:szCs w:val="20"/>
          <w:lang w:bidi="ar"/>
        </w:rPr>
      </w:pP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3</w:t>
      </w:r>
      <w:r>
        <w:rPr>
          <w:rFonts w:hint="default" w:ascii="Times New Roman" w:hAnsi="Times New Roman" w:eastAsia="宋体" w:cs="Times New Roman"/>
          <w:b/>
          <w:bCs/>
          <w:color w:val="auto"/>
          <w:szCs w:val="21"/>
          <w:shd w:val="clear" w:color="auto" w:fill="FFFFFF"/>
        </w:rPr>
        <w:t xml:space="preserve"> </w:t>
      </w:r>
      <w:r>
        <w:rPr>
          <w:rFonts w:hint="default" w:ascii="Times New Roman" w:hAnsi="Times New Roman" w:eastAsia="宋体" w:cs="Times New Roman"/>
          <w:color w:val="auto"/>
          <w:sz w:val="24"/>
          <w:szCs w:val="24"/>
        </w:rPr>
        <w:t>Basic Characteristics and Exercise Intervention Details of the Included Studies</w:t>
      </w:r>
    </w:p>
    <w:tbl>
      <w:tblPr>
        <w:tblStyle w:val="6"/>
        <w:tblW w:w="154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1" w:type="dxa"/>
          <w:bottom w:w="0" w:type="dxa"/>
          <w:right w:w="51" w:type="dxa"/>
        </w:tblCellMar>
      </w:tblPr>
      <w:tblGrid>
        <w:gridCol w:w="1746"/>
        <w:gridCol w:w="1247"/>
        <w:gridCol w:w="814"/>
        <w:gridCol w:w="912"/>
        <w:gridCol w:w="780"/>
        <w:gridCol w:w="912"/>
        <w:gridCol w:w="1077"/>
        <w:gridCol w:w="1276"/>
        <w:gridCol w:w="992"/>
        <w:gridCol w:w="1276"/>
        <w:gridCol w:w="850"/>
        <w:gridCol w:w="851"/>
        <w:gridCol w:w="850"/>
        <w:gridCol w:w="1843"/>
      </w:tblGrid>
      <w:tr w14:paraId="119B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58" w:hRule="atLeast"/>
          <w:jc w:val="center"/>
        </w:trPr>
        <w:tc>
          <w:tcPr>
            <w:tcW w:w="1746" w:type="dxa"/>
            <w:tcBorders>
              <w:top w:val="single" w:color="auto" w:sz="12" w:space="0"/>
              <w:bottom w:val="single" w:color="auto" w:sz="6" w:space="0"/>
            </w:tcBorders>
            <w:vAlign w:val="center"/>
          </w:tcPr>
          <w:p w14:paraId="0F75DEE6">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Study</w:t>
            </w:r>
          </w:p>
        </w:tc>
        <w:tc>
          <w:tcPr>
            <w:tcW w:w="1247" w:type="dxa"/>
            <w:tcBorders>
              <w:top w:val="single" w:color="auto" w:sz="12" w:space="0"/>
              <w:bottom w:val="single" w:color="auto" w:sz="6" w:space="0"/>
            </w:tcBorders>
            <w:vAlign w:val="center"/>
          </w:tcPr>
          <w:p w14:paraId="37F4DEF8">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Country</w:t>
            </w:r>
          </w:p>
        </w:tc>
        <w:tc>
          <w:tcPr>
            <w:tcW w:w="814" w:type="dxa"/>
            <w:tcBorders>
              <w:top w:val="single" w:color="auto" w:sz="12" w:space="0"/>
              <w:bottom w:val="single" w:color="auto" w:sz="6" w:space="0"/>
            </w:tcBorders>
            <w:vAlign w:val="center"/>
          </w:tcPr>
          <w:p w14:paraId="481A9986">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Number</w:t>
            </w:r>
          </w:p>
        </w:tc>
        <w:tc>
          <w:tcPr>
            <w:tcW w:w="912" w:type="dxa"/>
            <w:tcBorders>
              <w:top w:val="single" w:color="auto" w:sz="12" w:space="0"/>
              <w:bottom w:val="single" w:color="auto" w:sz="6" w:space="0"/>
            </w:tcBorders>
            <w:vAlign w:val="center"/>
          </w:tcPr>
          <w:p w14:paraId="3F8083D2">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Age</w:t>
            </w:r>
          </w:p>
        </w:tc>
        <w:tc>
          <w:tcPr>
            <w:tcW w:w="780" w:type="dxa"/>
            <w:tcBorders>
              <w:top w:val="single" w:color="auto" w:sz="12" w:space="0"/>
              <w:bottom w:val="single" w:color="auto" w:sz="6" w:space="0"/>
            </w:tcBorders>
            <w:vAlign w:val="center"/>
          </w:tcPr>
          <w:p w14:paraId="404DD679">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Type</w:t>
            </w:r>
            <w:r>
              <w:rPr>
                <w:rFonts w:hint="default" w:ascii="Times New Roman" w:hAnsi="Times New Roman" w:eastAsia="宋体" w:cs="Times New Roman"/>
                <w:b/>
                <w:bCs/>
                <w:color w:val="auto"/>
                <w:kern w:val="0"/>
                <w:sz w:val="20"/>
                <w:szCs w:val="20"/>
              </w:rPr>
              <w:t xml:space="preserve"> </w:t>
            </w:r>
            <w:r>
              <w:rPr>
                <w:rFonts w:hint="default" w:ascii="Times New Roman" w:hAnsi="Times New Roman" w:eastAsia="宋体" w:cs="Times New Roman"/>
                <w:b/>
                <w:bCs/>
                <w:color w:val="auto"/>
                <w:kern w:val="0"/>
                <w:sz w:val="20"/>
                <w:szCs w:val="20"/>
              </w:rPr>
              <w:t>of</w:t>
            </w:r>
            <w:r>
              <w:rPr>
                <w:rFonts w:hint="default" w:ascii="Times New Roman" w:hAnsi="Times New Roman" w:eastAsia="宋体" w:cs="Times New Roman"/>
                <w:b/>
                <w:bCs/>
                <w:color w:val="auto"/>
                <w:kern w:val="0"/>
                <w:sz w:val="20"/>
                <w:szCs w:val="20"/>
              </w:rPr>
              <w:t xml:space="preserve"> </w:t>
            </w:r>
            <w:r>
              <w:rPr>
                <w:rFonts w:hint="default" w:ascii="Times New Roman" w:hAnsi="Times New Roman" w:eastAsia="宋体" w:cs="Times New Roman"/>
                <w:b/>
                <w:bCs/>
                <w:color w:val="auto"/>
                <w:kern w:val="0"/>
                <w:sz w:val="20"/>
                <w:szCs w:val="20"/>
              </w:rPr>
              <w:t>exercise</w:t>
            </w:r>
          </w:p>
        </w:tc>
        <w:tc>
          <w:tcPr>
            <w:tcW w:w="912" w:type="dxa"/>
            <w:tcBorders>
              <w:top w:val="single" w:color="auto" w:sz="12" w:space="0"/>
              <w:bottom w:val="single" w:color="auto" w:sz="6" w:space="0"/>
            </w:tcBorders>
            <w:vAlign w:val="center"/>
          </w:tcPr>
          <w:p w14:paraId="0529A8DE">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BMI</w:t>
            </w:r>
          </w:p>
        </w:tc>
        <w:tc>
          <w:tcPr>
            <w:tcW w:w="1077" w:type="dxa"/>
            <w:tcBorders>
              <w:top w:val="single" w:color="auto" w:sz="12" w:space="0"/>
              <w:bottom w:val="single" w:color="auto" w:sz="6" w:space="0"/>
            </w:tcBorders>
            <w:vAlign w:val="center"/>
          </w:tcPr>
          <w:p w14:paraId="2A3FF603">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BF%</w:t>
            </w:r>
          </w:p>
        </w:tc>
        <w:tc>
          <w:tcPr>
            <w:tcW w:w="1276" w:type="dxa"/>
            <w:tcBorders>
              <w:top w:val="single" w:color="auto" w:sz="12" w:space="0"/>
              <w:bottom w:val="single" w:color="auto" w:sz="6" w:space="0"/>
            </w:tcBorders>
            <w:vAlign w:val="center"/>
          </w:tcPr>
          <w:p w14:paraId="72CD8EC1">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Intervention duration (weeks)</w:t>
            </w:r>
          </w:p>
        </w:tc>
        <w:tc>
          <w:tcPr>
            <w:tcW w:w="992" w:type="dxa"/>
            <w:tcBorders>
              <w:top w:val="single" w:color="auto" w:sz="12" w:space="0"/>
              <w:bottom w:val="single" w:color="auto" w:sz="6" w:space="0"/>
            </w:tcBorders>
            <w:vAlign w:val="center"/>
          </w:tcPr>
          <w:p w14:paraId="52EA6EC2">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Time</w:t>
            </w:r>
            <w:r>
              <w:rPr>
                <w:rFonts w:hint="default" w:ascii="Times New Roman" w:hAnsi="Times New Roman" w:eastAsia="宋体" w:cs="Times New Roman"/>
                <w:b/>
                <w:bCs/>
                <w:color w:val="auto"/>
                <w:kern w:val="0"/>
                <w:sz w:val="20"/>
                <w:szCs w:val="20"/>
              </w:rPr>
              <w:br w:type="textWrapping"/>
            </w:r>
            <w:r>
              <w:rPr>
                <w:rFonts w:hint="default" w:ascii="Times New Roman" w:hAnsi="Times New Roman" w:eastAsia="宋体" w:cs="Times New Roman"/>
                <w:b/>
                <w:bCs/>
                <w:color w:val="auto"/>
                <w:kern w:val="0"/>
                <w:sz w:val="20"/>
                <w:szCs w:val="20"/>
              </w:rPr>
              <w:t>(minutes)</w:t>
            </w:r>
          </w:p>
        </w:tc>
        <w:tc>
          <w:tcPr>
            <w:tcW w:w="1276" w:type="dxa"/>
            <w:tcBorders>
              <w:top w:val="single" w:color="auto" w:sz="12" w:space="0"/>
              <w:bottom w:val="single" w:color="auto" w:sz="6" w:space="0"/>
            </w:tcBorders>
            <w:vAlign w:val="center"/>
          </w:tcPr>
          <w:p w14:paraId="06A7F101">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Frequency</w:t>
            </w:r>
            <w:r>
              <w:rPr>
                <w:rFonts w:hint="default" w:ascii="Times New Roman" w:hAnsi="Times New Roman" w:eastAsia="宋体" w:cs="Times New Roman"/>
                <w:b/>
                <w:bCs/>
                <w:color w:val="auto"/>
                <w:kern w:val="0"/>
                <w:sz w:val="20"/>
                <w:szCs w:val="20"/>
              </w:rPr>
              <w:br w:type="textWrapping"/>
            </w:r>
            <w:r>
              <w:rPr>
                <w:rFonts w:hint="default" w:ascii="Times New Roman" w:hAnsi="Times New Roman" w:eastAsia="宋体" w:cs="Times New Roman"/>
                <w:b/>
                <w:bCs/>
                <w:color w:val="auto"/>
                <w:kern w:val="0"/>
                <w:sz w:val="20"/>
                <w:szCs w:val="20"/>
              </w:rPr>
              <w:t>( times/week)</w:t>
            </w:r>
          </w:p>
        </w:tc>
        <w:tc>
          <w:tcPr>
            <w:tcW w:w="850" w:type="dxa"/>
            <w:tcBorders>
              <w:top w:val="single" w:color="auto" w:sz="12" w:space="0"/>
              <w:bottom w:val="single" w:color="auto" w:sz="6" w:space="0"/>
            </w:tcBorders>
            <w:vAlign w:val="center"/>
          </w:tcPr>
          <w:p w14:paraId="73D575BF">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Exact dose</w:t>
            </w:r>
          </w:p>
        </w:tc>
        <w:tc>
          <w:tcPr>
            <w:tcW w:w="851" w:type="dxa"/>
            <w:tcBorders>
              <w:top w:val="single" w:color="auto" w:sz="12" w:space="0"/>
              <w:bottom w:val="single" w:color="auto" w:sz="6" w:space="0"/>
            </w:tcBorders>
            <w:vAlign w:val="center"/>
          </w:tcPr>
          <w:p w14:paraId="5F131E0A">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Dose</w:t>
            </w:r>
          </w:p>
        </w:tc>
        <w:tc>
          <w:tcPr>
            <w:tcW w:w="850" w:type="dxa"/>
            <w:tcBorders>
              <w:top w:val="single" w:color="auto" w:sz="12" w:space="0"/>
              <w:bottom w:val="single" w:color="auto" w:sz="6" w:space="0"/>
            </w:tcBorders>
            <w:vAlign w:val="center"/>
          </w:tcPr>
          <w:p w14:paraId="7B7456FF">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Residual dose</w:t>
            </w:r>
          </w:p>
        </w:tc>
        <w:tc>
          <w:tcPr>
            <w:tcW w:w="1843" w:type="dxa"/>
            <w:tcBorders>
              <w:top w:val="single" w:color="auto" w:sz="12" w:space="0"/>
              <w:bottom w:val="single" w:color="auto" w:sz="6" w:space="0"/>
            </w:tcBorders>
            <w:vAlign w:val="center"/>
          </w:tcPr>
          <w:p w14:paraId="393A6E05">
            <w:pPr>
              <w:widowControl/>
              <w:jc w:val="center"/>
              <w:rPr>
                <w:rFonts w:hint="default" w:ascii="Times New Roman" w:hAnsi="Times New Roman" w:eastAsia="宋体" w:cs="Times New Roman"/>
                <w:b/>
                <w:bCs/>
                <w:color w:val="auto"/>
                <w:kern w:val="0"/>
                <w:sz w:val="20"/>
                <w:szCs w:val="20"/>
              </w:rPr>
            </w:pPr>
            <w:r>
              <w:rPr>
                <w:rFonts w:hint="default" w:ascii="Times New Roman" w:hAnsi="Times New Roman" w:eastAsia="宋体" w:cs="Times New Roman"/>
                <w:b/>
                <w:bCs/>
                <w:color w:val="auto"/>
                <w:kern w:val="0"/>
                <w:sz w:val="20"/>
                <w:szCs w:val="20"/>
              </w:rPr>
              <w:t>Outcome measure</w:t>
            </w:r>
          </w:p>
        </w:tc>
      </w:tr>
      <w:tr w14:paraId="6D769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tcBorders>
              <w:top w:val="single" w:color="auto" w:sz="6" w:space="0"/>
            </w:tcBorders>
            <w:vAlign w:val="center"/>
          </w:tcPr>
          <w:p w14:paraId="195E60A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Mohammadi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{"citationID":"eMDVtBWL","properties":{"unsorted":false,"formattedCitation":"\\super 1\\nosupersub{}","plainCitation":"1","noteIndex":0},"citationItems":[{"id":6619,"uris":["http://zotero.org/users/local/9LWqYmzn/items/2JHXMKUD"],"itemData":{"id":6619,"type":"article-journal","abstract":"Objective: To compare the effects of resistance and aerobic training (RT and AT) on spexin (SPX), appetite, lipid accumulation product (LAP), visceral adiposity index (VAI), and body composition in type 2 diabetes mellitus (T2DM) patients. Materials and Methods: Thirty-six T2DM men were randomized to receive RT (n = 12), AT (n = 12), or to act as a non-exercise control (CON, n = 12) 3 days a week for 12 weeks. Results: SPX was increased after both RT and AT (66.2% and 46.5%, respectively). VAI, LAP, and homeostasis model assessment-insulin resistance (HOMA-IR) were reduced in both groups, while quantitative insulin sensitivity check index (Quicki) and McAuley’s indexes were increased following both interventions. However, the increases of both hunger and PFC in the RT group were greater than those of the AT. Moreover, the improvement of upper-body strength (41% vs. 10.3%) and lower-body strength (42.2% vs. 20.5%) in the RT group was greater than those of the AT. Conclusion: Our investigation shows that regardless of the modes of the regimen, a 12-week exercise intervention with RT and AT can effectively induce a signiﬁcant improvement in SPX levels, appetite, LAP, VAI, and body composition in adults with T2DM.","call-number":"4","citation-key":"mohammadiEffectExerciseTraining2022","container-title":"Biological Research For Nursing","DOI":"10.1177/10998004211050596","ISSN":"1099-8004, 1552-4175","issue":"2","journalAbbreviation":"Biological Research For Nursing","language":"en","page":"152-162","source":"2.1","title":"Effect of exercise training on spexin level, appetite, lipid accumulation product, visceral adiposity index, and body composition in adults with type 2 diabetes","volume":"24","author":[{"family":"Mohammadi","given":"Arash"},{"family":"Bijeh","given":"Nahid"},{"family":"Moazzami","given":"Mahtab"},{"literal":"Kazem Khodaei"},{"family":"Rahimi","given":"Najmeh"}],"issued":{"date-parts":[["2022",4]]}}}],"schema":"https://github.com/citation-style-language/schema/raw/master/csl-citation.json"}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2022</w:t>
            </w:r>
          </w:p>
        </w:tc>
        <w:tc>
          <w:tcPr>
            <w:tcW w:w="1247" w:type="dxa"/>
            <w:vMerge w:val="restart"/>
            <w:tcBorders>
              <w:top w:val="single" w:color="auto" w:sz="6" w:space="0"/>
            </w:tcBorders>
            <w:vAlign w:val="center"/>
          </w:tcPr>
          <w:p w14:paraId="54ADF9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Iran</w:t>
            </w:r>
          </w:p>
        </w:tc>
        <w:tc>
          <w:tcPr>
            <w:tcW w:w="814" w:type="dxa"/>
            <w:tcBorders>
              <w:top w:val="single" w:color="auto" w:sz="6" w:space="0"/>
            </w:tcBorders>
            <w:vAlign w:val="center"/>
          </w:tcPr>
          <w:p w14:paraId="3143A4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IG1:9</w:t>
            </w:r>
          </w:p>
        </w:tc>
        <w:tc>
          <w:tcPr>
            <w:tcW w:w="912" w:type="dxa"/>
            <w:vMerge w:val="restart"/>
            <w:tcBorders>
              <w:top w:val="single" w:color="auto" w:sz="6" w:space="0"/>
            </w:tcBorders>
            <w:vAlign w:val="center"/>
          </w:tcPr>
          <w:p w14:paraId="0B103B9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≥50</w:t>
            </w:r>
          </w:p>
        </w:tc>
        <w:tc>
          <w:tcPr>
            <w:tcW w:w="780" w:type="dxa"/>
            <w:tcBorders>
              <w:top w:val="single" w:color="auto" w:sz="6" w:space="0"/>
            </w:tcBorders>
            <w:vAlign w:val="center"/>
          </w:tcPr>
          <w:p w14:paraId="08C9D3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tcBorders>
              <w:top w:val="single" w:color="auto" w:sz="6" w:space="0"/>
            </w:tcBorders>
            <w:vAlign w:val="center"/>
          </w:tcPr>
          <w:p w14:paraId="41B7A4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28.8±2.1</w:t>
            </w:r>
          </w:p>
        </w:tc>
        <w:tc>
          <w:tcPr>
            <w:tcW w:w="1077" w:type="dxa"/>
            <w:tcBorders>
              <w:top w:val="single" w:color="auto" w:sz="6" w:space="0"/>
            </w:tcBorders>
            <w:vAlign w:val="center"/>
          </w:tcPr>
          <w:p w14:paraId="3D1CF8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31.4±1.8</w:t>
            </w:r>
          </w:p>
        </w:tc>
        <w:tc>
          <w:tcPr>
            <w:tcW w:w="1276" w:type="dxa"/>
            <w:tcBorders>
              <w:top w:val="single" w:color="auto" w:sz="6" w:space="0"/>
            </w:tcBorders>
            <w:vAlign w:val="center"/>
          </w:tcPr>
          <w:p w14:paraId="1B645A6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tcBorders>
              <w:top w:val="single" w:color="auto" w:sz="6" w:space="0"/>
            </w:tcBorders>
            <w:vAlign w:val="center"/>
          </w:tcPr>
          <w:p w14:paraId="73ECA87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w:t>
            </w:r>
          </w:p>
        </w:tc>
        <w:tc>
          <w:tcPr>
            <w:tcW w:w="1276" w:type="dxa"/>
            <w:tcBorders>
              <w:top w:val="single" w:color="auto" w:sz="6" w:space="0"/>
            </w:tcBorders>
            <w:vAlign w:val="center"/>
          </w:tcPr>
          <w:p w14:paraId="590793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tcBorders>
              <w:top w:val="single" w:color="auto" w:sz="6" w:space="0"/>
            </w:tcBorders>
            <w:noWrap/>
            <w:vAlign w:val="center"/>
          </w:tcPr>
          <w:p w14:paraId="12B47C9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360</w:t>
            </w:r>
          </w:p>
        </w:tc>
        <w:tc>
          <w:tcPr>
            <w:tcW w:w="851" w:type="dxa"/>
            <w:tcBorders>
              <w:top w:val="single" w:color="auto" w:sz="6" w:space="0"/>
            </w:tcBorders>
            <w:noWrap/>
            <w:vAlign w:val="center"/>
          </w:tcPr>
          <w:p w14:paraId="311C63B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tcBorders>
              <w:top w:val="single" w:color="auto" w:sz="6" w:space="0"/>
            </w:tcBorders>
            <w:noWrap/>
            <w:vAlign w:val="center"/>
          </w:tcPr>
          <w:p w14:paraId="2929C8B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110</w:t>
            </w:r>
          </w:p>
        </w:tc>
        <w:tc>
          <w:tcPr>
            <w:tcW w:w="1843" w:type="dxa"/>
            <w:vMerge w:val="restart"/>
            <w:tcBorders>
              <w:top w:val="single" w:color="auto" w:sz="6" w:space="0"/>
            </w:tcBorders>
            <w:vAlign w:val="center"/>
          </w:tcPr>
          <w:p w14:paraId="43068DB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 xml:space="preserve">calculated via </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formula, index</w:t>
            </w:r>
          </w:p>
        </w:tc>
      </w:tr>
      <w:tr w14:paraId="15CEF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7AA702B2">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41F527C">
            <w:pPr>
              <w:widowControl/>
              <w:jc w:val="center"/>
              <w:rPr>
                <w:rFonts w:hint="default" w:ascii="Times New Roman" w:hAnsi="Times New Roman" w:eastAsia="宋体" w:cs="Times New Roman"/>
                <w:color w:val="auto"/>
                <w:kern w:val="0"/>
                <w:sz w:val="20"/>
                <w:szCs w:val="20"/>
              </w:rPr>
            </w:pPr>
          </w:p>
        </w:tc>
        <w:tc>
          <w:tcPr>
            <w:tcW w:w="814" w:type="dxa"/>
            <w:vAlign w:val="center"/>
          </w:tcPr>
          <w:p w14:paraId="70AC479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IG2:10</w:t>
            </w:r>
          </w:p>
        </w:tc>
        <w:tc>
          <w:tcPr>
            <w:tcW w:w="912" w:type="dxa"/>
            <w:vMerge w:val="continue"/>
            <w:vAlign w:val="center"/>
          </w:tcPr>
          <w:p w14:paraId="1C4294DE">
            <w:pPr>
              <w:widowControl/>
              <w:jc w:val="center"/>
              <w:rPr>
                <w:rFonts w:hint="default" w:ascii="Times New Roman" w:hAnsi="Times New Roman" w:eastAsia="宋体" w:cs="Times New Roman"/>
                <w:color w:val="auto"/>
                <w:kern w:val="0"/>
                <w:sz w:val="20"/>
                <w:szCs w:val="20"/>
              </w:rPr>
            </w:pPr>
          </w:p>
        </w:tc>
        <w:tc>
          <w:tcPr>
            <w:tcW w:w="780" w:type="dxa"/>
            <w:vAlign w:val="center"/>
          </w:tcPr>
          <w:p w14:paraId="4155C0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11CB61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29.2±2.4</w:t>
            </w:r>
          </w:p>
        </w:tc>
        <w:tc>
          <w:tcPr>
            <w:tcW w:w="1077" w:type="dxa"/>
            <w:vAlign w:val="center"/>
          </w:tcPr>
          <w:p w14:paraId="4269B3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32.0±2.5</w:t>
            </w:r>
          </w:p>
        </w:tc>
        <w:tc>
          <w:tcPr>
            <w:tcW w:w="1276" w:type="dxa"/>
            <w:vAlign w:val="center"/>
          </w:tcPr>
          <w:p w14:paraId="6C15B46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17B63EF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w:t>
            </w:r>
          </w:p>
        </w:tc>
        <w:tc>
          <w:tcPr>
            <w:tcW w:w="1276" w:type="dxa"/>
            <w:vAlign w:val="center"/>
          </w:tcPr>
          <w:p w14:paraId="459A4D1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B8C508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450</w:t>
            </w:r>
          </w:p>
        </w:tc>
        <w:tc>
          <w:tcPr>
            <w:tcW w:w="851" w:type="dxa"/>
            <w:noWrap/>
            <w:vAlign w:val="center"/>
          </w:tcPr>
          <w:p w14:paraId="60F96D4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5BE3409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843" w:type="dxa"/>
            <w:vMerge w:val="continue"/>
            <w:vAlign w:val="center"/>
          </w:tcPr>
          <w:p w14:paraId="3832F432">
            <w:pPr>
              <w:widowControl/>
              <w:jc w:val="center"/>
              <w:rPr>
                <w:rFonts w:hint="default" w:ascii="Times New Roman" w:hAnsi="Times New Roman" w:eastAsia="宋体" w:cs="Times New Roman"/>
                <w:color w:val="auto"/>
                <w:kern w:val="0"/>
                <w:sz w:val="20"/>
                <w:szCs w:val="20"/>
              </w:rPr>
            </w:pPr>
          </w:p>
        </w:tc>
      </w:tr>
      <w:tr w14:paraId="46F9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3F56332B">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8F5C173">
            <w:pPr>
              <w:widowControl/>
              <w:jc w:val="center"/>
              <w:rPr>
                <w:rFonts w:hint="default" w:ascii="Times New Roman" w:hAnsi="Times New Roman" w:eastAsia="宋体" w:cs="Times New Roman"/>
                <w:color w:val="auto"/>
                <w:kern w:val="0"/>
                <w:sz w:val="20"/>
                <w:szCs w:val="20"/>
              </w:rPr>
            </w:pPr>
          </w:p>
        </w:tc>
        <w:tc>
          <w:tcPr>
            <w:tcW w:w="814" w:type="dxa"/>
            <w:vAlign w:val="center"/>
          </w:tcPr>
          <w:p w14:paraId="370B47E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CG:9</w:t>
            </w:r>
          </w:p>
        </w:tc>
        <w:tc>
          <w:tcPr>
            <w:tcW w:w="912" w:type="dxa"/>
            <w:vMerge w:val="continue"/>
            <w:vAlign w:val="center"/>
          </w:tcPr>
          <w:p w14:paraId="46D20457">
            <w:pPr>
              <w:widowControl/>
              <w:jc w:val="center"/>
              <w:rPr>
                <w:rFonts w:hint="default" w:ascii="Times New Roman" w:hAnsi="Times New Roman" w:eastAsia="宋体" w:cs="Times New Roman"/>
                <w:color w:val="auto"/>
                <w:kern w:val="0"/>
                <w:sz w:val="20"/>
                <w:szCs w:val="20"/>
              </w:rPr>
            </w:pPr>
          </w:p>
        </w:tc>
        <w:tc>
          <w:tcPr>
            <w:tcW w:w="780" w:type="dxa"/>
            <w:vAlign w:val="center"/>
          </w:tcPr>
          <w:p w14:paraId="01FD69E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1D3A2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28.8±2.3</w:t>
            </w:r>
          </w:p>
        </w:tc>
        <w:tc>
          <w:tcPr>
            <w:tcW w:w="1077" w:type="dxa"/>
            <w:vAlign w:val="center"/>
          </w:tcPr>
          <w:p w14:paraId="5F05207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31.0±2.2</w:t>
            </w:r>
          </w:p>
        </w:tc>
        <w:tc>
          <w:tcPr>
            <w:tcW w:w="1276" w:type="dxa"/>
            <w:vAlign w:val="center"/>
          </w:tcPr>
          <w:p w14:paraId="62BC29B5">
            <w:pPr>
              <w:widowControl/>
              <w:jc w:val="center"/>
              <w:rPr>
                <w:rFonts w:hint="default" w:ascii="Times New Roman" w:hAnsi="Times New Roman" w:eastAsia="宋体" w:cs="Times New Roman"/>
                <w:color w:val="auto"/>
                <w:kern w:val="0"/>
                <w:sz w:val="20"/>
                <w:szCs w:val="20"/>
              </w:rPr>
            </w:pPr>
          </w:p>
        </w:tc>
        <w:tc>
          <w:tcPr>
            <w:tcW w:w="992" w:type="dxa"/>
            <w:vAlign w:val="center"/>
          </w:tcPr>
          <w:p w14:paraId="6798FDD6">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34EE8F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54C06A0">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0A6F94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0B5C167">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37C9777E">
            <w:pPr>
              <w:widowControl/>
              <w:jc w:val="center"/>
              <w:rPr>
                <w:rFonts w:hint="default" w:ascii="Times New Roman" w:hAnsi="Times New Roman" w:eastAsia="宋体" w:cs="Times New Roman"/>
                <w:color w:val="auto"/>
                <w:kern w:val="0"/>
                <w:sz w:val="20"/>
                <w:szCs w:val="20"/>
              </w:rPr>
            </w:pPr>
          </w:p>
        </w:tc>
      </w:tr>
      <w:tr w14:paraId="5B10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7" w:hRule="atLeast"/>
          <w:jc w:val="center"/>
        </w:trPr>
        <w:tc>
          <w:tcPr>
            <w:tcW w:w="1746" w:type="dxa"/>
            <w:vMerge w:val="restart"/>
            <w:vAlign w:val="center"/>
          </w:tcPr>
          <w:p w14:paraId="7BF5B38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Hyun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{"citationID":"s8zF2UXJ","properties":{"unsorted":false,"formattedCitation":"\\super 2\\nosupersub{}","plainCitation":"2","noteIndex":0},"citationItems":[{"id":6621,"uris":["http://zotero.org/users/local/9LWqYmzn/items/SDWLZ9QL"],"itemData":{"id":6621,"type":"article-journal","abstract":"Purpose: This study aimed to investigate the effects of online high-intensity interval training (HIIT) in abdominally obese women experiencing health complications due to COVID-19. Methods: Sixteen participants were enrolled and divided into the HIIT group (n = 8) and moderateintensity continuous training (MICT, n = 8) group. The HIIT group underwent 20 min of exercise consisting of 20 s of high-intensity (85–90% HRmax) exercise followed by 30 s of exercise at 60% HRmax using only body weight. The main exercise program for the MICT group included 40 min of stationary bike pedaling at 65–70% HRmax. Exercise was performed three days a week for eight weeks using a smart device and application that enables bidirectional communication. Results: The HIIT group showed reduced body fat (p = 0.036), BMI (p = 0.021), and visceral fat (p = 0.003) compared to the MICT group. Further, the HIIT group also had reduced insulin (p = 0.021) and LDL levels (p = 0.024), increased grip strength (left p = 0.012, right: p = 0.002), and a substantial drop in total stress index (p = 0.004) compared to the MICT group. Conclusions: Thus, online HIIT is a useful means to reduce abdominal fat, improve blood lipid proﬁle and muscle strength, and relieve stress caused by COVID-19.","citation-key":"hyunEffectRealtimeOnline2021","container-title":"Applied Sciences","DOI":"10.3390/app112412129","ISSN":"2076-3417","issue":"24","journalAbbreviation":"Applied Sciences","language":"en","note":"JCR分区: Q2\n中科院分区升级版: 综合性期刊4区\n中科院分区基础版: 工程技术3区\n影响因子: 2.5\n5年影响因子: 2.7\nEI: 是","page":"12129","source":"DOI.org (Crossref)","title":"Effect of real-time online high-intensity interval training on physiological and physical parameters for abdominally obese women: A randomized pilot study","title-short":"Effect of Real-Time Online High-Intensity Interval Training on Physiological and Physical Parameters for Abdominally Obese Women","volume":"11","author":[{"family":"Hyun","given":"Ah-hyun"}],"issued":{"date-parts":[["2021",12,20]]}}}],"schema":"https://github.com/citation-style-language/schema/raw/master/csl-citation.json"}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2021</w:t>
            </w:r>
          </w:p>
        </w:tc>
        <w:tc>
          <w:tcPr>
            <w:tcW w:w="1247" w:type="dxa"/>
            <w:vMerge w:val="restart"/>
            <w:vAlign w:val="center"/>
          </w:tcPr>
          <w:p w14:paraId="1BF5D98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41A6D7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IG:8</w:t>
            </w:r>
          </w:p>
        </w:tc>
        <w:tc>
          <w:tcPr>
            <w:tcW w:w="912" w:type="dxa"/>
            <w:vAlign w:val="center"/>
          </w:tcPr>
          <w:p w14:paraId="38A9F45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37.8±2.8</w:t>
            </w:r>
          </w:p>
        </w:tc>
        <w:tc>
          <w:tcPr>
            <w:tcW w:w="780" w:type="dxa"/>
            <w:vAlign w:val="center"/>
          </w:tcPr>
          <w:p w14:paraId="6B0F1BF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DB1EB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25.4±2.3</w:t>
            </w:r>
          </w:p>
        </w:tc>
        <w:tc>
          <w:tcPr>
            <w:tcW w:w="1077" w:type="dxa"/>
            <w:vAlign w:val="center"/>
          </w:tcPr>
          <w:p w14:paraId="6DA5E82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37.5±2.3</w:t>
            </w:r>
          </w:p>
        </w:tc>
        <w:tc>
          <w:tcPr>
            <w:tcW w:w="1276" w:type="dxa"/>
            <w:vAlign w:val="center"/>
          </w:tcPr>
          <w:p w14:paraId="10C8AE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7DCA59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56E3097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EEE58D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816</w:t>
            </w:r>
          </w:p>
        </w:tc>
        <w:tc>
          <w:tcPr>
            <w:tcW w:w="851" w:type="dxa"/>
            <w:noWrap/>
            <w:vAlign w:val="center"/>
          </w:tcPr>
          <w:p w14:paraId="78D2342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3286B8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w:t>
            </w:r>
          </w:p>
        </w:tc>
        <w:tc>
          <w:tcPr>
            <w:tcW w:w="1843" w:type="dxa"/>
            <w:vMerge w:val="restart"/>
            <w:vAlign w:val="center"/>
          </w:tcPr>
          <w:p w14:paraId="30B2EB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1BD9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24A6056B">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02A8E2D">
            <w:pPr>
              <w:widowControl/>
              <w:jc w:val="center"/>
              <w:rPr>
                <w:rFonts w:hint="default" w:ascii="Times New Roman" w:hAnsi="Times New Roman" w:eastAsia="宋体" w:cs="Times New Roman"/>
                <w:color w:val="auto"/>
                <w:kern w:val="0"/>
                <w:sz w:val="20"/>
                <w:szCs w:val="20"/>
              </w:rPr>
            </w:pPr>
          </w:p>
        </w:tc>
        <w:tc>
          <w:tcPr>
            <w:tcW w:w="814" w:type="dxa"/>
            <w:vAlign w:val="center"/>
          </w:tcPr>
          <w:p w14:paraId="4B9CFF9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CG:8</w:t>
            </w:r>
          </w:p>
        </w:tc>
        <w:tc>
          <w:tcPr>
            <w:tcW w:w="912" w:type="dxa"/>
            <w:vAlign w:val="center"/>
          </w:tcPr>
          <w:p w14:paraId="6105C98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39.1±2.4</w:t>
            </w:r>
          </w:p>
        </w:tc>
        <w:tc>
          <w:tcPr>
            <w:tcW w:w="780" w:type="dxa"/>
            <w:vAlign w:val="center"/>
          </w:tcPr>
          <w:p w14:paraId="3611F89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6A79C46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25.8±2.0</w:t>
            </w:r>
          </w:p>
        </w:tc>
        <w:tc>
          <w:tcPr>
            <w:tcW w:w="1077" w:type="dxa"/>
            <w:vAlign w:val="center"/>
          </w:tcPr>
          <w:p w14:paraId="5C710C5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38.6±5.0</w:t>
            </w:r>
          </w:p>
        </w:tc>
        <w:tc>
          <w:tcPr>
            <w:tcW w:w="1276" w:type="dxa"/>
            <w:vAlign w:val="center"/>
          </w:tcPr>
          <w:p w14:paraId="77F467A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7638AAD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vAlign w:val="center"/>
          </w:tcPr>
          <w:p w14:paraId="76FFA13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7D9DA4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420</w:t>
            </w:r>
          </w:p>
        </w:tc>
        <w:tc>
          <w:tcPr>
            <w:tcW w:w="851" w:type="dxa"/>
            <w:noWrap/>
            <w:vAlign w:val="center"/>
          </w:tcPr>
          <w:p w14:paraId="0B98DC3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024624A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continue"/>
            <w:vAlign w:val="center"/>
          </w:tcPr>
          <w:p w14:paraId="57F98E69">
            <w:pPr>
              <w:widowControl/>
              <w:jc w:val="center"/>
              <w:rPr>
                <w:rFonts w:hint="default" w:ascii="Times New Roman" w:hAnsi="Times New Roman" w:eastAsia="宋体" w:cs="Times New Roman"/>
                <w:color w:val="auto"/>
                <w:kern w:val="0"/>
                <w:sz w:val="20"/>
                <w:szCs w:val="20"/>
              </w:rPr>
            </w:pPr>
          </w:p>
        </w:tc>
      </w:tr>
      <w:tr w14:paraId="1E627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19" w:hRule="atLeast"/>
          <w:jc w:val="center"/>
        </w:trPr>
        <w:tc>
          <w:tcPr>
            <w:tcW w:w="1746" w:type="dxa"/>
            <w:vMerge w:val="restart"/>
            <w:vAlign w:val="center"/>
          </w:tcPr>
          <w:p w14:paraId="74C4335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Jamka</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{"citationID":"LkW1N6by","properties":{"unsorted":false,"formattedCitation":"\\super 3\\nosupersub{}","plainCitation":"3","noteIndex":0},"citationItems":[{"id":6623,"uris":["http://zotero.org/users/local/9LWqYmzn/items/JCP5M3E4"],"itemData":{"id":6623,"type":"article-journal","abstract":"Abstract\n            Studies comparing the effect of endurance and endurance-strength training on cardiometabolic markers provided inconsistent results. Therefore, the study aimed to compare the effect of endurance and endurance-strength training on body composition and cardiometabolic parameters in abdominally obese women. In this randomised trial, 101 subjects were included and divided into endurance (n = 52) and endurance-strength (n = 49) training. During the 12-week intervention, participants performed supervised one-hour training three times a week. Body composition, blood pressure (BP), markers of glucose and lipid homeostasis, and myoglobin levels were measured before and after the intervention. In total, 85 subjects completed the trial. Both interventions decreased fat mass and visceral adipose tissue and increased free fat mass, appendicular lean mass index and lean mass index. Neither endurance training nor endurance-strength training affected glucose and lipid metabolism. However, only endurance training significantly decreased paraoxonase and myoglobin levels. Both training programmes significantly decreased BP, with a more reduction of diastolic BP noted in the endurance group. In conclusion, both training programmes had a favourable effect on body composition but did not improve glucose and lipid homeostasis. Besides, endurance training decreased paraoxonase activity and myoglobin levels and was more effective in reducing BP.\n            The study was registered with the German Clinical Trials Register (DRKS) within the number: DRKS00019832 (retrospective registration), date of registration: 26/02/2020.","call-number":"3","citation-key":"jamkaEffectEnduranceEndurancestrength2021","container-title":"Scientific Reports","DOI":"10.1038/s41598-021-90526-7","ISSN":"2045-2322","issue":"1","journalAbbreviation":"Sci Rep","language":"en","note":"JCR分区: Q1\n中科院分区升级版: 综合性期刊3区\n中科院分区基础版: 综合性期刊3区\n影响因子: 3.9\n5年影响因子: 4.3","page":"12339","source":"3.9","title":"The effect of endurance and endurance-strength training on body composition and cardiometabolic markers in abdominally obese women: A randomised trial","title-short":"The effect of endurance and endurance-strength training on body composition and cardiometabolic markers in abdominally obese women","volume":"11","author":[{"family":"Jamka","given":"Małgorzata"},{"family":"Mądry","given":"Edyta"},{"family":"Krzyżanowska-Jankowska","given":"Patrycja"},{"family":"Skrypnik","given":"Damian"},{"family":"Szulińska","given":"Monika"},{"family":"Mądry","given":"Radosław"},{"family":"Lisowska","given":"Aleksandra"},{"family":"Batyrova","given":"Gulnara"},{"family":"Duś-Żuchowska","given":"Monika"},{"family":"Gotz-Więckowska","given":"Anna"},{"family":"Bogdański","given":"Paweł"},{"family":"Walkowiak","given":"Jarosław"}],"issued":{"date-parts":[["2021",6,11]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2021</w:t>
            </w:r>
          </w:p>
        </w:tc>
        <w:tc>
          <w:tcPr>
            <w:tcW w:w="1247" w:type="dxa"/>
            <w:vMerge w:val="restart"/>
            <w:vAlign w:val="center"/>
          </w:tcPr>
          <w:p w14:paraId="25F38AE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Poland</w:t>
            </w:r>
          </w:p>
        </w:tc>
        <w:tc>
          <w:tcPr>
            <w:tcW w:w="814" w:type="dxa"/>
            <w:vAlign w:val="center"/>
          </w:tcPr>
          <w:p w14:paraId="0B2537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IG:44</w:t>
            </w:r>
          </w:p>
        </w:tc>
        <w:tc>
          <w:tcPr>
            <w:tcW w:w="912" w:type="dxa"/>
            <w:vAlign w:val="center"/>
          </w:tcPr>
          <w:p w14:paraId="2DC5A94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55.0±7.0</w:t>
            </w:r>
          </w:p>
        </w:tc>
        <w:tc>
          <w:tcPr>
            <w:tcW w:w="780" w:type="dxa"/>
            <w:vAlign w:val="center"/>
          </w:tcPr>
          <w:p w14:paraId="12FCF6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0D84569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35.9±4.4</w:t>
            </w:r>
          </w:p>
        </w:tc>
        <w:tc>
          <w:tcPr>
            <w:tcW w:w="1077" w:type="dxa"/>
            <w:vAlign w:val="center"/>
          </w:tcPr>
          <w:p w14:paraId="28FB45B6">
            <w:pPr>
              <w:widowControl/>
              <w:jc w:val="center"/>
              <w:rPr>
                <w:rFonts w:hint="default" w:ascii="Times New Roman" w:hAnsi="Times New Roman" w:eastAsia="宋体" w:cs="Times New Roman"/>
                <w:color w:val="auto"/>
                <w:kern w:val="0"/>
                <w:sz w:val="20"/>
                <w:szCs w:val="20"/>
              </w:rPr>
            </w:pPr>
          </w:p>
        </w:tc>
        <w:tc>
          <w:tcPr>
            <w:tcW w:w="1276" w:type="dxa"/>
            <w:vAlign w:val="center"/>
          </w:tcPr>
          <w:p w14:paraId="4AAE22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157F70D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551984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F04027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1020</w:t>
            </w:r>
          </w:p>
        </w:tc>
        <w:tc>
          <w:tcPr>
            <w:tcW w:w="851" w:type="dxa"/>
            <w:noWrap/>
            <w:vAlign w:val="center"/>
          </w:tcPr>
          <w:p w14:paraId="67DF87B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0566545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843" w:type="dxa"/>
            <w:vMerge w:val="restart"/>
            <w:vAlign w:val="center"/>
          </w:tcPr>
          <w:p w14:paraId="41BD834A">
            <w:pPr>
              <w:widowControl/>
              <w:jc w:val="center"/>
              <w:rPr>
                <w:rFonts w:hint="default" w:ascii="Times New Roman" w:hAnsi="Times New Roman" w:eastAsia="宋体" w:cs="Times New Roman"/>
                <w:color w:val="auto"/>
                <w:kern w:val="0"/>
                <w:sz w:val="20"/>
                <w:szCs w:val="20"/>
              </w:rPr>
            </w:pPr>
            <w:bookmarkStart w:id="0" w:name="OLE_LINK1"/>
            <w:r>
              <w:rPr>
                <w:rFonts w:hint="default" w:ascii="Times New Roman" w:hAnsi="Times New Roman" w:eastAsia="宋体" w:cs="Times New Roman"/>
                <w:color w:val="auto"/>
                <w:kern w:val="0"/>
                <w:sz w:val="20"/>
                <w:szCs w:val="20"/>
              </w:rPr>
              <w:t>DXA</w:t>
            </w:r>
            <w:bookmarkEnd w:id="0"/>
          </w:p>
        </w:tc>
      </w:tr>
      <w:tr w14:paraId="30F50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19" w:hRule="atLeast"/>
          <w:jc w:val="center"/>
        </w:trPr>
        <w:tc>
          <w:tcPr>
            <w:tcW w:w="1746" w:type="dxa"/>
            <w:vMerge w:val="continue"/>
            <w:vAlign w:val="center"/>
          </w:tcPr>
          <w:p w14:paraId="43376A50">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FF65767">
            <w:pPr>
              <w:widowControl/>
              <w:jc w:val="center"/>
              <w:rPr>
                <w:rFonts w:hint="default" w:ascii="Times New Roman" w:hAnsi="Times New Roman" w:eastAsia="宋体" w:cs="Times New Roman"/>
                <w:color w:val="auto"/>
                <w:kern w:val="0"/>
                <w:sz w:val="20"/>
                <w:szCs w:val="20"/>
              </w:rPr>
            </w:pPr>
          </w:p>
        </w:tc>
        <w:tc>
          <w:tcPr>
            <w:tcW w:w="814" w:type="dxa"/>
            <w:vAlign w:val="center"/>
          </w:tcPr>
          <w:p w14:paraId="6883EA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CG:41</w:t>
            </w:r>
          </w:p>
        </w:tc>
        <w:tc>
          <w:tcPr>
            <w:tcW w:w="912" w:type="dxa"/>
            <w:vAlign w:val="center"/>
          </w:tcPr>
          <w:p w14:paraId="27BB9F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55.0±7.0</w:t>
            </w:r>
          </w:p>
        </w:tc>
        <w:tc>
          <w:tcPr>
            <w:tcW w:w="780" w:type="dxa"/>
            <w:vAlign w:val="center"/>
          </w:tcPr>
          <w:p w14:paraId="63E02C0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2A0700E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36.0±5.1</w:t>
            </w:r>
          </w:p>
        </w:tc>
        <w:tc>
          <w:tcPr>
            <w:tcW w:w="1077" w:type="dxa"/>
            <w:vAlign w:val="center"/>
          </w:tcPr>
          <w:p w14:paraId="69BAACBB">
            <w:pPr>
              <w:widowControl/>
              <w:jc w:val="center"/>
              <w:rPr>
                <w:rFonts w:hint="default" w:ascii="Times New Roman" w:hAnsi="Times New Roman" w:eastAsia="宋体" w:cs="Times New Roman"/>
                <w:color w:val="auto"/>
                <w:kern w:val="0"/>
                <w:sz w:val="20"/>
                <w:szCs w:val="20"/>
              </w:rPr>
            </w:pPr>
          </w:p>
        </w:tc>
        <w:tc>
          <w:tcPr>
            <w:tcW w:w="1276" w:type="dxa"/>
            <w:vAlign w:val="center"/>
          </w:tcPr>
          <w:p w14:paraId="398163B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33DB3EE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7D08A1B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F31EBF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1" w:type="dxa"/>
            <w:noWrap/>
            <w:vAlign w:val="center"/>
          </w:tcPr>
          <w:p w14:paraId="4936129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A74C72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w:t>
            </w:r>
          </w:p>
        </w:tc>
        <w:tc>
          <w:tcPr>
            <w:tcW w:w="1843" w:type="dxa"/>
            <w:vMerge w:val="continue"/>
            <w:vAlign w:val="center"/>
          </w:tcPr>
          <w:p w14:paraId="2D0842BD">
            <w:pPr>
              <w:widowControl/>
              <w:jc w:val="center"/>
              <w:rPr>
                <w:rFonts w:hint="default" w:ascii="Times New Roman" w:hAnsi="Times New Roman" w:eastAsia="宋体" w:cs="Times New Roman"/>
                <w:color w:val="auto"/>
                <w:kern w:val="0"/>
                <w:sz w:val="20"/>
                <w:szCs w:val="20"/>
              </w:rPr>
            </w:pPr>
          </w:p>
        </w:tc>
      </w:tr>
      <w:tr w14:paraId="45BA5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363614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Rashidi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{"citationID":"Ki3tlhdC","properties":{"unsorted":false,"formattedCitation":"\\super 4\\nosupersub{}","plainCitation":"4","noteIndex":0},"citationItems":[{"id":6625,"uris":["http://zotero.org/users/local/9LWqYmzn/items/IHLIVV4A"],"itemData":{"id":6625,"type":"article-journal","abstract":"Background: Green coffee supplementation has demonstrated beneficial anti-inflammatory and anti-obesity effects. Accordingly, we examined the effects of a green coffee (GC) extract concurrent to elastic band resistance training (EBRT) on insulin resistance, adiposity indices [Visceral (VAI), Body (BAI)] TyG-related indicators (TyGBMI and TyG-WC) in obese women.\nMethods: Obese participants (N = 60, 30-50 y, BMI &gt;30 kg/m2) were randomized equally into a randomized, double-blind, placebo-controlled trial (Zhang et al., 2014) Placebo (PLA), (Rahmani et al., 2015) PLA+ Resistance training, (Yaghoobi et al., 2015) PLA+R, (Blüher, 2019) GC, GC+Resistance training (GC+R). Treatment capsules contained 500 mg of GC and 50% chlorogenic acid (250 mg) for 8-wks. Resistance training consisted of 3 sessions per/wk/60-min. Paired-sample t-test and two-factor ANOVA were used for within and between-group comparisons.\nResults: We observed a significant pre/post reduction for HOMA-IR (Primary Outcome; mean (SD) for the PLA+R (3.67 ± 0.70 vs. 3.22 ± 0.74 mg/dL) and GC+R (3.88 ± 0.54 vs. 3.21 ± 0.61, both p &lt; 0.001), but not GC 3.79 ± 0.77 vs. 3.54 ± 0.71, P = 0.058) and PLA 3.41 ± 0.76 vs. 3.69 ± 0.95, P = 0.21). Both GC+R (P = 0.005) and PLA+R were significant vs. PLA (P = 0.011). Secondary outcomes included a significant reduction in glucose for PLA+R (94.61 ± 8.12 vs. 89.08 ± 9.70 mg/dL) and GC+R (94.36 ± 10.67 vs. 84.5 ± 11.02 mg/dL, both P &lt; 0.001), but not GC (94.07 ± 7.39 vs. 91.79 ± 8.50 mg/dL, P = 0.07) and PLA (91.46 ± 10.28 vs. 99.92 ± 20.12 mg/dL, P = 0.053). Both GC+R (P = 0.002) and PLA+R were significantly different (P = 0.019) vs. PLA. Finally, Apo A-I significantly improved for GC+R compared vs. PLA, P = 0.033) and BAI significantly improved for. PLA+R (P = 0.021), GC+R (P = 0.006) and GC vs. PLA.\nConclusion: Despite no synergistic exercise and green coffee treatment effects, exercise improved most TyG parameters and lipid profiles in obese women.","citation-key":"rashidiEffectElasticBand2021","container-title":"Obesity Medicine","DOI":"10.1016/j.obmed.2021.100351","ISSN":"24518476","journalAbbreviation":"Obesity Medicine","language":"en","page":"100351","source":"DOI.org (Crossref)","title":"Effect of elastic band resistance training with green coffee extract supplementation on adiposity indices and TyG-related indicators in obese women","volume":"24","author":[{"family":"Rashidi","given":"Zahra"},{"family":"Beigi","given":"Rezvan"},{"family":"Mardaniyan Ghahfarrokhi","given":"Majid"},{"family":"Faramarzi","given":"Mohammad"},{"family":"Banitalebi","given":"Ebrahim"},{"family":"Jafari","given":"Tina"},{"family":"Earnest","given":"Conrad P."},{"family":"Baker","given":"Julien S."}],"issued":{"date-parts":[["2021",6]]}}}],"schema":"https://github.com/citation-style-language/schema/raw/master/csl-citation.json"}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2021</w:t>
            </w:r>
          </w:p>
        </w:tc>
        <w:tc>
          <w:tcPr>
            <w:tcW w:w="1247" w:type="dxa"/>
            <w:vMerge w:val="restart"/>
            <w:vAlign w:val="center"/>
          </w:tcPr>
          <w:p w14:paraId="5696E49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Iran</w:t>
            </w:r>
          </w:p>
        </w:tc>
        <w:tc>
          <w:tcPr>
            <w:tcW w:w="814" w:type="dxa"/>
            <w:vAlign w:val="center"/>
          </w:tcPr>
          <w:p w14:paraId="75CB3C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IG:13</w:t>
            </w:r>
          </w:p>
        </w:tc>
        <w:tc>
          <w:tcPr>
            <w:tcW w:w="912" w:type="dxa"/>
            <w:vAlign w:val="center"/>
          </w:tcPr>
          <w:p w14:paraId="10C9EE7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44.3±4.7</w:t>
            </w:r>
          </w:p>
        </w:tc>
        <w:tc>
          <w:tcPr>
            <w:tcW w:w="780" w:type="dxa"/>
            <w:vAlign w:val="center"/>
          </w:tcPr>
          <w:p w14:paraId="2DCD5D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3A874DB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33.1±4.5</w:t>
            </w:r>
          </w:p>
        </w:tc>
        <w:tc>
          <w:tcPr>
            <w:tcW w:w="1077" w:type="dxa"/>
            <w:vAlign w:val="center"/>
          </w:tcPr>
          <w:p w14:paraId="73BE05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45.6±3.0</w:t>
            </w:r>
          </w:p>
        </w:tc>
        <w:tc>
          <w:tcPr>
            <w:tcW w:w="1276" w:type="dxa"/>
            <w:vAlign w:val="center"/>
          </w:tcPr>
          <w:p w14:paraId="5BDD68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5809A1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04813FE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D7DAB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420</w:t>
            </w:r>
          </w:p>
        </w:tc>
        <w:tc>
          <w:tcPr>
            <w:tcW w:w="851" w:type="dxa"/>
            <w:noWrap/>
            <w:vAlign w:val="center"/>
          </w:tcPr>
          <w:p w14:paraId="092A4AB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3681EF5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restart"/>
            <w:vAlign w:val="center"/>
          </w:tcPr>
          <w:p w14:paraId="31C74BF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 xml:space="preserve">calculated via </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formula, index</w:t>
            </w:r>
          </w:p>
        </w:tc>
      </w:tr>
      <w:tr w14:paraId="1517A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9892FC1">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EF9ABB2">
            <w:pPr>
              <w:widowControl/>
              <w:jc w:val="center"/>
              <w:rPr>
                <w:rFonts w:hint="default" w:ascii="Times New Roman" w:hAnsi="Times New Roman" w:eastAsia="宋体" w:cs="Times New Roman"/>
                <w:color w:val="auto"/>
                <w:kern w:val="0"/>
                <w:sz w:val="20"/>
                <w:szCs w:val="20"/>
              </w:rPr>
            </w:pPr>
          </w:p>
        </w:tc>
        <w:tc>
          <w:tcPr>
            <w:tcW w:w="814" w:type="dxa"/>
            <w:vAlign w:val="center"/>
          </w:tcPr>
          <w:p w14:paraId="0B3CA86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3116327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45.2±3.9</w:t>
            </w:r>
          </w:p>
        </w:tc>
        <w:tc>
          <w:tcPr>
            <w:tcW w:w="780" w:type="dxa"/>
            <w:vAlign w:val="center"/>
          </w:tcPr>
          <w:p w14:paraId="3B9BDD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59C77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33.1±3.6</w:t>
            </w:r>
          </w:p>
        </w:tc>
        <w:tc>
          <w:tcPr>
            <w:tcW w:w="1077" w:type="dxa"/>
            <w:vAlign w:val="center"/>
          </w:tcPr>
          <w:p w14:paraId="3E8F236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43.9±2.7</w:t>
            </w:r>
          </w:p>
        </w:tc>
        <w:tc>
          <w:tcPr>
            <w:tcW w:w="1276" w:type="dxa"/>
            <w:vAlign w:val="center"/>
          </w:tcPr>
          <w:p w14:paraId="144E1AC9">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136647DF">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55DFE7FD">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9D3B4AC">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9C6E33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E072EF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74A2655E">
            <w:pPr>
              <w:widowControl/>
              <w:jc w:val="center"/>
              <w:rPr>
                <w:rFonts w:hint="default" w:ascii="Times New Roman" w:hAnsi="Times New Roman" w:eastAsia="宋体" w:cs="Times New Roman"/>
                <w:color w:val="auto"/>
                <w:kern w:val="0"/>
                <w:sz w:val="20"/>
                <w:szCs w:val="20"/>
              </w:rPr>
            </w:pPr>
          </w:p>
        </w:tc>
      </w:tr>
      <w:tr w14:paraId="68D31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8BB424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Valsdottir</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{"citationID":"oJ9BgHiG","properties":{"unsorted":false,"formattedCitation":"\\super 5\\nosupersub{}","plainCitation":"5","noteIndex":0},"citationItems":[{"id":6627,"uris":["http://zotero.org/users/local/9LWqYmzn/items/GHCZQTER"],"itemData":{"id":6627,"type":"article-journal","abstract":"We assessed the effect of weight-loss induced with a low-carbohydrate-high-fat diet with and without exercise, on body-composition, cardiorespiratory fitness and cardiovascular risk factors. A total of 57 overweight and obese women (age 40 ± 3.5 years, body mass index 31.1 ± 2.6 kg∙m−2) completed a 10-week intervention using a low-carbohydrate-high-fat diet, with or without interval exercise. An equal deficit of 700 kcal∙day−1 was prescribed, restricting diet only, or moderately restricting diet and adding exercise, producing four groups; normal diet (NORM); low-carbohydrate-high-fat diet (LCHF); normal diet and exercise (NORM-EX); and low-carbohydrate-high-fat diet and exercise (LCHF-EX). Linear Mixed Models were used to assess between-group differences. The intervention resulted in an average 6.7 ± 2.5% weight-loss (p &lt; 0.001). Post-intervention % fat was lower in NORM-EX than NORM (40.0 ± 4.2 vs. 43.5 ± 3.5%, p = 0.024). NORM-EX reached lower values in total cholesterol than NORM (3.9 ± 0.6 vs. 4.7 ± 0.7 mmol/L, p = 0.003), and LCHF-EX (3.9 ± 0.6 vs. 4.9 ± 1.1 mmol/L, p = 0.004). Post intervention triglycerides levels were lower in NORM-EX than NORM (0.87 ± 0.21 vs. 1.11 ± 0.34 mmol/L, p = 0.030). The low-carbohydrate-high-fat diet had no superior effect on body composition, V˙O2peak or cardiovascular risk factors compared to a normal diet, with or without exercise. In conclusion, the intervention decreased fat mass, but exercise improved body composition and caused the most favorable changes in total cholesterol and triglycerides in the NORM-EX. Exercise increased cardiorespiratory fitness, regardless of diet.","call-number":"2","citation-key":"valsdottirLowcarbohydrateHighfatDiet2020","container-title":"Nutrients","DOI":"10.3390/nu13010110","ISSN":"2072-6643","issue":"1","journalAbbreviation":"Nutrients","language":"en","page":"110","source":"5.0","title":"Low-carbohydrate high-fat diet and exercise: Effect of a 10-week intervention on body composition and CVD risk factors in overweight and obese women—a randomized controlled trial","title-short":"Low-Carbohydrate High-Fat Diet and Exercise","volume":"13","author":[{"family":"Valsdottir","given":"Thorhildur Ditta"},{"family":"Øvrebø","given":"Bente"},{"family":"Falck","given":"Thea Martine"},{"family":"Litleskare","given":"Sigbjørn"},{"family":"Johansen","given":"Egil Ivar"},{"family":"Henriksen","given":"Christine"},{"family":"Jensen","given":"Jørgen"}],"issued":{"date-parts":[["2021"]]}}}],"schema":"https://github.com/citation-style-language/schema/raw/master/csl-citation.json"}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2021</w:t>
            </w:r>
          </w:p>
        </w:tc>
        <w:tc>
          <w:tcPr>
            <w:tcW w:w="1247" w:type="dxa"/>
            <w:vMerge w:val="restart"/>
            <w:vAlign w:val="center"/>
          </w:tcPr>
          <w:p w14:paraId="52EBAEF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Norway</w:t>
            </w:r>
          </w:p>
        </w:tc>
        <w:tc>
          <w:tcPr>
            <w:tcW w:w="814" w:type="dxa"/>
            <w:vAlign w:val="center"/>
          </w:tcPr>
          <w:p w14:paraId="36A3DA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IG:12</w:t>
            </w:r>
          </w:p>
        </w:tc>
        <w:tc>
          <w:tcPr>
            <w:tcW w:w="912" w:type="dxa"/>
            <w:vAlign w:val="center"/>
          </w:tcPr>
          <w:p w14:paraId="46F5BC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40.5±3.7</w:t>
            </w:r>
          </w:p>
        </w:tc>
        <w:tc>
          <w:tcPr>
            <w:tcW w:w="780" w:type="dxa"/>
            <w:vAlign w:val="center"/>
          </w:tcPr>
          <w:p w14:paraId="5C57DC4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31A9B2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30.7±2.3</w:t>
            </w:r>
          </w:p>
        </w:tc>
        <w:tc>
          <w:tcPr>
            <w:tcW w:w="1077" w:type="dxa"/>
            <w:vAlign w:val="center"/>
          </w:tcPr>
          <w:p w14:paraId="56239A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41.8±3.5</w:t>
            </w:r>
          </w:p>
        </w:tc>
        <w:tc>
          <w:tcPr>
            <w:tcW w:w="1276" w:type="dxa"/>
            <w:vAlign w:val="center"/>
          </w:tcPr>
          <w:p w14:paraId="2EE118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10</w:t>
            </w:r>
          </w:p>
        </w:tc>
        <w:tc>
          <w:tcPr>
            <w:tcW w:w="992" w:type="dxa"/>
            <w:noWrap/>
            <w:vAlign w:val="center"/>
          </w:tcPr>
          <w:p w14:paraId="0C829B3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276" w:type="dxa"/>
            <w:vAlign w:val="center"/>
          </w:tcPr>
          <w:p w14:paraId="09886B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188AA1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739.2</w:t>
            </w:r>
          </w:p>
        </w:tc>
        <w:tc>
          <w:tcPr>
            <w:tcW w:w="851" w:type="dxa"/>
            <w:noWrap/>
            <w:vAlign w:val="center"/>
          </w:tcPr>
          <w:p w14:paraId="02F2BEC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58E950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10.8</w:t>
            </w:r>
          </w:p>
        </w:tc>
        <w:tc>
          <w:tcPr>
            <w:tcW w:w="1843" w:type="dxa"/>
            <w:vMerge w:val="restart"/>
            <w:vAlign w:val="center"/>
          </w:tcPr>
          <w:p w14:paraId="39F78C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628D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539648B">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5D2D036">
            <w:pPr>
              <w:widowControl/>
              <w:jc w:val="center"/>
              <w:rPr>
                <w:rFonts w:hint="default" w:ascii="Times New Roman" w:hAnsi="Times New Roman" w:eastAsia="宋体" w:cs="Times New Roman"/>
                <w:color w:val="auto"/>
                <w:kern w:val="0"/>
                <w:sz w:val="20"/>
                <w:szCs w:val="20"/>
              </w:rPr>
            </w:pPr>
          </w:p>
        </w:tc>
        <w:tc>
          <w:tcPr>
            <w:tcW w:w="814" w:type="dxa"/>
            <w:vAlign w:val="center"/>
          </w:tcPr>
          <w:p w14:paraId="038A65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6F62278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38.6±3.7</w:t>
            </w:r>
          </w:p>
        </w:tc>
        <w:tc>
          <w:tcPr>
            <w:tcW w:w="780" w:type="dxa"/>
            <w:vAlign w:val="center"/>
          </w:tcPr>
          <w:p w14:paraId="2393DFA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AF6FF1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30.8±2.3</w:t>
            </w:r>
          </w:p>
        </w:tc>
        <w:tc>
          <w:tcPr>
            <w:tcW w:w="1077" w:type="dxa"/>
            <w:vAlign w:val="center"/>
          </w:tcPr>
          <w:p w14:paraId="70A64E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43.3±5.0</w:t>
            </w:r>
          </w:p>
        </w:tc>
        <w:tc>
          <w:tcPr>
            <w:tcW w:w="1276" w:type="dxa"/>
            <w:vAlign w:val="center"/>
          </w:tcPr>
          <w:p w14:paraId="370E655B">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E5312ED">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1409D0C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79B7BD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2EA081A">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74574A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6E98449E">
            <w:pPr>
              <w:widowControl/>
              <w:jc w:val="center"/>
              <w:rPr>
                <w:rFonts w:hint="default" w:ascii="Times New Roman" w:hAnsi="Times New Roman" w:eastAsia="宋体" w:cs="Times New Roman"/>
                <w:color w:val="auto"/>
                <w:kern w:val="0"/>
                <w:sz w:val="20"/>
                <w:szCs w:val="20"/>
              </w:rPr>
            </w:pPr>
          </w:p>
        </w:tc>
      </w:tr>
      <w:tr w14:paraId="27855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39" w:hRule="atLeast"/>
          <w:jc w:val="center"/>
        </w:trPr>
        <w:tc>
          <w:tcPr>
            <w:tcW w:w="1746" w:type="dxa"/>
            <w:vMerge w:val="restart"/>
            <w:vAlign w:val="center"/>
          </w:tcPr>
          <w:p w14:paraId="6054374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Abdelbasset</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{"citationID":"u5AYTot9","properties":{"unsorted":false,"formattedCitation":"\\super 6\\nosupersub{}","plainCitation":"6","noteIndex":0},"citationItems":[{"id":6629,"uris":["http://zotero.org/users/local/9LWqYmzn/items/Q774KWZQ"],"itemData":{"id":6629,"type":"article-journal","abstract":"Background: Some studies assessed the effect of aerobic exercise on diabetic obese patients with hepatic disease, while very limited studies compared high-intensity interval (HII) versus moderate-intensity continuous (MIC) on diabetic obese patients with nonalcoholic fatty liver disease (NAFLD).\nObjectives: This study was designed to assess the effects of HII versus MIC on intrahepatic triglycerides (IHTG) and visceral lipids in diabetic obese patients with NAFLD. Design: Randomized controlled trial.\nMethods: Forty-seven diabetic obese individuals with NAFLD were enrolled in this study. The individuals were randomly divided into 16 in HII group, 15 in MIC group, and 16 in the controls. HII group received HII exercise, MIC group received 8-week MIC exercise while the control group did not receive any exercise intervention. IHTG and visceral lipids were assessed pre- and postintervention.\nResults: Baseline and clinical characteristics showed nonsigniﬁcant difference among the 3 groups (P &gt; .05). Both HII and MIC groups showed a signiﬁcant reduction in hepatic fat and visceral lipids (P &lt; .05), while the controls showed nonsigniﬁcant difference (P &gt; .05) after completing the study intervention. Postintervention analysis showed nonsigniﬁcant changes between the HII and MIC groups (P &gt; .05).\nConclusions: Exercise training wither HII or MIC aerobic exercise reduces IHGT and visceral lipids in diabetic obese patients with NAFLD. No differences were observed between the effects of both exercise programs on diabetic obese patients with NAFLD.","call-number":"4","citation-key":"abdelbassetEffectsHighintensityInterval2020","container-title":"Medicine","DOI":"10.1097/MD.0000000000019471","ISSN":"0025-7974, 1536-5964","issue":"10","language":"en","license":"http://creativecommons.org/licenses/by-nc/4.0","note":"JCR分区: Q2\n中科院分区升级版: 医学4区\n中科院分区基础版: 医学4区\n影响因子: 1.4\n5年影响因子: 1.6","page":"e19471","source":"1.4","title":"Effects of high-intensity interval and moderate-intensity continuous aerobic exercise on diabetic obese patients with nonalcoholic fatty liver disease: A comparative randomized controlled trial","title-short":"Effects of high-intensity interval and moderate-intensity continuous aerobic exercise on diabetic obese patients with nonalcoholic fatty liver disease","volume":"99","author":[{"family":"Abdelbasset","given":"Walid Kamal"},{"family":"Tantawy","given":"Sayed A."},{"family":"Kamel","given":"Dalia M."},{"family":"Alqahtani","given":"Bader A."},{"family":"Elnegamy","given":"Tamer E."},{"family":"Soliman","given":"Gaber S."},{"family":"Ibrahim","given":"Ahmed A."}],"issued":{"date-parts":[["2020",3]]}}}],"schema":"https://github.com/citation-style-language/schema/raw/master/csl-citation.json"}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19D887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Saudi Arabia</w:t>
            </w:r>
          </w:p>
        </w:tc>
        <w:tc>
          <w:tcPr>
            <w:tcW w:w="814" w:type="dxa"/>
            <w:vAlign w:val="center"/>
          </w:tcPr>
          <w:p w14:paraId="22CAF11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IG1:15</w:t>
            </w:r>
          </w:p>
        </w:tc>
        <w:tc>
          <w:tcPr>
            <w:tcW w:w="912" w:type="dxa"/>
            <w:vAlign w:val="center"/>
          </w:tcPr>
          <w:p w14:paraId="5E8F8C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54.9±4.7</w:t>
            </w:r>
          </w:p>
        </w:tc>
        <w:tc>
          <w:tcPr>
            <w:tcW w:w="780" w:type="dxa"/>
            <w:vAlign w:val="center"/>
          </w:tcPr>
          <w:p w14:paraId="440409A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9F3316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36.7±3.5</w:t>
            </w:r>
          </w:p>
        </w:tc>
        <w:tc>
          <w:tcPr>
            <w:tcW w:w="1077" w:type="dxa"/>
            <w:vAlign w:val="center"/>
          </w:tcPr>
          <w:p w14:paraId="31BBC956">
            <w:pPr>
              <w:widowControl/>
              <w:jc w:val="center"/>
              <w:rPr>
                <w:rFonts w:hint="default" w:ascii="Times New Roman" w:hAnsi="Times New Roman" w:eastAsia="宋体" w:cs="Times New Roman"/>
                <w:color w:val="auto"/>
                <w:kern w:val="0"/>
                <w:sz w:val="20"/>
                <w:szCs w:val="20"/>
              </w:rPr>
            </w:pPr>
          </w:p>
        </w:tc>
        <w:tc>
          <w:tcPr>
            <w:tcW w:w="1276" w:type="dxa"/>
            <w:vAlign w:val="center"/>
          </w:tcPr>
          <w:p w14:paraId="0C27BE9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vAlign w:val="center"/>
          </w:tcPr>
          <w:p w14:paraId="6BC657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w:t>
            </w:r>
          </w:p>
        </w:tc>
        <w:tc>
          <w:tcPr>
            <w:tcW w:w="1276" w:type="dxa"/>
            <w:vAlign w:val="center"/>
          </w:tcPr>
          <w:p w14:paraId="3312FF8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AE0B4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714</w:t>
            </w:r>
          </w:p>
        </w:tc>
        <w:tc>
          <w:tcPr>
            <w:tcW w:w="851" w:type="dxa"/>
            <w:noWrap/>
            <w:vAlign w:val="center"/>
          </w:tcPr>
          <w:p w14:paraId="197E6A3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21BE99C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c>
          <w:tcPr>
            <w:tcW w:w="1843" w:type="dxa"/>
            <w:vMerge w:val="restart"/>
            <w:vAlign w:val="center"/>
          </w:tcPr>
          <w:p w14:paraId="281E252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3C9AC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39" w:hRule="atLeast"/>
          <w:jc w:val="center"/>
        </w:trPr>
        <w:tc>
          <w:tcPr>
            <w:tcW w:w="1746" w:type="dxa"/>
            <w:vMerge w:val="continue"/>
            <w:vAlign w:val="center"/>
          </w:tcPr>
          <w:p w14:paraId="4171815A">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A7C35A2">
            <w:pPr>
              <w:widowControl/>
              <w:jc w:val="center"/>
              <w:rPr>
                <w:rFonts w:hint="default" w:ascii="Times New Roman" w:hAnsi="Times New Roman" w:eastAsia="宋体" w:cs="Times New Roman"/>
                <w:color w:val="auto"/>
                <w:kern w:val="0"/>
                <w:sz w:val="20"/>
                <w:szCs w:val="20"/>
              </w:rPr>
            </w:pPr>
          </w:p>
        </w:tc>
        <w:tc>
          <w:tcPr>
            <w:tcW w:w="814" w:type="dxa"/>
            <w:vAlign w:val="center"/>
          </w:tcPr>
          <w:p w14:paraId="4A225CD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IG2:16</w:t>
            </w:r>
          </w:p>
        </w:tc>
        <w:tc>
          <w:tcPr>
            <w:tcW w:w="912" w:type="dxa"/>
            <w:vAlign w:val="center"/>
          </w:tcPr>
          <w:p w14:paraId="234FBD6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54.4±5.8</w:t>
            </w:r>
          </w:p>
        </w:tc>
        <w:tc>
          <w:tcPr>
            <w:tcW w:w="780" w:type="dxa"/>
            <w:vAlign w:val="center"/>
          </w:tcPr>
          <w:p w14:paraId="45210AF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1FAE0EE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36.3±4.5</w:t>
            </w:r>
          </w:p>
        </w:tc>
        <w:tc>
          <w:tcPr>
            <w:tcW w:w="1077" w:type="dxa"/>
            <w:vAlign w:val="center"/>
          </w:tcPr>
          <w:p w14:paraId="737D9837">
            <w:pPr>
              <w:widowControl/>
              <w:jc w:val="center"/>
              <w:rPr>
                <w:rFonts w:hint="default" w:ascii="Times New Roman" w:hAnsi="Times New Roman" w:eastAsia="宋体" w:cs="Times New Roman"/>
                <w:color w:val="auto"/>
                <w:kern w:val="0"/>
                <w:sz w:val="20"/>
                <w:szCs w:val="20"/>
              </w:rPr>
            </w:pPr>
          </w:p>
        </w:tc>
        <w:tc>
          <w:tcPr>
            <w:tcW w:w="1276" w:type="dxa"/>
            <w:vAlign w:val="center"/>
          </w:tcPr>
          <w:p w14:paraId="344564F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vAlign w:val="center"/>
          </w:tcPr>
          <w:p w14:paraId="653E989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1276" w:type="dxa"/>
            <w:vAlign w:val="center"/>
          </w:tcPr>
          <w:p w14:paraId="2D6FC7C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34509D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316.8</w:t>
            </w:r>
          </w:p>
        </w:tc>
        <w:tc>
          <w:tcPr>
            <w:tcW w:w="851" w:type="dxa"/>
            <w:noWrap/>
            <w:vAlign w:val="center"/>
          </w:tcPr>
          <w:p w14:paraId="13C1856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noWrap/>
            <w:vAlign w:val="center"/>
          </w:tcPr>
          <w:p w14:paraId="02279D6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66.8</w:t>
            </w:r>
          </w:p>
        </w:tc>
        <w:tc>
          <w:tcPr>
            <w:tcW w:w="1843" w:type="dxa"/>
            <w:vMerge w:val="continue"/>
            <w:vAlign w:val="center"/>
          </w:tcPr>
          <w:p w14:paraId="44CE6237">
            <w:pPr>
              <w:widowControl/>
              <w:jc w:val="center"/>
              <w:rPr>
                <w:rFonts w:hint="default" w:ascii="Times New Roman" w:hAnsi="Times New Roman" w:eastAsia="宋体" w:cs="Times New Roman"/>
                <w:color w:val="auto"/>
                <w:kern w:val="0"/>
                <w:sz w:val="20"/>
                <w:szCs w:val="20"/>
              </w:rPr>
            </w:pPr>
          </w:p>
        </w:tc>
      </w:tr>
      <w:tr w14:paraId="071F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8620E69">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4CF9A61">
            <w:pPr>
              <w:widowControl/>
              <w:jc w:val="center"/>
              <w:rPr>
                <w:rFonts w:hint="default" w:ascii="Times New Roman" w:hAnsi="Times New Roman" w:eastAsia="宋体" w:cs="Times New Roman"/>
                <w:color w:val="auto"/>
                <w:kern w:val="0"/>
                <w:sz w:val="20"/>
                <w:szCs w:val="20"/>
              </w:rPr>
            </w:pPr>
          </w:p>
        </w:tc>
        <w:tc>
          <w:tcPr>
            <w:tcW w:w="814" w:type="dxa"/>
            <w:vAlign w:val="center"/>
          </w:tcPr>
          <w:p w14:paraId="2B62329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CG:16</w:t>
            </w:r>
          </w:p>
        </w:tc>
        <w:tc>
          <w:tcPr>
            <w:tcW w:w="912" w:type="dxa"/>
            <w:vAlign w:val="center"/>
          </w:tcPr>
          <w:p w14:paraId="713C6D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55.2±4.3</w:t>
            </w:r>
          </w:p>
        </w:tc>
        <w:tc>
          <w:tcPr>
            <w:tcW w:w="780" w:type="dxa"/>
            <w:vAlign w:val="center"/>
          </w:tcPr>
          <w:p w14:paraId="363ED7D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23EC67C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35.9±5.3</w:t>
            </w:r>
          </w:p>
        </w:tc>
        <w:tc>
          <w:tcPr>
            <w:tcW w:w="1077" w:type="dxa"/>
            <w:vAlign w:val="center"/>
          </w:tcPr>
          <w:p w14:paraId="3F56B229">
            <w:pPr>
              <w:widowControl/>
              <w:jc w:val="center"/>
              <w:rPr>
                <w:rFonts w:hint="default" w:ascii="Times New Roman" w:hAnsi="Times New Roman" w:eastAsia="宋体" w:cs="Times New Roman"/>
                <w:color w:val="auto"/>
                <w:kern w:val="0"/>
                <w:sz w:val="20"/>
                <w:szCs w:val="20"/>
              </w:rPr>
            </w:pPr>
          </w:p>
        </w:tc>
        <w:tc>
          <w:tcPr>
            <w:tcW w:w="1276" w:type="dxa"/>
            <w:vAlign w:val="center"/>
          </w:tcPr>
          <w:p w14:paraId="7BFD9972">
            <w:pPr>
              <w:widowControl/>
              <w:jc w:val="center"/>
              <w:rPr>
                <w:rFonts w:hint="default" w:ascii="Times New Roman" w:hAnsi="Times New Roman" w:eastAsia="Times New Roman" w:cs="Times New Roman"/>
                <w:color w:val="auto"/>
                <w:kern w:val="0"/>
                <w:sz w:val="20"/>
                <w:szCs w:val="20"/>
              </w:rPr>
            </w:pPr>
          </w:p>
        </w:tc>
        <w:tc>
          <w:tcPr>
            <w:tcW w:w="992" w:type="dxa"/>
            <w:vAlign w:val="center"/>
          </w:tcPr>
          <w:p w14:paraId="4AF4A05A">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5B872F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01E3DA6">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32FE8B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FFE8A8B">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315D1D5">
            <w:pPr>
              <w:widowControl/>
              <w:jc w:val="center"/>
              <w:rPr>
                <w:rFonts w:hint="default" w:ascii="Times New Roman" w:hAnsi="Times New Roman" w:eastAsia="宋体" w:cs="Times New Roman"/>
                <w:color w:val="auto"/>
                <w:kern w:val="0"/>
                <w:sz w:val="20"/>
                <w:szCs w:val="20"/>
              </w:rPr>
            </w:pPr>
          </w:p>
        </w:tc>
      </w:tr>
      <w:tr w14:paraId="5AB7B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686EE435">
            <w:pPr>
              <w:widowControl/>
              <w:jc w:val="center"/>
              <w:rPr>
                <w:rFonts w:hint="default" w:ascii="Times New Roman" w:hAnsi="Times New Roman" w:eastAsia="宋体" w:cs="Times New Roman"/>
                <w:color w:val="auto"/>
                <w:kern w:val="0"/>
                <w:sz w:val="20"/>
                <w:szCs w:val="20"/>
                <w:lang w:eastAsia="zh-CN"/>
              </w:rPr>
            </w:pPr>
            <w:r>
              <w:rPr>
                <w:rFonts w:hint="default" w:ascii="Times New Roman" w:hAnsi="Times New Roman" w:eastAsia="宋体" w:cs="Times New Roman"/>
                <w:color w:val="auto"/>
                <w:kern w:val="0"/>
                <w:sz w:val="20"/>
                <w:szCs w:val="20"/>
              </w:rPr>
              <w:t>Gripp</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{"citationID":"vGOBM271","properties":{"unsorted":false,"formattedCitation":"\\super 7\\nosupersub{}","plainCitation":"7","noteIndex":0},"citationItems":[{"id":6631,"uris":["http://zotero.org/users/local/9LWqYmzn/items/LTUE74UA"],"itemData":{"id":6631,"type":"article-journal","abstract":"Purpose This study investigated the cardiometabolic health of overweight/obese untrained individuals in response to 8 weeks of HIIT and MICT using a field approach, and to 4 weeks of training cessation (TC).\nMethods Twenty-two subjects performed 8 weeks of moderate intensity continuous training (MICT—n = 11) or highintensity interval training (HIIT—n = 11) (outdoor running), followed by 4 weeks of TC. Cardiorespiratory fitness, body composition, arterial blood pressure, glucose metabolism and blood lipids were measured pre-training (PRE), post-training (POST) and TC.\nResults HIIT improved eight indicators of cardiometabolic health (VO2 max, BMI, body fat, visceral fat, systolic blood pressure, total cholesterol, fasting glucose and triglycerides—p &lt; 0.05) while MICT only three (VO2 max, BMI, and visceral fat—p &lt; 0.05). After 4 weeks of TC, four positive adaptations from HIIT were negatively affected ( VO2 max, visceral fat, systolic blood pressure and total cholesterol—p &lt; 0.05) and three in the MICT group (VO2 max, BMI and visceral fat, p &lt; 0.05).\nConclusion Eight weeks of HIIT performed in a real-world setting promoted a greater number of positive adaptations in cardiometabolic health of individuals with overweight/obese compared to MICT. Most of the positive effects of the HIIT protocol were also found to be longer lasting and maintained after the suspension of high-intensity interval running for 4 weeks. Conversely, all positive effects of MICT protocols were reversed after TC.","call-number":"3","citation-key":"grippHIITSuperiorMICT2021","container-title":"European Journal of Applied Physiology","DOI":"10.1007/s00421-020-04502-6","ISSN":"1439-6319, 1439-6327","issue":"1","journalAbbreviation":"Eur J Appl Physiol","language":"en","note":"JCR分区: Q2\n中科院分区升级版: 医学3区\n中科院分区基础版: 医学3区\n影响因子: 2.7\n5年影响因子: 3.2","page":"159-172","source":"2.7","title":"HIIT is superior than MICT on cardiometabolic health during training and detraining","volume":"121","author":[{"family":"Gripp","given":"Fernando"},{"family":"Nava","given":"Roberto Carlos"},{"family":"Cassilhas","given":"Ricardo Cardoso"},{"family":"Esteves","given":"Elizabethe Adriana"},{"family":"Magalhães","given":"Caíque Olegário Diniz"},{"family":"Dias-Peixoto","given":"Marco Fabrício"},{"family":"De Castro Magalhães","given":"Flávio"},{"family":"Amorim","given":"Fabiano Trigueiro"}],"issued":{"date-parts":[["2021",1]]}}}],"schema":"https://github.com/citation-style-language/schema/raw/master/csl-citation.json"}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w:t>
            </w:r>
            <w:r>
              <w:rPr>
                <w:rFonts w:hint="default" w:ascii="Times New Roman" w:hAnsi="Times New Roman" w:eastAsia="宋体" w:cs="Times New Roman"/>
                <w:color w:val="auto"/>
                <w:kern w:val="0"/>
                <w:sz w:val="20"/>
                <w:szCs w:val="20"/>
                <w:lang w:val="en-US" w:eastAsia="zh-CN"/>
              </w:rPr>
              <w:t>1</w:t>
            </w:r>
          </w:p>
        </w:tc>
        <w:tc>
          <w:tcPr>
            <w:tcW w:w="1247" w:type="dxa"/>
            <w:vMerge w:val="restart"/>
            <w:vAlign w:val="center"/>
          </w:tcPr>
          <w:p w14:paraId="0135C15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Brazil</w:t>
            </w:r>
          </w:p>
        </w:tc>
        <w:tc>
          <w:tcPr>
            <w:tcW w:w="814" w:type="dxa"/>
            <w:vAlign w:val="center"/>
          </w:tcPr>
          <w:p w14:paraId="0646D24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w:t>
            </w:r>
          </w:p>
        </w:tc>
        <w:tc>
          <w:tcPr>
            <w:tcW w:w="912" w:type="dxa"/>
            <w:vAlign w:val="center"/>
          </w:tcPr>
          <w:p w14:paraId="65FE36C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39.0±5.0</w:t>
            </w:r>
          </w:p>
        </w:tc>
        <w:tc>
          <w:tcPr>
            <w:tcW w:w="780" w:type="dxa"/>
            <w:vAlign w:val="center"/>
          </w:tcPr>
          <w:p w14:paraId="64874F3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5F75F1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28.7±3.1</w:t>
            </w:r>
          </w:p>
        </w:tc>
        <w:tc>
          <w:tcPr>
            <w:tcW w:w="1077" w:type="dxa"/>
            <w:vAlign w:val="center"/>
          </w:tcPr>
          <w:p w14:paraId="6E084C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29.3±3.2</w:t>
            </w:r>
          </w:p>
        </w:tc>
        <w:tc>
          <w:tcPr>
            <w:tcW w:w="1276" w:type="dxa"/>
            <w:vAlign w:val="center"/>
          </w:tcPr>
          <w:p w14:paraId="4F596B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347942F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2B0B496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B0B294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702</w:t>
            </w:r>
          </w:p>
        </w:tc>
        <w:tc>
          <w:tcPr>
            <w:tcW w:w="851" w:type="dxa"/>
            <w:noWrap/>
            <w:vAlign w:val="center"/>
          </w:tcPr>
          <w:p w14:paraId="263AE86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CF365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48</w:t>
            </w:r>
          </w:p>
        </w:tc>
        <w:tc>
          <w:tcPr>
            <w:tcW w:w="1843" w:type="dxa"/>
            <w:vMerge w:val="restart"/>
            <w:vAlign w:val="center"/>
          </w:tcPr>
          <w:p w14:paraId="6087F46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0510A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5602E01F">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75CF894">
            <w:pPr>
              <w:widowControl/>
              <w:jc w:val="center"/>
              <w:rPr>
                <w:rFonts w:hint="default" w:ascii="Times New Roman" w:hAnsi="Times New Roman" w:eastAsia="宋体" w:cs="Times New Roman"/>
                <w:color w:val="auto"/>
                <w:kern w:val="0"/>
                <w:sz w:val="20"/>
                <w:szCs w:val="20"/>
              </w:rPr>
            </w:pPr>
          </w:p>
        </w:tc>
        <w:tc>
          <w:tcPr>
            <w:tcW w:w="814" w:type="dxa"/>
            <w:vAlign w:val="center"/>
          </w:tcPr>
          <w:p w14:paraId="54B90E2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CG:11</w:t>
            </w:r>
          </w:p>
        </w:tc>
        <w:tc>
          <w:tcPr>
            <w:tcW w:w="912" w:type="dxa"/>
            <w:vAlign w:val="center"/>
          </w:tcPr>
          <w:p w14:paraId="5A608D1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38.0±6.0</w:t>
            </w:r>
          </w:p>
        </w:tc>
        <w:tc>
          <w:tcPr>
            <w:tcW w:w="780" w:type="dxa"/>
            <w:vAlign w:val="center"/>
          </w:tcPr>
          <w:p w14:paraId="45126C0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6EC7F2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27.2±1.3</w:t>
            </w:r>
          </w:p>
        </w:tc>
        <w:tc>
          <w:tcPr>
            <w:tcW w:w="1077" w:type="dxa"/>
            <w:vAlign w:val="center"/>
          </w:tcPr>
          <w:p w14:paraId="07AA74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28.3±3.7</w:t>
            </w:r>
          </w:p>
        </w:tc>
        <w:tc>
          <w:tcPr>
            <w:tcW w:w="1276" w:type="dxa"/>
            <w:vAlign w:val="center"/>
          </w:tcPr>
          <w:p w14:paraId="313B267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453EEA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w:t>
            </w:r>
          </w:p>
        </w:tc>
        <w:tc>
          <w:tcPr>
            <w:tcW w:w="1276" w:type="dxa"/>
            <w:vAlign w:val="center"/>
          </w:tcPr>
          <w:p w14:paraId="19A90AD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510E66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594</w:t>
            </w:r>
          </w:p>
        </w:tc>
        <w:tc>
          <w:tcPr>
            <w:tcW w:w="851" w:type="dxa"/>
            <w:noWrap/>
            <w:vAlign w:val="center"/>
          </w:tcPr>
          <w:p w14:paraId="74645F5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49A9E5C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94</w:t>
            </w:r>
          </w:p>
        </w:tc>
        <w:tc>
          <w:tcPr>
            <w:tcW w:w="1843" w:type="dxa"/>
            <w:vMerge w:val="continue"/>
            <w:vAlign w:val="center"/>
          </w:tcPr>
          <w:p w14:paraId="15E1734B">
            <w:pPr>
              <w:widowControl/>
              <w:jc w:val="center"/>
              <w:rPr>
                <w:rFonts w:hint="default" w:ascii="Times New Roman" w:hAnsi="Times New Roman" w:eastAsia="宋体" w:cs="Times New Roman"/>
                <w:color w:val="auto"/>
                <w:kern w:val="0"/>
                <w:sz w:val="20"/>
                <w:szCs w:val="20"/>
              </w:rPr>
            </w:pPr>
          </w:p>
        </w:tc>
      </w:tr>
      <w:tr w14:paraId="1B1EA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59" w:hRule="atLeast"/>
          <w:jc w:val="center"/>
        </w:trPr>
        <w:tc>
          <w:tcPr>
            <w:tcW w:w="1746" w:type="dxa"/>
            <w:vMerge w:val="restart"/>
            <w:vAlign w:val="center"/>
          </w:tcPr>
          <w:p w14:paraId="6C37337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Lee</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{"citationID":"1J8MmxPp","properties":{"unsorted":false,"formattedCitation":"\\super 8\\nosupersub{}","plainCitation":"8","noteIndex":0},"citationItems":[{"id":6633,"uris":["http://zotero.org/users/local/9LWqYmzn/items/Z4F5LUXV"],"itemData":{"id":6633,"type":"article-journal","abstract":"OBJECTIVE To study the effect of 12 weeks of high-intensity interval training (HIIT) on glycemic control in adults with type 1 diabetes and overweight or obesity. RESEARCH DESIGN AND METHODS Thirty inactive adults with type 1 diabetes who had BMI ‡25 kg/m2 and HbA1c ‡7.5% were randomized to 12 weeks of either HIIT exercise intervention consisting of 4 3 4-min HIIT (85–95% peak heart rate) performed thrice weekly or usual care control. In a partial crossover design, the control group subsequently performed the 12-week HIIT intervention. The primary end point was the change in HbA1c from baseline to 12 weeks. Glycemic and cardiometabolic outcomes were measured at 0, 12, and 24 weeks.\nRESULTS Participants were aged 44 6 10 years with diabetes duration 19 6 11 years and BMI 30.1 6 3.1 kg/m2. HbA1c decreased from 8.63 6 0.66% at baseline to 8.10 6 1.04% at 12 weeks in the HIIT intervention group (P 5 0.01); however, this change was not signiﬁcantly different from the control group (HIIT 20.53 6 0.61%, control 20.14 6 0.48%, P 5 0.08). In participants who undertook at least 50% of the prescribed HIIT intervention, the HbA1c reduction was signiﬁcantly greater than control (HIIT 20.64 6 0.64% [n 5 9], control 20.14 6 0.48% [n 5 15], P 5 0.04). There were no differences in insulin dose, hypoglycemia on continuous glucose monitoring, blood pressure, blood lipids, body weight, or body composition between groups.\nCONCLUSIONS Overall, there was no signiﬁcant reduction in HbA1c with a 12-week HIIT intervention in adults with type 1 diabetes. However, glycemic control may improve for people who undertake HIIT with greater adherence.","call-number":"1","citation-key":"leeEffectHighintensityInterval2020","container-title":"Diabetes Care","DOI":"10.2337/dc20-0342","ISSN":"0149-5992, 1935-5548","issue":"9","language":"en","page":"2281-2288","source":"16.6","title":"Effect of high-intensity interval training on glycemic control in adults with type 1 diabetes and overweight or obesity: A randomized controlled trial with partial crossover","title-short":"Effect of High-Intensity Interval Training on Glycemic Control in Adults With Type 1 Diabetes and Overweight or Obesity","volume":"43","author":[{"family":"Lee","given":"Angela S."},{"family":"Johnson","given":"Nathan A."},{"family":"McGill","given":"Margaret J."},{"family":"Overland","given":"Jane"},{"family":"Luo","given":"Connie"},{"family":"Baker","given":"Callum J."},{"family":"Martinez-Huenchullan","given":"Sergio"},{"family":"Wong","given":"Jencia"},{"family":"Flack","given":"Jeffrey R."},{"family":"Twigg","given":"Stephen M."}],"issued":{"date-parts":[["2020",9,1]]}}}],"schema":"https://github.com/citation-style-language/schema/raw/master/csl-citation.json"}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1CBDF39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3E3774E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IG:12</w:t>
            </w:r>
          </w:p>
        </w:tc>
        <w:tc>
          <w:tcPr>
            <w:tcW w:w="912" w:type="dxa"/>
            <w:vAlign w:val="center"/>
          </w:tcPr>
          <w:p w14:paraId="708D65F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40.5±10.0</w:t>
            </w:r>
          </w:p>
        </w:tc>
        <w:tc>
          <w:tcPr>
            <w:tcW w:w="780" w:type="dxa"/>
            <w:vAlign w:val="center"/>
          </w:tcPr>
          <w:p w14:paraId="7B8E76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2355792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29.0±2.1</w:t>
            </w:r>
          </w:p>
        </w:tc>
        <w:tc>
          <w:tcPr>
            <w:tcW w:w="1077" w:type="dxa"/>
            <w:vAlign w:val="center"/>
          </w:tcPr>
          <w:p w14:paraId="2116499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37.8±5.7</w:t>
            </w:r>
          </w:p>
        </w:tc>
        <w:tc>
          <w:tcPr>
            <w:tcW w:w="1276" w:type="dxa"/>
            <w:vAlign w:val="center"/>
          </w:tcPr>
          <w:p w14:paraId="6F1270C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317CBE2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1276" w:type="dxa"/>
            <w:vAlign w:val="center"/>
          </w:tcPr>
          <w:p w14:paraId="1998E6B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19D7EBE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422.4</w:t>
            </w:r>
          </w:p>
        </w:tc>
        <w:tc>
          <w:tcPr>
            <w:tcW w:w="851" w:type="dxa"/>
            <w:noWrap/>
            <w:vAlign w:val="center"/>
          </w:tcPr>
          <w:p w14:paraId="0B8296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2BDD16D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77.6</w:t>
            </w:r>
          </w:p>
        </w:tc>
        <w:tc>
          <w:tcPr>
            <w:tcW w:w="1843" w:type="dxa"/>
            <w:vMerge w:val="restart"/>
            <w:vAlign w:val="center"/>
          </w:tcPr>
          <w:p w14:paraId="5BC1211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685D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9" w:hRule="atLeast"/>
          <w:jc w:val="center"/>
        </w:trPr>
        <w:tc>
          <w:tcPr>
            <w:tcW w:w="1746" w:type="dxa"/>
            <w:vMerge w:val="continue"/>
            <w:vAlign w:val="center"/>
          </w:tcPr>
          <w:p w14:paraId="01A8107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78BD4E9">
            <w:pPr>
              <w:widowControl/>
              <w:jc w:val="center"/>
              <w:rPr>
                <w:rFonts w:hint="default" w:ascii="Times New Roman" w:hAnsi="Times New Roman" w:eastAsia="宋体" w:cs="Times New Roman"/>
                <w:color w:val="auto"/>
                <w:kern w:val="0"/>
                <w:sz w:val="20"/>
                <w:szCs w:val="20"/>
              </w:rPr>
            </w:pPr>
          </w:p>
        </w:tc>
        <w:tc>
          <w:tcPr>
            <w:tcW w:w="814" w:type="dxa"/>
            <w:vAlign w:val="center"/>
          </w:tcPr>
          <w:p w14:paraId="3A73ACE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02BD49D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46.1±10.5</w:t>
            </w:r>
          </w:p>
        </w:tc>
        <w:tc>
          <w:tcPr>
            <w:tcW w:w="780" w:type="dxa"/>
            <w:vAlign w:val="center"/>
          </w:tcPr>
          <w:p w14:paraId="32C5869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EC8C9B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31.6±3.4</w:t>
            </w:r>
          </w:p>
        </w:tc>
        <w:tc>
          <w:tcPr>
            <w:tcW w:w="1077" w:type="dxa"/>
            <w:vAlign w:val="center"/>
          </w:tcPr>
          <w:p w14:paraId="57EE415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37.2±6.3</w:t>
            </w:r>
          </w:p>
        </w:tc>
        <w:tc>
          <w:tcPr>
            <w:tcW w:w="1276" w:type="dxa"/>
            <w:vAlign w:val="center"/>
          </w:tcPr>
          <w:p w14:paraId="6A4CE591">
            <w:pPr>
              <w:widowControl/>
              <w:jc w:val="center"/>
              <w:rPr>
                <w:rFonts w:hint="default" w:ascii="Times New Roman" w:hAnsi="Times New Roman" w:eastAsia="宋体" w:cs="Times New Roman"/>
                <w:color w:val="auto"/>
                <w:kern w:val="0"/>
                <w:sz w:val="20"/>
                <w:szCs w:val="20"/>
              </w:rPr>
            </w:pPr>
          </w:p>
        </w:tc>
        <w:tc>
          <w:tcPr>
            <w:tcW w:w="992" w:type="dxa"/>
            <w:vAlign w:val="center"/>
          </w:tcPr>
          <w:p w14:paraId="230FD268">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3107946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AD43AB6">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ADD1A0F">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F3D5EEE">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06FB41D">
            <w:pPr>
              <w:widowControl/>
              <w:jc w:val="center"/>
              <w:rPr>
                <w:rFonts w:hint="default" w:ascii="Times New Roman" w:hAnsi="Times New Roman" w:eastAsia="宋体" w:cs="Times New Roman"/>
                <w:color w:val="auto"/>
                <w:kern w:val="0"/>
                <w:sz w:val="20"/>
                <w:szCs w:val="20"/>
              </w:rPr>
            </w:pPr>
          </w:p>
        </w:tc>
      </w:tr>
      <w:tr w14:paraId="3D64E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9" w:hRule="atLeast"/>
          <w:jc w:val="center"/>
        </w:trPr>
        <w:tc>
          <w:tcPr>
            <w:tcW w:w="1746" w:type="dxa"/>
            <w:vMerge w:val="restart"/>
            <w:vAlign w:val="center"/>
          </w:tcPr>
          <w:p w14:paraId="6CB74C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Mendham</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{"citationID":"1dQ9Hnv2","properties":{"unsorted":false,"formattedCitation":"\\super 9\\nosupersub{}","plainCitation":"9","noteIndex":0},"citationItems":[{"id":6635,"uris":["http://zotero.org/users/local/9LWqYmzn/items/UH6345NS"],"itemData":{"id":6635,"type":"article-journal","abstract":"Abstract\n            \n              We assessed differences in mitochondrial function in gluteal (gSAT) and abdominal subcutaneous adipose tissue (aSAT) at baseline and in response to 12-weeks of exercise training; and examined depot-specific associations with body fat distribution and insulin sensitivity (S\n              I\n              ). Obese, black South African women (n = 45) were randomized into exercise (n = 23) or control (n = 22) groups. Exercise group completed 12-weeks of aerobic and resistance training (n = 20), while the control group (n = 15) continued usual behaviours. Mitochondrial function (high-resolution respirometry and fluorometry) in gSAT and aSAT, S\n              I\n              (frequently sampled intravenous glucose tolerance test), body composition (dual-energy X-ray absorptiometry), and ectopic fat (MRI) were assessed pre- and post-intervention. At baseline, gSAT had higher mitochondrial respiratory capacity and hydrogen peroxide (H\n              2\n              O\n              2\n              ) production than aSAT (p &lt; 0.05). Higher gSAT respiration was associated with higher gynoid fat (p &lt; 0.05). Higher gSAT H\n              2\n              O\n              2\n              production and lower aSAT mitochondrial respiration were independently associated with lower S\n              I\n              (p &lt; 0.05). In response to training, S\n              I\n              improved and gynoid fat decreased (p &lt; 0.05), while H\n              2\n              O\n              2\n              production reduced in both depots, and mtDNA decreased in gSAT (p &lt; 0.05). Mitochondrial respiration increased in aSAT and correlated with a decrease in body fat and an increase in soleus and hepatic fat content (p &lt; 0.05). This study highlights the importance of understanding the differences in mitochondrial function in multiple SAT depots when investigating the pathophysiology of insulin resistance and associated risk factors such as body fat distribution and ectopic lipid deposition. Furthermore, we highlight the benefits of exercise training in stimulating positive adaptations in mitochondrial function in gluteal and abdominal SAT depots.","call-number":"3","citation-key":"mendhamExerciseTrainingResults2020","container-title":"Scientific Reports","DOI":"10.1038/s41598-020-60286-x","ISSN":"2045-2322","issue":"1","journalAbbreviation":"Sci Rep","language":"en","note":"JCR分区: Q1\n中科院分区升级版: 综合性期刊3区\n中科院分区基础版: 综合性期刊3区\n影响因子: 3.9\n5年影响因子: 4.3","page":"3785","source":"3.9","title":"Exercise training results in depot-specific adaptations to adipose tissue mitochondrial function","volume":"10","author":[{"family":"Mendham","given":"Amy E."},{"family":"Larsen","given":"Steen"},{"family":"George","given":"Cindy"},{"family":"Adams","given":"Kevin"},{"family":"Hauksson","given":"Jon"},{"family":"Olsson","given":"Tommy"},{"family":"Fortuin-de Smidt","given":"Melony C."},{"family":"Nono Nankam","given":"Pamela A."},{"family":"Hakim","given":"Olah"},{"family":"Goff","given":"Louise M."},{"family":"Pheiffer","given":"Carmen"},{"family":"Goedecke","given":"Julia H."}],"issued":{"date-parts":[["2020",3,2]]}}}],"schema":"https://github.com/citation-style-language/schema/raw/master/csl-citation.json"}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4EEBC1A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South Africa</w:t>
            </w:r>
          </w:p>
        </w:tc>
        <w:tc>
          <w:tcPr>
            <w:tcW w:w="814" w:type="dxa"/>
            <w:vAlign w:val="center"/>
          </w:tcPr>
          <w:p w14:paraId="457187F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IG:20</w:t>
            </w:r>
          </w:p>
        </w:tc>
        <w:tc>
          <w:tcPr>
            <w:tcW w:w="912" w:type="dxa"/>
            <w:vAlign w:val="center"/>
          </w:tcPr>
          <w:p w14:paraId="2F7A46E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22.4±2.4</w:t>
            </w:r>
          </w:p>
        </w:tc>
        <w:tc>
          <w:tcPr>
            <w:tcW w:w="780" w:type="dxa"/>
            <w:vAlign w:val="center"/>
          </w:tcPr>
          <w:p w14:paraId="00FEF7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5078B5D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34.1±2.8</w:t>
            </w:r>
          </w:p>
        </w:tc>
        <w:tc>
          <w:tcPr>
            <w:tcW w:w="1077" w:type="dxa"/>
            <w:vAlign w:val="center"/>
          </w:tcPr>
          <w:p w14:paraId="41E545BC">
            <w:pPr>
              <w:widowControl/>
              <w:jc w:val="center"/>
              <w:rPr>
                <w:rFonts w:hint="default" w:ascii="Times New Roman" w:hAnsi="Times New Roman" w:eastAsia="宋体" w:cs="Times New Roman"/>
                <w:color w:val="auto"/>
                <w:kern w:val="0"/>
                <w:sz w:val="20"/>
                <w:szCs w:val="20"/>
              </w:rPr>
            </w:pPr>
          </w:p>
        </w:tc>
        <w:tc>
          <w:tcPr>
            <w:tcW w:w="1276" w:type="dxa"/>
            <w:vAlign w:val="center"/>
          </w:tcPr>
          <w:p w14:paraId="13B124E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DE2539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w:t>
            </w:r>
          </w:p>
        </w:tc>
        <w:tc>
          <w:tcPr>
            <w:tcW w:w="1276" w:type="dxa"/>
            <w:vAlign w:val="center"/>
          </w:tcPr>
          <w:p w14:paraId="3EADAA3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2768AC9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75B2132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4B962B3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5B03D73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10D25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59" w:hRule="atLeast"/>
          <w:jc w:val="center"/>
        </w:trPr>
        <w:tc>
          <w:tcPr>
            <w:tcW w:w="1746" w:type="dxa"/>
            <w:vMerge w:val="continue"/>
            <w:vAlign w:val="center"/>
          </w:tcPr>
          <w:p w14:paraId="636CD80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1A800A5">
            <w:pPr>
              <w:widowControl/>
              <w:jc w:val="center"/>
              <w:rPr>
                <w:rFonts w:hint="default" w:ascii="Times New Roman" w:hAnsi="Times New Roman" w:eastAsia="宋体" w:cs="Times New Roman"/>
                <w:color w:val="auto"/>
                <w:kern w:val="0"/>
                <w:sz w:val="20"/>
                <w:szCs w:val="20"/>
              </w:rPr>
            </w:pPr>
          </w:p>
        </w:tc>
        <w:tc>
          <w:tcPr>
            <w:tcW w:w="814" w:type="dxa"/>
            <w:vAlign w:val="center"/>
          </w:tcPr>
          <w:p w14:paraId="052DA9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43BB8C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23.7±4.9</w:t>
            </w:r>
          </w:p>
        </w:tc>
        <w:tc>
          <w:tcPr>
            <w:tcW w:w="780" w:type="dxa"/>
            <w:vAlign w:val="center"/>
          </w:tcPr>
          <w:p w14:paraId="0D0DB5D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206581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33.4±2.7</w:t>
            </w:r>
          </w:p>
        </w:tc>
        <w:tc>
          <w:tcPr>
            <w:tcW w:w="1077" w:type="dxa"/>
            <w:vAlign w:val="center"/>
          </w:tcPr>
          <w:p w14:paraId="286E59C7">
            <w:pPr>
              <w:widowControl/>
              <w:jc w:val="center"/>
              <w:rPr>
                <w:rFonts w:hint="default" w:ascii="Times New Roman" w:hAnsi="Times New Roman" w:eastAsia="宋体" w:cs="Times New Roman"/>
                <w:color w:val="auto"/>
                <w:kern w:val="0"/>
                <w:sz w:val="20"/>
                <w:szCs w:val="20"/>
              </w:rPr>
            </w:pPr>
          </w:p>
        </w:tc>
        <w:tc>
          <w:tcPr>
            <w:tcW w:w="1276" w:type="dxa"/>
            <w:vAlign w:val="center"/>
          </w:tcPr>
          <w:p w14:paraId="2C76DE97">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674622A4">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8ABDAFA">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3FC63C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48D145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3527D9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3EA9BD5D">
            <w:pPr>
              <w:widowControl/>
              <w:jc w:val="center"/>
              <w:rPr>
                <w:rFonts w:hint="default" w:ascii="Times New Roman" w:hAnsi="Times New Roman" w:eastAsia="宋体" w:cs="Times New Roman"/>
                <w:color w:val="auto"/>
                <w:kern w:val="0"/>
                <w:sz w:val="20"/>
                <w:szCs w:val="20"/>
              </w:rPr>
            </w:pPr>
          </w:p>
        </w:tc>
      </w:tr>
      <w:tr w14:paraId="0802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15F5A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Ramos</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{"citationID":"1HNTS8CS","properties":{"unsorted":false,"formattedCitation":"\\super 10\\nosupersub{}","plainCitation":"10","noteIndex":0},"citationItems":[{"id":6637,"uris":["http://zotero.org/users/local/9LWqYmzn/items/MNVLNZYP"],"itemData":{"id":6637,"type":"article-journal","abstract":"Introduction: IL-22 may have a role in the alleviation of the metabolic syndrome (MetS) via protection of pancreatic beta and endothelial cells from oxidative and lipid-induced damage. We aimed to investigate the effects of moderate-intensity continuous training (MICT) and different volumes of high-intensity interval training (HIIT) on changes in circulating IL-22.\nMethods: This was a sub-study of the “Exercise in the prevention of Metabolic Syndrome” (EX-MET) a multi-center, randomized trial. This study used data collected at the Brisbane site. Thirty-nine individuals with MetS were randomized to one of three 16-wk interventions: 1) MICT (n=10, 30min at 60–70% HR peak, 5x/wk); 2) 4HIIT (n=13, 4x4min at 85–95% HR peak, interspersed with 3min of active recovery at 50–70% HR peak, 3x/wk); or 3) 1HIIT (n=16, 1x4min at 85–95% HR peak, 3x/wk). Serum IL-22 concentration was measured following a 12-hr fast via an enzyme linked immunosorbent assay, before and after the intervention. MetS severity, insulin resistance (IR), visceral adipose tissue (VAT), and cardiorespiratory ﬁtness (CRF) were also measured via MetS z-score, HOMA-IR, dualenergy X-ray absorptiometry, and indirect calorimetry (maximal exercise test), respectively.\nResults: The median (IQR) IL-22% changes from pre- to post-intervention in the MICT, 4HIIT, and 1HIIT groups were −17% (−43.0% to 31.3%), +16.5% (−18.9% to 154.9%), and +15.9% (−28.7% to 46.1%), respectively. Although there were no signiﬁcant between-group differences in IL-22 concentration change, there was a medium-to-large group × time interaction effect [F(2,35)=2.08, p=0.14, η2=0.14].\nConclusion: Although there was no statistically signiﬁcant between-group difference in IL-22 change, the study suggests that different exercise intensities may have opposing effects on IL-22 concentration in individuals with MetS.","citation-key":"ramosEffectDifferentVolumes2020","container-title":"Diabetes, Metabolic Syndrome and Obesity: Targets and Therapy","DOI":"10.2147/DMSO.S251567","ISSN":"1178-7007","journalAbbreviation":"DMSO","language":"en","license":"http://creativecommons.org/licenses/by-nc/3.0/","page":"2443-2453","source":"DOI.org (Crossref)","title":"Effect of different volumes of interval training and continuous exercise on interleukin-22 in adults with metabolic syndrome: A randomized trial","title-short":"Effect of Different Volumes of Interval Training and Continuous Exercise on Interleukin-22 in Adults with Metabolic Syndrome","volume":"13","author":[{"family":"Ramos","given":"Joyce S"},{"family":"Dalleck","given":"Lance C"},{"family":"Stennett","given":"Rebecca C"},{"family":"Mielke","given":"Gregore I"},{"family":"Keating","given":"Shelley E"},{"family":"Murray","given":"Lydia S"},{"family":"Hasnain","given":"Sumaira Z"},{"family":"Fassett","given":"Robert G"},{"family":"McGuckin","given":"Michael"},{"family":"Croci","given":"Ilaria"},{"family":"Coombes","given":"Jeff S"}],"issued":{"date-parts":[["2020",7]]}}}],"schema":"https://github.com/citation-style-language/schema/raw/master/csl-citation.json"}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720CDB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723EC0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IG:10</w:t>
            </w:r>
          </w:p>
        </w:tc>
        <w:tc>
          <w:tcPr>
            <w:tcW w:w="912" w:type="dxa"/>
            <w:vAlign w:val="center"/>
          </w:tcPr>
          <w:p w14:paraId="6C5993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54.0±9.0</w:t>
            </w:r>
          </w:p>
        </w:tc>
        <w:tc>
          <w:tcPr>
            <w:tcW w:w="780" w:type="dxa"/>
            <w:vAlign w:val="center"/>
          </w:tcPr>
          <w:p w14:paraId="438DAF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2D85A8A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34.0±6.5</w:t>
            </w:r>
          </w:p>
        </w:tc>
        <w:tc>
          <w:tcPr>
            <w:tcW w:w="1077" w:type="dxa"/>
            <w:vAlign w:val="center"/>
          </w:tcPr>
          <w:p w14:paraId="7BA4436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43.4±8.4</w:t>
            </w:r>
          </w:p>
        </w:tc>
        <w:tc>
          <w:tcPr>
            <w:tcW w:w="1276" w:type="dxa"/>
            <w:vAlign w:val="center"/>
          </w:tcPr>
          <w:p w14:paraId="67BA58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72CFD2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29C73BF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5B54537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720</w:t>
            </w:r>
          </w:p>
        </w:tc>
        <w:tc>
          <w:tcPr>
            <w:tcW w:w="851" w:type="dxa"/>
            <w:noWrap/>
            <w:vAlign w:val="center"/>
          </w:tcPr>
          <w:p w14:paraId="4D12C2D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63C8837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843" w:type="dxa"/>
            <w:vMerge w:val="restart"/>
            <w:vAlign w:val="center"/>
          </w:tcPr>
          <w:p w14:paraId="1E679D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DEXA</w:t>
            </w:r>
          </w:p>
        </w:tc>
      </w:tr>
      <w:tr w14:paraId="2AE06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749E1B8F">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09430B6">
            <w:pPr>
              <w:widowControl/>
              <w:jc w:val="center"/>
              <w:rPr>
                <w:rFonts w:hint="default" w:ascii="Times New Roman" w:hAnsi="Times New Roman" w:eastAsia="宋体" w:cs="Times New Roman"/>
                <w:color w:val="auto"/>
                <w:kern w:val="0"/>
                <w:sz w:val="20"/>
                <w:szCs w:val="20"/>
              </w:rPr>
            </w:pPr>
          </w:p>
        </w:tc>
        <w:tc>
          <w:tcPr>
            <w:tcW w:w="814" w:type="dxa"/>
            <w:vAlign w:val="center"/>
          </w:tcPr>
          <w:p w14:paraId="001DA86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0CD1919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54.0±10.0</w:t>
            </w:r>
          </w:p>
        </w:tc>
        <w:tc>
          <w:tcPr>
            <w:tcW w:w="780" w:type="dxa"/>
            <w:vAlign w:val="center"/>
          </w:tcPr>
          <w:p w14:paraId="5ECB2D7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339C0D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32.1±4.9</w:t>
            </w:r>
          </w:p>
        </w:tc>
        <w:tc>
          <w:tcPr>
            <w:tcW w:w="1077" w:type="dxa"/>
            <w:vAlign w:val="center"/>
          </w:tcPr>
          <w:p w14:paraId="04C886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40.5±6.7</w:t>
            </w:r>
          </w:p>
        </w:tc>
        <w:tc>
          <w:tcPr>
            <w:tcW w:w="1276" w:type="dxa"/>
            <w:vAlign w:val="center"/>
          </w:tcPr>
          <w:p w14:paraId="1BD7BB8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3E4151A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w:t>
            </w:r>
          </w:p>
        </w:tc>
        <w:tc>
          <w:tcPr>
            <w:tcW w:w="1276" w:type="dxa"/>
            <w:vAlign w:val="center"/>
          </w:tcPr>
          <w:p w14:paraId="6AE55A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BCB69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422.4</w:t>
            </w:r>
          </w:p>
        </w:tc>
        <w:tc>
          <w:tcPr>
            <w:tcW w:w="851" w:type="dxa"/>
            <w:noWrap/>
            <w:vAlign w:val="center"/>
          </w:tcPr>
          <w:p w14:paraId="45988CC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085DBD2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77.6</w:t>
            </w:r>
          </w:p>
        </w:tc>
        <w:tc>
          <w:tcPr>
            <w:tcW w:w="1843" w:type="dxa"/>
            <w:vMerge w:val="continue"/>
            <w:vAlign w:val="center"/>
          </w:tcPr>
          <w:p w14:paraId="0F2F7677">
            <w:pPr>
              <w:widowControl/>
              <w:jc w:val="center"/>
              <w:rPr>
                <w:rFonts w:hint="default" w:ascii="Times New Roman" w:hAnsi="Times New Roman" w:eastAsia="宋体" w:cs="Times New Roman"/>
                <w:color w:val="auto"/>
                <w:kern w:val="0"/>
                <w:sz w:val="20"/>
                <w:szCs w:val="20"/>
              </w:rPr>
            </w:pPr>
          </w:p>
        </w:tc>
      </w:tr>
      <w:tr w14:paraId="645B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D6F43D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Ballin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{"citationID":"s5h6RUIU","properties":{"unsorted":false,"formattedCitation":"\\super 11\\nosupersub{}","plainCitation":"11","noteIndex":0},"citationItems":[{"id":6639,"uris":["http://zotero.org/users/local/9LWqYmzn/items/4JQJ5QXM"],"itemData":{"id":6639,"type":"article-journal","abstract":"OBJECTIVE\n              To investigate the effects of 10 weeks of progressive vigorous‐intensity interval training as a single intervention on body composition among 70‐year‐old individuals with central obesity.\n            \n            \n              DESIGN\n              \n                Randomized controlled trial (\n                ClinicalTrials.gov\n                registration No. NCT03450655).\n              \n            \n            \n              SETTING\n              Community‐dwelling 70‐year‐old men and women living in the Umeå municipality in Sweden.\n            \n            \n              PARTICIPANTS\n              Seventy‐seven 70‐year‐old men and women with central obesity (greater than 1 kg visceral adipose tissue [VAT] for women and greater than 2 kg VAT for men).\n            \n            \n              INTERVENTION\n              Participants allocated to the intervention group were offered a 10‐week progressive concurrent exercise program performed three times per week. All participants in both groups had received tailored lifestyle recommendations focused on diet and physical activity at one occasion within 12 months prior to trial initiation.\n            \n            \n              MEASUREMENTS\n              The primary outcome was changes in VAT, and secondary outcomes included changes in total fat mass (FM), total lean body mass (LBM), and body mass index.\n            \n            \n              RESULTS\n              \n                Comparing the groups, there were no significant differences in decrease of VAT mass (\n                P\n                 = .10), although the intervention group significantly decreased FM by 716 g (\n                P\n                 = .01) and gained LBM by 508 g (\n                P\n                 = .03), compared to the control group. Furthermore, the effects of the training were significantly greater in the male subcohort (\n                P\n                 &lt; .05 for interaction), with positive effects also on VAT and FM, where men in the intervention group decreased VAT by 175 g (\n                P\n                 &lt; .05) and FM by 1364 g (\n                P\n                 = .004), compared to the male controls.\n              \n            \n            \n              CONCLUSIONS\n              \n                The present trial demonstrates that 10 weeks of progressive vigorous interval training is sufficient to significantly decrease FM in older adults with central obesity, with positive effects also on LBM.\n                J Am Geriatr Soc 67:1625–1631, 2019","call-number":"2","citation-key":"ballinEffectsIntervalTraining2019","container-title":"Journal of the American Geriatrics Society","DOI":"10.1111/jgs.15919","ISSN":"0002-8614, 1532-5415","issue":"8","journalAbbreviation":"J American Geriatrics Society","language":"en","note":"JCR分区: Q1\n中科院分区升级版: 医学2区\n中科院分区基础版: 医学2区\n影响因子: 4.5\n5年影响因子: 5.3","page":"1625-1631","source":"4.5","title":"Effects of interval training on visceral adipose tissue in centrally obese 70‐year‐old individuals: A randomized controlled trial","title-short":"Effects of Interval Training on Visceral Adipose Tissue in Centrally Obese 70‐Year‐Old Individuals","volume":"67","author":[{"family":"Ballin","given":"Marcel"},{"family":"Lundberg","given":"Emmy"},{"family":"Sörlén","given":"Niklas"},{"family":"Nordström","given":"Peter"},{"family":"Hult","given":"Andreas"},{"family":"Nordström","given":"Anna"}],"issued":{"date-parts":[["2019",8]]}}}],"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3089C1B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Sweden</w:t>
            </w:r>
          </w:p>
        </w:tc>
        <w:tc>
          <w:tcPr>
            <w:tcW w:w="814" w:type="dxa"/>
            <w:vAlign w:val="center"/>
          </w:tcPr>
          <w:p w14:paraId="2FD8FE5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IG:36</w:t>
            </w:r>
          </w:p>
        </w:tc>
        <w:tc>
          <w:tcPr>
            <w:tcW w:w="912" w:type="dxa"/>
            <w:vAlign w:val="center"/>
          </w:tcPr>
          <w:p w14:paraId="32A140C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70.7±0.3</w:t>
            </w:r>
          </w:p>
        </w:tc>
        <w:tc>
          <w:tcPr>
            <w:tcW w:w="780" w:type="dxa"/>
            <w:vAlign w:val="center"/>
          </w:tcPr>
          <w:p w14:paraId="6F3F7DA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71C3EAD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29.8±3.1</w:t>
            </w:r>
          </w:p>
        </w:tc>
        <w:tc>
          <w:tcPr>
            <w:tcW w:w="1077" w:type="dxa"/>
            <w:vAlign w:val="center"/>
          </w:tcPr>
          <w:p w14:paraId="041655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39.6±6.6</w:t>
            </w:r>
          </w:p>
        </w:tc>
        <w:tc>
          <w:tcPr>
            <w:tcW w:w="1276" w:type="dxa"/>
            <w:vAlign w:val="center"/>
          </w:tcPr>
          <w:p w14:paraId="67D0D2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10</w:t>
            </w:r>
          </w:p>
        </w:tc>
        <w:tc>
          <w:tcPr>
            <w:tcW w:w="992" w:type="dxa"/>
            <w:noWrap/>
            <w:vAlign w:val="center"/>
          </w:tcPr>
          <w:p w14:paraId="51196AE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c>
          <w:tcPr>
            <w:tcW w:w="1276" w:type="dxa"/>
            <w:vAlign w:val="center"/>
          </w:tcPr>
          <w:p w14:paraId="57277EA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133B3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660</w:t>
            </w:r>
          </w:p>
        </w:tc>
        <w:tc>
          <w:tcPr>
            <w:tcW w:w="851" w:type="dxa"/>
            <w:noWrap/>
            <w:vAlign w:val="center"/>
          </w:tcPr>
          <w:p w14:paraId="5782AA3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4AC9741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w:t>
            </w:r>
          </w:p>
        </w:tc>
        <w:tc>
          <w:tcPr>
            <w:tcW w:w="1843" w:type="dxa"/>
            <w:vMerge w:val="restart"/>
            <w:vAlign w:val="center"/>
          </w:tcPr>
          <w:p w14:paraId="2D77B4A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47CA2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D249E33">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0D5D5E8">
            <w:pPr>
              <w:widowControl/>
              <w:jc w:val="center"/>
              <w:rPr>
                <w:rFonts w:hint="default" w:ascii="Times New Roman" w:hAnsi="Times New Roman" w:eastAsia="宋体" w:cs="Times New Roman"/>
                <w:color w:val="auto"/>
                <w:kern w:val="0"/>
                <w:sz w:val="20"/>
                <w:szCs w:val="20"/>
              </w:rPr>
            </w:pPr>
          </w:p>
        </w:tc>
        <w:tc>
          <w:tcPr>
            <w:tcW w:w="814" w:type="dxa"/>
            <w:vAlign w:val="center"/>
          </w:tcPr>
          <w:p w14:paraId="467BF4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CG:36</w:t>
            </w:r>
          </w:p>
        </w:tc>
        <w:tc>
          <w:tcPr>
            <w:tcW w:w="912" w:type="dxa"/>
            <w:vAlign w:val="center"/>
          </w:tcPr>
          <w:p w14:paraId="1C6A6B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70.7±0.2</w:t>
            </w:r>
          </w:p>
        </w:tc>
        <w:tc>
          <w:tcPr>
            <w:tcW w:w="780" w:type="dxa"/>
            <w:vAlign w:val="center"/>
          </w:tcPr>
          <w:p w14:paraId="39B5AA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953333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29.0±3.5</w:t>
            </w:r>
          </w:p>
        </w:tc>
        <w:tc>
          <w:tcPr>
            <w:tcW w:w="1077" w:type="dxa"/>
            <w:vAlign w:val="center"/>
          </w:tcPr>
          <w:p w14:paraId="57E0F7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39.6±5.8</w:t>
            </w:r>
          </w:p>
        </w:tc>
        <w:tc>
          <w:tcPr>
            <w:tcW w:w="1276" w:type="dxa"/>
            <w:vAlign w:val="center"/>
          </w:tcPr>
          <w:p w14:paraId="6C73D79D">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3238CF5">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5E374A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1FE5EB1">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6837F4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DB570A5">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34AF6533">
            <w:pPr>
              <w:widowControl/>
              <w:jc w:val="center"/>
              <w:rPr>
                <w:rFonts w:hint="default" w:ascii="Times New Roman" w:hAnsi="Times New Roman" w:eastAsia="宋体" w:cs="Times New Roman"/>
                <w:color w:val="auto"/>
                <w:kern w:val="0"/>
                <w:sz w:val="20"/>
                <w:szCs w:val="20"/>
              </w:rPr>
            </w:pPr>
          </w:p>
        </w:tc>
      </w:tr>
      <w:tr w14:paraId="2829E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3162C8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Zhang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{"citationID":"c2CCGrRr","properties":{"unsorted":false,"formattedCitation":"\\super 12\\nosupersub{}","plainCitation":"12","noteIndex":0},"citationItems":[{"id":6641,"uris":["http://zotero.org/users/local/9LWqYmzn/items/S6FA2GMU"],"itemData":{"id":6641,"type":"article-journal","abstract":"Visceral fat loss in response to four‐cycle ergometer training regimens with explicit differences in exercise intensity and modality was compared. Fifty‐nine obese young women (body fat percentage ≥ 30%) were randomized to a 12‐week intervention consisting of either all‐out sprint interval training (SIT\n              all‐out\n              , n = 11); supramaximal SIT (SIT\n              120\n              , 120%\n              \n              O\n              2peak\n              , n = 12); high‐intensity interval training (HIIT\n              90\n              , 90%\n              \n              O\n              2peak\n              , n = 12), moderate‐intensity continuous training (MICT, 60%\n              \n              O\n              2peak\n              , n = 11), or no training (CON, n = 13). The total work done per training session in SIT\n              120\n              , HIIT\n              90\n              , and MICT was confined to 200 kJ, while it was deliberately lower in SIT\n              all‐out\n              . The abdominal visceral fat area (AVFA) was measured through computed tomography scans. The whole‐body and regional fat mass were assessed through dual‐energy X‐ray absorptiometry. Pre‐, post‐, and 3‐hour post‐exercise serum growth hormone (GH), and epinephrine (EPI) were measured during selected training sessions. Following the intervention, similar reductions in whole‐body and regional fat mass were found in all intervention groups, while the reductions in AVFA resulting from SIT\n              all‐out\n              , SIT\n              120\n              , and HIIT\n              90\n              (&gt;15 cm\n              2\n              ) were greater in comparison with MICT (&lt;3.5 cm\n              2\n              ,\n              P\n               &lt; .05). The AVFA reductions among the SITs and HIIT groups were similar, and it was concomitant with the similar exercise‐induced releases of serum GH and EPI. CON variables were unchanged. These findings suggest that visceral fat loss induced by interval training at or above 90%\n              \n              O\n              2peak\n              appeared unresponsive to the change in training intensity. Nonetheless, SIT\n              all‐out\n              is still the most time‐efficient strategy among the four exercise‐training regimes for controlling visceral obesity.","call-number":"2","citation-key":"zhangExerciseTraininginducedVisceral2021","container-title":"Scandinavian Journal of Medicine &amp; Science in Sports","DOI":"10.1111/sms.13803","ISSN":"0905-7188, 1600-0838","issue":"1","journalAbbreviation":"Scandinavian Med Sci Sports","language":"en","page":"30-43","source":"3.8","title":"Exercise training‐induced visceral fat loss in obese women: The role of training intensity and modality","title-short":"Exercise training‐induced visceral fat loss in obese women","volume":"31","author":[{"family":"Zhang","given":"Haifeng"},{"family":"Tong","given":"Tomas K."},{"family":"Kong","given":"Zhaowei"},{"family":"Shi","given":"Qingde"},{"family":"Liu","given":"Yang"},{"family":"Nie","given":"Jinlei"}],"issued":{"date-parts":[["2021",1]]}}}],"schema":"https://github.com/citation-style-language/schema/raw/master/csl-citation.json"}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359FF2D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p>
        </w:tc>
        <w:tc>
          <w:tcPr>
            <w:tcW w:w="814" w:type="dxa"/>
            <w:vAlign w:val="center"/>
          </w:tcPr>
          <w:p w14:paraId="5433A3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IG1:12</w:t>
            </w:r>
          </w:p>
        </w:tc>
        <w:tc>
          <w:tcPr>
            <w:tcW w:w="912" w:type="dxa"/>
            <w:vAlign w:val="center"/>
          </w:tcPr>
          <w:p w14:paraId="5C1DFCC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19.7±1.1</w:t>
            </w:r>
          </w:p>
        </w:tc>
        <w:tc>
          <w:tcPr>
            <w:tcW w:w="780" w:type="dxa"/>
            <w:vAlign w:val="center"/>
          </w:tcPr>
          <w:p w14:paraId="05782E9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6E9F78A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26.0±2.9</w:t>
            </w:r>
          </w:p>
        </w:tc>
        <w:tc>
          <w:tcPr>
            <w:tcW w:w="1077" w:type="dxa"/>
            <w:vAlign w:val="center"/>
          </w:tcPr>
          <w:p w14:paraId="76E52BF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44.6±5.0</w:t>
            </w:r>
          </w:p>
        </w:tc>
        <w:tc>
          <w:tcPr>
            <w:tcW w:w="1276" w:type="dxa"/>
            <w:vAlign w:val="center"/>
          </w:tcPr>
          <w:p w14:paraId="50D44F5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7BF38C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w:t>
            </w:r>
          </w:p>
        </w:tc>
        <w:tc>
          <w:tcPr>
            <w:tcW w:w="1276" w:type="dxa"/>
            <w:vAlign w:val="center"/>
          </w:tcPr>
          <w:p w14:paraId="49712F6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1634EA0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792</w:t>
            </w:r>
          </w:p>
        </w:tc>
        <w:tc>
          <w:tcPr>
            <w:tcW w:w="851" w:type="dxa"/>
            <w:noWrap/>
            <w:vAlign w:val="center"/>
          </w:tcPr>
          <w:p w14:paraId="0702ACF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0CB24FD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w:t>
            </w:r>
          </w:p>
        </w:tc>
        <w:tc>
          <w:tcPr>
            <w:tcW w:w="1843" w:type="dxa"/>
            <w:vMerge w:val="restart"/>
            <w:vAlign w:val="center"/>
          </w:tcPr>
          <w:p w14:paraId="2FAD588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50FED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A385117">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D8BCEED">
            <w:pPr>
              <w:widowControl/>
              <w:jc w:val="center"/>
              <w:rPr>
                <w:rFonts w:hint="default" w:ascii="Times New Roman" w:hAnsi="Times New Roman" w:eastAsia="宋体" w:cs="Times New Roman"/>
                <w:color w:val="auto"/>
                <w:kern w:val="0"/>
                <w:sz w:val="20"/>
                <w:szCs w:val="20"/>
              </w:rPr>
            </w:pPr>
          </w:p>
        </w:tc>
        <w:tc>
          <w:tcPr>
            <w:tcW w:w="814" w:type="dxa"/>
            <w:vAlign w:val="center"/>
          </w:tcPr>
          <w:p w14:paraId="478E1F5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IG2:11</w:t>
            </w:r>
          </w:p>
        </w:tc>
        <w:tc>
          <w:tcPr>
            <w:tcW w:w="912" w:type="dxa"/>
            <w:vAlign w:val="center"/>
          </w:tcPr>
          <w:p w14:paraId="3254D3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21.0±2.4</w:t>
            </w:r>
          </w:p>
        </w:tc>
        <w:tc>
          <w:tcPr>
            <w:tcW w:w="780" w:type="dxa"/>
            <w:vAlign w:val="center"/>
          </w:tcPr>
          <w:p w14:paraId="7B3FC4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85D978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25.1±3.0</w:t>
            </w:r>
          </w:p>
        </w:tc>
        <w:tc>
          <w:tcPr>
            <w:tcW w:w="1077" w:type="dxa"/>
            <w:vAlign w:val="center"/>
          </w:tcPr>
          <w:p w14:paraId="198AEB3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44.1±4.5</w:t>
            </w:r>
          </w:p>
        </w:tc>
        <w:tc>
          <w:tcPr>
            <w:tcW w:w="1276" w:type="dxa"/>
            <w:vAlign w:val="center"/>
          </w:tcPr>
          <w:p w14:paraId="016F4AC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25951A1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w:t>
            </w:r>
          </w:p>
        </w:tc>
        <w:tc>
          <w:tcPr>
            <w:tcW w:w="1276" w:type="dxa"/>
            <w:vAlign w:val="center"/>
          </w:tcPr>
          <w:p w14:paraId="64170E7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391F6D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675</w:t>
            </w:r>
          </w:p>
        </w:tc>
        <w:tc>
          <w:tcPr>
            <w:tcW w:w="851" w:type="dxa"/>
            <w:noWrap/>
            <w:vAlign w:val="center"/>
          </w:tcPr>
          <w:p w14:paraId="71B7093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15E979E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w:t>
            </w:r>
          </w:p>
        </w:tc>
        <w:tc>
          <w:tcPr>
            <w:tcW w:w="1843" w:type="dxa"/>
            <w:vMerge w:val="continue"/>
            <w:vAlign w:val="center"/>
          </w:tcPr>
          <w:p w14:paraId="38F603DC">
            <w:pPr>
              <w:widowControl/>
              <w:jc w:val="center"/>
              <w:rPr>
                <w:rFonts w:hint="default" w:ascii="Times New Roman" w:hAnsi="Times New Roman" w:eastAsia="宋体" w:cs="Times New Roman"/>
                <w:color w:val="auto"/>
                <w:kern w:val="0"/>
                <w:sz w:val="20"/>
                <w:szCs w:val="20"/>
              </w:rPr>
            </w:pPr>
          </w:p>
        </w:tc>
      </w:tr>
      <w:tr w14:paraId="2EC26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99" w:hRule="atLeast"/>
          <w:jc w:val="center"/>
        </w:trPr>
        <w:tc>
          <w:tcPr>
            <w:tcW w:w="1746" w:type="dxa"/>
            <w:vMerge w:val="continue"/>
            <w:vAlign w:val="center"/>
          </w:tcPr>
          <w:p w14:paraId="5B46144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A844F85">
            <w:pPr>
              <w:widowControl/>
              <w:jc w:val="center"/>
              <w:rPr>
                <w:rFonts w:hint="default" w:ascii="Times New Roman" w:hAnsi="Times New Roman" w:eastAsia="宋体" w:cs="Times New Roman"/>
                <w:color w:val="auto"/>
                <w:kern w:val="0"/>
                <w:sz w:val="20"/>
                <w:szCs w:val="20"/>
              </w:rPr>
            </w:pPr>
          </w:p>
        </w:tc>
        <w:tc>
          <w:tcPr>
            <w:tcW w:w="814" w:type="dxa"/>
            <w:vAlign w:val="center"/>
          </w:tcPr>
          <w:p w14:paraId="30EB5A7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4FFB37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21.2±2.2</w:t>
            </w:r>
          </w:p>
        </w:tc>
        <w:tc>
          <w:tcPr>
            <w:tcW w:w="780" w:type="dxa"/>
            <w:vAlign w:val="center"/>
          </w:tcPr>
          <w:p w14:paraId="73906EF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6FD4AF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25.2±1.8</w:t>
            </w:r>
          </w:p>
        </w:tc>
        <w:tc>
          <w:tcPr>
            <w:tcW w:w="1077" w:type="dxa"/>
            <w:vAlign w:val="center"/>
          </w:tcPr>
          <w:p w14:paraId="3E32257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43.5±4.0</w:t>
            </w:r>
          </w:p>
        </w:tc>
        <w:tc>
          <w:tcPr>
            <w:tcW w:w="1276" w:type="dxa"/>
            <w:vAlign w:val="center"/>
          </w:tcPr>
          <w:p w14:paraId="24D465D4">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03534BD0">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D901D37">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CBD98BC">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0990EEE">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ADEA7D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7ADA963C">
            <w:pPr>
              <w:widowControl/>
              <w:jc w:val="center"/>
              <w:rPr>
                <w:rFonts w:hint="default" w:ascii="Times New Roman" w:hAnsi="Times New Roman" w:eastAsia="宋体" w:cs="Times New Roman"/>
                <w:color w:val="auto"/>
                <w:kern w:val="0"/>
                <w:sz w:val="20"/>
                <w:szCs w:val="20"/>
              </w:rPr>
            </w:pPr>
          </w:p>
        </w:tc>
      </w:tr>
      <w:tr w14:paraId="7DCB1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7380FBB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Smidt</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{"citationID":"K79nXqsL","properties":{"unsorted":false,"formattedCitation":"\\super 13\\nosupersub{}","plainCitation":"13","noteIndex":0},"citationItems":[{"id":6643,"uris":["http://zotero.org/users/local/9LWqYmzn/items/GEJY35X7"],"itemData":{"id":6643,"type":"article-journal","abstract":"Objective: We investigated the effects of a 12-week exercise intervention on insulin sensitivity (S I) and hyperinsulinemia and associated changes in regional and ectopic fat. Research design and methods: Healthy, black South African women with obesity (mean age 23 ± 3.5 years) and of isiXhosa ancestry were randomised into a 12-week aerobic and resistance exercise training group ( n = 23) and a no exercise group (control, n = 22). Pre and post-intervention testing included assessment of SI, insulin response to glucose (AIRg), insulin secretion rate (ISR), hepatic insulin extraction (FE L) and disposition index (DI) (AIRg × SI) (frequently sampled i.v. glucose tolerance test); fat mass and regional adiposity (dual-energy X-ray absorptiometry); hepatic, pancreatic and skeletal muscle fat content and abdominal s.c. and visceral adipose tissue volumes (MRI).\nResults: Exercise training increased VO2peak (mean ± s.d.: 24.9 ± 2.42 to 27.6 ± 3.39 mL/kg/min, P &lt; 0.001), SI (2.0 (1.2–2.8) to 2.2 (1.5–3.7) (mU/l)−1 min−1, P = 0.005) and DI (median (interquartile range): 6.1 (3.6–7.1) to 6.5 (5.6–9.2) × 103 arbitrary units, P = 0.028), and decreased gynoid fat mass (18.5 ± 1.7 to 18.2 ± 1.6%, P &lt; 0.001) and body weight (84.1 ± 8.7 to 83.3 ± .9.7 kg, P = 0.038). None of these changes were observed in the control group, but body weight increased (P = 0.030). AIRg, ISR and FEL, VAT, SAT and ectopic fat were unaltered after exercise training. The increase in SI and DI were not associated with changes in regional or ectopic fat.\nConclusion: Exercise training increased SI independent from changes in hyperinsulinemia and ectopic fat, suggesting that ectopic fat might not be a principal determinant of insulin resistance in this cohort.","call-number":"2","citation-key":"fortuin-desmidtEffectExerciseTraining2020","container-title":"European Journal of Endocrinology","DOI":"10.1530/EJE-19-0957","ISSN":"0804-4643, 1479-683X","issue":"1","note":"JCR分区: Q1\n中科院分区升级版: 医学2区\n中科院分区基础版: 医学2区\n影响因子: 5.2\n5年影响因子: 5.1","page":"51-61","source":"5.2","title":"Effect of exercise training on insulin sensitivity, hyperinsulinemia and ectopic fat in black south african women: A randomized controlled trial","title-short":"Effect of exercise training on insulin sensitivity, hyperinsulinemia and ectopic fat in black South African women","volume":"183","author":[{"family":"Fortuin-de Smidt","given":"Melony C"},{"family":"Mendham","given":"Amy E"},{"family":"Hauksson","given":"Jon"},{"family":"Hakim","given":"Olah"},{"family":"Stefanovski","given":"Darko"},{"family":"Clamp","given":"Louise"},{"family":"Phiri","given":"Lindokuhle"},{"family":"Swart","given":"Jeroen"},{"family":"Goff","given":"Louise M"},{"family":"Micklesfield","given":"Lisa K"},{"family":"Kahn","given":"Steven E"},{"family":"Olsson","given":"Tommy"},{"family":"Goedecke","given":"Julia H"}],"issued":{"date-parts":[["2020",7]]}}}],"schema":"https://github.com/citation-style-language/schema/raw/master/csl-citation.json"}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13</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2020</w:t>
            </w:r>
          </w:p>
        </w:tc>
        <w:tc>
          <w:tcPr>
            <w:tcW w:w="1247" w:type="dxa"/>
            <w:vMerge w:val="restart"/>
            <w:vAlign w:val="center"/>
          </w:tcPr>
          <w:p w14:paraId="3646D21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South Africa</w:t>
            </w:r>
          </w:p>
        </w:tc>
        <w:tc>
          <w:tcPr>
            <w:tcW w:w="814" w:type="dxa"/>
            <w:vAlign w:val="center"/>
          </w:tcPr>
          <w:p w14:paraId="55F7629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IG:20</w:t>
            </w:r>
          </w:p>
        </w:tc>
        <w:tc>
          <w:tcPr>
            <w:tcW w:w="912" w:type="dxa"/>
            <w:vAlign w:val="center"/>
          </w:tcPr>
          <w:p w14:paraId="0E8E6D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22.3±2.4</w:t>
            </w:r>
          </w:p>
        </w:tc>
        <w:tc>
          <w:tcPr>
            <w:tcW w:w="780" w:type="dxa"/>
            <w:vAlign w:val="center"/>
          </w:tcPr>
          <w:p w14:paraId="08F9C9D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71C1E3B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34.1±2.8</w:t>
            </w:r>
          </w:p>
        </w:tc>
        <w:tc>
          <w:tcPr>
            <w:tcW w:w="1077" w:type="dxa"/>
            <w:vAlign w:val="center"/>
          </w:tcPr>
          <w:p w14:paraId="364A122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50.3±2.4</w:t>
            </w:r>
          </w:p>
        </w:tc>
        <w:tc>
          <w:tcPr>
            <w:tcW w:w="1276" w:type="dxa"/>
            <w:vAlign w:val="center"/>
          </w:tcPr>
          <w:p w14:paraId="52A6B2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600CD85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w:t>
            </w:r>
          </w:p>
        </w:tc>
        <w:tc>
          <w:tcPr>
            <w:tcW w:w="1276" w:type="dxa"/>
            <w:vAlign w:val="center"/>
          </w:tcPr>
          <w:p w14:paraId="67D50D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7378828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7135236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1E9B171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3ED1483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51317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46A3FC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B1D4E8C">
            <w:pPr>
              <w:widowControl/>
              <w:jc w:val="center"/>
              <w:rPr>
                <w:rFonts w:hint="default" w:ascii="Times New Roman" w:hAnsi="Times New Roman" w:eastAsia="宋体" w:cs="Times New Roman"/>
                <w:color w:val="auto"/>
                <w:kern w:val="0"/>
                <w:sz w:val="20"/>
                <w:szCs w:val="20"/>
              </w:rPr>
            </w:pPr>
          </w:p>
        </w:tc>
        <w:tc>
          <w:tcPr>
            <w:tcW w:w="814" w:type="dxa"/>
            <w:vAlign w:val="center"/>
          </w:tcPr>
          <w:p w14:paraId="1E5B0C9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25FE5AB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23.7±4.9</w:t>
            </w:r>
          </w:p>
        </w:tc>
        <w:tc>
          <w:tcPr>
            <w:tcW w:w="780" w:type="dxa"/>
            <w:vAlign w:val="center"/>
          </w:tcPr>
          <w:p w14:paraId="29E9F2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F03F79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33.4±2.7</w:t>
            </w:r>
          </w:p>
        </w:tc>
        <w:tc>
          <w:tcPr>
            <w:tcW w:w="1077" w:type="dxa"/>
            <w:vAlign w:val="center"/>
          </w:tcPr>
          <w:p w14:paraId="263DFD8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50.3±5.7</w:t>
            </w:r>
          </w:p>
        </w:tc>
        <w:tc>
          <w:tcPr>
            <w:tcW w:w="1276" w:type="dxa"/>
            <w:vAlign w:val="center"/>
          </w:tcPr>
          <w:p w14:paraId="3332E055">
            <w:pPr>
              <w:widowControl/>
              <w:jc w:val="center"/>
              <w:rPr>
                <w:rFonts w:hint="default" w:ascii="Times New Roman" w:hAnsi="Times New Roman" w:eastAsia="宋体" w:cs="Times New Roman"/>
                <w:color w:val="auto"/>
                <w:kern w:val="0"/>
                <w:sz w:val="20"/>
                <w:szCs w:val="20"/>
              </w:rPr>
            </w:pPr>
          </w:p>
        </w:tc>
        <w:tc>
          <w:tcPr>
            <w:tcW w:w="992" w:type="dxa"/>
            <w:vAlign w:val="center"/>
          </w:tcPr>
          <w:p w14:paraId="41D4E5A2">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1F7A600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4C1CC46">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9C65EF7">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A35F2CA">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2AFE6AF">
            <w:pPr>
              <w:widowControl/>
              <w:jc w:val="center"/>
              <w:rPr>
                <w:rFonts w:hint="default" w:ascii="Times New Roman" w:hAnsi="Times New Roman" w:eastAsia="宋体" w:cs="Times New Roman"/>
                <w:color w:val="auto"/>
                <w:kern w:val="0"/>
                <w:sz w:val="20"/>
                <w:szCs w:val="20"/>
              </w:rPr>
            </w:pPr>
          </w:p>
        </w:tc>
      </w:tr>
      <w:tr w14:paraId="7EF12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29530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Boutcher</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{"citationID":"6YRulBn9","properties":{"unsorted":false,"formattedCitation":"\\super 14\\nosupersub{}","plainCitation":"14","noteIndex":0},"citationItems":[{"id":6645,"uris":["http://zotero.org/users/local/9LWqYmzn/items/2MW4WEXI"],"itemData":{"id":6645,"type":"article-journal","abstract":"ABSTRACT\n            \n              Introduction\n              Menopause is accompanied by body composition changes that include a decrease in lean mass and aerobic fitness and an increase in fat mass. Sprint interval training (SIT) may be able to reverse these changes.\n            \n            \n              Purpose\n              To examine the effect of an 8-wk SIT program on body composition and aerobic fitness of overweight postmenopausal women.\n            \n            \n              Methods\n              \n                Forty postmenopausal women were randomized into SIT (\n                n\n                = 20) or control (\n                n\n                = 20) groups. The SIT group completed three SIT sessions a week for 8 wk with each session consisting of 20 min of alternating 8-s sprints and 12-s of light pedaling. Total mass, regional lean mass, and fat mass were assessed using dual-energy x-ray absorptiometry. Maximal oxygen uptake (V˙O\n                2max\n                ) was predicted using a submaximal test.\n              \n            \n            \n              Results\n              \n                Total lean mass was significantly increased from pretest (48.1 ± 5.81 kg) to posttest (48.8 ± 5.96 kg) and fat mass was significantly reduced (pre, 29.5 ± 7.29 kg; post, 29.1 ± 7.61 kg) for the SIT group. Lean mass was mostly increased in the trunk (pre, 24.4 ± 2.79 kg; post, 24.8 ± 2.93 kg) and legs (pre, 15.6 ± 2.31 kg; post, 15.9 ± 2.34 kg). V˙O\n                2max\n                was significantly increased from pretest (21.7 ± 4.89 mL⋅kg\n                −1\n                ⋅min\n                −1\n                ) to posttest (24.4 ± 5.96 mL⋅kg\n                −1\n                ⋅min\n                −1\n                ) for the SIT group only.\n              \n            \n            \n              Conclusions\n              The SIT intervention increased total lean mass, decreased fat mass, and increased aerobic fitness of postmenopausal women after only 8 h of actual exercise over 8 wk.","citation-key":"boutcherEffectSprintInterval2019","container-title":"Medicine &amp; Science in Sports &amp; Exercise","DOI":"10.1249/MSS.0000000000001919","ISSN":"1530-0315, 0195-9131","issue":"7","language":"en","note":"JCR分区: Q1\n中科院分区升级版: 医学2区\n中科院分区基础版: 医学2区\n影响因子: 3.9\n5年影响因子: 5.2","page":"1413-1419","source":"3.9","title":"The effect of sprint interval training on body composition of postmenopausal women","volume":"51","author":[{"family":"Boutcher","given":"Yati N."},{"family":"Boutcher","given":"Stephen H."},{"family":"Yoo","given":"Hye Y."},{"family":"Meerkin","given":"Jarrod D."}],"issued":{"date-parts":[["2019",7]]}}}],"schema":"https://github.com/citation-style-language/schema/raw/master/csl-citation.json"}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6060843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71BDF0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IG:20</w:t>
            </w:r>
          </w:p>
        </w:tc>
        <w:tc>
          <w:tcPr>
            <w:tcW w:w="912" w:type="dxa"/>
            <w:vAlign w:val="center"/>
          </w:tcPr>
          <w:p w14:paraId="1EB4BE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54.1±3.6</w:t>
            </w:r>
          </w:p>
        </w:tc>
        <w:tc>
          <w:tcPr>
            <w:tcW w:w="780" w:type="dxa"/>
            <w:vAlign w:val="center"/>
          </w:tcPr>
          <w:p w14:paraId="1707A1A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1AD1307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28.3±3.7</w:t>
            </w:r>
          </w:p>
        </w:tc>
        <w:tc>
          <w:tcPr>
            <w:tcW w:w="1077" w:type="dxa"/>
            <w:vAlign w:val="center"/>
          </w:tcPr>
          <w:p w14:paraId="663D83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36.9±4.3</w:t>
            </w:r>
          </w:p>
        </w:tc>
        <w:tc>
          <w:tcPr>
            <w:tcW w:w="1276" w:type="dxa"/>
            <w:vAlign w:val="center"/>
          </w:tcPr>
          <w:p w14:paraId="60EF59A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594F554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vAlign w:val="center"/>
          </w:tcPr>
          <w:p w14:paraId="538757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A23EB9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528</w:t>
            </w:r>
          </w:p>
        </w:tc>
        <w:tc>
          <w:tcPr>
            <w:tcW w:w="851" w:type="dxa"/>
            <w:noWrap/>
            <w:vAlign w:val="center"/>
          </w:tcPr>
          <w:p w14:paraId="1F11AD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042B004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843" w:type="dxa"/>
            <w:vMerge w:val="restart"/>
            <w:vAlign w:val="center"/>
          </w:tcPr>
          <w:p w14:paraId="00B6C6B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461DE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3E91679">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00FC101">
            <w:pPr>
              <w:widowControl/>
              <w:jc w:val="center"/>
              <w:rPr>
                <w:rFonts w:hint="default" w:ascii="Times New Roman" w:hAnsi="Times New Roman" w:eastAsia="宋体" w:cs="Times New Roman"/>
                <w:color w:val="auto"/>
                <w:kern w:val="0"/>
                <w:sz w:val="20"/>
                <w:szCs w:val="20"/>
              </w:rPr>
            </w:pPr>
          </w:p>
        </w:tc>
        <w:tc>
          <w:tcPr>
            <w:tcW w:w="814" w:type="dxa"/>
            <w:vAlign w:val="center"/>
          </w:tcPr>
          <w:p w14:paraId="176BFAD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CG:20</w:t>
            </w:r>
          </w:p>
        </w:tc>
        <w:tc>
          <w:tcPr>
            <w:tcW w:w="912" w:type="dxa"/>
            <w:vAlign w:val="center"/>
          </w:tcPr>
          <w:p w14:paraId="2481C0E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53.3±3.4</w:t>
            </w:r>
          </w:p>
        </w:tc>
        <w:tc>
          <w:tcPr>
            <w:tcW w:w="780" w:type="dxa"/>
            <w:vAlign w:val="center"/>
          </w:tcPr>
          <w:p w14:paraId="20D302E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A22A08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27.3±4.1</w:t>
            </w:r>
          </w:p>
        </w:tc>
        <w:tc>
          <w:tcPr>
            <w:tcW w:w="1077" w:type="dxa"/>
            <w:vAlign w:val="center"/>
          </w:tcPr>
          <w:p w14:paraId="7D75EB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36.5±5.1</w:t>
            </w:r>
          </w:p>
        </w:tc>
        <w:tc>
          <w:tcPr>
            <w:tcW w:w="1276" w:type="dxa"/>
            <w:vAlign w:val="center"/>
          </w:tcPr>
          <w:p w14:paraId="2FE33817">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AEB9B8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BB972D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47766D1">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3B0292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826C296">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6203C809">
            <w:pPr>
              <w:widowControl/>
              <w:jc w:val="center"/>
              <w:rPr>
                <w:rFonts w:hint="default" w:ascii="Times New Roman" w:hAnsi="Times New Roman" w:eastAsia="宋体" w:cs="Times New Roman"/>
                <w:color w:val="auto"/>
                <w:kern w:val="0"/>
                <w:sz w:val="20"/>
                <w:szCs w:val="20"/>
              </w:rPr>
            </w:pPr>
          </w:p>
        </w:tc>
      </w:tr>
      <w:tr w14:paraId="4547E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99" w:hRule="atLeast"/>
          <w:jc w:val="center"/>
        </w:trPr>
        <w:tc>
          <w:tcPr>
            <w:tcW w:w="1746" w:type="dxa"/>
            <w:vMerge w:val="restart"/>
            <w:vAlign w:val="center"/>
          </w:tcPr>
          <w:p w14:paraId="05768FC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Cho</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{"citationID":"83Cyccuk","properties":{"unsorted":false,"formattedCitation":"\\super 15\\nosupersub{}","plainCitation":"15","noteIndex":0},"citationItems":[{"id":6647,"uris":["http://zotero.org/users/local/9LWqYmzn/items/58APUXTP"],"itemData":{"id":6647,"type":"article-journal","abstract":"Background and Purpose. The objective of this pilot randomized controlled trial was to investigate the effect of alternate day fasting (ADF) and exercise on serum sterol signatures, which are surrogate markers of cholesterol absorption and biosynthesis.\nMethods. We randomly assigned 112 overweight or obese participants to four groups: 1) ADF and exercise (E-ADF); 2) ADF; 3) exercise; and 4) control. We studied 31 completers in this exploratory analysis and measured their serum sterol signatures using gas chromatography-mass spectrometry.\nResults. After intervention, most serum sterol signatures that correspond to cholesterol metabolism were significantly different between groups (p &lt; 0.05 by analysis of covariance [ANCOVA]). We found no differences in plant sterols, which are markers of cholesterol absorption. In the exercise group, desmosterol, cholesteryl esters, and oxysterols decreased significantly. Furthermore, only changes in physical activity levels negatively correlated with changes in the metabolic ratios of desmosterol and 7-dehydrocholesterol to cholesterol, which reflect cholesterol biosynthesis (r = 0.411; p = 0.030, and r = -0.540; p = 0.003, respectively).\nConclusion. These findings suggest that exercise with or without ADF improves cholesterol metabolism as measured by serum sterol signatures, and increased physical activity has a greater effect on cholesterol biosynthesis than weight reduction or calorie restriction.","citation-key":"choEffectsAlternateDay2019","container-title":"Metabolism","DOI":"10.1016/j.metabol.2019.01.002","ISSN":"00260495","journalAbbreviation":"Metabolism","language":"en","note":"中科院分区升级版: 医学2区","page":"52-60","source":"DOI.org (Crossref)","title":"Effects of alternate day fasting and exercise on cholesterol metabolism in overweight or obese adults: A pilot randomized controlled trial","title-short":"Effects of alternate day fasting and exercise on cholesterol metabolism in overweight or obese adults","volume":"93","author":[{"family":"Cho","given":"A-Ra"},{"family":"Moon","given":"Ju-Yeon"},{"family":"Kim","given":"Sue"},{"family":"An","given":"Ki-Yong"},{"family":"Oh","given":"Minsuk"},{"family":"Jeon","given":"Justin Y."},{"family":"Jung","given":"Dong-Hyuk"},{"family":"Choi","given":"Man Ho"},{"family":"Lee","given":"Ji-Won"}],"issued":{"date-parts":[["2019",4]]}}}],"schema":"https://github.com/citation-style-language/schema/raw/master/csl-citation.json"}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30775A3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6DCD4A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IG:9</w:t>
            </w:r>
          </w:p>
        </w:tc>
        <w:tc>
          <w:tcPr>
            <w:tcW w:w="912" w:type="dxa"/>
            <w:vAlign w:val="center"/>
          </w:tcPr>
          <w:p w14:paraId="77A071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38.6±8.2</w:t>
            </w:r>
          </w:p>
        </w:tc>
        <w:tc>
          <w:tcPr>
            <w:tcW w:w="780" w:type="dxa"/>
            <w:vAlign w:val="center"/>
          </w:tcPr>
          <w:p w14:paraId="613131B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374D57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26.9±3.9</w:t>
            </w:r>
          </w:p>
        </w:tc>
        <w:tc>
          <w:tcPr>
            <w:tcW w:w="1077" w:type="dxa"/>
            <w:vAlign w:val="center"/>
          </w:tcPr>
          <w:p w14:paraId="2D288C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31.3±7.2</w:t>
            </w:r>
          </w:p>
        </w:tc>
        <w:tc>
          <w:tcPr>
            <w:tcW w:w="1276" w:type="dxa"/>
            <w:vAlign w:val="center"/>
          </w:tcPr>
          <w:p w14:paraId="07A37E8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263A652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2946532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9F16A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0D93181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5F111B0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2E45C29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63B4B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2342311">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532458D">
            <w:pPr>
              <w:widowControl/>
              <w:jc w:val="center"/>
              <w:rPr>
                <w:rFonts w:hint="default" w:ascii="Times New Roman" w:hAnsi="Times New Roman" w:eastAsia="宋体" w:cs="Times New Roman"/>
                <w:color w:val="auto"/>
                <w:kern w:val="0"/>
                <w:sz w:val="20"/>
                <w:szCs w:val="20"/>
              </w:rPr>
            </w:pPr>
          </w:p>
        </w:tc>
        <w:tc>
          <w:tcPr>
            <w:tcW w:w="814" w:type="dxa"/>
            <w:vAlign w:val="center"/>
          </w:tcPr>
          <w:p w14:paraId="04A30E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CG:5</w:t>
            </w:r>
          </w:p>
        </w:tc>
        <w:tc>
          <w:tcPr>
            <w:tcW w:w="912" w:type="dxa"/>
            <w:vAlign w:val="center"/>
          </w:tcPr>
          <w:p w14:paraId="7E630F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42.6±10.6</w:t>
            </w:r>
          </w:p>
        </w:tc>
        <w:tc>
          <w:tcPr>
            <w:tcW w:w="780" w:type="dxa"/>
            <w:vAlign w:val="center"/>
          </w:tcPr>
          <w:p w14:paraId="39646A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C51BDA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25.8±3.4</w:t>
            </w:r>
          </w:p>
        </w:tc>
        <w:tc>
          <w:tcPr>
            <w:tcW w:w="1077" w:type="dxa"/>
            <w:vAlign w:val="center"/>
          </w:tcPr>
          <w:p w14:paraId="46E605F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29.9±3.4</w:t>
            </w:r>
          </w:p>
        </w:tc>
        <w:tc>
          <w:tcPr>
            <w:tcW w:w="1276" w:type="dxa"/>
            <w:vAlign w:val="center"/>
          </w:tcPr>
          <w:p w14:paraId="017F9B18">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176D8A57">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060DBEF">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EE24B3B">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A6D121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55AE4ED">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B0D2E45">
            <w:pPr>
              <w:widowControl/>
              <w:jc w:val="center"/>
              <w:rPr>
                <w:rFonts w:hint="default" w:ascii="Times New Roman" w:hAnsi="Times New Roman" w:eastAsia="宋体" w:cs="Times New Roman"/>
                <w:color w:val="auto"/>
                <w:kern w:val="0"/>
                <w:sz w:val="20"/>
                <w:szCs w:val="20"/>
              </w:rPr>
            </w:pPr>
          </w:p>
        </w:tc>
      </w:tr>
      <w:tr w14:paraId="170C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99" w:hRule="atLeast"/>
          <w:jc w:val="center"/>
        </w:trPr>
        <w:tc>
          <w:tcPr>
            <w:tcW w:w="1746" w:type="dxa"/>
            <w:vMerge w:val="restart"/>
            <w:vAlign w:val="center"/>
          </w:tcPr>
          <w:p w14:paraId="27A4ADAC">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rPr>
              <w:t>Hagovska</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{"citationID":"UjN5BvSM","properties":{"unsorted":false,"formattedCitation":"\\super 16\\nosupersub{}","plainCitation":"16","noteIndex":0},"citationItems":[{"id":6649,"uris":["http://zotero.org/users/local/9LWqYmzn/items/Y3Q42KJE"],"itemData":{"id":6649,"type":"article-journal","abstract":"Introduction and hypothesis The effect of exercise in relation to overweight and overactive bladder (OAB) in young women has not been sufficiently supported by studies. The objective of our study was to reduce symptoms of OAB through a 3-month exercise programme in young overweight women with OAB. The sample consisted of 70 women (mean age 26.7 ± 4.8 years), 36 being treated and 34 in the control group.\nMethods We used a body composition analyser with the assessment of skeletal muscle mass (SMM) (kg), body fat mass (BFM) (kg), body fat percentage (BFP) (%), visceral fat area (VFA) (cm²/level) and the waist/hip circumference index (WHR). OAB symptoms were evaluated using a voiding diary, the overactive bladder questionnaire (OAB-q) and the Patient Perception of Intensity of Urgency Scale (PPIUS). The intervention was a programme for the reduction of abdominal fat (PRAF), with elements of aerobic training, strengthening of the abdominal muscles and stretching.\nResults In the OAB symptoms assessed through the voiding diary (number of voidings per 24 h, nocturia, mean voided volume) as well as in the OAB-q and PPIUS scales after training, significant differences were reported in favour of the treatment group [number of voidings per 24 h: treatment vs. control group, baseline 9.1 ± 0.3 vs. 8.6 ± 0.3, final 6.9 ± 0.2 vs. 8.1 ± 0.2, p &lt; 0.0001; mean voided volume per 24 h (ml): treatment vs. control group, baseline 154.2 ± 9.1 vs. 162.2 ± 9.3, final 201.3 ± 9.3 vs. 164.1 ± 9.6, p &lt; 0.0001] with a large effect size (ES). In the body composition analysis after training, significant differences were also reported in favour of the treatment group in the reduction of body mass index (BMI), BFP and VFA (p &lt; 0.0001), with a large ES.\nConclusions Body composition analysis confirmed a reduction of BMI, body weight, body fat percentage, visceral abdominal fat, the WHR index and waist circumference in favour of the treatment group after the 12-week PRAF exercise programme. A reduction in OAB symptoms was also objectively confirmed following the PRAF exercise programme.","call-number":"3","citation-key":"hagovskaEffectExerciseProgramme2020","container-title":"International Urogynecology Journal","DOI":"10.1007/s00192-019-04157-8","ISSN":"0937-3462, 1433-3023","issue":"5","journalAbbreviation":"Int Urogynecol J","language":"en","note":"JCR分区: Q2\n中科院分区升级版: 医学3区\n中科院分区基础版: 医学4区\n影响因子: 1.8\n5年影响因子: 2.0","page":"895-902","source":"1.8","title":"Effect of an exercise programme for reducing abdominal fat on overactive bladder symptoms in young overweight women","volume":"31","author":[{"family":"Hagovska","given":"Magdaléna"},{"family":"Švihra","given":"Ján"},{"family":"Buková","given":"Alena"},{"family":"Dračková","given":"Dana"},{"family":"Horbacz","given":"Agata"},{"family":"Nagyová","given":"Iveta"}],"issued":{"date-parts":[["2020",5]]}}}],"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w:t>
            </w:r>
            <w:r>
              <w:rPr>
                <w:rFonts w:hint="default" w:ascii="Times New Roman" w:hAnsi="Times New Roman" w:eastAsia="宋体" w:cs="Times New Roman"/>
                <w:color w:val="auto"/>
                <w:kern w:val="0"/>
                <w:sz w:val="20"/>
                <w:szCs w:val="20"/>
                <w:lang w:val="en-US" w:eastAsia="zh-CN"/>
              </w:rPr>
              <w:t>20</w:t>
            </w:r>
          </w:p>
        </w:tc>
        <w:tc>
          <w:tcPr>
            <w:tcW w:w="1247" w:type="dxa"/>
            <w:vMerge w:val="restart"/>
            <w:vAlign w:val="center"/>
          </w:tcPr>
          <w:p w14:paraId="73A75B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Slovak Republic</w:t>
            </w:r>
          </w:p>
        </w:tc>
        <w:tc>
          <w:tcPr>
            <w:tcW w:w="814" w:type="dxa"/>
            <w:vAlign w:val="center"/>
          </w:tcPr>
          <w:p w14:paraId="76686A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IG:36</w:t>
            </w:r>
          </w:p>
        </w:tc>
        <w:tc>
          <w:tcPr>
            <w:tcW w:w="912" w:type="dxa"/>
            <w:vAlign w:val="center"/>
          </w:tcPr>
          <w:p w14:paraId="1ECCA1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26.7±4.8</w:t>
            </w:r>
          </w:p>
        </w:tc>
        <w:tc>
          <w:tcPr>
            <w:tcW w:w="780" w:type="dxa"/>
            <w:vAlign w:val="center"/>
          </w:tcPr>
          <w:p w14:paraId="2B6CE0E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0AFDF0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25.0±0.6</w:t>
            </w:r>
          </w:p>
        </w:tc>
        <w:tc>
          <w:tcPr>
            <w:tcW w:w="1077" w:type="dxa"/>
            <w:vAlign w:val="center"/>
          </w:tcPr>
          <w:p w14:paraId="4B00BA9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34.0±1.5</w:t>
            </w:r>
          </w:p>
        </w:tc>
        <w:tc>
          <w:tcPr>
            <w:tcW w:w="1276" w:type="dxa"/>
            <w:vAlign w:val="center"/>
          </w:tcPr>
          <w:p w14:paraId="7602128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488CEA2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60FFCD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508655E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600</w:t>
            </w:r>
          </w:p>
        </w:tc>
        <w:tc>
          <w:tcPr>
            <w:tcW w:w="851" w:type="dxa"/>
            <w:noWrap/>
            <w:vAlign w:val="center"/>
          </w:tcPr>
          <w:p w14:paraId="4C9AA6D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3FF15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4BE479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586BB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7F97192">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786ED1E">
            <w:pPr>
              <w:widowControl/>
              <w:jc w:val="center"/>
              <w:rPr>
                <w:rFonts w:hint="default" w:ascii="Times New Roman" w:hAnsi="Times New Roman" w:eastAsia="宋体" w:cs="Times New Roman"/>
                <w:color w:val="auto"/>
                <w:kern w:val="0"/>
                <w:sz w:val="20"/>
                <w:szCs w:val="20"/>
              </w:rPr>
            </w:pPr>
          </w:p>
        </w:tc>
        <w:tc>
          <w:tcPr>
            <w:tcW w:w="814" w:type="dxa"/>
            <w:vAlign w:val="center"/>
          </w:tcPr>
          <w:p w14:paraId="3E4374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CG:34</w:t>
            </w:r>
          </w:p>
        </w:tc>
        <w:tc>
          <w:tcPr>
            <w:tcW w:w="912" w:type="dxa"/>
            <w:vAlign w:val="center"/>
          </w:tcPr>
          <w:p w14:paraId="3CCB2D3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26.9±4.9</w:t>
            </w:r>
          </w:p>
        </w:tc>
        <w:tc>
          <w:tcPr>
            <w:tcW w:w="780" w:type="dxa"/>
            <w:vAlign w:val="center"/>
          </w:tcPr>
          <w:p w14:paraId="59919FC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42AB22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25.1±0.6</w:t>
            </w:r>
          </w:p>
        </w:tc>
        <w:tc>
          <w:tcPr>
            <w:tcW w:w="1077" w:type="dxa"/>
            <w:vAlign w:val="center"/>
          </w:tcPr>
          <w:p w14:paraId="3A6220C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32.0±1.2</w:t>
            </w:r>
          </w:p>
        </w:tc>
        <w:tc>
          <w:tcPr>
            <w:tcW w:w="1276" w:type="dxa"/>
            <w:vAlign w:val="center"/>
          </w:tcPr>
          <w:p w14:paraId="619169FB">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29BB8A6">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4B077273">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7BE7DD1">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1EDA52C">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4E678B3">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8B16490">
            <w:pPr>
              <w:widowControl/>
              <w:jc w:val="center"/>
              <w:rPr>
                <w:rFonts w:hint="default" w:ascii="Times New Roman" w:hAnsi="Times New Roman" w:eastAsia="宋体" w:cs="Times New Roman"/>
                <w:color w:val="auto"/>
                <w:kern w:val="0"/>
                <w:sz w:val="20"/>
                <w:szCs w:val="20"/>
              </w:rPr>
            </w:pPr>
          </w:p>
        </w:tc>
      </w:tr>
      <w:tr w14:paraId="32D8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19" w:hRule="atLeast"/>
          <w:jc w:val="center"/>
        </w:trPr>
        <w:tc>
          <w:tcPr>
            <w:tcW w:w="1746" w:type="dxa"/>
            <w:vMerge w:val="restart"/>
            <w:vAlign w:val="center"/>
          </w:tcPr>
          <w:p w14:paraId="36DC3CAC">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rPr>
              <w:t>Dupuit</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{"citationID":"qaYDRxWo","properties":{"unsorted":false,"formattedCitation":"\\super 17\\nosupersub{}","plainCitation":"17","noteIndex":0},"citationItems":[{"id":6651,"uris":["http://zotero.org/users/local/9LWqYmzn/items/YHSQRG9X"],"itemData":{"id":6651,"type":"article-journal","abstract":"ABSTRACT\n            \n              Purpose\n              \n                This study aimed to compare body composition changes induced by moderate-intensity continuous training (MICT), high-intensity interval training (HIIT), or HIIT + resistance training (RT) programs (3 d·wk\n                −1\n                , 12 wk) in  overweight/obese postmenopausal women, and to determine whether fat mass reduction is related to greater fat oxidation (FatOx).\n              \n            \n            \n              Methods\n              \n                Participants (\n                n\n                = 27) were randomized in three groups: MICT (40 min at 55%–60% of peak power output), HIIT (60 × 8 s at 80%–90% of peak HR, 12 s active recovery), and HIIT + RT (HIIT + 8 whole-body exercises: 1 set of 8–12 repetitions). Dual-energy x-ray absorptiometry was used to measure whole-body and abdominal/visceral fat mass (FM) and fat-free mass. FatOx was determined at rest, during a moderate-intensity exercise (40 min at 50% of peak power output), and for 20 min postexercise, before and after training.\n              \n            \n            \n              Results\n              Overall, energy intake and physical activity levels did not vary from the beginning to the end of the intervention. Body weight and total FM decreased in all groups over time, but significant abdominal/visceral FM losses were observed only in HIIT and HIIT + RT groups. When expressed in percentage, total FM, fat-free mass, and muscle mass were significantly modified only by HIIT + RT training. FatOx did not change at rest but increased similarly in the three groups during and after exercise. Therefore, the HIIT-induced greater FM loss was not related to higher FatOx during or after exercise.\n            \n            \n              Conclusions\n              MICT or HIIT ± RT could be proposed to nondieting postmenopausal women who are overweight/obese to decrease weight and whole-body FM. The HIIT programs were more effective than MICT in reducing abdominal/visceral FM. RT addition did not potentiate this effect but increased the percentage of muscle mass.","call-number":"2","citation-key":"dupuitModerateintensityContinuousTraining2020","container-title":"Medicine &amp; Science in Sports &amp; Exercise","DOI":"10.1249/MSS.0000000000002162","ISSN":"1530-0315, 0195-9131","issue":"3","language":"en","page":"736-745","source":"3.9","title":"Moderate-intensity continuous training or high-intensity interval training with or without resistance training for altering body composition in postmenopausal women","volume":"52","author":[{"family":"Dupuit","given":"Marine"},{"family":"Rance","given":"Mélanie"},{"family":"Morel","given":"Claire"},{"family":"Bouillon","given":"Patrice"},{"family":"Pereira","given":"Bruno"},{"family":"Bonnet","given":"Alban"},{"family":"Maillard","given":"Florie"},{"family":"Duclos","given":"Martine"},{"family":"Boisseau","given":"Nathalie"}],"issued":{"date-parts":[["2020",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w:t>
            </w:r>
            <w:r>
              <w:rPr>
                <w:rFonts w:hint="default" w:ascii="Times New Roman" w:hAnsi="Times New Roman" w:eastAsia="宋体" w:cs="Times New Roman"/>
                <w:color w:val="auto"/>
                <w:kern w:val="0"/>
                <w:sz w:val="20"/>
                <w:szCs w:val="20"/>
                <w:lang w:val="en-US" w:eastAsia="zh-CN"/>
              </w:rPr>
              <w:t>20</w:t>
            </w:r>
          </w:p>
        </w:tc>
        <w:tc>
          <w:tcPr>
            <w:tcW w:w="1247" w:type="dxa"/>
            <w:vMerge w:val="restart"/>
            <w:vAlign w:val="center"/>
          </w:tcPr>
          <w:p w14:paraId="3A105D7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France</w:t>
            </w:r>
          </w:p>
        </w:tc>
        <w:tc>
          <w:tcPr>
            <w:tcW w:w="814" w:type="dxa"/>
            <w:vAlign w:val="center"/>
          </w:tcPr>
          <w:p w14:paraId="20DF57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IG1:8</w:t>
            </w:r>
          </w:p>
        </w:tc>
        <w:tc>
          <w:tcPr>
            <w:tcW w:w="912" w:type="dxa"/>
            <w:vAlign w:val="center"/>
          </w:tcPr>
          <w:p w14:paraId="3329FAB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67.1±7.2</w:t>
            </w:r>
          </w:p>
        </w:tc>
        <w:tc>
          <w:tcPr>
            <w:tcW w:w="780" w:type="dxa"/>
            <w:vAlign w:val="center"/>
          </w:tcPr>
          <w:p w14:paraId="6C83291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ECB906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31.2±3.0</w:t>
            </w:r>
          </w:p>
        </w:tc>
        <w:tc>
          <w:tcPr>
            <w:tcW w:w="1077" w:type="dxa"/>
            <w:vAlign w:val="center"/>
          </w:tcPr>
          <w:p w14:paraId="626F727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37.9±4.0</w:t>
            </w:r>
          </w:p>
        </w:tc>
        <w:tc>
          <w:tcPr>
            <w:tcW w:w="1276" w:type="dxa"/>
            <w:vAlign w:val="center"/>
          </w:tcPr>
          <w:p w14:paraId="68864DB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36038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1D58EAC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73282A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816</w:t>
            </w:r>
          </w:p>
        </w:tc>
        <w:tc>
          <w:tcPr>
            <w:tcW w:w="851" w:type="dxa"/>
            <w:noWrap/>
            <w:vAlign w:val="center"/>
          </w:tcPr>
          <w:p w14:paraId="67CAC4F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68F212A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w:t>
            </w:r>
          </w:p>
        </w:tc>
        <w:tc>
          <w:tcPr>
            <w:tcW w:w="1843" w:type="dxa"/>
            <w:vMerge w:val="restart"/>
            <w:vAlign w:val="center"/>
          </w:tcPr>
          <w:p w14:paraId="29C2D7A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1CB1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19" w:hRule="atLeast"/>
          <w:jc w:val="center"/>
        </w:trPr>
        <w:tc>
          <w:tcPr>
            <w:tcW w:w="1746" w:type="dxa"/>
            <w:vMerge w:val="continue"/>
            <w:vAlign w:val="center"/>
          </w:tcPr>
          <w:p w14:paraId="47DAD1A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0A95792">
            <w:pPr>
              <w:widowControl/>
              <w:jc w:val="center"/>
              <w:rPr>
                <w:rFonts w:hint="default" w:ascii="Times New Roman" w:hAnsi="Times New Roman" w:eastAsia="宋体" w:cs="Times New Roman"/>
                <w:color w:val="auto"/>
                <w:kern w:val="0"/>
                <w:sz w:val="20"/>
                <w:szCs w:val="20"/>
              </w:rPr>
            </w:pPr>
          </w:p>
        </w:tc>
        <w:tc>
          <w:tcPr>
            <w:tcW w:w="814" w:type="dxa"/>
            <w:vAlign w:val="center"/>
          </w:tcPr>
          <w:p w14:paraId="6B91517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IG2:10</w:t>
            </w:r>
          </w:p>
        </w:tc>
        <w:tc>
          <w:tcPr>
            <w:tcW w:w="912" w:type="dxa"/>
            <w:vAlign w:val="center"/>
          </w:tcPr>
          <w:p w14:paraId="40EED2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59.9±5.9</w:t>
            </w:r>
          </w:p>
        </w:tc>
        <w:tc>
          <w:tcPr>
            <w:tcW w:w="780" w:type="dxa"/>
            <w:vAlign w:val="center"/>
          </w:tcPr>
          <w:p w14:paraId="24FCB0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0CFB14E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31.5±4.3</w:t>
            </w:r>
          </w:p>
        </w:tc>
        <w:tc>
          <w:tcPr>
            <w:tcW w:w="1077" w:type="dxa"/>
            <w:vAlign w:val="center"/>
          </w:tcPr>
          <w:p w14:paraId="175DB98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33.7±11.6</w:t>
            </w:r>
          </w:p>
        </w:tc>
        <w:tc>
          <w:tcPr>
            <w:tcW w:w="1276" w:type="dxa"/>
            <w:vAlign w:val="center"/>
          </w:tcPr>
          <w:p w14:paraId="01A297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5588C97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vAlign w:val="center"/>
          </w:tcPr>
          <w:p w14:paraId="7BA610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CCC747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528</w:t>
            </w:r>
          </w:p>
        </w:tc>
        <w:tc>
          <w:tcPr>
            <w:tcW w:w="851" w:type="dxa"/>
            <w:noWrap/>
            <w:vAlign w:val="center"/>
          </w:tcPr>
          <w:p w14:paraId="3A9D34C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3BFE829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843" w:type="dxa"/>
            <w:vMerge w:val="continue"/>
            <w:vAlign w:val="center"/>
          </w:tcPr>
          <w:p w14:paraId="2DE3F16F">
            <w:pPr>
              <w:widowControl/>
              <w:jc w:val="center"/>
              <w:rPr>
                <w:rFonts w:hint="default" w:ascii="Times New Roman" w:hAnsi="Times New Roman" w:eastAsia="宋体" w:cs="Times New Roman"/>
                <w:color w:val="auto"/>
                <w:kern w:val="0"/>
                <w:sz w:val="20"/>
                <w:szCs w:val="20"/>
              </w:rPr>
            </w:pPr>
          </w:p>
        </w:tc>
      </w:tr>
      <w:tr w14:paraId="6D818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1D1E79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Nunes</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{"citationID":"z3HvImVx","properties":{"unsorted":false,"formattedCitation":"\\super 18\\nosupersub{}","plainCitation":"18","noteIndex":0},"citationItems":[{"id":6653,"uris":["http://zotero.org/users/local/9LWqYmzn/items/A72AA8GK"],"itemData":{"id":6653,"type":"article-journal","abstract":"Objectives: This study tested whether high-intensity interval training is a time-efficient strategy for improving visceral adiposity tissue and inflammatory markers in obese postmenopausal women when compared with combined training. Moreover, we tested whether change in visceral adiposity tissue is associated with alterations in these inflammatory markers.\nMethods: Postmenopausal women were randomized in two groups: combined training (n ¼ 13) and highintensity interval training (n ¼ 13). The combined training group performed 60 minutes of walking at 70% of maximum heart rate and resistance exercises at 70% of one repetition maximum. The high-intensity interval training group performed 28 minutes of high-intensity exercises (&gt; 80% of maximum heart rate). Both groups trained three times a week for 12 weeks. Body composition and inflammatory markers were analyzed with dual-energy x-ray absorptiometry scanning and enzyme-linked immunosorbent assay, respectively.\nResults: All groups reduced body fat percentage (P ¼ 0.026), visceral adiposity tissue (P ¼ 0.027), leptin (P ¼ 0.043), and increased interleukin (IL)-1 receptor antagonist (P &lt; 0.01). The high-intensity interval training group reduced visceral adiposity tissue (P ¼ 0.021) in a greater magnitude and increased interleukin-6 (P ¼ 0.037) level when compared with the combined training group. Moreover, the visceral adiposity tissue changes explained the changes in IL-6 (56%; P ¼ 0.002) only in the high-intensity interval training group.\nConclusions: These results suggest that high-intensity interval training is a time-efficient strategy for improving visceral adiposity tissue and inflammatory markers in obese postmenopausal women. Moreover, we observed that serum cytokine changes, at least in part, depend on visceral adiposity tissue alterations.","citation-key":"nunesEffectHighintensityInterval2019","container-title":"Menopause","DOI":"10.1097/GME.0000000000001207","ISSN":"1072-3714, 1530-0374","issue":"3","language":"en","note":"中科院分区升级版: 医学3区\n中科院分区基础版: 医学3区","page":"256-264","source":"DOI.org (Crossref)","title":"Effect of high-intensity interval training on body composition and inflammatory markers in obese postmenopausal women: A randomized controlled trial","title-short":"Effect of high-intensity interval training on body composition and inflammatory markers in obese postmenopausal women","volume":"26","author":[{"family":"Nunes","given":"Paulo R.P."},{"family":"Martins","given":"Fernanda M."},{"family":"Souza","given":"Aletéia P."},{"family":"Carneiro","given":"Marcelo A.S."},{"family":"Orsatti","given":"Claudio L."},{"family":"Michelin","given":"Márcia A."},{"family":"Murta","given":"Eddie F.C."},{"family":"De Oliveira","given":"Erick P."},{"family":"Orsatti","given":"Fábio L."}],"issued":{"date-parts":[["2019",3]]}}}],"schema":"https://github.com/citation-style-language/schema/raw/master/csl-citation.json"}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1CAD62A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Brazil</w:t>
            </w:r>
          </w:p>
        </w:tc>
        <w:tc>
          <w:tcPr>
            <w:tcW w:w="814" w:type="dxa"/>
            <w:vAlign w:val="center"/>
          </w:tcPr>
          <w:p w14:paraId="42AF0E9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IG:13</w:t>
            </w:r>
          </w:p>
        </w:tc>
        <w:tc>
          <w:tcPr>
            <w:tcW w:w="912" w:type="dxa"/>
            <w:vAlign w:val="center"/>
          </w:tcPr>
          <w:p w14:paraId="50CE9F5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62.9±8.8</w:t>
            </w:r>
          </w:p>
        </w:tc>
        <w:tc>
          <w:tcPr>
            <w:tcW w:w="780" w:type="dxa"/>
            <w:vAlign w:val="center"/>
          </w:tcPr>
          <w:p w14:paraId="21C40EE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797C40C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31.4±6.1</w:t>
            </w:r>
          </w:p>
        </w:tc>
        <w:tc>
          <w:tcPr>
            <w:tcW w:w="1077" w:type="dxa"/>
            <w:vAlign w:val="center"/>
          </w:tcPr>
          <w:p w14:paraId="2ECF01F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46.2±5.3</w:t>
            </w:r>
          </w:p>
        </w:tc>
        <w:tc>
          <w:tcPr>
            <w:tcW w:w="1276" w:type="dxa"/>
            <w:vAlign w:val="center"/>
          </w:tcPr>
          <w:p w14:paraId="568B468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381EB00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276" w:type="dxa"/>
            <w:vAlign w:val="center"/>
          </w:tcPr>
          <w:p w14:paraId="0C53820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AAF90E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739.2</w:t>
            </w:r>
          </w:p>
        </w:tc>
        <w:tc>
          <w:tcPr>
            <w:tcW w:w="851" w:type="dxa"/>
            <w:noWrap/>
            <w:vAlign w:val="center"/>
          </w:tcPr>
          <w:p w14:paraId="3C5678E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5C6A374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10.8</w:t>
            </w:r>
          </w:p>
        </w:tc>
        <w:tc>
          <w:tcPr>
            <w:tcW w:w="1843" w:type="dxa"/>
            <w:vMerge w:val="restart"/>
            <w:vAlign w:val="center"/>
          </w:tcPr>
          <w:p w14:paraId="71D7591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DEXA</w:t>
            </w:r>
          </w:p>
        </w:tc>
      </w:tr>
      <w:tr w14:paraId="69A2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1D23BA2D">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EAA2157">
            <w:pPr>
              <w:widowControl/>
              <w:jc w:val="center"/>
              <w:rPr>
                <w:rFonts w:hint="default" w:ascii="Times New Roman" w:hAnsi="Times New Roman" w:eastAsia="宋体" w:cs="Times New Roman"/>
                <w:color w:val="auto"/>
                <w:kern w:val="0"/>
                <w:sz w:val="20"/>
                <w:szCs w:val="20"/>
              </w:rPr>
            </w:pPr>
          </w:p>
        </w:tc>
        <w:tc>
          <w:tcPr>
            <w:tcW w:w="814" w:type="dxa"/>
            <w:vAlign w:val="center"/>
          </w:tcPr>
          <w:p w14:paraId="5FCE145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7FF04D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62.3±6.9</w:t>
            </w:r>
          </w:p>
        </w:tc>
        <w:tc>
          <w:tcPr>
            <w:tcW w:w="780" w:type="dxa"/>
            <w:vAlign w:val="center"/>
          </w:tcPr>
          <w:p w14:paraId="40D8969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5016CA7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30.6±3.9</w:t>
            </w:r>
          </w:p>
        </w:tc>
        <w:tc>
          <w:tcPr>
            <w:tcW w:w="1077" w:type="dxa"/>
            <w:vAlign w:val="center"/>
          </w:tcPr>
          <w:p w14:paraId="15632C3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44.5±3.1</w:t>
            </w:r>
          </w:p>
        </w:tc>
        <w:tc>
          <w:tcPr>
            <w:tcW w:w="1276" w:type="dxa"/>
            <w:vAlign w:val="center"/>
          </w:tcPr>
          <w:p w14:paraId="18A4687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6495E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77C78F3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3DCDB3E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177B820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783924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continue"/>
            <w:vAlign w:val="center"/>
          </w:tcPr>
          <w:p w14:paraId="43388062">
            <w:pPr>
              <w:widowControl/>
              <w:jc w:val="center"/>
              <w:rPr>
                <w:rFonts w:hint="default" w:ascii="Times New Roman" w:hAnsi="Times New Roman" w:eastAsia="宋体" w:cs="Times New Roman"/>
                <w:color w:val="auto"/>
                <w:kern w:val="0"/>
                <w:sz w:val="20"/>
                <w:szCs w:val="20"/>
              </w:rPr>
            </w:pPr>
          </w:p>
        </w:tc>
      </w:tr>
      <w:tr w14:paraId="7609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090EBD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Ratajczak</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{"citationID":"6r2q9wud","properties":{"unsorted":false,"formattedCitation":"\\super 19\\nosupersub{}","plainCitation":"19","noteIndex":0},"citationItems":[{"id":6655,"uris":["http://zotero.org/users/local/9LWqYmzn/items/DHNP2CVV"],"itemData":{"id":6655,"type":"article-journal","abstract":"Some investigations have demonstrated that a combined endurance–strength training is the most eﬀective in the treatment of obesity. The aim of the research was to access how diﬀerent trainings inﬂuence: endothelial function, lipid metabolism, and risk of atherosclerosis in women with obesity. In a randomized trial, 39 obese women aged 28–62 completed endurance (n = 22, 60-80% HRmax) or combined training (n = 17, 20 minutes of strength exercises, 50–60% 1RM and 25 minutes of endurance training, 60-80% HRmax). Before and after the intervention vascular endothelial function (endothelial nitric oxide synthase (eNOS), vascular endothelial growth factor (VEGF), thiobarbituric acid reactive substances (TBARS), blood total antioxidant capacity (TAC)), total cholesterol, low-density lipoprotein cholesterol (LDL-C), high-density lipoprotein cholesterol (HDL-C), triglycerides and C-reactive protein (CRP)as well as visceral adiposity index (VAI), total-body skeletal muscle mass and atherogenic index of plasma (AIP) were determined. After the trainings, in both groups total cholesterol and total-body skeletal muscle mass increased (p &lt; 0.05). In the group undergoing combined training, lower (p &lt; 0.05) VAI, AIP, CRP and LDL-C were noted. In the group undergoing endurance training TBARS concentration decreased (p &lt; 0.01), while the HDL-C (p &lt; 0.01) concentration as well as eNOS (p &lt; 0.05) activity increased. No signiﬁcant diﬀerences between groups were found, either before or after the programs. Both training programs led to the improvement of lipid metabolism, but only endurance training alone favorably changed indicators of endothelial functions in women with obesity.","citation-key":"ratajczakEffectsEnduranceEndurance2019","container-title":"International Journal of Environmental Research and Public Health","DOI":"10.3390/ijerph16214291","ISSN":"1660-4601","issue":"21","journalAbbreviation":"IJERPH","language":"en","page":"4291","source":"DOI.org (Crossref)","title":"Effects of endurance and endurance–strength training on endothelial function in women with obesity: A randomized trial","title-short":"Effects of Endurance and Endurance–Strength Training on Endothelial Function in Women with Obesity","volume":"16","author":[{"family":"Ratajczak","given":"Marzena"},{"family":"Skrypnik","given":"Damian"},{"family":"Bogdański","given":"Paweł"},{"family":"Mądry","given":"Edyta"},{"family":"Walkowiak","given":"Jarosław"},{"family":"Szulińska","given":"Monika"},{"family":"Maciaszek","given":"Janusz"},{"family":"Kręgielska-Narożna","given":"Matylda"},{"family":"Karolkiewicz","given":"Joanna"}],"issued":{"date-parts":[["2019",11,5]]}}}],"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19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157CB06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Poland</w:t>
            </w:r>
          </w:p>
        </w:tc>
        <w:tc>
          <w:tcPr>
            <w:tcW w:w="814" w:type="dxa"/>
            <w:vAlign w:val="center"/>
          </w:tcPr>
          <w:p w14:paraId="6B87603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IG:22</w:t>
            </w:r>
          </w:p>
        </w:tc>
        <w:tc>
          <w:tcPr>
            <w:tcW w:w="912" w:type="dxa"/>
            <w:vAlign w:val="center"/>
          </w:tcPr>
          <w:p w14:paraId="438201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51.0±8.0</w:t>
            </w:r>
          </w:p>
        </w:tc>
        <w:tc>
          <w:tcPr>
            <w:tcW w:w="780" w:type="dxa"/>
            <w:vAlign w:val="center"/>
          </w:tcPr>
          <w:p w14:paraId="6D78EE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3632E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35.9±5.2</w:t>
            </w:r>
          </w:p>
        </w:tc>
        <w:tc>
          <w:tcPr>
            <w:tcW w:w="1077" w:type="dxa"/>
            <w:vAlign w:val="center"/>
          </w:tcPr>
          <w:p w14:paraId="1EF5D17E">
            <w:pPr>
              <w:widowControl/>
              <w:jc w:val="center"/>
              <w:rPr>
                <w:rFonts w:hint="default" w:ascii="Times New Roman" w:hAnsi="Times New Roman" w:eastAsia="宋体" w:cs="Times New Roman"/>
                <w:color w:val="auto"/>
                <w:kern w:val="0"/>
                <w:sz w:val="20"/>
                <w:szCs w:val="20"/>
              </w:rPr>
            </w:pPr>
          </w:p>
        </w:tc>
        <w:tc>
          <w:tcPr>
            <w:tcW w:w="1276" w:type="dxa"/>
            <w:vAlign w:val="center"/>
          </w:tcPr>
          <w:p w14:paraId="57729B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62BE97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44CAA27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CC8BAC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1020</w:t>
            </w:r>
          </w:p>
        </w:tc>
        <w:tc>
          <w:tcPr>
            <w:tcW w:w="851" w:type="dxa"/>
            <w:noWrap/>
            <w:vAlign w:val="center"/>
          </w:tcPr>
          <w:p w14:paraId="2BB2399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6F5717E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843" w:type="dxa"/>
            <w:vMerge w:val="restart"/>
            <w:vAlign w:val="center"/>
          </w:tcPr>
          <w:p w14:paraId="7B3D343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 xml:space="preserve">calculated via </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formula, index</w:t>
            </w:r>
          </w:p>
        </w:tc>
      </w:tr>
      <w:tr w14:paraId="6727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4C5650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3C16122">
            <w:pPr>
              <w:widowControl/>
              <w:jc w:val="center"/>
              <w:rPr>
                <w:rFonts w:hint="default" w:ascii="Times New Roman" w:hAnsi="Times New Roman" w:eastAsia="宋体" w:cs="Times New Roman"/>
                <w:color w:val="auto"/>
                <w:kern w:val="0"/>
                <w:sz w:val="20"/>
                <w:szCs w:val="20"/>
              </w:rPr>
            </w:pPr>
          </w:p>
        </w:tc>
        <w:tc>
          <w:tcPr>
            <w:tcW w:w="814" w:type="dxa"/>
            <w:vAlign w:val="center"/>
          </w:tcPr>
          <w:p w14:paraId="3CB839F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CG:17</w:t>
            </w:r>
          </w:p>
        </w:tc>
        <w:tc>
          <w:tcPr>
            <w:tcW w:w="912" w:type="dxa"/>
            <w:vAlign w:val="center"/>
          </w:tcPr>
          <w:p w14:paraId="029529D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49.0±10.0</w:t>
            </w:r>
          </w:p>
        </w:tc>
        <w:tc>
          <w:tcPr>
            <w:tcW w:w="780" w:type="dxa"/>
            <w:vAlign w:val="center"/>
          </w:tcPr>
          <w:p w14:paraId="2F7357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76F48C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35.0±3.9</w:t>
            </w:r>
          </w:p>
        </w:tc>
        <w:tc>
          <w:tcPr>
            <w:tcW w:w="1077" w:type="dxa"/>
            <w:vAlign w:val="center"/>
          </w:tcPr>
          <w:p w14:paraId="1EC8C8D8">
            <w:pPr>
              <w:widowControl/>
              <w:jc w:val="center"/>
              <w:rPr>
                <w:rFonts w:hint="default" w:ascii="Times New Roman" w:hAnsi="Times New Roman" w:eastAsia="宋体" w:cs="Times New Roman"/>
                <w:color w:val="auto"/>
                <w:kern w:val="0"/>
                <w:sz w:val="20"/>
                <w:szCs w:val="20"/>
              </w:rPr>
            </w:pPr>
          </w:p>
        </w:tc>
        <w:tc>
          <w:tcPr>
            <w:tcW w:w="1276" w:type="dxa"/>
            <w:vAlign w:val="center"/>
          </w:tcPr>
          <w:p w14:paraId="17CDBC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4ABF467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26FE726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A76F3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1" w:type="dxa"/>
            <w:noWrap/>
            <w:vAlign w:val="center"/>
          </w:tcPr>
          <w:p w14:paraId="1074671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5CA32F0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w:t>
            </w:r>
          </w:p>
        </w:tc>
        <w:tc>
          <w:tcPr>
            <w:tcW w:w="1843" w:type="dxa"/>
            <w:vMerge w:val="continue"/>
            <w:vAlign w:val="center"/>
          </w:tcPr>
          <w:p w14:paraId="7B50D5D1">
            <w:pPr>
              <w:widowControl/>
              <w:jc w:val="center"/>
              <w:rPr>
                <w:rFonts w:hint="default" w:ascii="Times New Roman" w:hAnsi="Times New Roman" w:eastAsia="宋体" w:cs="Times New Roman"/>
                <w:color w:val="auto"/>
                <w:kern w:val="0"/>
                <w:sz w:val="20"/>
                <w:szCs w:val="20"/>
              </w:rPr>
            </w:pPr>
          </w:p>
        </w:tc>
      </w:tr>
      <w:tr w14:paraId="355A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A0F9F2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Bairapareddy</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{"citationID":"VcCIHTbs","properties":{"unsorted":false,"formattedCitation":"\\super 20\\nosupersub{}","plainCitation":"20","noteIndex":0},"citationItems":[{"id":6657,"uris":["http://zotero.org/users/local/9LWqYmzn/items/SBTW9ZQX"],"itemData":{"id":6657,"type":"article-journal","abstract":"Background: Epicardial adipose tissue thickness (EATT) measured by echocardiography is a reliable indicator of visceral adipose tissue in the body and metabolic syndrome. The objective of this work was to study the effect of 12-week aerobic exercise training on echocardiographic epicardial adipose tissue thickness (EEATT), body composition and other metabolic parameters in asymptomatic overweight adults.\nMethods: A total of 170 overweight and mild obese individuals were randomly allocated to 12-week aerobic exercise program (intervention group) or no supervised exercise (control group). The body fat percentage and visceral fat levels were measured by bioelectric impedance analyzer, and blood tests were conducted to measure lipids, fasting blood sugar (FBS) and high-sensitivity C-reactive protein (Hs-CRP). The participants also underwent transthoracic echocardiography to measure EATT. All the outcomes were measured after 12 weeks. Repeated measures were analyzed using ANOVA and Mann–Whitney U-test were used to analyze the data.\nResults: EEATT values significantly reduced by −16.24% (3.12±1.18 to 2.70±1.04, p&lt;0.05) following 12 weeks of aerobic exercise along with a reduction in weight by 2.96% (80.66±12.12 to 78.27±12.31, p&lt;0.05), body mass index by 3.11% (29.20±2.71 to 28.29±2.81, p&lt;0.05) and waist circumference by 2.29% (94.82±7.23 to 92.64±7.33, p&lt;0.05) and improved Hs-CRP values.\nConclusion: The 12-week aerobic exercise was found to be effective in reducing EEATT in overweight and mild obese individuals. There was significant improvement in body composition, blood lipids, FBS, Hs-CRP and exercise capacity in intervention group compared to control group.","citation-key":"bEffectAerobicExercise2018","container-title":"Diabetes, Metabolic Syndrome and Obesity: Targets and Therapy","DOI":"10.2147/DMSO.S145862","ISSN":"1178-7007","journalAbbreviation":"DMSO","language":"en","license":"http://creativecommons.org/licenses/by-nc/3.0/","note":"中科院分区基础版: 医学3区","page":"303-312","source":"DOI.org (Crossref)","title":"Effect of aerobic exercise on echocardiographic epicardial adipose tissue thickness in overweight individuals","volume":"11","author":[{"family":"Bairapareddy","given":"Kalyana Chakravarthy"},{"family":"Maiya","given":"Arun G"},{"family":"Kumar","given":"Padma"},{"family":"Nayak","given":"Krishnananda"},{"family":"Guddattu","given":"Vasudeva"},{"family":"Nayak","given":"Vidya"}],"issued":{"date-parts":[["2018",6]]}}}],"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2018</w:t>
            </w:r>
          </w:p>
        </w:tc>
        <w:tc>
          <w:tcPr>
            <w:tcW w:w="1247" w:type="dxa"/>
            <w:vMerge w:val="restart"/>
            <w:vAlign w:val="center"/>
          </w:tcPr>
          <w:p w14:paraId="44595F0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India</w:t>
            </w:r>
          </w:p>
        </w:tc>
        <w:tc>
          <w:tcPr>
            <w:tcW w:w="814" w:type="dxa"/>
            <w:vAlign w:val="center"/>
          </w:tcPr>
          <w:p w14:paraId="33A0657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IG:66</w:t>
            </w:r>
          </w:p>
        </w:tc>
        <w:tc>
          <w:tcPr>
            <w:tcW w:w="912" w:type="dxa"/>
            <w:vMerge w:val="restart"/>
            <w:vAlign w:val="center"/>
          </w:tcPr>
          <w:p w14:paraId="2B60733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20–45</w:t>
            </w:r>
          </w:p>
        </w:tc>
        <w:tc>
          <w:tcPr>
            <w:tcW w:w="780" w:type="dxa"/>
            <w:vAlign w:val="center"/>
          </w:tcPr>
          <w:p w14:paraId="2E311D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2D32C4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29.2±2.7</w:t>
            </w:r>
          </w:p>
        </w:tc>
        <w:tc>
          <w:tcPr>
            <w:tcW w:w="1077" w:type="dxa"/>
            <w:vAlign w:val="center"/>
          </w:tcPr>
          <w:p w14:paraId="0FADDB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32.0±5.3</w:t>
            </w:r>
          </w:p>
        </w:tc>
        <w:tc>
          <w:tcPr>
            <w:tcW w:w="1276" w:type="dxa"/>
            <w:vAlign w:val="center"/>
          </w:tcPr>
          <w:p w14:paraId="1BB7AE0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09AFA6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048561C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0C046AF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1160</w:t>
            </w:r>
          </w:p>
        </w:tc>
        <w:tc>
          <w:tcPr>
            <w:tcW w:w="851" w:type="dxa"/>
            <w:noWrap/>
            <w:vAlign w:val="center"/>
          </w:tcPr>
          <w:p w14:paraId="2087E8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1250</w:t>
            </w:r>
          </w:p>
        </w:tc>
        <w:tc>
          <w:tcPr>
            <w:tcW w:w="850" w:type="dxa"/>
            <w:noWrap/>
            <w:vAlign w:val="center"/>
          </w:tcPr>
          <w:p w14:paraId="18FB22B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w:t>
            </w:r>
          </w:p>
        </w:tc>
        <w:tc>
          <w:tcPr>
            <w:tcW w:w="1843" w:type="dxa"/>
            <w:vMerge w:val="restart"/>
            <w:vAlign w:val="center"/>
          </w:tcPr>
          <w:p w14:paraId="756EC3C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0D790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F88A31B">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7E64854">
            <w:pPr>
              <w:widowControl/>
              <w:jc w:val="center"/>
              <w:rPr>
                <w:rFonts w:hint="default" w:ascii="Times New Roman" w:hAnsi="Times New Roman" w:eastAsia="宋体" w:cs="Times New Roman"/>
                <w:color w:val="auto"/>
                <w:kern w:val="0"/>
                <w:sz w:val="20"/>
                <w:szCs w:val="20"/>
              </w:rPr>
            </w:pPr>
          </w:p>
        </w:tc>
        <w:tc>
          <w:tcPr>
            <w:tcW w:w="814" w:type="dxa"/>
            <w:vAlign w:val="center"/>
          </w:tcPr>
          <w:p w14:paraId="0871B2B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CG:64</w:t>
            </w:r>
          </w:p>
        </w:tc>
        <w:tc>
          <w:tcPr>
            <w:tcW w:w="912" w:type="dxa"/>
            <w:vMerge w:val="continue"/>
            <w:vAlign w:val="center"/>
          </w:tcPr>
          <w:p w14:paraId="0CE27F36">
            <w:pPr>
              <w:widowControl/>
              <w:jc w:val="center"/>
              <w:rPr>
                <w:rFonts w:hint="default" w:ascii="Times New Roman" w:hAnsi="Times New Roman" w:eastAsia="宋体" w:cs="Times New Roman"/>
                <w:color w:val="auto"/>
                <w:kern w:val="0"/>
                <w:sz w:val="20"/>
                <w:szCs w:val="20"/>
              </w:rPr>
            </w:pPr>
          </w:p>
        </w:tc>
        <w:tc>
          <w:tcPr>
            <w:tcW w:w="780" w:type="dxa"/>
            <w:vAlign w:val="center"/>
          </w:tcPr>
          <w:p w14:paraId="6836F4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F5B94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29.0±2.4</w:t>
            </w:r>
          </w:p>
        </w:tc>
        <w:tc>
          <w:tcPr>
            <w:tcW w:w="1077" w:type="dxa"/>
            <w:vAlign w:val="center"/>
          </w:tcPr>
          <w:p w14:paraId="17666FE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31.5±4.3</w:t>
            </w:r>
          </w:p>
        </w:tc>
        <w:tc>
          <w:tcPr>
            <w:tcW w:w="1276" w:type="dxa"/>
            <w:vAlign w:val="center"/>
          </w:tcPr>
          <w:p w14:paraId="4FDED451">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2840F8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F5386CE">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267567E">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216DE87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07B8B53">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6E9CB92E">
            <w:pPr>
              <w:widowControl/>
              <w:jc w:val="center"/>
              <w:rPr>
                <w:rFonts w:hint="default" w:ascii="Times New Roman" w:hAnsi="Times New Roman" w:eastAsia="宋体" w:cs="Times New Roman"/>
                <w:color w:val="auto"/>
                <w:kern w:val="0"/>
                <w:sz w:val="20"/>
                <w:szCs w:val="20"/>
              </w:rPr>
            </w:pPr>
          </w:p>
        </w:tc>
      </w:tr>
      <w:tr w14:paraId="03BAE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39" w:hRule="atLeast"/>
          <w:jc w:val="center"/>
        </w:trPr>
        <w:tc>
          <w:tcPr>
            <w:tcW w:w="1746" w:type="dxa"/>
            <w:vMerge w:val="restart"/>
            <w:vAlign w:val="center"/>
          </w:tcPr>
          <w:p w14:paraId="76CA9B7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Wedell Neergaard</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{"citationID":"CswyCKmM","properties":{"unsorted":false,"formattedCitation":"\\super 21\\nosupersub{}","plainCitation":"21","noteIndex":0},"citationItems":[{"id":6659,"uris":["http://zotero.org/users/local/9LWqYmzn/items/HSVDDQ5F"],"itemData":{"id":6659,"type":"article-journal","abstract":"Visceral adipose tissue is harmful to metabolic health. Exercise training reduces visceral adipose tissue mass, but the underlying mechanisms are not known. Interleukin-6 (IL-6) stimulates lipolysis and is released from skeletal muscle during exercise. We hypothesized that exercise-induced reductions in visceral adipose tissue mass are mediated by IL-6. In this randomized placebo-controlled trial, we assigned abdominally obese adults to tocilizumab (IL-6 receptor antibody) or placebo during a 12week intervention with either bicycle exercise or no exercise. While exercise reduced visceral adipose tissue mass, this effect of exercise was abolished in the presence of IL-6 blockade. Changes in body weight and total adipose tissue mass showed similar tendencies, whereas lean body mass did not differ between groups. Also, IL-6 blockade increased cholesterol levels, an effect not reversed by exercise. Thus, IL-6 is required for exercise to reduce visceral adipose tissue mass and emphasizes a potentially important metabolic consequence of IL-6 blockade.","citation-key":"wedell-neergaardExerciseinducedChangesVisceral2019","container-title":"Cell Metabolism","DOI":"10.1016/j.cmet.2018.12.007","ISSN":"15504131","issue":"4","journalAbbreviation":"Cell Metabolism","language":"en","note":"JCR分区: Q1\n中科院分区升级版: 生物学1区\n中科院分区基础版: 生物1区\n影响因子: 30.9\n5年影响因子: 33.4","page":"844-855.e3","source":"30.9","title":"Exercise-induced changes in visceral adipose tissue mass are regulated by IL-6 signaling: A randomized controlled trial","title-short":"Exercise-Induced Changes in Visceral Adipose Tissue Mass Are Regulated by IL-6 Signaling","volume":"29","author":[{"family":"Wedell-Neergaard","given":"Anne-Sophie"},{"family":"Lang Lehrskov","given":"Louise"},{"family":"Christensen","given":"Regitse Højgaard"},{"family":"Legaard","given":"Grit Elster"},{"family":"Dorph","given":"Emma"},{"family":"Larsen","given":"Monica Korsager"},{"family":"Launbo","given":"Natja"},{"family":"Fagerlind","given":"Sabrina Ravn"},{"family":"Seide","given":"Sidsel Kofoed"},{"family":"Nymand","given":"Stine"},{"family":"Ball","given":"Maria"},{"family":"Vinum","given":"Nicole"},{"family":"Dahl","given":"Camilla Noerfelt"},{"family":"Henneberg","given":"Marie"},{"family":"Ried-Larsen","given":"Mathias"},{"family":"Nybing","given":"Janus Damm"},{"family":"Christensen","given":"Robin"},{"family":"Rosenmeier","given":"Jaya Birgitte"},{"family":"Karstoft","given":"Kristian"},{"family":"Pedersen","given":"Bente Klarlund"},{"family":"Ellingsgaard","given":"Helga"},{"family":"Krogh-Madsen","given":"Rikke"}],"issued":{"date-parts":[["2019",4]]}}}],"schema":"https://github.com/citation-style-language/schema/raw/master/csl-citation.json"}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2019</w:t>
            </w:r>
          </w:p>
        </w:tc>
        <w:tc>
          <w:tcPr>
            <w:tcW w:w="1247" w:type="dxa"/>
            <w:vMerge w:val="restart"/>
            <w:vAlign w:val="center"/>
          </w:tcPr>
          <w:p w14:paraId="55BA5D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Denmark</w:t>
            </w:r>
          </w:p>
        </w:tc>
        <w:tc>
          <w:tcPr>
            <w:tcW w:w="814" w:type="dxa"/>
            <w:vAlign w:val="center"/>
          </w:tcPr>
          <w:p w14:paraId="69A77F3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IG:14</w:t>
            </w:r>
          </w:p>
        </w:tc>
        <w:tc>
          <w:tcPr>
            <w:tcW w:w="912" w:type="dxa"/>
            <w:vAlign w:val="center"/>
          </w:tcPr>
          <w:p w14:paraId="59C97A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50.7±7.5</w:t>
            </w:r>
          </w:p>
        </w:tc>
        <w:tc>
          <w:tcPr>
            <w:tcW w:w="780" w:type="dxa"/>
            <w:vAlign w:val="center"/>
          </w:tcPr>
          <w:p w14:paraId="217A539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CE668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31.7±4.0</w:t>
            </w:r>
          </w:p>
        </w:tc>
        <w:tc>
          <w:tcPr>
            <w:tcW w:w="1077" w:type="dxa"/>
            <w:vAlign w:val="center"/>
          </w:tcPr>
          <w:p w14:paraId="5E4E83B7">
            <w:pPr>
              <w:widowControl/>
              <w:jc w:val="center"/>
              <w:rPr>
                <w:rFonts w:hint="default" w:ascii="Times New Roman" w:hAnsi="Times New Roman" w:eastAsia="宋体" w:cs="Times New Roman"/>
                <w:color w:val="auto"/>
                <w:kern w:val="0"/>
                <w:sz w:val="20"/>
                <w:szCs w:val="20"/>
              </w:rPr>
            </w:pPr>
          </w:p>
        </w:tc>
        <w:tc>
          <w:tcPr>
            <w:tcW w:w="1276" w:type="dxa"/>
            <w:vAlign w:val="center"/>
          </w:tcPr>
          <w:p w14:paraId="051FF33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35C1BEB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64BDA45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A56196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714</w:t>
            </w:r>
          </w:p>
        </w:tc>
        <w:tc>
          <w:tcPr>
            <w:tcW w:w="851" w:type="dxa"/>
            <w:noWrap/>
            <w:vAlign w:val="center"/>
          </w:tcPr>
          <w:p w14:paraId="3419A4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56C462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c>
          <w:tcPr>
            <w:tcW w:w="1843" w:type="dxa"/>
            <w:vMerge w:val="restart"/>
            <w:vAlign w:val="center"/>
          </w:tcPr>
          <w:p w14:paraId="4707725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23D7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34A41F6">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2D15089">
            <w:pPr>
              <w:widowControl/>
              <w:jc w:val="center"/>
              <w:rPr>
                <w:rFonts w:hint="default" w:ascii="Times New Roman" w:hAnsi="Times New Roman" w:eastAsia="宋体" w:cs="Times New Roman"/>
                <w:color w:val="auto"/>
                <w:kern w:val="0"/>
                <w:sz w:val="20"/>
                <w:szCs w:val="20"/>
              </w:rPr>
            </w:pPr>
          </w:p>
        </w:tc>
        <w:tc>
          <w:tcPr>
            <w:tcW w:w="814" w:type="dxa"/>
            <w:vAlign w:val="center"/>
          </w:tcPr>
          <w:p w14:paraId="730B6D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CG:12</w:t>
            </w:r>
          </w:p>
        </w:tc>
        <w:tc>
          <w:tcPr>
            <w:tcW w:w="912" w:type="dxa"/>
            <w:vAlign w:val="center"/>
          </w:tcPr>
          <w:p w14:paraId="186B86D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47.9±7.5</w:t>
            </w:r>
          </w:p>
        </w:tc>
        <w:tc>
          <w:tcPr>
            <w:tcW w:w="780" w:type="dxa"/>
            <w:vAlign w:val="center"/>
          </w:tcPr>
          <w:p w14:paraId="7020EEB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3A7227E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31.2±3.8</w:t>
            </w:r>
          </w:p>
        </w:tc>
        <w:tc>
          <w:tcPr>
            <w:tcW w:w="1077" w:type="dxa"/>
            <w:vAlign w:val="center"/>
          </w:tcPr>
          <w:p w14:paraId="487107CE">
            <w:pPr>
              <w:widowControl/>
              <w:jc w:val="center"/>
              <w:rPr>
                <w:rFonts w:hint="default" w:ascii="Times New Roman" w:hAnsi="Times New Roman" w:eastAsia="宋体" w:cs="Times New Roman"/>
                <w:color w:val="auto"/>
                <w:kern w:val="0"/>
                <w:sz w:val="20"/>
                <w:szCs w:val="20"/>
              </w:rPr>
            </w:pPr>
          </w:p>
        </w:tc>
        <w:tc>
          <w:tcPr>
            <w:tcW w:w="1276" w:type="dxa"/>
            <w:vAlign w:val="center"/>
          </w:tcPr>
          <w:p w14:paraId="33454998">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04252B4F">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0FB161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B8A75FF">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9DDA01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6534DC5">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74DB8057">
            <w:pPr>
              <w:widowControl/>
              <w:jc w:val="center"/>
              <w:rPr>
                <w:rFonts w:hint="default" w:ascii="Times New Roman" w:hAnsi="Times New Roman" w:eastAsia="宋体" w:cs="Times New Roman"/>
                <w:color w:val="auto"/>
                <w:kern w:val="0"/>
                <w:sz w:val="20"/>
                <w:szCs w:val="20"/>
              </w:rPr>
            </w:pPr>
          </w:p>
        </w:tc>
      </w:tr>
      <w:tr w14:paraId="4261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1C84365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Holliday</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{"citationID":"HRLbhI3l","properties":{"unsorted":false,"formattedCitation":"\\super 22\\nosupersub{}","plainCitation":"22","noteIndex":0},"citationItems":[{"id":6661,"uris":["http://zotero.org/users/local/9LWqYmzn/items/BT3CHVRI"],"itemData":{"id":6661,"type":"article-journal","abstract":"Background: Physical activity (PA) interventions for the promotion of weight-management may benefit from increased choice and flexibility to overcome commonly-perceived barriers to PA. The aim of this study was to investigate the effects of a novel “points-based” approach to PA on body composition in inactive women, who are overweight or obese.\nMethods: Seventy-six overweight or obese, inactive women were randomly allocated to one of three conditions: ‘Points-based’ PA (PBPA; 30 “PA points”•week− 1), Structured exercise (StructEx; 150 min moderate-intensity exercise•week− 1) or control (CONT; continue habitual inactive lifestyle) for a 24-week intervention. PA points for activities were adapted from MET values, and 30 points was equivalent to 150 min of brisk walking. Measures of body composition (dual-energy x-ray absorptiometry) and anthropometry were obtained at weeks 0, 4, 12 and 24. Self-report activities were recorded weekly, with objective measures of PA (tri-axial accelerometry) and self-report measures of food intake obtained at weeks 0 and 24.\nResults: Fifty-eight women completed the study and provided data for primary outcomes. Of these, n = 41 and n = 19 provided data for food intake and objectively assessed PA. Mixed-design ANOVAs demonstrated that those in PBPA achieved a significant weight-loss at 24 weeks of − 3.3 ± 5.9 kg (− 3.4 ± 7.1%, p = 0.004). Waist circumference was reduced in PBPA at 24 weeks (− 2.8 ± 4.6 cm), compared with CONT (+ 2.1 ± 6.6 cm, p = 0.024). There was a trend for greater reductions in fat mass for those in PBPA vs. CONT (− 2.3 ± 4.6 kg vs. + 0.1 ± 2.0 kg, p = 0.075). Android fat was reduced in PBPA at both 12 weeks (− 6.1 ± 12.6%, p = 0.005) and 24 weeks (− 10.1 ± 18.4%, p = 0.005), while there was a trend for greater reductions in visceral adipose tissue in PBPA (− 5.8 ± 26.0%) vs. CONT at 24 weeks (+ 7.8 ± 18.3%, p = 0.053). Body composition, body weight and waist circumference were unchanged in StructEx. There were trends for increases in light-activity and reductions in sedentary time in PBPA. There was a trend for a reduction in daily energy intake of − 445 ± 564 kcal (p = 0.074), and a significant reduction in daily fat intake (p = 0.042) in PBPA.\nConclusion: A “points-based” approach to physical activity appears to be an effective strategy for inducing modest reductions in body weight and body fat in inactive women with overweight and obesity. (Continued on next page)","citation-key":"hollidayPointsbasedPhysicalActivity2018","container-title":"BMC Public Health","DOI":"10.1186/s12889-018-5125-2","ISSN":"1471-2458","issue":"1","journalAbbreviation":"BMC Public Health","language":"en","note":"JCR分区: Q1\n中科院分区升级版: 医学2区\n中科院分区基础版: 医学3区\n影响因子: 3.6\n5年影响因子: 4.2","page":"261","source":"3.6","title":"Points-based physical activity: a novel approach to facilitate changes in body composition in inactive women with overweight and obesity","title-short":"Points-based physical activity","volume":"18","author":[{"family":"Holliday","given":"Adrian"},{"family":"Burgin","given":"Alice"},{"family":"Fernandez","given":"Elyzabeth Vargas"},{"family":"Fenton","given":"Sally A. M."},{"family":"Thielecke","given":"Frank"},{"family":"Blannin","given":"Andrew K."}],"issued":{"date-parts":[["2018",12]]}}}],"schema":"https://github.com/citation-style-language/schema/raw/master/csl-citation.json"}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2018</w:t>
            </w:r>
          </w:p>
        </w:tc>
        <w:tc>
          <w:tcPr>
            <w:tcW w:w="1247" w:type="dxa"/>
            <w:vMerge w:val="restart"/>
            <w:vAlign w:val="center"/>
          </w:tcPr>
          <w:p w14:paraId="1725119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UK</w:t>
            </w:r>
          </w:p>
        </w:tc>
        <w:tc>
          <w:tcPr>
            <w:tcW w:w="814" w:type="dxa"/>
            <w:vAlign w:val="center"/>
          </w:tcPr>
          <w:p w14:paraId="0420252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IG:16</w:t>
            </w:r>
          </w:p>
        </w:tc>
        <w:tc>
          <w:tcPr>
            <w:tcW w:w="912" w:type="dxa"/>
            <w:vAlign w:val="center"/>
          </w:tcPr>
          <w:p w14:paraId="603ECA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41.0±2.0</w:t>
            </w:r>
          </w:p>
        </w:tc>
        <w:tc>
          <w:tcPr>
            <w:tcW w:w="780" w:type="dxa"/>
            <w:vAlign w:val="center"/>
          </w:tcPr>
          <w:p w14:paraId="63F014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0C3FD0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29.2±3.4</w:t>
            </w:r>
          </w:p>
        </w:tc>
        <w:tc>
          <w:tcPr>
            <w:tcW w:w="1077" w:type="dxa"/>
            <w:vAlign w:val="center"/>
          </w:tcPr>
          <w:p w14:paraId="073C503B">
            <w:pPr>
              <w:widowControl/>
              <w:jc w:val="center"/>
              <w:rPr>
                <w:rFonts w:hint="default" w:ascii="Times New Roman" w:hAnsi="Times New Roman" w:eastAsia="宋体" w:cs="Times New Roman"/>
                <w:color w:val="auto"/>
                <w:kern w:val="0"/>
                <w:sz w:val="20"/>
                <w:szCs w:val="20"/>
              </w:rPr>
            </w:pPr>
          </w:p>
        </w:tc>
        <w:tc>
          <w:tcPr>
            <w:tcW w:w="1276" w:type="dxa"/>
            <w:vAlign w:val="center"/>
          </w:tcPr>
          <w:p w14:paraId="2FDEA5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0B8A7B9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5AB32CF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26D0B78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645</w:t>
            </w:r>
          </w:p>
        </w:tc>
        <w:tc>
          <w:tcPr>
            <w:tcW w:w="851" w:type="dxa"/>
            <w:noWrap/>
            <w:vAlign w:val="center"/>
          </w:tcPr>
          <w:p w14:paraId="301E826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1D7E602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105</w:t>
            </w:r>
          </w:p>
        </w:tc>
        <w:tc>
          <w:tcPr>
            <w:tcW w:w="1843" w:type="dxa"/>
            <w:vMerge w:val="restart"/>
            <w:vAlign w:val="center"/>
          </w:tcPr>
          <w:p w14:paraId="143B4F6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4938D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A5DF1A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10C2161">
            <w:pPr>
              <w:widowControl/>
              <w:jc w:val="center"/>
              <w:rPr>
                <w:rFonts w:hint="default" w:ascii="Times New Roman" w:hAnsi="Times New Roman" w:eastAsia="宋体" w:cs="Times New Roman"/>
                <w:color w:val="auto"/>
                <w:kern w:val="0"/>
                <w:sz w:val="20"/>
                <w:szCs w:val="20"/>
              </w:rPr>
            </w:pPr>
          </w:p>
        </w:tc>
        <w:tc>
          <w:tcPr>
            <w:tcW w:w="814" w:type="dxa"/>
            <w:vAlign w:val="center"/>
          </w:tcPr>
          <w:p w14:paraId="0969694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CG:20</w:t>
            </w:r>
          </w:p>
        </w:tc>
        <w:tc>
          <w:tcPr>
            <w:tcW w:w="912" w:type="dxa"/>
            <w:vAlign w:val="center"/>
          </w:tcPr>
          <w:p w14:paraId="2BF941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41.0±2.0</w:t>
            </w:r>
          </w:p>
        </w:tc>
        <w:tc>
          <w:tcPr>
            <w:tcW w:w="780" w:type="dxa"/>
            <w:vAlign w:val="center"/>
          </w:tcPr>
          <w:p w14:paraId="1440A1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E7244E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29.2±3.4</w:t>
            </w:r>
          </w:p>
        </w:tc>
        <w:tc>
          <w:tcPr>
            <w:tcW w:w="1077" w:type="dxa"/>
            <w:vAlign w:val="center"/>
          </w:tcPr>
          <w:p w14:paraId="50CB4569">
            <w:pPr>
              <w:widowControl/>
              <w:jc w:val="center"/>
              <w:rPr>
                <w:rFonts w:hint="default" w:ascii="Times New Roman" w:hAnsi="Times New Roman" w:eastAsia="宋体" w:cs="Times New Roman"/>
                <w:color w:val="auto"/>
                <w:kern w:val="0"/>
                <w:sz w:val="20"/>
                <w:szCs w:val="20"/>
              </w:rPr>
            </w:pPr>
          </w:p>
        </w:tc>
        <w:tc>
          <w:tcPr>
            <w:tcW w:w="1276" w:type="dxa"/>
            <w:vAlign w:val="center"/>
          </w:tcPr>
          <w:p w14:paraId="2132BD04">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3289FD33">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2C3509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9F77A23">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36155D1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CA03289">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8BF980C">
            <w:pPr>
              <w:widowControl/>
              <w:jc w:val="center"/>
              <w:rPr>
                <w:rFonts w:hint="default" w:ascii="Times New Roman" w:hAnsi="Times New Roman" w:eastAsia="宋体" w:cs="Times New Roman"/>
                <w:color w:val="auto"/>
                <w:kern w:val="0"/>
                <w:sz w:val="20"/>
                <w:szCs w:val="20"/>
              </w:rPr>
            </w:pPr>
          </w:p>
        </w:tc>
      </w:tr>
      <w:tr w14:paraId="46EC1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339" w:hRule="atLeast"/>
          <w:jc w:val="center"/>
        </w:trPr>
        <w:tc>
          <w:tcPr>
            <w:tcW w:w="1746" w:type="dxa"/>
            <w:vMerge w:val="restart"/>
            <w:vAlign w:val="center"/>
          </w:tcPr>
          <w:p w14:paraId="255AE0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Roy</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{"citationID":"98cUpaI2","properties":{"unsorted":false,"formattedCitation":"\\super 23\\nosupersub{}","plainCitation":"23","noteIndex":0},"citationItems":[{"id":6663,"uris":["http://zotero.org/users/local/9LWqYmzn/items/FSQ8ZUZ8"],"itemData":{"id":6663,"type":"article-journal","abstract":"ABSTRACT\n            \n              Purpose\n              Although high-intensity interval training (HIIT) and moderate-intensity continuous exercise have comparable health outcomes in the laboratory setting, effectiveness studies in real-world environments are lacking. The aim of this study was to determine the effectiveness of an unsupervised HIIT program in overweight/obese adults over 12 months.\n            \n            \n              Methods\n              \n                Two hundred and fifty overweight/obese adults could choose HIIT or current exercise guidelines of 30 min·d\n                −1\n                moderate-intensity exercise. HIIT participants received a single training session and were advised to independently perform HIIT three times per week using a variety of protocols. Mixed models, with a random effect for participant, compared differences in weight, body composition, blood pressure, aerobic fitness, physical activity, and blood indices at 12 months, adjusting for relevant baseline variables.\n              \n            \n            \n              Results\n              \n                Forty-two percent (\n                n\n                = 104) of eligible participants chose HIIT in preference to current guidelines. At 12 months, there were no differences between exercise groups in weight (adjusted difference HIIT vs conventional = −0.44 kg; 95% confidence interval [CI] = −2.5 to 1.6) or visceral fat (−103 cm\n                3\n                ; −256 to 49), although HIIT participants reported greater enjoyment of physical activity (\n                P\n                = 0.01). Evidence of adherence to ≥2 sessions per week of unsupervised HIIT (from HR monitoring) declined from 60.8% at baseline to 19.6% by 12 months. Participants remaining adherent to HIIT over 12 months (23%) were more likely to be male (67% vs 36%,\n                P\n                = 0.03), with greater reductions in weight (−2.7 kg; −5.2 to 0.2) and visceral fat (−292 cm\n                3\n                ; −483 to −101) than nonadherent participants.\n              \n            \n            \n              Conclusions\n              HIIT was well accepted by overweight adults, and opting for HIIT as an alternative to standard exercise recommendations led to no difference in health outcomes after 12 months. Although regular participation in unsupervised HIIT declined rapidly, those apparently adherent to regular HIIT demonstrated beneficial weight loss and visceral fat reduction.\n              \n                Trial Registration:\n                Australian New Zealand Clinical Trials Registry (ACTRN12615000010594), retrospectively registered.","citation-key":"royHighIntensityIntervalTraining2018","container-title":"Medicine &amp; Science in Sports &amp; Exercise","DOI":"10.1249/MSS.0000000000001642","ISSN":"1530-0315, 0195-9131","issue":"9","language":"en","note":"JCR分区: Q1\n中科院分区升级版: 医学2区\n中科院分区基础版: 医学2区\n影响因子: 3.9\n5年影响因子: 5.2","page":"1818-1826","source":"3.9","title":"High-intensity interval training in the real world: Outcomes from a 12-month intervention in overweight adults","title-short":"High-Intensity Interval Training in the Real World","volume":"50","author":[{"family":"Roy","given":"Melyssa"},{"family":"Williams","given":"Sheila M."},{"family":"Brown","given":"Rachel C."},{"family":"Meredith-Jones","given":"Kim A."},{"family":"Osborne","given":"Hamish"},{"family":"Jospe","given":"Michelle"},{"family":"Taylor","given":"Rachael W."}],"issued":{"date-parts":[["2018",9]]}}}],"schema":"https://github.com/citation-style-language/schema/raw/master/csl-citation.json"}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23</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2018</w:t>
            </w:r>
          </w:p>
        </w:tc>
        <w:tc>
          <w:tcPr>
            <w:tcW w:w="1247" w:type="dxa"/>
            <w:vMerge w:val="restart"/>
            <w:vAlign w:val="center"/>
          </w:tcPr>
          <w:p w14:paraId="2A5341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New Zealand</w:t>
            </w:r>
          </w:p>
        </w:tc>
        <w:tc>
          <w:tcPr>
            <w:tcW w:w="814" w:type="dxa"/>
            <w:vAlign w:val="center"/>
          </w:tcPr>
          <w:p w14:paraId="56F9048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IG:69</w:t>
            </w:r>
          </w:p>
        </w:tc>
        <w:tc>
          <w:tcPr>
            <w:tcW w:w="912" w:type="dxa"/>
            <w:vAlign w:val="center"/>
          </w:tcPr>
          <w:p w14:paraId="2A2EFE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w:t>
            </w:r>
            <w:r>
              <w:rPr>
                <w:rFonts w:hint="default" w:ascii="Times New Roman" w:hAnsi="Times New Roman" w:eastAsia="宋体" w:cs="Times New Roman"/>
                <w:color w:val="auto"/>
                <w:kern w:val="0"/>
                <w:sz w:val="20"/>
                <w:szCs w:val="20"/>
                <w:lang w:val="en-US" w:eastAsia="zh-CN"/>
              </w:rPr>
              <w:t>0</w:t>
            </w:r>
            <w:r>
              <w:rPr>
                <w:rFonts w:hint="default" w:ascii="Times New Roman" w:hAnsi="Times New Roman" w:eastAsia="宋体" w:cs="Times New Roman"/>
                <w:color w:val="auto"/>
                <w:kern w:val="0"/>
                <w:sz w:val="20"/>
                <w:szCs w:val="20"/>
              </w:rPr>
              <w:t>±10.2</w:t>
            </w:r>
          </w:p>
        </w:tc>
        <w:tc>
          <w:tcPr>
            <w:tcW w:w="780" w:type="dxa"/>
            <w:vAlign w:val="center"/>
          </w:tcPr>
          <w:p w14:paraId="67DD47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2EFAA69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32.9±4.2</w:t>
            </w:r>
          </w:p>
        </w:tc>
        <w:tc>
          <w:tcPr>
            <w:tcW w:w="1077" w:type="dxa"/>
            <w:vAlign w:val="center"/>
          </w:tcPr>
          <w:p w14:paraId="60D5E0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38.1±7.0</w:t>
            </w:r>
          </w:p>
        </w:tc>
        <w:tc>
          <w:tcPr>
            <w:tcW w:w="1276" w:type="dxa"/>
            <w:vAlign w:val="center"/>
          </w:tcPr>
          <w:p w14:paraId="08219C9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0C80255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w:t>
            </w:r>
          </w:p>
        </w:tc>
        <w:tc>
          <w:tcPr>
            <w:tcW w:w="1276" w:type="dxa"/>
            <w:vAlign w:val="center"/>
          </w:tcPr>
          <w:p w14:paraId="2B24689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ECC82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396</w:t>
            </w:r>
          </w:p>
        </w:tc>
        <w:tc>
          <w:tcPr>
            <w:tcW w:w="851" w:type="dxa"/>
            <w:noWrap/>
            <w:vAlign w:val="center"/>
          </w:tcPr>
          <w:p w14:paraId="76ABE49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3B6CB3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104</w:t>
            </w:r>
          </w:p>
        </w:tc>
        <w:tc>
          <w:tcPr>
            <w:tcW w:w="1843" w:type="dxa"/>
            <w:vMerge w:val="restart"/>
            <w:vAlign w:val="center"/>
          </w:tcPr>
          <w:p w14:paraId="542FC02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2252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B24012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F4CDED4">
            <w:pPr>
              <w:widowControl/>
              <w:jc w:val="center"/>
              <w:rPr>
                <w:rFonts w:hint="default" w:ascii="Times New Roman" w:hAnsi="Times New Roman" w:eastAsia="宋体" w:cs="Times New Roman"/>
                <w:color w:val="auto"/>
                <w:kern w:val="0"/>
                <w:sz w:val="20"/>
                <w:szCs w:val="20"/>
              </w:rPr>
            </w:pPr>
          </w:p>
        </w:tc>
        <w:tc>
          <w:tcPr>
            <w:tcW w:w="814" w:type="dxa"/>
            <w:vAlign w:val="center"/>
          </w:tcPr>
          <w:p w14:paraId="230D448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CG:94</w:t>
            </w:r>
          </w:p>
        </w:tc>
        <w:tc>
          <w:tcPr>
            <w:tcW w:w="912" w:type="dxa"/>
            <w:vAlign w:val="center"/>
          </w:tcPr>
          <w:p w14:paraId="4F0BD7B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43.9±11.5</w:t>
            </w:r>
          </w:p>
        </w:tc>
        <w:tc>
          <w:tcPr>
            <w:tcW w:w="780" w:type="dxa"/>
            <w:vAlign w:val="center"/>
          </w:tcPr>
          <w:p w14:paraId="1460A4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A8A6B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33.1±4.5</w:t>
            </w:r>
          </w:p>
        </w:tc>
        <w:tc>
          <w:tcPr>
            <w:tcW w:w="1077" w:type="dxa"/>
            <w:vAlign w:val="center"/>
          </w:tcPr>
          <w:p w14:paraId="0B3A450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40.0±7.7</w:t>
            </w:r>
          </w:p>
        </w:tc>
        <w:tc>
          <w:tcPr>
            <w:tcW w:w="1276" w:type="dxa"/>
            <w:vAlign w:val="center"/>
          </w:tcPr>
          <w:p w14:paraId="55767C2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3D84B10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2687B4A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3F2B42F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825</w:t>
            </w:r>
          </w:p>
        </w:tc>
        <w:tc>
          <w:tcPr>
            <w:tcW w:w="851" w:type="dxa"/>
            <w:noWrap/>
            <w:vAlign w:val="center"/>
          </w:tcPr>
          <w:p w14:paraId="79B4C9B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27AB05A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w:t>
            </w:r>
          </w:p>
        </w:tc>
        <w:tc>
          <w:tcPr>
            <w:tcW w:w="1843" w:type="dxa"/>
            <w:vMerge w:val="continue"/>
            <w:vAlign w:val="center"/>
          </w:tcPr>
          <w:p w14:paraId="670412CF">
            <w:pPr>
              <w:widowControl/>
              <w:jc w:val="center"/>
              <w:rPr>
                <w:rFonts w:hint="default" w:ascii="Times New Roman" w:hAnsi="Times New Roman" w:eastAsia="宋体" w:cs="Times New Roman"/>
                <w:color w:val="auto"/>
                <w:kern w:val="0"/>
                <w:sz w:val="20"/>
                <w:szCs w:val="20"/>
              </w:rPr>
            </w:pPr>
          </w:p>
        </w:tc>
      </w:tr>
      <w:tr w14:paraId="554F6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EFED18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Tong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{"citationID":"GTORSazc","properties":{"unsorted":false,"formattedCitation":"\\super 24\\nosupersub{}","plainCitation":"24","noteIndex":0},"citationItems":[{"id":6665,"uris":["http://zotero.org/users/local/9LWqYmzn/items/WL45XQCX"],"itemData":{"id":6665,"type":"article-journal","abstract":"Introduction: High-intensity interval training (HIIT) is an emerging lifestyle intervention strategy for controlling obesity. HIIT consisted of brief all-out supramaximal sprint intervals was termed as sprint interval training (SIT). This study was designed to examine the time-efﬁcient characteristics of SIT in reducing abdominal visceral fat.\nMethods: A randomized controlled trial was conducted to compare the speciﬁc adaptations of SIT (80 × 6 s all-out cycle sprints interspersed with 9 s passive recovery) with those resulting from a HIIT regimen with training volume relatively higher (repeated 4 min bouts of cycling at 90% V˙ O2max alternated with 3 min rest, until the work of 400KJ was achieved), and with those of nonexercising control counterparts (CON). Forty-six obese young women (body fat percentage ≥30) received either SIT (n = 16), HIIT (n = 16), or no training (n = 14), 3–4 sessions per week, for 12 weeks. The abdominal visceral fat area (AVFA) and abdominal subcutaneous fat area (ASFA) of the participants were measured through computed tomography scans pre-intervention and post-intervention. Total fat mass and the fat mass of the android, gynoid, and trunk regions were assessed through dual-energy X-ray absorptiometry.\nResults: Following the intervention, abdominal visceral and subcutaneous fat were reduced markedly (p &lt; 0.05). The reduction in AVFA (−6.31, −9.7 cm2) was not different between SIT and HIIT (p &gt; 0.05), while the reduction in ASFA (−17.4, −40.7 cm2) in SIT was less than that in HIIT (p &lt; 0.05). Less reduction in the fat mass of the trunk ( −1.2, −2.0 kg) region was also found in SIT, while the reductions in fat percentage ( −1.9%, −2.0%), total fat mass (−2.0, −2.8 kg), and fat mass of the android (−0.2, −0.2 kg), and gynoid (−0.4, −0.3 kg) regions did not differ between the two regimes (p &gt; 0.05). In contrast, the increase in V˙ O2max was signiﬁcant greater following the SIT than HIIT (p &lt; 0.01). No variable changed in CON.\nConclusion: Such ﬁndings suggest that the lower training load and exercise time commitments of the SIT regime could optimize the time-efﬁciency advantage of the traditional HIIT, facilitating the abdominal visceral fat reduction in obese young women.","call-number":"3","citation-key":"tongComparingTimeEfficiency2018","container-title":"Frontiers in Physiology","DOI":"10.3389/fphys.2018.01048","ISSN":"1664-042X","journalAbbreviation":"Front. Physiol.","note":"JCR分区: Q1\n中科院分区升级版: 医学3区\n中科院分区基础版: 医学3区\n影响因子: 3.4\n5年影响因子: 4.0","page":"1048","source":"3.4","title":"Comparing Time Efficiency of Sprint vs. High-Intensity Interval Training in Reducing Abdominal Visceral Fat in Obese Young Women: A Randomized, Controlled Trial","title-short":"Comparing Time Efficiency of Sprint vs. High-Intensity Interval Training in Reducing Abdominal Visceral Fat in Obese Young Women","volume":"9","author":[{"family":"Tong","given":"Tomas K."},{"family":"Zhang","given":"Haifeng"},{"family":"Shi","given":"Hongru"},{"family":"Liu","given":"Yang"},{"family":"Ai","given":"Jingwen"},{"family":"Nie","given":"Jinlei"},{"family":"Kong","given":"Zhaowei"}],"issued":{"date-parts":[["2018",8,3]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2018</w:t>
            </w:r>
          </w:p>
        </w:tc>
        <w:tc>
          <w:tcPr>
            <w:tcW w:w="1247" w:type="dxa"/>
            <w:vMerge w:val="restart"/>
            <w:vAlign w:val="center"/>
          </w:tcPr>
          <w:p w14:paraId="20B8B5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(Hong Kong)</w:t>
            </w:r>
          </w:p>
        </w:tc>
        <w:tc>
          <w:tcPr>
            <w:tcW w:w="814" w:type="dxa"/>
            <w:vAlign w:val="center"/>
          </w:tcPr>
          <w:p w14:paraId="691EB04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IG:16</w:t>
            </w:r>
          </w:p>
        </w:tc>
        <w:tc>
          <w:tcPr>
            <w:tcW w:w="912" w:type="dxa"/>
            <w:vAlign w:val="center"/>
          </w:tcPr>
          <w:p w14:paraId="595E368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21.3±1.0</w:t>
            </w:r>
          </w:p>
        </w:tc>
        <w:tc>
          <w:tcPr>
            <w:tcW w:w="780" w:type="dxa"/>
            <w:vAlign w:val="center"/>
          </w:tcPr>
          <w:p w14:paraId="0E5E36C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4F692FF0">
            <w:pPr>
              <w:widowControl/>
              <w:jc w:val="center"/>
              <w:rPr>
                <w:rFonts w:hint="default" w:ascii="Times New Roman" w:hAnsi="Times New Roman" w:eastAsia="宋体" w:cs="Times New Roman"/>
                <w:color w:val="auto"/>
                <w:kern w:val="0"/>
                <w:sz w:val="20"/>
                <w:szCs w:val="20"/>
              </w:rPr>
            </w:pPr>
          </w:p>
        </w:tc>
        <w:tc>
          <w:tcPr>
            <w:tcW w:w="1077" w:type="dxa"/>
            <w:vAlign w:val="center"/>
          </w:tcPr>
          <w:p w14:paraId="1160DF6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38.2±2.4</w:t>
            </w:r>
          </w:p>
        </w:tc>
        <w:tc>
          <w:tcPr>
            <w:tcW w:w="1276" w:type="dxa"/>
            <w:vAlign w:val="center"/>
          </w:tcPr>
          <w:p w14:paraId="4C667A3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126C1C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5880BB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5D99208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1056</w:t>
            </w:r>
          </w:p>
        </w:tc>
        <w:tc>
          <w:tcPr>
            <w:tcW w:w="851" w:type="dxa"/>
            <w:noWrap/>
            <w:vAlign w:val="center"/>
          </w:tcPr>
          <w:p w14:paraId="5681FF4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542B73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56</w:t>
            </w:r>
          </w:p>
        </w:tc>
        <w:tc>
          <w:tcPr>
            <w:tcW w:w="1843" w:type="dxa"/>
            <w:vMerge w:val="restart"/>
            <w:vAlign w:val="center"/>
          </w:tcPr>
          <w:p w14:paraId="21F529C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0B752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3234E9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C8BE853">
            <w:pPr>
              <w:widowControl/>
              <w:jc w:val="center"/>
              <w:rPr>
                <w:rFonts w:hint="default" w:ascii="Times New Roman" w:hAnsi="Times New Roman" w:eastAsia="宋体" w:cs="Times New Roman"/>
                <w:color w:val="auto"/>
                <w:kern w:val="0"/>
                <w:sz w:val="20"/>
                <w:szCs w:val="20"/>
              </w:rPr>
            </w:pPr>
          </w:p>
        </w:tc>
        <w:tc>
          <w:tcPr>
            <w:tcW w:w="814" w:type="dxa"/>
            <w:vAlign w:val="center"/>
          </w:tcPr>
          <w:p w14:paraId="7E5CABB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CG:14</w:t>
            </w:r>
          </w:p>
        </w:tc>
        <w:tc>
          <w:tcPr>
            <w:tcW w:w="912" w:type="dxa"/>
            <w:vAlign w:val="center"/>
          </w:tcPr>
          <w:p w14:paraId="4433829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20.7±1.5</w:t>
            </w:r>
          </w:p>
        </w:tc>
        <w:tc>
          <w:tcPr>
            <w:tcW w:w="780" w:type="dxa"/>
            <w:vAlign w:val="center"/>
          </w:tcPr>
          <w:p w14:paraId="072593E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47A6DAFB">
            <w:pPr>
              <w:widowControl/>
              <w:jc w:val="center"/>
              <w:rPr>
                <w:rFonts w:hint="default" w:ascii="Times New Roman" w:hAnsi="Times New Roman" w:eastAsia="宋体" w:cs="Times New Roman"/>
                <w:color w:val="auto"/>
                <w:kern w:val="0"/>
                <w:sz w:val="20"/>
                <w:szCs w:val="20"/>
              </w:rPr>
            </w:pPr>
          </w:p>
        </w:tc>
        <w:tc>
          <w:tcPr>
            <w:tcW w:w="1077" w:type="dxa"/>
            <w:vAlign w:val="center"/>
          </w:tcPr>
          <w:p w14:paraId="672BAA8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40.5±2.6</w:t>
            </w:r>
          </w:p>
        </w:tc>
        <w:tc>
          <w:tcPr>
            <w:tcW w:w="1276" w:type="dxa"/>
            <w:vAlign w:val="center"/>
          </w:tcPr>
          <w:p w14:paraId="11399A45">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69DFF665">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4FFC7CC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44B89F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0F911B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E286CEB">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FE7675D">
            <w:pPr>
              <w:widowControl/>
              <w:jc w:val="center"/>
              <w:rPr>
                <w:rFonts w:hint="default" w:ascii="Times New Roman" w:hAnsi="Times New Roman" w:eastAsia="宋体" w:cs="Times New Roman"/>
                <w:color w:val="auto"/>
                <w:kern w:val="0"/>
                <w:sz w:val="20"/>
                <w:szCs w:val="20"/>
              </w:rPr>
            </w:pPr>
          </w:p>
        </w:tc>
      </w:tr>
      <w:tr w14:paraId="1762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277412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Chen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{"citationID":"ia1wmC3b","properties":{"unsorted":false,"formattedCitation":"\\super 25\\nosupersub{}","plainCitation":"25","noteIndex":0},"citationItems":[{"id":6667,"uris":["http://zotero.org/users/local/9LWqYmzn/items/WII7QG2X"],"itemData":{"id":6667,"type":"article-journal","abstract":"OBJECTIVES: To investigate the inﬂuence of resistance training (RT), aerobic training (AT), or combination training (CT) interventions on the body composition, muscle strength performance, and insulin-like growth factor 1 (IGF-1) of patients with sarcopenic obesity. DESIGN: Randomized controlled trial. SETTING: Community center and research center. PARTICIPANTS: Sixty men and women aged 65–75 with sarcopenic obesity. INTERVENTION: Participants were randomly assigned to RT, AT, CT, and control (CON) groups. After training twice a week for 8 weeks, the participants in each group ceased training for 4 weeks before being examined for the retention effects of the training interventions.\nMEASUREMENTS: The body composition, grip strength, maximum back extensor strength, maximum knee extensor muscle strength, and blood IGF-1 concentration were measured.\nRESULTS: The skeletal muscle mass (SMM), body fat mass, appendicular SMM/weight %, and visceral fat area (VFA) of the RT, AT, and CT groups were signiﬁcantly superior to those of the CON group at both week 8 and week 12. Regarding muscle strength performance, the RT group exhibited greater grip strength at weeks 8 and 12 as well as higher knee extensor performance at week 8 than that of the other groups. At week 8, the serum IGF-1 concentration of the RT group was higher than the CON group, whereas the CT group was superior to the AT and CON groups.\nCONCLUSION: Older adults with sarcopenic obesity who engaged in the RT, AT, and CT interventions demonstrated increased muscle mass and reduced total fat","citation-key":"chenEffectsDifferentTypes2017","container-title":"Journal of the American Geriatrics Society","DOI":"10.1111/jgs.14722","ISSN":"0002-8614, 1532-5415","issue":"4","journalAbbreviation":"J American Geriatrics Society","language":"en","license":"http://onlinelibrary.wiley.com/termsAndConditions#vor","page":"827-832","source":"4.5","title":"Effects of different types of exercise on body composition, muscle strength, and IGF‐1 in the elderly with sarcopenic obesity","volume":"65","author":[{"family":"Chen","given":"Hung‐Ting"},{"family":"Chung","given":"Yu‐Chun"},{"family":"Chen","given":"Yu‐Jen"},{"family":"Ho","given":"Sung‐Yen"},{"family":"Wu","given":"Huey‐June"}],"issued":{"date-parts":[["2017",4]]}}}],"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2017</w:t>
            </w:r>
          </w:p>
        </w:tc>
        <w:tc>
          <w:tcPr>
            <w:tcW w:w="1247" w:type="dxa"/>
            <w:vMerge w:val="restart"/>
            <w:vAlign w:val="center"/>
          </w:tcPr>
          <w:p w14:paraId="2AEAF79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(Taiwan)</w:t>
            </w:r>
          </w:p>
        </w:tc>
        <w:tc>
          <w:tcPr>
            <w:tcW w:w="814" w:type="dxa"/>
            <w:vAlign w:val="center"/>
          </w:tcPr>
          <w:p w14:paraId="1328ECC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IG1:15</w:t>
            </w:r>
          </w:p>
        </w:tc>
        <w:tc>
          <w:tcPr>
            <w:tcW w:w="912" w:type="dxa"/>
            <w:vAlign w:val="center"/>
          </w:tcPr>
          <w:p w14:paraId="2410DD2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69.3±3.0</w:t>
            </w:r>
          </w:p>
        </w:tc>
        <w:tc>
          <w:tcPr>
            <w:tcW w:w="780" w:type="dxa"/>
            <w:vAlign w:val="center"/>
          </w:tcPr>
          <w:p w14:paraId="3601A80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89782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26.8±3.8</w:t>
            </w:r>
          </w:p>
        </w:tc>
        <w:tc>
          <w:tcPr>
            <w:tcW w:w="1077" w:type="dxa"/>
            <w:vAlign w:val="center"/>
          </w:tcPr>
          <w:p w14:paraId="678130F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40.0±4.4</w:t>
            </w:r>
          </w:p>
        </w:tc>
        <w:tc>
          <w:tcPr>
            <w:tcW w:w="1276" w:type="dxa"/>
            <w:vAlign w:val="center"/>
          </w:tcPr>
          <w:p w14:paraId="624116F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761B501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10DC189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66A8F09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576</w:t>
            </w:r>
          </w:p>
        </w:tc>
        <w:tc>
          <w:tcPr>
            <w:tcW w:w="851" w:type="dxa"/>
            <w:noWrap/>
            <w:vAlign w:val="center"/>
          </w:tcPr>
          <w:p w14:paraId="7A21A09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71BEB9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76</w:t>
            </w:r>
          </w:p>
        </w:tc>
        <w:tc>
          <w:tcPr>
            <w:tcW w:w="1843" w:type="dxa"/>
            <w:vMerge w:val="restart"/>
            <w:vAlign w:val="center"/>
          </w:tcPr>
          <w:p w14:paraId="05292AF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206BE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25CD2A7A">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AE35D1E">
            <w:pPr>
              <w:widowControl/>
              <w:jc w:val="center"/>
              <w:rPr>
                <w:rFonts w:hint="default" w:ascii="Times New Roman" w:hAnsi="Times New Roman" w:eastAsia="宋体" w:cs="Times New Roman"/>
                <w:color w:val="auto"/>
                <w:kern w:val="0"/>
                <w:sz w:val="20"/>
                <w:szCs w:val="20"/>
              </w:rPr>
            </w:pPr>
          </w:p>
        </w:tc>
        <w:tc>
          <w:tcPr>
            <w:tcW w:w="814" w:type="dxa"/>
            <w:vAlign w:val="center"/>
          </w:tcPr>
          <w:p w14:paraId="0F7816B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IG2:15</w:t>
            </w:r>
          </w:p>
        </w:tc>
        <w:tc>
          <w:tcPr>
            <w:tcW w:w="912" w:type="dxa"/>
            <w:vAlign w:val="center"/>
          </w:tcPr>
          <w:p w14:paraId="0D0C94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68.9±4.4</w:t>
            </w:r>
          </w:p>
        </w:tc>
        <w:tc>
          <w:tcPr>
            <w:tcW w:w="780" w:type="dxa"/>
            <w:vAlign w:val="center"/>
          </w:tcPr>
          <w:p w14:paraId="36A3C55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43D67E7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28.3±4.4</w:t>
            </w:r>
          </w:p>
        </w:tc>
        <w:tc>
          <w:tcPr>
            <w:tcW w:w="1077" w:type="dxa"/>
            <w:vAlign w:val="center"/>
          </w:tcPr>
          <w:p w14:paraId="16BF39C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39.7±5.6</w:t>
            </w:r>
          </w:p>
        </w:tc>
        <w:tc>
          <w:tcPr>
            <w:tcW w:w="1276" w:type="dxa"/>
            <w:vAlign w:val="center"/>
          </w:tcPr>
          <w:p w14:paraId="411791B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403E8CF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AB3F9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256C800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420</w:t>
            </w:r>
          </w:p>
        </w:tc>
        <w:tc>
          <w:tcPr>
            <w:tcW w:w="851" w:type="dxa"/>
            <w:noWrap/>
            <w:vAlign w:val="center"/>
          </w:tcPr>
          <w:p w14:paraId="4E779C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5DAB6C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continue"/>
            <w:vAlign w:val="center"/>
          </w:tcPr>
          <w:p w14:paraId="146C7908">
            <w:pPr>
              <w:widowControl/>
              <w:jc w:val="center"/>
              <w:rPr>
                <w:rFonts w:hint="default" w:ascii="Times New Roman" w:hAnsi="Times New Roman" w:eastAsia="宋体" w:cs="Times New Roman"/>
                <w:color w:val="auto"/>
                <w:kern w:val="0"/>
                <w:sz w:val="20"/>
                <w:szCs w:val="20"/>
              </w:rPr>
            </w:pPr>
          </w:p>
        </w:tc>
      </w:tr>
      <w:tr w14:paraId="00233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6B1DA6A">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0150E57">
            <w:pPr>
              <w:widowControl/>
              <w:jc w:val="center"/>
              <w:rPr>
                <w:rFonts w:hint="default" w:ascii="Times New Roman" w:hAnsi="Times New Roman" w:eastAsia="宋体" w:cs="Times New Roman"/>
                <w:color w:val="auto"/>
                <w:kern w:val="0"/>
                <w:sz w:val="20"/>
                <w:szCs w:val="20"/>
              </w:rPr>
            </w:pPr>
          </w:p>
        </w:tc>
        <w:tc>
          <w:tcPr>
            <w:tcW w:w="814" w:type="dxa"/>
            <w:vAlign w:val="center"/>
          </w:tcPr>
          <w:p w14:paraId="52D406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IG3:15</w:t>
            </w:r>
          </w:p>
        </w:tc>
        <w:tc>
          <w:tcPr>
            <w:tcW w:w="912" w:type="dxa"/>
            <w:vAlign w:val="center"/>
          </w:tcPr>
          <w:p w14:paraId="2B1505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68.5±2.7</w:t>
            </w:r>
          </w:p>
        </w:tc>
        <w:tc>
          <w:tcPr>
            <w:tcW w:w="780" w:type="dxa"/>
            <w:vAlign w:val="center"/>
          </w:tcPr>
          <w:p w14:paraId="607031E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4B37EEE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27.2±2.9</w:t>
            </w:r>
          </w:p>
        </w:tc>
        <w:tc>
          <w:tcPr>
            <w:tcW w:w="1077" w:type="dxa"/>
            <w:vAlign w:val="center"/>
          </w:tcPr>
          <w:p w14:paraId="3BD5927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39.7±5.8</w:t>
            </w:r>
          </w:p>
        </w:tc>
        <w:tc>
          <w:tcPr>
            <w:tcW w:w="1276" w:type="dxa"/>
            <w:vAlign w:val="center"/>
          </w:tcPr>
          <w:p w14:paraId="0B6020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01DA9FE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B340E1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570C9D2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600</w:t>
            </w:r>
          </w:p>
        </w:tc>
        <w:tc>
          <w:tcPr>
            <w:tcW w:w="851" w:type="dxa"/>
            <w:noWrap/>
            <w:vAlign w:val="center"/>
          </w:tcPr>
          <w:p w14:paraId="19F514F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A322BF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continue"/>
            <w:vAlign w:val="center"/>
          </w:tcPr>
          <w:p w14:paraId="21CE3DBD">
            <w:pPr>
              <w:widowControl/>
              <w:jc w:val="center"/>
              <w:rPr>
                <w:rFonts w:hint="default" w:ascii="Times New Roman" w:hAnsi="Times New Roman" w:eastAsia="宋体" w:cs="Times New Roman"/>
                <w:color w:val="auto"/>
                <w:kern w:val="0"/>
                <w:sz w:val="20"/>
                <w:szCs w:val="20"/>
              </w:rPr>
            </w:pPr>
          </w:p>
        </w:tc>
      </w:tr>
      <w:tr w14:paraId="78D16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1277FA2">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358652F">
            <w:pPr>
              <w:widowControl/>
              <w:jc w:val="center"/>
              <w:rPr>
                <w:rFonts w:hint="default" w:ascii="Times New Roman" w:hAnsi="Times New Roman" w:eastAsia="宋体" w:cs="Times New Roman"/>
                <w:color w:val="auto"/>
                <w:kern w:val="0"/>
                <w:sz w:val="20"/>
                <w:szCs w:val="20"/>
              </w:rPr>
            </w:pPr>
          </w:p>
        </w:tc>
        <w:tc>
          <w:tcPr>
            <w:tcW w:w="814" w:type="dxa"/>
            <w:vAlign w:val="center"/>
          </w:tcPr>
          <w:p w14:paraId="312EA3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65452C2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68.6±3.1</w:t>
            </w:r>
          </w:p>
        </w:tc>
        <w:tc>
          <w:tcPr>
            <w:tcW w:w="780" w:type="dxa"/>
            <w:vAlign w:val="center"/>
          </w:tcPr>
          <w:p w14:paraId="29BB4BB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153FE1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29.0±3.9</w:t>
            </w:r>
          </w:p>
        </w:tc>
        <w:tc>
          <w:tcPr>
            <w:tcW w:w="1077" w:type="dxa"/>
            <w:vAlign w:val="center"/>
          </w:tcPr>
          <w:p w14:paraId="5E46F5E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39.8±4.5</w:t>
            </w:r>
          </w:p>
        </w:tc>
        <w:tc>
          <w:tcPr>
            <w:tcW w:w="1276" w:type="dxa"/>
            <w:vAlign w:val="center"/>
          </w:tcPr>
          <w:p w14:paraId="6354279C">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E806836">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F2A9F9C">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139DBC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53B1D67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87D2CEE">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5318BEA">
            <w:pPr>
              <w:widowControl/>
              <w:jc w:val="center"/>
              <w:rPr>
                <w:rFonts w:hint="default" w:ascii="Times New Roman" w:hAnsi="Times New Roman" w:eastAsia="宋体" w:cs="Times New Roman"/>
                <w:color w:val="auto"/>
                <w:kern w:val="0"/>
                <w:sz w:val="20"/>
                <w:szCs w:val="20"/>
              </w:rPr>
            </w:pPr>
          </w:p>
        </w:tc>
      </w:tr>
      <w:tr w14:paraId="1E18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14803F6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Oh</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{"citationID":"jhw6z9fI","properties":{"unsorted":false,"formattedCitation":"\\super 26\\nosupersub{}","plainCitation":"26","noteIndex":0},"citationItems":[{"id":6669,"uris":["http://zotero.org/users/local/9LWqYmzn/items/YI72XYQB"],"itemData":{"id":6669,"type":"article-journal","abstract":"Abstract\n            \n              We compared the effects of 12-week programs of resistance training (RT), high-intensity interval aerobic training (HIAT), and moderate-intensity continuous aerobic training (MICT). The primary goal was to evaluate the therapeutic effects of the exercise modalities for the management of nonalcoholic fatty liver disease (NAFLD). A total of 61 sedentary obese men with NAFLD were randomized into one of the following exercise regimens (RT, HIAT, or MICT). Hepatic fat content was decreased to a similar extent in the RT, HIAT, and MICT groups (−14.3% vs. −13.7% vs. −14.3%) without significant changes in weight and visceral fat. The gene expression levels of fatty acid synthesis were significantly decreased in the subjects’ monocytes. Hepatic stiffness was decreased only in the HIAT group (−16.8%). The stiffness change was associated with restored Kupffer cell phagocytic function (+17.8%) and decreased levels of inflammation such as leptin (−13.2%) and ferritin (−14.1%). RT, HIAT, and MICT were equally effective in reducing hepatic fat content, but only HIAT was effective in improving hepatic stiffness and restoring Kupffer cell function. These benefits appeared to be independent of detectable weight and visceral fat reductions; the benefits were acquired through the modulation of\n              in vivo\n              fatty acid metabolism and obesity-related inflammatory conditions.","citation-key":"ohHighIntensityAerobicExercise2017","container-title":"Scientific Reports","DOI":"10.1038/srep43029","ISSN":"2045-2322","issue":"1","journalAbbreviation":"Sci Rep","language":"en","note":"JCR分区: Q1\n中科院分区升级版: 综合性期刊3区\n中科院分区基础版: 综合性期刊3区\n影响因子: 3.9\n5年影响因子: 4.3","page":"43029","source":"3.9","title":"High-Intensity Aerobic Exercise Improves Both Hepatic Fat Content and Stiffness in Sedentary Obese Men with Nonalcoholic Fatty Liver Disease","volume":"7","author":[{"family":"Oh","given":"Sechang"},{"family":"So","given":"Rina"},{"family":"Shida","given":"Takashi"},{"family":"Matsuo","given":"Tomoaki"},{"family":"Kim","given":"Bokun"},{"family":"Akiyama","given":"Kentaro"},{"family":"Isobe","given":"Tomonori"},{"family":"Okamoto","given":"Yoshikazu"},{"family":"Tanaka","given":"Kiyoji"},{"family":"Shoda","given":"Junichi"}],"issued":{"date-parts":[["2017",2,22]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2017</w:t>
            </w:r>
          </w:p>
        </w:tc>
        <w:tc>
          <w:tcPr>
            <w:tcW w:w="1247" w:type="dxa"/>
            <w:vMerge w:val="restart"/>
            <w:vAlign w:val="center"/>
          </w:tcPr>
          <w:p w14:paraId="170C74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Japan</w:t>
            </w:r>
          </w:p>
        </w:tc>
        <w:tc>
          <w:tcPr>
            <w:tcW w:w="814" w:type="dxa"/>
            <w:vAlign w:val="center"/>
          </w:tcPr>
          <w:p w14:paraId="53DF6E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IG1:19</w:t>
            </w:r>
          </w:p>
        </w:tc>
        <w:tc>
          <w:tcPr>
            <w:tcW w:w="912" w:type="dxa"/>
            <w:vAlign w:val="center"/>
          </w:tcPr>
          <w:p w14:paraId="3DA8CAC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51.2±8.3</w:t>
            </w:r>
          </w:p>
        </w:tc>
        <w:tc>
          <w:tcPr>
            <w:tcW w:w="780" w:type="dxa"/>
            <w:vAlign w:val="center"/>
          </w:tcPr>
          <w:p w14:paraId="0F7877B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1B9529C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27.2±3.9</w:t>
            </w:r>
          </w:p>
        </w:tc>
        <w:tc>
          <w:tcPr>
            <w:tcW w:w="1077" w:type="dxa"/>
            <w:vAlign w:val="center"/>
          </w:tcPr>
          <w:p w14:paraId="44718F83">
            <w:pPr>
              <w:widowControl/>
              <w:jc w:val="center"/>
              <w:rPr>
                <w:rFonts w:hint="default" w:ascii="Times New Roman" w:hAnsi="Times New Roman" w:eastAsia="宋体" w:cs="Times New Roman"/>
                <w:color w:val="auto"/>
                <w:kern w:val="0"/>
                <w:sz w:val="20"/>
                <w:szCs w:val="20"/>
              </w:rPr>
            </w:pPr>
          </w:p>
        </w:tc>
        <w:tc>
          <w:tcPr>
            <w:tcW w:w="1276" w:type="dxa"/>
            <w:vAlign w:val="center"/>
          </w:tcPr>
          <w:p w14:paraId="539B7FF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0F88E5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w:t>
            </w:r>
          </w:p>
        </w:tc>
        <w:tc>
          <w:tcPr>
            <w:tcW w:w="1276" w:type="dxa"/>
            <w:vAlign w:val="center"/>
          </w:tcPr>
          <w:p w14:paraId="11D441A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16E7A33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315</w:t>
            </w:r>
          </w:p>
        </w:tc>
        <w:tc>
          <w:tcPr>
            <w:tcW w:w="851" w:type="dxa"/>
            <w:noWrap/>
            <w:vAlign w:val="center"/>
          </w:tcPr>
          <w:p w14:paraId="4F6C94D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noWrap/>
            <w:vAlign w:val="center"/>
          </w:tcPr>
          <w:p w14:paraId="139720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65</w:t>
            </w:r>
          </w:p>
        </w:tc>
        <w:tc>
          <w:tcPr>
            <w:tcW w:w="1843" w:type="dxa"/>
            <w:vMerge w:val="restart"/>
            <w:vAlign w:val="center"/>
          </w:tcPr>
          <w:p w14:paraId="27D7D5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0A30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2320144C">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0B777A3">
            <w:pPr>
              <w:widowControl/>
              <w:jc w:val="center"/>
              <w:rPr>
                <w:rFonts w:hint="default" w:ascii="Times New Roman" w:hAnsi="Times New Roman" w:eastAsia="宋体" w:cs="Times New Roman"/>
                <w:color w:val="auto"/>
                <w:kern w:val="0"/>
                <w:sz w:val="20"/>
                <w:szCs w:val="20"/>
              </w:rPr>
            </w:pPr>
          </w:p>
        </w:tc>
        <w:tc>
          <w:tcPr>
            <w:tcW w:w="814" w:type="dxa"/>
            <w:vAlign w:val="center"/>
          </w:tcPr>
          <w:p w14:paraId="39755B6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IG2:20</w:t>
            </w:r>
          </w:p>
        </w:tc>
        <w:tc>
          <w:tcPr>
            <w:tcW w:w="912" w:type="dxa"/>
            <w:vAlign w:val="center"/>
          </w:tcPr>
          <w:p w14:paraId="663FE77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48.6±8.1</w:t>
            </w:r>
          </w:p>
        </w:tc>
        <w:tc>
          <w:tcPr>
            <w:tcW w:w="780" w:type="dxa"/>
            <w:vAlign w:val="center"/>
          </w:tcPr>
          <w:p w14:paraId="3CA0904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76CC0D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28.4±4.0</w:t>
            </w:r>
          </w:p>
        </w:tc>
        <w:tc>
          <w:tcPr>
            <w:tcW w:w="1077" w:type="dxa"/>
            <w:vAlign w:val="center"/>
          </w:tcPr>
          <w:p w14:paraId="0D2503BB">
            <w:pPr>
              <w:widowControl/>
              <w:jc w:val="center"/>
              <w:rPr>
                <w:rFonts w:hint="default" w:ascii="Times New Roman" w:hAnsi="Times New Roman" w:eastAsia="宋体" w:cs="Times New Roman"/>
                <w:color w:val="auto"/>
                <w:kern w:val="0"/>
                <w:sz w:val="20"/>
                <w:szCs w:val="20"/>
              </w:rPr>
            </w:pPr>
          </w:p>
        </w:tc>
        <w:tc>
          <w:tcPr>
            <w:tcW w:w="1276" w:type="dxa"/>
            <w:vAlign w:val="center"/>
          </w:tcPr>
          <w:p w14:paraId="600CC85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656DAB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13</w:t>
            </w:r>
          </w:p>
        </w:tc>
        <w:tc>
          <w:tcPr>
            <w:tcW w:w="1276" w:type="dxa"/>
            <w:vAlign w:val="center"/>
          </w:tcPr>
          <w:p w14:paraId="3B64082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7987FC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343.2</w:t>
            </w:r>
          </w:p>
        </w:tc>
        <w:tc>
          <w:tcPr>
            <w:tcW w:w="851" w:type="dxa"/>
            <w:noWrap/>
            <w:vAlign w:val="center"/>
          </w:tcPr>
          <w:p w14:paraId="0069D79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noWrap/>
            <w:vAlign w:val="center"/>
          </w:tcPr>
          <w:p w14:paraId="777FC85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93.2</w:t>
            </w:r>
          </w:p>
        </w:tc>
        <w:tc>
          <w:tcPr>
            <w:tcW w:w="1843" w:type="dxa"/>
            <w:vMerge w:val="continue"/>
            <w:vAlign w:val="center"/>
          </w:tcPr>
          <w:p w14:paraId="7C34A1D1">
            <w:pPr>
              <w:widowControl/>
              <w:jc w:val="center"/>
              <w:rPr>
                <w:rFonts w:hint="default" w:ascii="Times New Roman" w:hAnsi="Times New Roman" w:eastAsia="宋体" w:cs="Times New Roman"/>
                <w:color w:val="auto"/>
                <w:kern w:val="0"/>
                <w:sz w:val="20"/>
                <w:szCs w:val="20"/>
              </w:rPr>
            </w:pPr>
          </w:p>
        </w:tc>
      </w:tr>
      <w:tr w14:paraId="54432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C6D436A">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6BFE15E">
            <w:pPr>
              <w:widowControl/>
              <w:jc w:val="center"/>
              <w:rPr>
                <w:rFonts w:hint="default" w:ascii="Times New Roman" w:hAnsi="Times New Roman" w:eastAsia="宋体" w:cs="Times New Roman"/>
                <w:color w:val="auto"/>
                <w:kern w:val="0"/>
                <w:sz w:val="20"/>
                <w:szCs w:val="20"/>
              </w:rPr>
            </w:pPr>
          </w:p>
        </w:tc>
        <w:tc>
          <w:tcPr>
            <w:tcW w:w="814" w:type="dxa"/>
            <w:vAlign w:val="center"/>
          </w:tcPr>
          <w:p w14:paraId="1A35C5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1BDD8D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48.2±8.3</w:t>
            </w:r>
          </w:p>
        </w:tc>
        <w:tc>
          <w:tcPr>
            <w:tcW w:w="780" w:type="dxa"/>
            <w:vAlign w:val="center"/>
          </w:tcPr>
          <w:p w14:paraId="1D912D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57BC63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28.8±4.0</w:t>
            </w:r>
          </w:p>
        </w:tc>
        <w:tc>
          <w:tcPr>
            <w:tcW w:w="1077" w:type="dxa"/>
            <w:vAlign w:val="center"/>
          </w:tcPr>
          <w:p w14:paraId="5870E7CD">
            <w:pPr>
              <w:widowControl/>
              <w:jc w:val="center"/>
              <w:rPr>
                <w:rFonts w:hint="default" w:ascii="Times New Roman" w:hAnsi="Times New Roman" w:eastAsia="宋体" w:cs="Times New Roman"/>
                <w:color w:val="auto"/>
                <w:kern w:val="0"/>
                <w:sz w:val="20"/>
                <w:szCs w:val="20"/>
              </w:rPr>
            </w:pPr>
          </w:p>
        </w:tc>
        <w:tc>
          <w:tcPr>
            <w:tcW w:w="1276" w:type="dxa"/>
            <w:vAlign w:val="center"/>
          </w:tcPr>
          <w:p w14:paraId="7E7994E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1952AF0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w:t>
            </w:r>
          </w:p>
        </w:tc>
        <w:tc>
          <w:tcPr>
            <w:tcW w:w="1276" w:type="dxa"/>
            <w:vAlign w:val="center"/>
          </w:tcPr>
          <w:p w14:paraId="14104C5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04CBDE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600</w:t>
            </w:r>
          </w:p>
        </w:tc>
        <w:tc>
          <w:tcPr>
            <w:tcW w:w="851" w:type="dxa"/>
            <w:noWrap/>
            <w:vAlign w:val="center"/>
          </w:tcPr>
          <w:p w14:paraId="2B1E38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415C5BC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continue"/>
            <w:vAlign w:val="center"/>
          </w:tcPr>
          <w:p w14:paraId="0F3A8D16">
            <w:pPr>
              <w:widowControl/>
              <w:jc w:val="center"/>
              <w:rPr>
                <w:rFonts w:hint="default" w:ascii="Times New Roman" w:hAnsi="Times New Roman" w:eastAsia="宋体" w:cs="Times New Roman"/>
                <w:color w:val="auto"/>
                <w:kern w:val="0"/>
                <w:sz w:val="20"/>
                <w:szCs w:val="20"/>
              </w:rPr>
            </w:pPr>
          </w:p>
        </w:tc>
      </w:tr>
      <w:tr w14:paraId="5A4E3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3061963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Keating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{"citationID":"TlCvkiJN","properties":{"unsorted":false,"formattedCitation":"\\super 27\\nosupersub{}","plainCitation":"27","noteIndex":0},"citationItems":[{"id":6671,"uris":["http://zotero.org/users/local/9LWqYmzn/items/QDQPEH9V"],"itemData":{"id":6671,"type":"article-journal","abstract":"Methods: Twenty-nine inactive and overweight/obese (BMI &gt;25kg/m2) adults (age 29-59) were randomized to receive 8 weeks of PRT (n=15, 10 exercises per session, 8-12 repetitions, 2-3 sets per exercise at 80-85% of 1-repetition maximum, 3 days per week) or a shamexercise placebo control (CON) (n=14). Change in liver fat, VAT and abdominal subcutaneous adipose tissue (SAT) and were assessed via magnetic resonance spectroscopy (1H-MRS) and imaging (MRI).\nResults: There were no significant group by time interactions for change in liver fat (-0.07 ± 0.31% in PRT vs. 0.55 ± 0.77% in CON, p=0.19), VAT (-175 ± 85cm3 in PRT vs. 10 ± 64cm3 in CON, p=0.11) or abdominal SAT (-436 ± 245cm3 in PRT vs 127.29 ± 182cm3 in CON, p=0.10) despite a significant increase in muscle volume (55 ± 78cm3 in PRT vs. -0.04 ± 8cm3 in CON, p=0.03).\nConclusion: Traditional progressive resistance training is not effective for reducing liver fat in overweight/obese adults compared with placebo control. While PRT has known metabolic benefits, an adequate volume of aerobic exercise should be promoted if liver fat is the therapeutic target.","call-number":"3","citation-key":"keatingEffectResistanceTraining2017","container-title":"Hepatology Research","DOI":"10.1111/hepr.12781","ISSN":"1386-6346, 1872-034X","issue":"7","journalAbbreviation":"Hepatology Research","language":"en","license":"http://onlinelibrary.wiley.com/termsAndConditions#vor","note":"JCR分区: Q2\n中科院分区升级版: 医学3区\n中科院分区基础版: 医学3区\n影响因子: 3.4\n5年影响因子: 3.3","page":"622-631","source":"3.4","title":"Effect of resistance training on liver fat and visceral adiposity in adults with obesity: A randomized controlled trial","title-short":"Effect of resistance training on liver fat and visceral adiposity in adults with obesity","volume":"47","author":[{"family":"Keating","given":"Shelley E."},{"family":"Hackett","given":"Daniel A."},{"family":"Parker","given":"Helen M."},{"family":"Way","given":"Kimberley L."},{"family":"O'Connor","given":"Helen T."},{"family":"Sainsbury","given":"Amanda"},{"family":"Baker","given":"Michael K."},{"family":"Chuter","given":"Vivienne H."},{"family":"Caterson","given":"Ian D."},{"family":"George","given":"Jacob"},{"family":"Johnson","given":"Nathan A."}],"issued":{"date-parts":[["2017",6]]}}}],"schema":"https://github.com/citation-style-language/schema/raw/master/csl-citation.json"}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2017</w:t>
            </w:r>
          </w:p>
        </w:tc>
        <w:tc>
          <w:tcPr>
            <w:tcW w:w="1247" w:type="dxa"/>
            <w:vMerge w:val="restart"/>
            <w:vAlign w:val="center"/>
          </w:tcPr>
          <w:p w14:paraId="2ACC4B6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7A760B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w:t>
            </w:r>
          </w:p>
        </w:tc>
        <w:tc>
          <w:tcPr>
            <w:tcW w:w="912" w:type="dxa"/>
            <w:vAlign w:val="center"/>
          </w:tcPr>
          <w:p w14:paraId="1D9F7B5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45.4±6.3</w:t>
            </w:r>
          </w:p>
        </w:tc>
        <w:tc>
          <w:tcPr>
            <w:tcW w:w="780" w:type="dxa"/>
            <w:vAlign w:val="center"/>
          </w:tcPr>
          <w:p w14:paraId="0A4B1F5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7EFEB7B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32.2±4.0</w:t>
            </w:r>
          </w:p>
        </w:tc>
        <w:tc>
          <w:tcPr>
            <w:tcW w:w="1077" w:type="dxa"/>
            <w:vAlign w:val="center"/>
          </w:tcPr>
          <w:p w14:paraId="0CDB5A54">
            <w:pPr>
              <w:widowControl/>
              <w:jc w:val="center"/>
              <w:rPr>
                <w:rFonts w:hint="default" w:ascii="Times New Roman" w:hAnsi="Times New Roman" w:eastAsia="宋体" w:cs="Times New Roman"/>
                <w:color w:val="auto"/>
                <w:kern w:val="0"/>
                <w:sz w:val="20"/>
                <w:szCs w:val="20"/>
              </w:rPr>
            </w:pPr>
          </w:p>
        </w:tc>
        <w:tc>
          <w:tcPr>
            <w:tcW w:w="1276" w:type="dxa"/>
            <w:vAlign w:val="center"/>
          </w:tcPr>
          <w:p w14:paraId="5624F07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622964D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690F3A2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836585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504</w:t>
            </w:r>
          </w:p>
        </w:tc>
        <w:tc>
          <w:tcPr>
            <w:tcW w:w="851" w:type="dxa"/>
            <w:noWrap/>
            <w:vAlign w:val="center"/>
          </w:tcPr>
          <w:p w14:paraId="27E7AC3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DC7878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843" w:type="dxa"/>
            <w:vMerge w:val="restart"/>
            <w:vAlign w:val="center"/>
          </w:tcPr>
          <w:p w14:paraId="6AA86C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143A8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055A322D">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0439860">
            <w:pPr>
              <w:widowControl/>
              <w:jc w:val="center"/>
              <w:rPr>
                <w:rFonts w:hint="default" w:ascii="Times New Roman" w:hAnsi="Times New Roman" w:eastAsia="宋体" w:cs="Times New Roman"/>
                <w:color w:val="auto"/>
                <w:kern w:val="0"/>
                <w:sz w:val="20"/>
                <w:szCs w:val="20"/>
              </w:rPr>
            </w:pPr>
          </w:p>
        </w:tc>
        <w:tc>
          <w:tcPr>
            <w:tcW w:w="814" w:type="dxa"/>
            <w:vAlign w:val="center"/>
          </w:tcPr>
          <w:p w14:paraId="6C3985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CG:14</w:t>
            </w:r>
          </w:p>
        </w:tc>
        <w:tc>
          <w:tcPr>
            <w:tcW w:w="912" w:type="dxa"/>
            <w:vAlign w:val="center"/>
          </w:tcPr>
          <w:p w14:paraId="75BAA59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44.2±10.5</w:t>
            </w:r>
          </w:p>
        </w:tc>
        <w:tc>
          <w:tcPr>
            <w:tcW w:w="780" w:type="dxa"/>
            <w:vAlign w:val="center"/>
          </w:tcPr>
          <w:p w14:paraId="146EB57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63497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30.8±3.7</w:t>
            </w:r>
          </w:p>
        </w:tc>
        <w:tc>
          <w:tcPr>
            <w:tcW w:w="1077" w:type="dxa"/>
            <w:vAlign w:val="center"/>
          </w:tcPr>
          <w:p w14:paraId="5AB56F69">
            <w:pPr>
              <w:widowControl/>
              <w:jc w:val="center"/>
              <w:rPr>
                <w:rFonts w:hint="default" w:ascii="Times New Roman" w:hAnsi="Times New Roman" w:eastAsia="宋体" w:cs="Times New Roman"/>
                <w:color w:val="auto"/>
                <w:kern w:val="0"/>
                <w:sz w:val="20"/>
                <w:szCs w:val="20"/>
              </w:rPr>
            </w:pPr>
          </w:p>
        </w:tc>
        <w:tc>
          <w:tcPr>
            <w:tcW w:w="1276" w:type="dxa"/>
            <w:vAlign w:val="center"/>
          </w:tcPr>
          <w:p w14:paraId="7D7FE2FC">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2E33E79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18476FA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792580C">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4486EB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9CB6E3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C4F2B3C">
            <w:pPr>
              <w:widowControl/>
              <w:jc w:val="center"/>
              <w:rPr>
                <w:rFonts w:hint="default" w:ascii="Times New Roman" w:hAnsi="Times New Roman" w:eastAsia="宋体" w:cs="Times New Roman"/>
                <w:color w:val="auto"/>
                <w:kern w:val="0"/>
                <w:sz w:val="20"/>
                <w:szCs w:val="20"/>
              </w:rPr>
            </w:pPr>
          </w:p>
        </w:tc>
      </w:tr>
      <w:tr w14:paraId="5A000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59" w:hRule="atLeast"/>
          <w:jc w:val="center"/>
        </w:trPr>
        <w:tc>
          <w:tcPr>
            <w:tcW w:w="1746" w:type="dxa"/>
            <w:vMerge w:val="restart"/>
            <w:vAlign w:val="center"/>
          </w:tcPr>
          <w:p w14:paraId="24CE9B6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Wu</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{"citationID":"gikgIx1B","properties":{"unsorted":false,"formattedCitation":"\\super 28\\nosupersub{}","plainCitation":"28","noteIndex":0},"citationItems":[{"id":6673,"uris":["http://zotero.org/users/local/9LWqYmzn/items/ZWIXPFAH"],"itemData":{"id":6673,"type":"article-journal","abstract":"We investigated the effect of exercise training on body composition change in women. Nineteen Mexican-American and 18 Korean premenopausal overweight/obese women were randomized into one of the following groups: control, low-intensity training group (LI), and high-intensity training group (HI). Subjects completed 12 weeks of training at 50–56% maximal oxygen consumption (LI) or 65–70% maximal oxygen consumption (HI). Body composition components were measured at baseline and after training using dual-energy X-ray absorptiometry for Mexican-Americans, while whole-body composition was measured by the direct segmental multifrequency bioelectrical impedance analysis and abdominal fat was measured by single-slice computed tomography for Koreans. Data were analyzed using mixed-model repeated measures independent of age, ethnicity, and body mass index (BMI). Exercise training showed a significant effect on BMI, fat percentage, fat mass, lean mass, and visceral adipose tissue area. HI significantly decreased fat mass and fat percentage but increased lean mass (all\n              \n                P\n                &lt;\n                0.05\n              \n              ). LI significantly reduced BMI, fat mass, fat percentage, and visceral adipose tissue area but increased lean mass (all\n              \n                P\n                &lt;\n                0.05\n              \n              ). Exercise training had a beneficial effect on reducing BMI, fat percentage, fat mass, and visceral adipose tissue area but had no effect on increasing lean mass for Mexican-American and Korean premenopausal overweight/obese women.","citation-key":"wuEffectsExerciseTraining2017","container-title":"International Journal of Endocrinology","DOI":"10.1155/2017/5465869","ISSN":"1687-8337, 1687-8345","journalAbbreviation":"International Journal of Endocrinology","language":"en","license":"http://creativecommons.org/licenses/by/4.0/","note":"JCR分区: Q3\n中科院分区升级版: 医学4区\n中科院分区基础版: 医学3区\n影响因子: 2.3\n5年影响因子: 2.6","page":"1-7","source":"2.3","title":"Effects of exercise training on fat loss and lean mass gain in mexican-American and korean premenopausal women","volume":"2017","author":[{"family":"Wu","given":"Shenghui"},{"family":"Park","given":"Kyung-Shin"},{"family":"McCormick","given":"Joseph B."}],"issued":{"date-parts":[["2017"]]}}}],"schema":"https://github.com/citation-style-language/schema/raw/master/csl-citation.json"}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2017</w:t>
            </w:r>
          </w:p>
        </w:tc>
        <w:tc>
          <w:tcPr>
            <w:tcW w:w="1247" w:type="dxa"/>
            <w:vMerge w:val="restart"/>
            <w:vAlign w:val="center"/>
          </w:tcPr>
          <w:p w14:paraId="252C2B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2A8F09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IG:6</w:t>
            </w:r>
          </w:p>
        </w:tc>
        <w:tc>
          <w:tcPr>
            <w:tcW w:w="912" w:type="dxa"/>
            <w:vAlign w:val="center"/>
          </w:tcPr>
          <w:p w14:paraId="4C64A35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25.8±5.3</w:t>
            </w:r>
          </w:p>
        </w:tc>
        <w:tc>
          <w:tcPr>
            <w:tcW w:w="780" w:type="dxa"/>
            <w:vAlign w:val="center"/>
          </w:tcPr>
          <w:p w14:paraId="4BDB2E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29A762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36.1±2.3</w:t>
            </w:r>
          </w:p>
        </w:tc>
        <w:tc>
          <w:tcPr>
            <w:tcW w:w="1077" w:type="dxa"/>
            <w:vAlign w:val="center"/>
          </w:tcPr>
          <w:p w14:paraId="6AB428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41.3±2.5</w:t>
            </w:r>
          </w:p>
        </w:tc>
        <w:tc>
          <w:tcPr>
            <w:tcW w:w="1276" w:type="dxa"/>
            <w:vAlign w:val="center"/>
          </w:tcPr>
          <w:p w14:paraId="1C90669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6ABBE96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45F5B94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7ED1E71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812</w:t>
            </w:r>
          </w:p>
        </w:tc>
        <w:tc>
          <w:tcPr>
            <w:tcW w:w="851" w:type="dxa"/>
            <w:noWrap/>
            <w:vAlign w:val="center"/>
          </w:tcPr>
          <w:p w14:paraId="559AE7F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2C2F3A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62</w:t>
            </w:r>
          </w:p>
        </w:tc>
        <w:tc>
          <w:tcPr>
            <w:tcW w:w="1843" w:type="dxa"/>
            <w:vMerge w:val="restart"/>
            <w:vAlign w:val="center"/>
          </w:tcPr>
          <w:p w14:paraId="7C0B56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DXA</w:t>
            </w:r>
          </w:p>
        </w:tc>
      </w:tr>
      <w:tr w14:paraId="7672A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F00DFF8">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F9D14CB">
            <w:pPr>
              <w:widowControl/>
              <w:jc w:val="center"/>
              <w:rPr>
                <w:rFonts w:hint="default" w:ascii="Times New Roman" w:hAnsi="Times New Roman" w:eastAsia="宋体" w:cs="Times New Roman"/>
                <w:color w:val="auto"/>
                <w:kern w:val="0"/>
                <w:sz w:val="20"/>
                <w:szCs w:val="20"/>
              </w:rPr>
            </w:pPr>
          </w:p>
        </w:tc>
        <w:tc>
          <w:tcPr>
            <w:tcW w:w="814" w:type="dxa"/>
            <w:vAlign w:val="center"/>
          </w:tcPr>
          <w:p w14:paraId="7833989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CG:6</w:t>
            </w:r>
          </w:p>
        </w:tc>
        <w:tc>
          <w:tcPr>
            <w:tcW w:w="912" w:type="dxa"/>
            <w:vAlign w:val="center"/>
          </w:tcPr>
          <w:p w14:paraId="6E70F7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28.8±5.5</w:t>
            </w:r>
          </w:p>
        </w:tc>
        <w:tc>
          <w:tcPr>
            <w:tcW w:w="780" w:type="dxa"/>
            <w:vAlign w:val="center"/>
          </w:tcPr>
          <w:p w14:paraId="7ECEEBB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3360DE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32.2±2.5</w:t>
            </w:r>
          </w:p>
        </w:tc>
        <w:tc>
          <w:tcPr>
            <w:tcW w:w="1077" w:type="dxa"/>
            <w:vAlign w:val="center"/>
          </w:tcPr>
          <w:p w14:paraId="2BC0D80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40.3±2.5</w:t>
            </w:r>
          </w:p>
        </w:tc>
        <w:tc>
          <w:tcPr>
            <w:tcW w:w="1276" w:type="dxa"/>
            <w:vAlign w:val="center"/>
          </w:tcPr>
          <w:p w14:paraId="202B337F">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4634B28">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04703F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F6FEAAE">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238AE7C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2EAC3F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36BB7B0">
            <w:pPr>
              <w:widowControl/>
              <w:jc w:val="center"/>
              <w:rPr>
                <w:rFonts w:hint="default" w:ascii="Times New Roman" w:hAnsi="Times New Roman" w:eastAsia="宋体" w:cs="Times New Roman"/>
                <w:color w:val="auto"/>
                <w:kern w:val="0"/>
                <w:sz w:val="20"/>
                <w:szCs w:val="20"/>
              </w:rPr>
            </w:pPr>
          </w:p>
        </w:tc>
      </w:tr>
      <w:tr w14:paraId="35C6C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281E188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Houghton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{"citationID":"fhL0EVMc","properties":{"unsorted":false,"formattedCitation":"\\super 29\\nosupersub{}","plainCitation":"29","noteIndex":0},"citationItems":[{"id":6675,"uris":["http://zotero.org/users/local/9LWqYmzn/items/8GG9RHCJ"],"itemData":{"id":6675,"type":"article-journal","citation-key":"houghtonExerciseReducesLiver2017","container-title":"Clinical Gastroenterology and Hepatology","DOI":"10.1016/j.cgh.2016.07.031","ISSN":"15423565","issue":"1","journalAbbreviation":"Clinical Gastroenterology and Hepatology","language":"en","note":"JCR分区: Q1\n中科院分区升级版: 医学1区\n中科院分区基础版: 医学1区\n影响因子: 12.2\n5年影响因子: 11.7","page":"96-102.e3","source":"12.0","title":"Exercise reduces liver lipids and visceral adiposity in patients with nonalcoholic steatohepatitis in a randomized controlled trial","volume":"15","author":[{"family":"Houghton","given":"David"},{"family":"Thoma","given":"Christian"},{"family":"Hallsworth","given":"Kate"},{"family":"Cassidy","given":"Sophie"},{"family":"Hardy","given":"Timothy"},{"family":"Burt","given":"Alastair D."},{"family":"Tiniakos","given":"Dina"},{"family":"Hollingsworth","given":"Kieren G."},{"family":"Taylor","given":"Roy"},{"family":"Day","given":"Christopher P."},{"family":"McPherson","given":"Stuart"},{"family":"Anstee","given":"Quentin M."},{"family":"Trenell","given":"Michael I."}],"issued":{"date-parts":[["2017",1]]}}}],"schema":"https://github.com/citation-style-language/schema/raw/master/csl-citation.json"}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29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2016</w:t>
            </w:r>
          </w:p>
        </w:tc>
        <w:tc>
          <w:tcPr>
            <w:tcW w:w="1247" w:type="dxa"/>
            <w:vMerge w:val="restart"/>
            <w:vAlign w:val="center"/>
          </w:tcPr>
          <w:p w14:paraId="259F76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UK</w:t>
            </w:r>
          </w:p>
        </w:tc>
        <w:tc>
          <w:tcPr>
            <w:tcW w:w="814" w:type="dxa"/>
            <w:vAlign w:val="center"/>
          </w:tcPr>
          <w:p w14:paraId="7188E1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IG:12</w:t>
            </w:r>
          </w:p>
        </w:tc>
        <w:tc>
          <w:tcPr>
            <w:tcW w:w="912" w:type="dxa"/>
            <w:vAlign w:val="center"/>
          </w:tcPr>
          <w:p w14:paraId="2B371AB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54.0±12.0</w:t>
            </w:r>
          </w:p>
        </w:tc>
        <w:tc>
          <w:tcPr>
            <w:tcW w:w="780" w:type="dxa"/>
            <w:vAlign w:val="center"/>
          </w:tcPr>
          <w:p w14:paraId="7C08A1B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722FDA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33.0±5.0</w:t>
            </w:r>
          </w:p>
        </w:tc>
        <w:tc>
          <w:tcPr>
            <w:tcW w:w="1077" w:type="dxa"/>
            <w:vAlign w:val="center"/>
          </w:tcPr>
          <w:p w14:paraId="30DEE447">
            <w:pPr>
              <w:widowControl/>
              <w:jc w:val="center"/>
              <w:rPr>
                <w:rFonts w:hint="default" w:ascii="Times New Roman" w:hAnsi="Times New Roman" w:eastAsia="宋体" w:cs="Times New Roman"/>
                <w:color w:val="auto"/>
                <w:kern w:val="0"/>
                <w:sz w:val="20"/>
                <w:szCs w:val="20"/>
              </w:rPr>
            </w:pPr>
          </w:p>
        </w:tc>
        <w:tc>
          <w:tcPr>
            <w:tcW w:w="1276" w:type="dxa"/>
            <w:vAlign w:val="center"/>
          </w:tcPr>
          <w:p w14:paraId="71E848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72096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w:t>
            </w:r>
          </w:p>
        </w:tc>
        <w:tc>
          <w:tcPr>
            <w:tcW w:w="1276" w:type="dxa"/>
            <w:vAlign w:val="center"/>
          </w:tcPr>
          <w:p w14:paraId="382A4D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9E109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675</w:t>
            </w:r>
          </w:p>
        </w:tc>
        <w:tc>
          <w:tcPr>
            <w:tcW w:w="851" w:type="dxa"/>
            <w:noWrap/>
            <w:vAlign w:val="center"/>
          </w:tcPr>
          <w:p w14:paraId="593B266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4D3C164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w:t>
            </w:r>
          </w:p>
        </w:tc>
        <w:tc>
          <w:tcPr>
            <w:tcW w:w="1843" w:type="dxa"/>
            <w:vMerge w:val="restart"/>
            <w:vAlign w:val="center"/>
          </w:tcPr>
          <w:p w14:paraId="152E8C3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3B2DF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2575A867">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DCA3DED">
            <w:pPr>
              <w:widowControl/>
              <w:jc w:val="center"/>
              <w:rPr>
                <w:rFonts w:hint="default" w:ascii="Times New Roman" w:hAnsi="Times New Roman" w:eastAsia="宋体" w:cs="Times New Roman"/>
                <w:color w:val="auto"/>
                <w:kern w:val="0"/>
                <w:sz w:val="20"/>
                <w:szCs w:val="20"/>
              </w:rPr>
            </w:pPr>
          </w:p>
        </w:tc>
        <w:tc>
          <w:tcPr>
            <w:tcW w:w="814" w:type="dxa"/>
            <w:vAlign w:val="center"/>
          </w:tcPr>
          <w:p w14:paraId="42B6840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CG:12</w:t>
            </w:r>
          </w:p>
        </w:tc>
        <w:tc>
          <w:tcPr>
            <w:tcW w:w="912" w:type="dxa"/>
            <w:vAlign w:val="center"/>
          </w:tcPr>
          <w:p w14:paraId="6EF35BE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51.0±16.0</w:t>
            </w:r>
          </w:p>
        </w:tc>
        <w:tc>
          <w:tcPr>
            <w:tcW w:w="780" w:type="dxa"/>
            <w:vAlign w:val="center"/>
          </w:tcPr>
          <w:p w14:paraId="09198D9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3459268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33.0±7.0</w:t>
            </w:r>
          </w:p>
        </w:tc>
        <w:tc>
          <w:tcPr>
            <w:tcW w:w="1077" w:type="dxa"/>
            <w:vAlign w:val="center"/>
          </w:tcPr>
          <w:p w14:paraId="5B27F8FC">
            <w:pPr>
              <w:widowControl/>
              <w:jc w:val="center"/>
              <w:rPr>
                <w:rFonts w:hint="default" w:ascii="Times New Roman" w:hAnsi="Times New Roman" w:eastAsia="宋体" w:cs="Times New Roman"/>
                <w:color w:val="auto"/>
                <w:kern w:val="0"/>
                <w:sz w:val="20"/>
                <w:szCs w:val="20"/>
              </w:rPr>
            </w:pPr>
          </w:p>
        </w:tc>
        <w:tc>
          <w:tcPr>
            <w:tcW w:w="1276" w:type="dxa"/>
            <w:vAlign w:val="center"/>
          </w:tcPr>
          <w:p w14:paraId="2787C3A0">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1E68901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C6BA5D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8C5A50F">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15A11A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7633DE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549CC43">
            <w:pPr>
              <w:widowControl/>
              <w:jc w:val="center"/>
              <w:rPr>
                <w:rFonts w:hint="default" w:ascii="Times New Roman" w:hAnsi="Times New Roman" w:eastAsia="宋体" w:cs="Times New Roman"/>
                <w:color w:val="auto"/>
                <w:kern w:val="0"/>
                <w:sz w:val="20"/>
                <w:szCs w:val="20"/>
              </w:rPr>
            </w:pPr>
          </w:p>
        </w:tc>
      </w:tr>
      <w:tr w14:paraId="4DF5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5" w:hRule="atLeast"/>
          <w:jc w:val="center"/>
        </w:trPr>
        <w:tc>
          <w:tcPr>
            <w:tcW w:w="1746" w:type="dxa"/>
            <w:vMerge w:val="restart"/>
            <w:vAlign w:val="center"/>
          </w:tcPr>
          <w:p w14:paraId="6CCCED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Zhang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{"citationID":"2WkUXtAq","properties":{"unsorted":false,"formattedCitation":"\\super 30\\nosupersub{}","plainCitation":"30","noteIndex":0},"citationItems":[{"id":6677,"uris":["http://zotero.org/users/local/9LWqYmzn/items/CRU3SWHK"],"itemData":{"id":6677,"type":"article-journal","abstract":"This study compared the effect of prolonged moderate-intensity continuous training (MICT) on reducing abdominal visceral fat in obese young women with that of work-equivalent (300 kJ/training session) high-intensity interval training (HIIT). Forty-three participants received either HIIT (\n              \n                n\n                =\n                15\n              \n              ), MICT (\n              \n                n\n                =\n                15\n              \n              ), or no training (CON,\n              \n                n\n                =\n                13\n              \n              ) for 12 weeks. The abdominal visceral fat area (AVFA) and abdominal subcutaneous fat area (ASFA) of the participants were measured through computed tomography scans preintervention and postintervention. Total fat mass and the fat mass of the android, gynoid, and trunk regions were assessed through dual-energy X-ray absorptiometry. Following HIIT and MICT, comparable reductions in AVFA (−9.1, −9.2 cm\n              2\n              ), ASFA (−35, −28.3 cm\n              2\n              ), and combined AVFA and ASFA (−44.7, −37.5 cm\n              2\n              ,\n              \n                p\n                &gt;\n                0\n                .\n                05\n              \n              ) were observed. Similarly, reductions in fat percentage (−2.5%, −2.4%), total fat mass (−2.8, −2.8 kg), and fat mass of the android (−0.3, −0.3 kg), gynoid (−0.5, −0.7 kg), and trunk (−1.6, −1.2 kg,\n              \n                p\n                &gt;\n                0\n                .\n                05\n              \n              ) regions did not differ between HIIT and MICT. No variable changed in CON. In conclusion, MICT consisting of prolonged sessions has no quantitative advantage, compared with that resulting from HIIT, in abdominal visceral fat reduction. HIIT appears to be the predominant strategy for controlling obesity because of its time efficiency.","citation-key":"zhangComparableEffectsHighIntensity2017","container-title":"Journal of Diabetes Research","DOI":"10.1155/2017/5071740","ISSN":"2314-6745, 2314-6753","journalAbbreviation":"Journal of Diabetes Research","language":"en","license":"http://creativecommons.org/licenses/by/4.0/","note":"JCR分区: Q2\n中科院分区升级版: 医学3区\n中科院分区基础版: 医学3区\n影响因子: 3.4\n5年影响因子: 4.4","page":"1-9","source":"3.4","title":"Comparable Effects of High-Intensity Interval Training and Prolonged Continuous Exercise Training on Abdominal Visceral Fat Reduction in Obese Young Women","volume":"2017","author":[{"family":"Zhang","given":"Haifeng"},{"family":"Tong","given":"Tom K."},{"family":"Qiu","given":"Weifeng"},{"family":"Zhang","given":"Xu"},{"family":"Zhou","given":"Shi"},{"family":"Liu","given":"Yang"},{"family":"He","given":"Yuxiu"}],"issued":{"date-parts":[["2017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2017</w:t>
            </w:r>
          </w:p>
        </w:tc>
        <w:tc>
          <w:tcPr>
            <w:tcW w:w="1247" w:type="dxa"/>
            <w:vMerge w:val="restart"/>
            <w:vAlign w:val="center"/>
          </w:tcPr>
          <w:p w14:paraId="0CB770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p>
        </w:tc>
        <w:tc>
          <w:tcPr>
            <w:tcW w:w="814" w:type="dxa"/>
            <w:vAlign w:val="center"/>
          </w:tcPr>
          <w:p w14:paraId="745DB89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IG1:15</w:t>
            </w:r>
          </w:p>
        </w:tc>
        <w:tc>
          <w:tcPr>
            <w:tcW w:w="912" w:type="dxa"/>
            <w:vAlign w:val="center"/>
          </w:tcPr>
          <w:p w14:paraId="4A800DF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21.5±1.7</w:t>
            </w:r>
          </w:p>
        </w:tc>
        <w:tc>
          <w:tcPr>
            <w:tcW w:w="780" w:type="dxa"/>
            <w:vAlign w:val="center"/>
          </w:tcPr>
          <w:p w14:paraId="2DA3A5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7A0951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38.1±2.3</w:t>
            </w:r>
          </w:p>
        </w:tc>
        <w:tc>
          <w:tcPr>
            <w:tcW w:w="1077" w:type="dxa"/>
            <w:vAlign w:val="center"/>
          </w:tcPr>
          <w:p w14:paraId="527AA792">
            <w:pPr>
              <w:widowControl/>
              <w:jc w:val="center"/>
              <w:rPr>
                <w:rFonts w:hint="default" w:ascii="Times New Roman" w:hAnsi="Times New Roman" w:eastAsia="宋体" w:cs="Times New Roman"/>
                <w:color w:val="auto"/>
                <w:kern w:val="0"/>
                <w:sz w:val="20"/>
                <w:szCs w:val="20"/>
              </w:rPr>
            </w:pPr>
          </w:p>
        </w:tc>
        <w:tc>
          <w:tcPr>
            <w:tcW w:w="1276" w:type="dxa"/>
            <w:vAlign w:val="center"/>
          </w:tcPr>
          <w:p w14:paraId="467B6F9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875E99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2E8F6D5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F61BB5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924</w:t>
            </w:r>
          </w:p>
        </w:tc>
        <w:tc>
          <w:tcPr>
            <w:tcW w:w="851" w:type="dxa"/>
            <w:noWrap/>
            <w:vAlign w:val="center"/>
          </w:tcPr>
          <w:p w14:paraId="735D605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60467C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76</w:t>
            </w:r>
          </w:p>
        </w:tc>
        <w:tc>
          <w:tcPr>
            <w:tcW w:w="1843" w:type="dxa"/>
            <w:vMerge w:val="restart"/>
            <w:vAlign w:val="center"/>
          </w:tcPr>
          <w:p w14:paraId="0B155F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2CAB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90160A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4E58157">
            <w:pPr>
              <w:widowControl/>
              <w:jc w:val="center"/>
              <w:rPr>
                <w:rFonts w:hint="default" w:ascii="Times New Roman" w:hAnsi="Times New Roman" w:eastAsia="宋体" w:cs="Times New Roman"/>
                <w:color w:val="auto"/>
                <w:kern w:val="0"/>
                <w:sz w:val="20"/>
                <w:szCs w:val="20"/>
              </w:rPr>
            </w:pPr>
          </w:p>
        </w:tc>
        <w:tc>
          <w:tcPr>
            <w:tcW w:w="814" w:type="dxa"/>
            <w:vAlign w:val="center"/>
          </w:tcPr>
          <w:p w14:paraId="239FD9E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IG2:15</w:t>
            </w:r>
          </w:p>
        </w:tc>
        <w:tc>
          <w:tcPr>
            <w:tcW w:w="912" w:type="dxa"/>
            <w:vAlign w:val="center"/>
          </w:tcPr>
          <w:p w14:paraId="4677FB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20.9±1.4</w:t>
            </w:r>
          </w:p>
        </w:tc>
        <w:tc>
          <w:tcPr>
            <w:tcW w:w="780" w:type="dxa"/>
            <w:vAlign w:val="center"/>
          </w:tcPr>
          <w:p w14:paraId="03EC53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1C3BFCA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38.0±2.1</w:t>
            </w:r>
          </w:p>
        </w:tc>
        <w:tc>
          <w:tcPr>
            <w:tcW w:w="1077" w:type="dxa"/>
            <w:vAlign w:val="center"/>
          </w:tcPr>
          <w:p w14:paraId="4458A36E">
            <w:pPr>
              <w:widowControl/>
              <w:jc w:val="center"/>
              <w:rPr>
                <w:rFonts w:hint="default" w:ascii="Times New Roman" w:hAnsi="Times New Roman" w:eastAsia="宋体" w:cs="Times New Roman"/>
                <w:color w:val="auto"/>
                <w:kern w:val="0"/>
                <w:sz w:val="20"/>
                <w:szCs w:val="20"/>
              </w:rPr>
            </w:pPr>
          </w:p>
        </w:tc>
        <w:tc>
          <w:tcPr>
            <w:tcW w:w="1276" w:type="dxa"/>
            <w:vAlign w:val="center"/>
          </w:tcPr>
          <w:p w14:paraId="17828A1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5F8EAC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9548EC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BF5DC4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221173C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1293723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continue"/>
            <w:vAlign w:val="center"/>
          </w:tcPr>
          <w:p w14:paraId="3D923293">
            <w:pPr>
              <w:widowControl/>
              <w:jc w:val="center"/>
              <w:rPr>
                <w:rFonts w:hint="default" w:ascii="Times New Roman" w:hAnsi="Times New Roman" w:eastAsia="宋体" w:cs="Times New Roman"/>
                <w:color w:val="auto"/>
                <w:kern w:val="0"/>
                <w:sz w:val="20"/>
                <w:szCs w:val="20"/>
              </w:rPr>
            </w:pPr>
          </w:p>
        </w:tc>
      </w:tr>
      <w:tr w14:paraId="3399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A7348D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3BDE306">
            <w:pPr>
              <w:widowControl/>
              <w:jc w:val="center"/>
              <w:rPr>
                <w:rFonts w:hint="default" w:ascii="Times New Roman" w:hAnsi="Times New Roman" w:eastAsia="宋体" w:cs="Times New Roman"/>
                <w:color w:val="auto"/>
                <w:kern w:val="0"/>
                <w:sz w:val="20"/>
                <w:szCs w:val="20"/>
              </w:rPr>
            </w:pPr>
          </w:p>
        </w:tc>
        <w:tc>
          <w:tcPr>
            <w:tcW w:w="814" w:type="dxa"/>
            <w:vAlign w:val="center"/>
          </w:tcPr>
          <w:p w14:paraId="56BB60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CG:13</w:t>
            </w:r>
          </w:p>
        </w:tc>
        <w:tc>
          <w:tcPr>
            <w:tcW w:w="912" w:type="dxa"/>
            <w:vAlign w:val="center"/>
          </w:tcPr>
          <w:p w14:paraId="6D75E4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20.8±1.1</w:t>
            </w:r>
          </w:p>
        </w:tc>
        <w:tc>
          <w:tcPr>
            <w:tcW w:w="780" w:type="dxa"/>
            <w:vAlign w:val="center"/>
          </w:tcPr>
          <w:p w14:paraId="5ED9C1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2EEEB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40.9±2.9</w:t>
            </w:r>
          </w:p>
        </w:tc>
        <w:tc>
          <w:tcPr>
            <w:tcW w:w="1077" w:type="dxa"/>
            <w:vAlign w:val="center"/>
          </w:tcPr>
          <w:p w14:paraId="02C086B9">
            <w:pPr>
              <w:widowControl/>
              <w:jc w:val="center"/>
              <w:rPr>
                <w:rFonts w:hint="default" w:ascii="Times New Roman" w:hAnsi="Times New Roman" w:eastAsia="宋体" w:cs="Times New Roman"/>
                <w:color w:val="auto"/>
                <w:kern w:val="0"/>
                <w:sz w:val="20"/>
                <w:szCs w:val="20"/>
              </w:rPr>
            </w:pPr>
          </w:p>
        </w:tc>
        <w:tc>
          <w:tcPr>
            <w:tcW w:w="1276" w:type="dxa"/>
            <w:vAlign w:val="center"/>
          </w:tcPr>
          <w:p w14:paraId="2EFD203B">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3FCA33AE">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4B2D663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7B6205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102BE5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14BB258">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005A50C">
            <w:pPr>
              <w:widowControl/>
              <w:jc w:val="center"/>
              <w:rPr>
                <w:rFonts w:hint="default" w:ascii="Times New Roman" w:hAnsi="Times New Roman" w:eastAsia="宋体" w:cs="Times New Roman"/>
                <w:color w:val="auto"/>
                <w:kern w:val="0"/>
                <w:sz w:val="20"/>
                <w:szCs w:val="20"/>
              </w:rPr>
            </w:pPr>
          </w:p>
        </w:tc>
      </w:tr>
      <w:tr w14:paraId="3C60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265010F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Cooper</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{"citationID":"wsgut7HN","properties":{"unsorted":false,"formattedCitation":"\\super 31\\nosupersub{}","plainCitation":"31","noteIndex":0},"citationItems":[{"id":6679,"uris":["http://zotero.org/users/local/9LWqYmzn/items/VWCFQ5VN"],"itemData":{"id":6679,"type":"article-journal","abstract":"Purpose\n              . Limited data exists for the effects of sprint-interval training (SIT) and endurance training (ET) on total body composition, abdominal visceral adipose tissue, and plasma inflammation. Moreover, whether “active” or “passive” recovery in SIT provides a differential effect on these measures remains uncertain.\n              Methods\n              . Sedentary middle-aged men (\n              \n                n\n                =\n                62\n              \n              ;\n              \n                49.5\n                ±\n                5.8\n              \n               y;\n              \n                29.7\n                ±\n                3.7\n              \n               kg·m\n              2\n              ) underwent abdominal computed tomography, dual-energy X-ray absorptiometry, venepuncture, and exercise testing before and after the interventions, which included the following: 12 wks 3 d·wk\n              −1\n               ET (\n              \n                n\n                =\n                15\n              \n              ; 50–60 min cycling; 80% \n              \n                \n                  \n                    \n                      H\n                      R\n                    \n                    \n                      m\n                      a\n                      x\n                    \n                  \n                \n              \n              ), SIT (4–10 × 30 s sprint efforts) with passive (P-SIT;\n              \n                n\n                =\n                15\n              \n              ) or active recovery (A-SIT;\n              \n                n\n                =\n                15\n              \n              ); or nonexercise control condition (CON;\n              \n                n\n                =\n                14\n              \n              ). Changes in cardiorespiratory fitness, whole-body and visceral fat mass, and plasma systemic inflammation were examined.\n              Results\n              . Compared to CON, significant increases in interpolated power output (P-SIT,\n              \n                P\n                &lt;\n                0.001\n              \n              ; ET,\n              \n                P\n                =\n                0.012\n              \n              ; A-SIT,\n              \n                P\n                =\n                0.041\n              \n              ) and test duration (P-SIT,\n              \n                P\n                =\n                0.001\n              \n              ; ET,\n              \n                P\n                =\n                0.012\n              \n              ; A-SIT,\n              \n                P\n                =\n                0.046\n              \n              ) occurred after training. Final VO\n              2\n              consumption was increased after P-SIT only (\n              \n                P\n                &lt;\n                0.001\n              \n              ). Despite &gt;90% exercise compliance, there was no change in whole-body or visceral fat mass or plasma inflammation (\n              \n                P\n                &gt;\n                0.05\n              \n              ).\n              Conclusion\n              . In sedentary middle-aged men, SIT was a time-effective alternative to ET in facilitating conditioning responses yet was ineffective in altering body composition and plasma inflammation, and compared to passive recovery, evidenced diminished conditioning responses when employing active recovery.","citation-key":"cooperLimitedEffectsEndurance2016","container-title":"Journal of Obesity","DOI":"10.1155/2016/2479597","ISSN":"2090-0708, 2090-0716","journalAbbreviation":"Journal of Obesity","language":"en","license":"http://creativecommons.org/licenses/by/4.0/","note":"中科院分区升级版: 医学3区\n影响因子: 3.9\n5年影响因子: 4.0","page":"1-10","source":"3.9","title":"Limited effects of endurance or interval training on visceral adipose tissue and systemic inflammation in sedentary middle-aged men","volume":"2016","author":[{"family":"Cooper","given":"Joshua H. F."},{"family":"Collins","given":"Blake E. G."},{"family":"Adams","given":"David R."},{"family":"Robergs","given":"Robert A."},{"family":"Donges","given":"Cheyne E."}],"issued":{"date-parts":[["2016"]]}}}],"schema":"https://github.com/citation-style-language/schema/raw/master/csl-citation.json"}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2016</w:t>
            </w:r>
          </w:p>
        </w:tc>
        <w:tc>
          <w:tcPr>
            <w:tcW w:w="1247" w:type="dxa"/>
            <w:vMerge w:val="restart"/>
            <w:vAlign w:val="center"/>
          </w:tcPr>
          <w:p w14:paraId="68A6BEB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5FEEA80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IG1:15</w:t>
            </w:r>
          </w:p>
        </w:tc>
        <w:tc>
          <w:tcPr>
            <w:tcW w:w="912" w:type="dxa"/>
            <w:vAlign w:val="center"/>
          </w:tcPr>
          <w:p w14:paraId="61AFF31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49.1±5.3</w:t>
            </w:r>
          </w:p>
        </w:tc>
        <w:tc>
          <w:tcPr>
            <w:tcW w:w="780" w:type="dxa"/>
            <w:vAlign w:val="center"/>
          </w:tcPr>
          <w:p w14:paraId="360CE90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2854BC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29.7±4.0</w:t>
            </w:r>
          </w:p>
        </w:tc>
        <w:tc>
          <w:tcPr>
            <w:tcW w:w="1077" w:type="dxa"/>
            <w:vAlign w:val="center"/>
          </w:tcPr>
          <w:p w14:paraId="55D1AB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25.0±5.3</w:t>
            </w:r>
          </w:p>
        </w:tc>
        <w:tc>
          <w:tcPr>
            <w:tcW w:w="1276" w:type="dxa"/>
            <w:vAlign w:val="center"/>
          </w:tcPr>
          <w:p w14:paraId="67AAAF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1A0C098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18</w:t>
            </w:r>
          </w:p>
        </w:tc>
        <w:tc>
          <w:tcPr>
            <w:tcW w:w="1276" w:type="dxa"/>
            <w:vAlign w:val="center"/>
          </w:tcPr>
          <w:p w14:paraId="5AD669C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EA4695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475.2</w:t>
            </w:r>
          </w:p>
        </w:tc>
        <w:tc>
          <w:tcPr>
            <w:tcW w:w="851" w:type="dxa"/>
            <w:noWrap/>
            <w:vAlign w:val="center"/>
          </w:tcPr>
          <w:p w14:paraId="346AAA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B0DF8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24.8</w:t>
            </w:r>
          </w:p>
        </w:tc>
        <w:tc>
          <w:tcPr>
            <w:tcW w:w="1843" w:type="dxa"/>
            <w:vMerge w:val="restart"/>
            <w:vAlign w:val="center"/>
          </w:tcPr>
          <w:p w14:paraId="61F2D8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6960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EAEE043">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5DE5603">
            <w:pPr>
              <w:widowControl/>
              <w:jc w:val="center"/>
              <w:rPr>
                <w:rFonts w:hint="default" w:ascii="Times New Roman" w:hAnsi="Times New Roman" w:eastAsia="宋体" w:cs="Times New Roman"/>
                <w:color w:val="auto"/>
                <w:kern w:val="0"/>
                <w:sz w:val="20"/>
                <w:szCs w:val="20"/>
              </w:rPr>
            </w:pPr>
          </w:p>
        </w:tc>
        <w:tc>
          <w:tcPr>
            <w:tcW w:w="814" w:type="dxa"/>
            <w:vAlign w:val="center"/>
          </w:tcPr>
          <w:p w14:paraId="7D968B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IG2:15</w:t>
            </w:r>
          </w:p>
        </w:tc>
        <w:tc>
          <w:tcPr>
            <w:tcW w:w="912" w:type="dxa"/>
            <w:vAlign w:val="center"/>
          </w:tcPr>
          <w:p w14:paraId="13795CD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51.1±5.7</w:t>
            </w:r>
          </w:p>
        </w:tc>
        <w:tc>
          <w:tcPr>
            <w:tcW w:w="780" w:type="dxa"/>
            <w:vAlign w:val="center"/>
          </w:tcPr>
          <w:p w14:paraId="31EB7A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1CD04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30.6±3.4</w:t>
            </w:r>
          </w:p>
        </w:tc>
        <w:tc>
          <w:tcPr>
            <w:tcW w:w="1077" w:type="dxa"/>
            <w:vAlign w:val="center"/>
          </w:tcPr>
          <w:p w14:paraId="2129E6B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27.3±6.5</w:t>
            </w:r>
          </w:p>
        </w:tc>
        <w:tc>
          <w:tcPr>
            <w:tcW w:w="1276" w:type="dxa"/>
            <w:vAlign w:val="center"/>
          </w:tcPr>
          <w:p w14:paraId="5F83F86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vAlign w:val="center"/>
          </w:tcPr>
          <w:p w14:paraId="64DD7B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w:t>
            </w:r>
          </w:p>
        </w:tc>
        <w:tc>
          <w:tcPr>
            <w:tcW w:w="1276" w:type="dxa"/>
            <w:vAlign w:val="center"/>
          </w:tcPr>
          <w:p w14:paraId="1FC5C6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14FEE1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1122</w:t>
            </w:r>
          </w:p>
        </w:tc>
        <w:tc>
          <w:tcPr>
            <w:tcW w:w="851" w:type="dxa"/>
            <w:noWrap/>
            <w:vAlign w:val="center"/>
          </w:tcPr>
          <w:p w14:paraId="726D77A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6C93AA8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122</w:t>
            </w:r>
          </w:p>
        </w:tc>
        <w:tc>
          <w:tcPr>
            <w:tcW w:w="1843" w:type="dxa"/>
            <w:vMerge w:val="continue"/>
            <w:vAlign w:val="center"/>
          </w:tcPr>
          <w:p w14:paraId="78016A88">
            <w:pPr>
              <w:widowControl/>
              <w:jc w:val="center"/>
              <w:rPr>
                <w:rFonts w:hint="default" w:ascii="Times New Roman" w:hAnsi="Times New Roman" w:eastAsia="宋体" w:cs="Times New Roman"/>
                <w:color w:val="auto"/>
                <w:kern w:val="0"/>
                <w:sz w:val="20"/>
                <w:szCs w:val="20"/>
              </w:rPr>
            </w:pPr>
          </w:p>
        </w:tc>
      </w:tr>
      <w:tr w14:paraId="49E0D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45D1E05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F994294">
            <w:pPr>
              <w:widowControl/>
              <w:jc w:val="center"/>
              <w:rPr>
                <w:rFonts w:hint="default" w:ascii="Times New Roman" w:hAnsi="Times New Roman" w:eastAsia="宋体" w:cs="Times New Roman"/>
                <w:color w:val="auto"/>
                <w:kern w:val="0"/>
                <w:sz w:val="20"/>
                <w:szCs w:val="20"/>
              </w:rPr>
            </w:pPr>
          </w:p>
        </w:tc>
        <w:tc>
          <w:tcPr>
            <w:tcW w:w="814" w:type="dxa"/>
            <w:vAlign w:val="center"/>
          </w:tcPr>
          <w:p w14:paraId="559BE5B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CG:14</w:t>
            </w:r>
          </w:p>
        </w:tc>
        <w:tc>
          <w:tcPr>
            <w:tcW w:w="912" w:type="dxa"/>
            <w:vAlign w:val="center"/>
          </w:tcPr>
          <w:p w14:paraId="58C9191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51.2±7.0</w:t>
            </w:r>
          </w:p>
        </w:tc>
        <w:tc>
          <w:tcPr>
            <w:tcW w:w="780" w:type="dxa"/>
            <w:vAlign w:val="center"/>
          </w:tcPr>
          <w:p w14:paraId="35D45F3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2F56D0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28.7±3.6</w:t>
            </w:r>
          </w:p>
        </w:tc>
        <w:tc>
          <w:tcPr>
            <w:tcW w:w="1077" w:type="dxa"/>
            <w:vAlign w:val="center"/>
          </w:tcPr>
          <w:p w14:paraId="307E05F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25.1±5.4</w:t>
            </w:r>
          </w:p>
        </w:tc>
        <w:tc>
          <w:tcPr>
            <w:tcW w:w="1276" w:type="dxa"/>
            <w:vAlign w:val="center"/>
          </w:tcPr>
          <w:p w14:paraId="6DB80C4D">
            <w:pPr>
              <w:widowControl/>
              <w:jc w:val="center"/>
              <w:rPr>
                <w:rFonts w:hint="default" w:ascii="Times New Roman" w:hAnsi="Times New Roman" w:eastAsia="宋体" w:cs="Times New Roman"/>
                <w:color w:val="auto"/>
                <w:kern w:val="0"/>
                <w:sz w:val="20"/>
                <w:szCs w:val="20"/>
              </w:rPr>
            </w:pPr>
          </w:p>
        </w:tc>
        <w:tc>
          <w:tcPr>
            <w:tcW w:w="992" w:type="dxa"/>
            <w:vAlign w:val="center"/>
          </w:tcPr>
          <w:p w14:paraId="48BCE6ED">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11F3DCCE">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36A81FB">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38096E6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CDD0E54">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77B8D1A">
            <w:pPr>
              <w:widowControl/>
              <w:jc w:val="center"/>
              <w:rPr>
                <w:rFonts w:hint="default" w:ascii="Times New Roman" w:hAnsi="Times New Roman" w:eastAsia="宋体" w:cs="Times New Roman"/>
                <w:color w:val="auto"/>
                <w:kern w:val="0"/>
                <w:sz w:val="20"/>
                <w:szCs w:val="20"/>
              </w:rPr>
            </w:pPr>
          </w:p>
        </w:tc>
      </w:tr>
      <w:tr w14:paraId="2226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51A8737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Maillard</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{"citationID":"OdcEi3hG","properties":{"unsorted":false,"formattedCitation":"\\super 32\\nosupersub{}","plainCitation":"32","noteIndex":0},"citationItems":[{"id":6681,"uris":["http://zotero.org/users/local/9LWqYmzn/items/CATX7DBS"],"itemData":{"id":6681,"type":"article-journal","abstract":"Methods. – Seventeen women (69 ± 1 years; BMI: 31 ± 1 kg.m−2) were randomly assigned to either a HIIT [60 × (8 s at 77–85% HRmax, 12 s of active recovery)] or MICT (40 min at 55–60% of their individual HRR) cycling program for 16 weeks, 2 days/week. Dual-energy X-ray absorptiometry was used to measure whole-body and regional FM content, including abdominal adiposity and visceral adipose tissue. Plasma cholesterol, HDL, LDL, triglycerides, glucose and HbA1c levels were measured. Levels of nutritional intake and physical activity were evaluated by 7-day self-reports.\nResults. – Dietary energy (caloric) intake, physical activity level and total body mass did not vary in either group from the beginning to the end of the training intervention. Overall, total FM decreased and total fat-free mass signiﬁcantly increased over time (by around 2–3%). Total FM reduction at the end of the intervention was not signiﬁcantly different between groups. However, signiﬁcant loss of total abdominal (−8.3 ± 2.2%) and visceral (−24.2 ± 7.7%) FM was observed only with HIIT. Time effects were noted for HbA1c and total cholesterol/HDL ratio.\nConclusion. – With no concomitant caloric restriction, an HIIT program in postmenopausal women with T2D (twice a week for 16 weeks) appeared to be more effective for reducing central obesity than MICT, and could be proposed as an alternative exercise training program for this population.","call-number":"2","citation-key":"maillardHighintensityIntervalTraining2016","container-title":"Diabetes &amp; Metabolism","DOI":"10.1016/j.diabet.2016.07.031","ISSN":"12623636","issue":"6","journalAbbreviation":"Diabetes &amp; Metabolism","language":"en","note":"JCR分区: Q1\n中科院分区升级版: 医学2区\n中科院分区基础版: 医学2区\n影响因子: 4.7\n5年影响因子: 5.3","page":"433-441","source":"4.7","title":"High-intensity interval training reduces abdominal fat mass in postmenopausal women with type 2 diabetes","volume":"42","author":[{"family":"Maillard","given":"F."},{"family":"Rousset","given":"S."},{"family":"Pereira","given":"B."},{"family":"Traore","given":"A."},{"family":"De Pradel Del Amaze","given":"P."},{"family":"Boirie","given":"Y."},{"family":"Duclos","given":"M."},{"family":"Boisseau","given":"N."}],"issued":{"date-parts":[["2016",12]]}}}],"schema":"https://github.com/citation-style-language/schema/raw/master/csl-citation.json"}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2016</w:t>
            </w:r>
          </w:p>
        </w:tc>
        <w:tc>
          <w:tcPr>
            <w:tcW w:w="1247" w:type="dxa"/>
            <w:vMerge w:val="restart"/>
            <w:vAlign w:val="center"/>
          </w:tcPr>
          <w:p w14:paraId="466325A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France</w:t>
            </w:r>
          </w:p>
        </w:tc>
        <w:tc>
          <w:tcPr>
            <w:tcW w:w="814" w:type="dxa"/>
            <w:vAlign w:val="center"/>
          </w:tcPr>
          <w:p w14:paraId="64A753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IG:8</w:t>
            </w:r>
          </w:p>
        </w:tc>
        <w:tc>
          <w:tcPr>
            <w:tcW w:w="912" w:type="dxa"/>
            <w:vAlign w:val="center"/>
          </w:tcPr>
          <w:p w14:paraId="022FB0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70.1±6.8</w:t>
            </w:r>
          </w:p>
        </w:tc>
        <w:tc>
          <w:tcPr>
            <w:tcW w:w="780" w:type="dxa"/>
            <w:vAlign w:val="center"/>
          </w:tcPr>
          <w:p w14:paraId="7A9FA5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98B12F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29.7±3.4</w:t>
            </w:r>
          </w:p>
        </w:tc>
        <w:tc>
          <w:tcPr>
            <w:tcW w:w="1077" w:type="dxa"/>
            <w:vAlign w:val="center"/>
          </w:tcPr>
          <w:p w14:paraId="4762EC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37.9±3.7</w:t>
            </w:r>
          </w:p>
        </w:tc>
        <w:tc>
          <w:tcPr>
            <w:tcW w:w="1276" w:type="dxa"/>
            <w:vAlign w:val="center"/>
          </w:tcPr>
          <w:p w14:paraId="391932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16A2780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71E3E48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4EC2370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544</w:t>
            </w:r>
          </w:p>
        </w:tc>
        <w:tc>
          <w:tcPr>
            <w:tcW w:w="851" w:type="dxa"/>
            <w:noWrap/>
            <w:vAlign w:val="center"/>
          </w:tcPr>
          <w:p w14:paraId="0BC4EAD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1C7327C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44</w:t>
            </w:r>
          </w:p>
        </w:tc>
        <w:tc>
          <w:tcPr>
            <w:tcW w:w="1843" w:type="dxa"/>
            <w:vMerge w:val="restart"/>
            <w:vAlign w:val="center"/>
          </w:tcPr>
          <w:p w14:paraId="08C9008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DEXA</w:t>
            </w:r>
          </w:p>
        </w:tc>
      </w:tr>
      <w:tr w14:paraId="3690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8BFE9B6">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575BA8B">
            <w:pPr>
              <w:widowControl/>
              <w:jc w:val="center"/>
              <w:rPr>
                <w:rFonts w:hint="default" w:ascii="Times New Roman" w:hAnsi="Times New Roman" w:eastAsia="宋体" w:cs="Times New Roman"/>
                <w:color w:val="auto"/>
                <w:kern w:val="0"/>
                <w:sz w:val="20"/>
                <w:szCs w:val="20"/>
              </w:rPr>
            </w:pPr>
          </w:p>
        </w:tc>
        <w:tc>
          <w:tcPr>
            <w:tcW w:w="814" w:type="dxa"/>
            <w:vAlign w:val="center"/>
          </w:tcPr>
          <w:p w14:paraId="00822E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CG:8</w:t>
            </w:r>
          </w:p>
        </w:tc>
        <w:tc>
          <w:tcPr>
            <w:tcW w:w="912" w:type="dxa"/>
            <w:vAlign w:val="center"/>
          </w:tcPr>
          <w:p w14:paraId="1D4493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68.2±5.4</w:t>
            </w:r>
          </w:p>
        </w:tc>
        <w:tc>
          <w:tcPr>
            <w:tcW w:w="780" w:type="dxa"/>
            <w:vAlign w:val="center"/>
          </w:tcPr>
          <w:p w14:paraId="6AD8F0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1F83C8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32.6±4.8</w:t>
            </w:r>
          </w:p>
        </w:tc>
        <w:tc>
          <w:tcPr>
            <w:tcW w:w="1077" w:type="dxa"/>
            <w:vAlign w:val="center"/>
          </w:tcPr>
          <w:p w14:paraId="1DC0200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36.2±4.8</w:t>
            </w:r>
          </w:p>
        </w:tc>
        <w:tc>
          <w:tcPr>
            <w:tcW w:w="1276" w:type="dxa"/>
            <w:vAlign w:val="center"/>
          </w:tcPr>
          <w:p w14:paraId="6E98ECD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7BC3584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vAlign w:val="center"/>
          </w:tcPr>
          <w:p w14:paraId="101DDF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65245B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352</w:t>
            </w:r>
          </w:p>
        </w:tc>
        <w:tc>
          <w:tcPr>
            <w:tcW w:w="851" w:type="dxa"/>
            <w:noWrap/>
            <w:vAlign w:val="center"/>
          </w:tcPr>
          <w:p w14:paraId="3EE9F16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noWrap/>
            <w:vAlign w:val="center"/>
          </w:tcPr>
          <w:p w14:paraId="2FDE8C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102</w:t>
            </w:r>
          </w:p>
        </w:tc>
        <w:tc>
          <w:tcPr>
            <w:tcW w:w="1843" w:type="dxa"/>
            <w:vMerge w:val="continue"/>
            <w:vAlign w:val="center"/>
          </w:tcPr>
          <w:p w14:paraId="07C1F2E9">
            <w:pPr>
              <w:widowControl/>
              <w:jc w:val="center"/>
              <w:rPr>
                <w:rFonts w:hint="default" w:ascii="Times New Roman" w:hAnsi="Times New Roman" w:eastAsia="宋体" w:cs="Times New Roman"/>
                <w:color w:val="auto"/>
                <w:kern w:val="0"/>
                <w:sz w:val="20"/>
                <w:szCs w:val="20"/>
              </w:rPr>
            </w:pPr>
          </w:p>
        </w:tc>
      </w:tr>
      <w:tr w14:paraId="7CDD3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5FFCB35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Keating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{"citationID":"cEr54t5J","properties":{"unsorted":false,"formattedCitation":"\\super 33\\nosupersub{}","plainCitation":"33","noteIndex":0},"citationItems":[{"id":6683,"uris":["http://zotero.org/users/local/9LWqYmzn/items/Y97P6823"],"itemData":{"id":6683,"type":"article-journal","call-number":"1","citation-key":"keatingEffectAerobicExercise2015","container-title":"Journal of Hepatology","DOI":"10.1016/j.jhep.2015.02.022","ISSN":"01688278","issue":"1","journalAbbreviation":"Journal of Hepatology","language":"en","note":"JCR分区: Q1\n中科院分区升级版: 医学1区\n中科院分区基础版: 医学1区\n影响因子: 33.0\n5年影响因子: 28.1","page":"174-182","source":"33.0","title":"Effect of aerobic exercise training dose on liver fat and visceral adiposity","volume":"63","author":[{"family":"Keating","given":"Shelley E."},{"family":"Hackett","given":"Daniel A."},{"family":"Parker","given":"Helen M."},{"family":"O’Connor","given":"Helen T."},{"family":"Gerofi","given":"James A."},{"family":"Sainsbury","given":"Amanda"},{"family":"Baker","given":"Michael K."},{"family":"Chuter","given":"Vivienne H."},{"family":"Caterson","given":"Ian D."},{"family":"George","given":"Jacob"},{"family":"Johnson","given":"Nathan A."}],"issued":{"date-parts":[["2015",7]]}}}],"schema":"https://github.com/citation-style-language/schema/raw/master/csl-citation.json"}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33</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2015</w:t>
            </w:r>
          </w:p>
        </w:tc>
        <w:tc>
          <w:tcPr>
            <w:tcW w:w="1247" w:type="dxa"/>
            <w:vMerge w:val="restart"/>
            <w:vAlign w:val="center"/>
          </w:tcPr>
          <w:p w14:paraId="7C79F57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6DCB9C2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IG:12</w:t>
            </w:r>
          </w:p>
        </w:tc>
        <w:tc>
          <w:tcPr>
            <w:tcW w:w="912" w:type="dxa"/>
            <w:vAlign w:val="center"/>
          </w:tcPr>
          <w:p w14:paraId="3732FCD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45.6±12.8</w:t>
            </w:r>
          </w:p>
        </w:tc>
        <w:tc>
          <w:tcPr>
            <w:tcW w:w="780" w:type="dxa"/>
            <w:vAlign w:val="center"/>
          </w:tcPr>
          <w:p w14:paraId="3A1B32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40659E8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32.2±4.9</w:t>
            </w:r>
          </w:p>
        </w:tc>
        <w:tc>
          <w:tcPr>
            <w:tcW w:w="1077" w:type="dxa"/>
            <w:vAlign w:val="center"/>
          </w:tcPr>
          <w:p w14:paraId="157F3966">
            <w:pPr>
              <w:widowControl/>
              <w:jc w:val="center"/>
              <w:rPr>
                <w:rFonts w:hint="default" w:ascii="Times New Roman" w:hAnsi="Times New Roman" w:eastAsia="宋体" w:cs="Times New Roman"/>
                <w:color w:val="auto"/>
                <w:kern w:val="0"/>
                <w:sz w:val="20"/>
                <w:szCs w:val="20"/>
              </w:rPr>
            </w:pPr>
          </w:p>
        </w:tc>
        <w:tc>
          <w:tcPr>
            <w:tcW w:w="1276" w:type="dxa"/>
            <w:vAlign w:val="center"/>
          </w:tcPr>
          <w:p w14:paraId="4CC9B2C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70DD5DE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776760C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3F946D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577.5</w:t>
            </w:r>
          </w:p>
        </w:tc>
        <w:tc>
          <w:tcPr>
            <w:tcW w:w="851" w:type="dxa"/>
            <w:noWrap/>
            <w:vAlign w:val="center"/>
          </w:tcPr>
          <w:p w14:paraId="1D2003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03F54F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77.5</w:t>
            </w:r>
          </w:p>
        </w:tc>
        <w:tc>
          <w:tcPr>
            <w:tcW w:w="1843" w:type="dxa"/>
            <w:vMerge w:val="restart"/>
            <w:vAlign w:val="center"/>
          </w:tcPr>
          <w:p w14:paraId="48ABAB7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6BADB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C91AA92">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B498546">
            <w:pPr>
              <w:widowControl/>
              <w:jc w:val="center"/>
              <w:rPr>
                <w:rFonts w:hint="default" w:ascii="Times New Roman" w:hAnsi="Times New Roman" w:eastAsia="宋体" w:cs="Times New Roman"/>
                <w:color w:val="auto"/>
                <w:kern w:val="0"/>
                <w:sz w:val="20"/>
                <w:szCs w:val="20"/>
              </w:rPr>
            </w:pPr>
          </w:p>
        </w:tc>
        <w:tc>
          <w:tcPr>
            <w:tcW w:w="814" w:type="dxa"/>
            <w:vAlign w:val="center"/>
          </w:tcPr>
          <w:p w14:paraId="1E8A86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CG:12</w:t>
            </w:r>
          </w:p>
        </w:tc>
        <w:tc>
          <w:tcPr>
            <w:tcW w:w="912" w:type="dxa"/>
            <w:vAlign w:val="center"/>
          </w:tcPr>
          <w:p w14:paraId="43670A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39.1±10.1</w:t>
            </w:r>
          </w:p>
        </w:tc>
        <w:tc>
          <w:tcPr>
            <w:tcW w:w="780" w:type="dxa"/>
            <w:vAlign w:val="center"/>
          </w:tcPr>
          <w:p w14:paraId="63028AB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39002B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31.3±2.8</w:t>
            </w:r>
          </w:p>
        </w:tc>
        <w:tc>
          <w:tcPr>
            <w:tcW w:w="1077" w:type="dxa"/>
            <w:vAlign w:val="center"/>
          </w:tcPr>
          <w:p w14:paraId="76C512D3">
            <w:pPr>
              <w:widowControl/>
              <w:jc w:val="center"/>
              <w:rPr>
                <w:rFonts w:hint="default" w:ascii="Times New Roman" w:hAnsi="Times New Roman" w:eastAsia="宋体" w:cs="Times New Roman"/>
                <w:color w:val="auto"/>
                <w:kern w:val="0"/>
                <w:sz w:val="20"/>
                <w:szCs w:val="20"/>
              </w:rPr>
            </w:pPr>
          </w:p>
        </w:tc>
        <w:tc>
          <w:tcPr>
            <w:tcW w:w="1276" w:type="dxa"/>
            <w:vAlign w:val="center"/>
          </w:tcPr>
          <w:p w14:paraId="01701BAC">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44E2421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370D62F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799718C">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74A5D1F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874BCD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17E0C60">
            <w:pPr>
              <w:widowControl/>
              <w:jc w:val="center"/>
              <w:rPr>
                <w:rFonts w:hint="default" w:ascii="Times New Roman" w:hAnsi="Times New Roman" w:eastAsia="宋体" w:cs="Times New Roman"/>
                <w:color w:val="auto"/>
                <w:kern w:val="0"/>
                <w:sz w:val="20"/>
                <w:szCs w:val="20"/>
              </w:rPr>
            </w:pPr>
          </w:p>
        </w:tc>
      </w:tr>
      <w:tr w14:paraId="5740D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017FEB5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Arad</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{"citationID":"xxq55hSg","properties":{"unsorted":false,"formattedCitation":"\\super 34\\nosupersub{}","plainCitation":"34","noteIndex":0},"citationItems":[{"id":6685,"uris":["http://zotero.org/users/local/9LWqYmzn/items/THBSELQN"],"itemData":{"id":6685,"type":"article-journal","abstract":"The purpose of this randomized controlled clinical trial was to determine the effect of a 14-week high-intensity interval training (HIIT) intervention with weight stability on metabolic flexibility, insulin sensitivity, and cardiorespiratory fitness in sedentary, premenopausal, nondiabetic, overweight/obese African American women. Twenty-eight subjects were allocated to one of two groups: HIIT, which performed three sessions per week of four high-intensity cycling intervals, or a control group (CON), which maintained their normal level of physical activity. Diet was controlled for all subjects to ensure weight stability. Pre- and postintervention (pre/post), subjects completed an incremental cycling test to limit of tolerance and, following a 10-day high-fat controlled feeding period, a euglycemic-hyperinsulinemic clamp to determine insulin sensitivity and substrate oxidation. Nine members of HIIT (age, 29 ± 4 yr; body mass, 90.1 ± 13.8 kg) and eleven members of CON (age, 30 ± 7 yr; body mass, 85.5 ± 10.7 kg) completed the study. HIIT experienced an increased limit of tolerance (post, 1,124 ± 202 s; pre, 987 ± 146 s; P &lt; 0.05), gas exchange threshold (post, 1.29 ± 0.34 liters/min; pre, 0.97 ± 0.23 liters/min; P &lt; 0.05), and fat oxidation at the same absolute submaximal work rate compared with CON ( P &lt; 0.05 for group-by-time interaction in all cases). However, changes in peak oxygen consumption (V̇o\n              2peak\n              ), insulin sensitivity, free fatty acid suppression during insulin stimulation, and metabolic flexibility were not different in HIIT compared with CON. High-intensity interval training with weight stability increased exercise fat oxidation and tolerance in subjects at risk for diabetic progression, but did not improve insulin sensitivity or fat oxidation in the postabsorptive or insulin-stimulated state.","call-number":"3","citation-key":"aradHighintensityIntervalTraining2015","container-title":"Journal of Applied Physiology","DOI":"10.1152/japplphysiol.00306.2015","ISSN":"8750-7587, 1522-1601","issue":"4","journalAbbreviation":"Journal of Applied Physiology","language":"en","note":"JCR分区: Q1\n中科院分区升级版: 医学2区\n中科院分区基础版: 医学3区\n影响因子: 3.3\n5年影响因子: 3.5","page":"352-362","source":"3.3","title":"High-intensity interval training without weight loss improves exercise but not basal or insulin-induced metabolism in overweight/obese African American women","volume":"119","author":[{"family":"Arad","given":"Avigdor D."},{"family":"DiMenna","given":"Fred J."},{"family":"Thomas","given":"Naketa"},{"family":"Tamis-Holland","given":"Jacqueline"},{"family":"Weil","given":"Richard"},{"family":"Geliebter","given":"Allan"},{"family":"Albu","given":"Jeanine B."}],"issued":{"date-parts":[["2015",8,15]]}}}],"schema":"https://github.com/citation-style-language/schema/raw/master/csl-citation.json"}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2015</w:t>
            </w:r>
          </w:p>
        </w:tc>
        <w:tc>
          <w:tcPr>
            <w:tcW w:w="1247" w:type="dxa"/>
            <w:vMerge w:val="restart"/>
            <w:vAlign w:val="center"/>
          </w:tcPr>
          <w:p w14:paraId="2374797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4663C22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IG:9</w:t>
            </w:r>
          </w:p>
        </w:tc>
        <w:tc>
          <w:tcPr>
            <w:tcW w:w="912" w:type="dxa"/>
            <w:vAlign w:val="center"/>
          </w:tcPr>
          <w:p w14:paraId="7C1C89A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29.0±4.0</w:t>
            </w:r>
          </w:p>
        </w:tc>
        <w:tc>
          <w:tcPr>
            <w:tcW w:w="780" w:type="dxa"/>
            <w:vAlign w:val="center"/>
          </w:tcPr>
          <w:p w14:paraId="6DD8C8D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309DDAE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32.5±3.6</w:t>
            </w:r>
          </w:p>
        </w:tc>
        <w:tc>
          <w:tcPr>
            <w:tcW w:w="1077" w:type="dxa"/>
            <w:vAlign w:val="center"/>
          </w:tcPr>
          <w:p w14:paraId="32E411C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45.4±3.7</w:t>
            </w:r>
          </w:p>
        </w:tc>
        <w:tc>
          <w:tcPr>
            <w:tcW w:w="1276" w:type="dxa"/>
            <w:vAlign w:val="center"/>
          </w:tcPr>
          <w:p w14:paraId="728A15A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14</w:t>
            </w:r>
          </w:p>
        </w:tc>
        <w:tc>
          <w:tcPr>
            <w:tcW w:w="992" w:type="dxa"/>
            <w:noWrap/>
            <w:vAlign w:val="center"/>
          </w:tcPr>
          <w:p w14:paraId="366D306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24</w:t>
            </w:r>
          </w:p>
        </w:tc>
        <w:tc>
          <w:tcPr>
            <w:tcW w:w="1276" w:type="dxa"/>
            <w:vAlign w:val="center"/>
          </w:tcPr>
          <w:p w14:paraId="15E7F5E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ED188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633.6</w:t>
            </w:r>
          </w:p>
        </w:tc>
        <w:tc>
          <w:tcPr>
            <w:tcW w:w="851" w:type="dxa"/>
            <w:noWrap/>
            <w:vAlign w:val="center"/>
          </w:tcPr>
          <w:p w14:paraId="475FC1A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F9462D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116.4</w:t>
            </w:r>
          </w:p>
        </w:tc>
        <w:tc>
          <w:tcPr>
            <w:tcW w:w="1843" w:type="dxa"/>
            <w:vMerge w:val="restart"/>
            <w:vAlign w:val="center"/>
          </w:tcPr>
          <w:p w14:paraId="3AA140D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0B010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D031CA0">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B6E2A3A">
            <w:pPr>
              <w:widowControl/>
              <w:jc w:val="center"/>
              <w:rPr>
                <w:rFonts w:hint="default" w:ascii="Times New Roman" w:hAnsi="Times New Roman" w:eastAsia="宋体" w:cs="Times New Roman"/>
                <w:color w:val="auto"/>
                <w:kern w:val="0"/>
                <w:sz w:val="20"/>
                <w:szCs w:val="20"/>
              </w:rPr>
            </w:pPr>
          </w:p>
        </w:tc>
        <w:tc>
          <w:tcPr>
            <w:tcW w:w="814" w:type="dxa"/>
            <w:vAlign w:val="center"/>
          </w:tcPr>
          <w:p w14:paraId="3C56AF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CG:11</w:t>
            </w:r>
          </w:p>
        </w:tc>
        <w:tc>
          <w:tcPr>
            <w:tcW w:w="912" w:type="dxa"/>
            <w:vAlign w:val="center"/>
          </w:tcPr>
          <w:p w14:paraId="64990B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30.0±7.0</w:t>
            </w:r>
          </w:p>
        </w:tc>
        <w:tc>
          <w:tcPr>
            <w:tcW w:w="780" w:type="dxa"/>
            <w:vAlign w:val="center"/>
          </w:tcPr>
          <w:p w14:paraId="5E484FA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72574A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32.1±3.2</w:t>
            </w:r>
          </w:p>
        </w:tc>
        <w:tc>
          <w:tcPr>
            <w:tcW w:w="1077" w:type="dxa"/>
            <w:vAlign w:val="center"/>
          </w:tcPr>
          <w:p w14:paraId="12F98F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45.4±5.0</w:t>
            </w:r>
          </w:p>
        </w:tc>
        <w:tc>
          <w:tcPr>
            <w:tcW w:w="1276" w:type="dxa"/>
            <w:vAlign w:val="center"/>
          </w:tcPr>
          <w:p w14:paraId="0AFA5164">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40111E74">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BCA19A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3475A36">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235CA02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37916DE">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76F118C">
            <w:pPr>
              <w:widowControl/>
              <w:jc w:val="center"/>
              <w:rPr>
                <w:rFonts w:hint="default" w:ascii="Times New Roman" w:hAnsi="Times New Roman" w:eastAsia="宋体" w:cs="Times New Roman"/>
                <w:color w:val="auto"/>
                <w:kern w:val="0"/>
                <w:sz w:val="20"/>
                <w:szCs w:val="20"/>
              </w:rPr>
            </w:pPr>
          </w:p>
        </w:tc>
      </w:tr>
      <w:tr w14:paraId="589E1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234CFF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Baria</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{"citationID":"XogIwNhF","properties":{"unsorted":false,"formattedCitation":"\\super 35\\nosupersub{}","plainCitation":"35","noteIndex":0},"citationItems":[{"id":6687,"uris":["http://zotero.org/users/local/9LWqYmzn/items/8GE8H8BA"],"itemData":{"id":6687,"type":"article-journal","abstract":"Background. The prevalence of obesity has markedly increased in patients with chronic kidney disease (CKD). Studies on the impact of exercise focusing on obese CKD patients are scarce. Therefore, we aimed to investigate the effect of aerobic exercise performed either in an exercise centre or at home on visceral fat in overweight non-dialysed CKD patients.","call-number":"2","citation-key":"bariaRandomizedControlledTrial2014","container-title":"Nephrology Dialysis Transplantation","DOI":"10.1093/ndt/gft529","ISSN":"0931-0509, 1460-2385","issue":"4","journalAbbreviation":"Nephrology Dialysis Transplantation","language":"en","note":"JCR分区: Q1\n中科院分区升级版: 医学2区\n中科院分区基础版: 医学2区\n影响因子: 5.6\n5年影响因子: 5.2","page":"857-864","source":"5.6","title":"Randomized controlled trial to evaluate the impact of aerobic exercise on visceral fat in overweight chronic kidney disease patients","volume":"29","author":[{"family":"Baria","given":"F."},{"family":"Kamimura","given":"M. A."},{"family":"Aoike","given":"D. T."},{"family":"Ammirati","given":"A."},{"family":"Leister Rocha","given":"M."},{"family":"De Mello","given":"M. T."},{"family":"Cuppari","given":"L."}],"issued":{"date-parts":[["2014",4,1]]}}}],"schema":"https://github.com/citation-style-language/schema/raw/master/csl-citation.json"}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2014</w:t>
            </w:r>
          </w:p>
        </w:tc>
        <w:tc>
          <w:tcPr>
            <w:tcW w:w="1247" w:type="dxa"/>
            <w:vMerge w:val="restart"/>
            <w:vAlign w:val="center"/>
          </w:tcPr>
          <w:p w14:paraId="7F1BB4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Brazil</w:t>
            </w:r>
          </w:p>
        </w:tc>
        <w:tc>
          <w:tcPr>
            <w:tcW w:w="814" w:type="dxa"/>
            <w:vAlign w:val="center"/>
          </w:tcPr>
          <w:p w14:paraId="64E607E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IG:10</w:t>
            </w:r>
          </w:p>
        </w:tc>
        <w:tc>
          <w:tcPr>
            <w:tcW w:w="912" w:type="dxa"/>
            <w:vAlign w:val="center"/>
          </w:tcPr>
          <w:p w14:paraId="67C8F8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52.1±11.4</w:t>
            </w:r>
          </w:p>
        </w:tc>
        <w:tc>
          <w:tcPr>
            <w:tcW w:w="780" w:type="dxa"/>
            <w:vAlign w:val="center"/>
          </w:tcPr>
          <w:p w14:paraId="23F0A9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2ADE1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30.8±5.1</w:t>
            </w:r>
          </w:p>
        </w:tc>
        <w:tc>
          <w:tcPr>
            <w:tcW w:w="1077" w:type="dxa"/>
            <w:vAlign w:val="center"/>
          </w:tcPr>
          <w:p w14:paraId="43BB68C2">
            <w:pPr>
              <w:widowControl/>
              <w:jc w:val="center"/>
              <w:rPr>
                <w:rFonts w:hint="default" w:ascii="Times New Roman" w:hAnsi="Times New Roman" w:eastAsia="宋体" w:cs="Times New Roman"/>
                <w:color w:val="auto"/>
                <w:kern w:val="0"/>
                <w:sz w:val="20"/>
                <w:szCs w:val="20"/>
              </w:rPr>
            </w:pPr>
          </w:p>
        </w:tc>
        <w:tc>
          <w:tcPr>
            <w:tcW w:w="1276" w:type="dxa"/>
            <w:vAlign w:val="center"/>
          </w:tcPr>
          <w:p w14:paraId="07AEAFA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539621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w:t>
            </w:r>
          </w:p>
        </w:tc>
        <w:tc>
          <w:tcPr>
            <w:tcW w:w="1276" w:type="dxa"/>
            <w:vAlign w:val="center"/>
          </w:tcPr>
          <w:p w14:paraId="4181484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17BD9C9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513</w:t>
            </w:r>
          </w:p>
        </w:tc>
        <w:tc>
          <w:tcPr>
            <w:tcW w:w="851" w:type="dxa"/>
            <w:noWrap/>
            <w:vAlign w:val="center"/>
          </w:tcPr>
          <w:p w14:paraId="602DF2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5DCE2BC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w:t>
            </w:r>
          </w:p>
        </w:tc>
        <w:tc>
          <w:tcPr>
            <w:tcW w:w="1843" w:type="dxa"/>
            <w:vMerge w:val="restart"/>
            <w:vAlign w:val="center"/>
          </w:tcPr>
          <w:p w14:paraId="4972EA9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2168C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43B7DBE7">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F7BF2BF">
            <w:pPr>
              <w:widowControl/>
              <w:jc w:val="center"/>
              <w:rPr>
                <w:rFonts w:hint="default" w:ascii="Times New Roman" w:hAnsi="Times New Roman" w:eastAsia="宋体" w:cs="Times New Roman"/>
                <w:color w:val="auto"/>
                <w:kern w:val="0"/>
                <w:sz w:val="20"/>
                <w:szCs w:val="20"/>
              </w:rPr>
            </w:pPr>
          </w:p>
        </w:tc>
        <w:tc>
          <w:tcPr>
            <w:tcW w:w="814" w:type="dxa"/>
            <w:vAlign w:val="center"/>
          </w:tcPr>
          <w:p w14:paraId="511C94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CG:9</w:t>
            </w:r>
          </w:p>
        </w:tc>
        <w:tc>
          <w:tcPr>
            <w:tcW w:w="912" w:type="dxa"/>
            <w:vAlign w:val="center"/>
          </w:tcPr>
          <w:p w14:paraId="5080A4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53.4±9.6</w:t>
            </w:r>
          </w:p>
        </w:tc>
        <w:tc>
          <w:tcPr>
            <w:tcW w:w="780" w:type="dxa"/>
            <w:vAlign w:val="center"/>
          </w:tcPr>
          <w:p w14:paraId="7232271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913AB7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29.6±1.9</w:t>
            </w:r>
          </w:p>
        </w:tc>
        <w:tc>
          <w:tcPr>
            <w:tcW w:w="1077" w:type="dxa"/>
            <w:vAlign w:val="center"/>
          </w:tcPr>
          <w:p w14:paraId="52A536DD">
            <w:pPr>
              <w:widowControl/>
              <w:jc w:val="center"/>
              <w:rPr>
                <w:rFonts w:hint="default" w:ascii="Times New Roman" w:hAnsi="Times New Roman" w:eastAsia="宋体" w:cs="Times New Roman"/>
                <w:color w:val="auto"/>
                <w:kern w:val="0"/>
                <w:sz w:val="20"/>
                <w:szCs w:val="20"/>
              </w:rPr>
            </w:pPr>
          </w:p>
        </w:tc>
        <w:tc>
          <w:tcPr>
            <w:tcW w:w="1276" w:type="dxa"/>
            <w:vAlign w:val="center"/>
          </w:tcPr>
          <w:p w14:paraId="27369F31">
            <w:pPr>
              <w:widowControl/>
              <w:jc w:val="center"/>
              <w:rPr>
                <w:rFonts w:hint="default" w:ascii="Times New Roman" w:hAnsi="Times New Roman" w:eastAsia="Times New Roman" w:cs="Times New Roman"/>
                <w:color w:val="auto"/>
                <w:kern w:val="0"/>
                <w:sz w:val="20"/>
                <w:szCs w:val="20"/>
              </w:rPr>
            </w:pPr>
          </w:p>
        </w:tc>
        <w:tc>
          <w:tcPr>
            <w:tcW w:w="992" w:type="dxa"/>
            <w:vAlign w:val="center"/>
          </w:tcPr>
          <w:p w14:paraId="7585EBA5">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DAE18C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AF912E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0574A37">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FC6E416">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0C292478">
            <w:pPr>
              <w:widowControl/>
              <w:jc w:val="center"/>
              <w:rPr>
                <w:rFonts w:hint="default" w:ascii="Times New Roman" w:hAnsi="Times New Roman" w:eastAsia="宋体" w:cs="Times New Roman"/>
                <w:color w:val="auto"/>
                <w:kern w:val="0"/>
                <w:sz w:val="20"/>
                <w:szCs w:val="20"/>
              </w:rPr>
            </w:pPr>
          </w:p>
        </w:tc>
      </w:tr>
      <w:tr w14:paraId="62262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4BDF51E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Bacchi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{"citationID":"fsDqQYws","properties":{"unsorted":false,"formattedCitation":"\\super 36\\nosupersub{}","plainCitation":"36","noteIndex":0},"citationItems":[{"id":6689,"uris":["http://zotero.org/users/local/9LWqYmzn/items/8V78UENJ"],"itemData":{"id":6689,"type":"article-journal","abstract":"Although lifestyle interventions are considered the first-line therapy for nonalcoholic fatty liver disease (NAFLD), which is extremely common in people with type 2 diabetes, no intervention studies have compared the effects of aerobic (AER) or resistance (RES) training on hepatic fat content in type 2 diabetic subjects with NAFLD. In this randomized controlled trial, we compared the 4-month effects of either AER or RES training on insulin sensitivity (by hyperinsulinemic euglycemic clamp), body composition (by dual-energy X-ray absorptiometry), as well as hepatic fat content and visceral (VAT), superficial (SSAT), and deep (DSAT) subcutaneous abdominal adipose tissue (all quantified by an in-opposed-phase magnetic resonance imaging technique) in 31 sedentary adults with type 2 diabetes and NAFLD. After training, hepatic fat content was markedly reduced (\n                P\n                &lt; 0.001), to a similar extent, in both the AER and the RES training groups (mean relative reduction from baseline [95% confidence interval] −32.8% [−58.20 to −7.52] versus −25.9% [−50.92 to −0.94], respectively). Additionally, hepatic steatosis (defined as hepatic fat content &gt;5.56%) disappeared in about one-quarter of the patients in each intervention group (23.1% in the AER group and 23.5% in the RES group). Insulin sensitivity during euglycemic clamp was increased, whereas total body fat mass, VAT, SSAT, and hemoglobin A1c were reduced comparably in both intervention groups.\n                Conclusion\n                : This is the first randomized controlled study to demonstrate that resistance training and aerobic training are equally effective in reducing hepatic fat content among type 2 diabetic patients with NAFLD. (Hepatology 2013;58:1287–1295)","call-number":"1","citation-key":"bacchiBothResistanceTraining2013","container-title":"Hepatology","DOI":"10.1002/hep.26393","ISSN":"0270-9139","issue":"4","language":"en","page":"1287-1295","source":"15.8","title":"Both resistance training and aerobic training reduce hepatic fat content in type 2 diabetic subjects with nonalcoholic fatty liver disease (the RAED2 randomized trial)","volume":"58","author":[{"family":"Bacchi","given":"Elisabetta"},{"family":"Negri","given":"Carlo"},{"family":"Targher","given":"Giovanni"},{"family":"Faccioli","given":"Niccolò"},{"family":"Lanza","given":"Massimo"},{"family":"Zoppini","given":"Giacomo"},{"family":"Zanolin","given":"Elisabetta"},{"family":"Schena","given":"Federico"},{"family":"Bonora","given":"Enzo"},{"family":"Moghetti","given":"Paolo"}],"issued":{"date-parts":[["2013",10]]}}}],"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2013</w:t>
            </w:r>
          </w:p>
        </w:tc>
        <w:tc>
          <w:tcPr>
            <w:tcW w:w="1247" w:type="dxa"/>
            <w:vMerge w:val="restart"/>
            <w:vAlign w:val="center"/>
          </w:tcPr>
          <w:p w14:paraId="5155C8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Italy</w:t>
            </w:r>
          </w:p>
        </w:tc>
        <w:tc>
          <w:tcPr>
            <w:tcW w:w="814" w:type="dxa"/>
            <w:vAlign w:val="center"/>
          </w:tcPr>
          <w:p w14:paraId="62EBA9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IG:13</w:t>
            </w:r>
          </w:p>
        </w:tc>
        <w:tc>
          <w:tcPr>
            <w:tcW w:w="912" w:type="dxa"/>
            <w:vAlign w:val="center"/>
          </w:tcPr>
          <w:p w14:paraId="05D460F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55.6±7.2</w:t>
            </w:r>
          </w:p>
        </w:tc>
        <w:tc>
          <w:tcPr>
            <w:tcW w:w="780" w:type="dxa"/>
            <w:vAlign w:val="center"/>
          </w:tcPr>
          <w:p w14:paraId="3F9895E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BBCC01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30.5±3.6</w:t>
            </w:r>
          </w:p>
        </w:tc>
        <w:tc>
          <w:tcPr>
            <w:tcW w:w="1077" w:type="dxa"/>
            <w:vAlign w:val="center"/>
          </w:tcPr>
          <w:p w14:paraId="73235E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31.8±5.0</w:t>
            </w:r>
          </w:p>
        </w:tc>
        <w:tc>
          <w:tcPr>
            <w:tcW w:w="1276" w:type="dxa"/>
            <w:vAlign w:val="center"/>
          </w:tcPr>
          <w:p w14:paraId="2EE744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92FC6C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38E94B8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90383D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1" w:type="dxa"/>
            <w:noWrap/>
            <w:vAlign w:val="center"/>
          </w:tcPr>
          <w:p w14:paraId="46E5840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6E05FD5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w:t>
            </w:r>
          </w:p>
        </w:tc>
        <w:tc>
          <w:tcPr>
            <w:tcW w:w="1843" w:type="dxa"/>
            <w:vMerge w:val="restart"/>
            <w:vAlign w:val="center"/>
          </w:tcPr>
          <w:p w14:paraId="76D4F0C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18DD0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C4DD96D">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19B1C0B">
            <w:pPr>
              <w:widowControl/>
              <w:jc w:val="center"/>
              <w:rPr>
                <w:rFonts w:hint="default" w:ascii="Times New Roman" w:hAnsi="Times New Roman" w:eastAsia="宋体" w:cs="Times New Roman"/>
                <w:color w:val="auto"/>
                <w:kern w:val="0"/>
                <w:sz w:val="20"/>
                <w:szCs w:val="20"/>
              </w:rPr>
            </w:pPr>
          </w:p>
        </w:tc>
        <w:tc>
          <w:tcPr>
            <w:tcW w:w="814" w:type="dxa"/>
            <w:vAlign w:val="center"/>
          </w:tcPr>
          <w:p w14:paraId="368F85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CG:17</w:t>
            </w:r>
          </w:p>
        </w:tc>
        <w:tc>
          <w:tcPr>
            <w:tcW w:w="912" w:type="dxa"/>
            <w:vAlign w:val="center"/>
          </w:tcPr>
          <w:p w14:paraId="3B0BC41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56.0±7.8</w:t>
            </w:r>
          </w:p>
        </w:tc>
        <w:tc>
          <w:tcPr>
            <w:tcW w:w="780" w:type="dxa"/>
            <w:vAlign w:val="center"/>
          </w:tcPr>
          <w:p w14:paraId="4D6F60E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44E56BF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28.8±4.5</w:t>
            </w:r>
          </w:p>
        </w:tc>
        <w:tc>
          <w:tcPr>
            <w:tcW w:w="1077" w:type="dxa"/>
            <w:vAlign w:val="center"/>
          </w:tcPr>
          <w:p w14:paraId="306C9C3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29.8±7.8</w:t>
            </w:r>
          </w:p>
        </w:tc>
        <w:tc>
          <w:tcPr>
            <w:tcW w:w="1276" w:type="dxa"/>
            <w:vAlign w:val="center"/>
          </w:tcPr>
          <w:p w14:paraId="51B25CA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429A19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2CC327B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5D73C5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540</w:t>
            </w:r>
          </w:p>
        </w:tc>
        <w:tc>
          <w:tcPr>
            <w:tcW w:w="851" w:type="dxa"/>
            <w:noWrap/>
            <w:vAlign w:val="center"/>
          </w:tcPr>
          <w:p w14:paraId="3D32E3E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45D9F8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843" w:type="dxa"/>
            <w:vMerge w:val="continue"/>
            <w:vAlign w:val="center"/>
          </w:tcPr>
          <w:p w14:paraId="76BF02D8">
            <w:pPr>
              <w:widowControl/>
              <w:jc w:val="center"/>
              <w:rPr>
                <w:rFonts w:hint="default" w:ascii="Times New Roman" w:hAnsi="Times New Roman" w:eastAsia="宋体" w:cs="Times New Roman"/>
                <w:color w:val="auto"/>
                <w:kern w:val="0"/>
                <w:sz w:val="20"/>
                <w:szCs w:val="20"/>
              </w:rPr>
            </w:pPr>
          </w:p>
        </w:tc>
      </w:tr>
      <w:tr w14:paraId="45A07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72594F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Zhang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{"citationID":"vBdkLJWf","properties":{"unsorted":false,"formattedCitation":"\\super 37\\nosupersub{}","plainCitation":"37","noteIndex":0},"citationItems":[{"id":6691,"uris":["http://zotero.org/users/local/9LWqYmzn/items/Z2QV9BAY"],"itemData":{"id":6691,"type":"article-journal","abstract":"The objective of the study was to compare the whole-body and abdominal fat loss resulting from high-intensity interval training (HIIT) with that from moderate-intensity continuous training (MICT) with equivalent oxygen cost in overweight women. Forty-three overweight women with matched anthropometric characteristics were randomly assigned to participate in: (1) HIIT [4 x 4-minute running at 85–95% HRpeak, 10-minute recovery], (2) MICT [33-minute running at 60–70% HRpeak] with oxygen cost equivalent to HIIT, and (3) no training [control], for 12 weeks, 4 d·wk-1. Dietary energy intake and habitual energy expenditure were not altered during the intervention. After the intervention, whole-body fat reduction and serum lipid profile modification were similar in the HIIT and MICT groups. With regard to the abdominal visceral (AVFA) and subcutaneous (ASFA) fat areas revealed by computed tomography scans, a greater reduction in ASFA was found in the HIIT than in the MICT group (p=.038). Moreover, a significant reduction in AVFA was found only in the HIIT group. No variables were changed in the control group. Twelve-week HIIT and MICT programmes with equivalent oxygen cost resulted in similar whole-body fat loss in overweight women. Nonetheless, HIIT appears to be more effective than MICT for controlling abdominal visceral and subcutaneous fat.","citation-key":"zhangEFFECTHIGHINTENSITYINTERVAL2015","container-title":"Kinesiology","issue":"1","language":"en","page":"57-66","source":"Zotero","title":"Effect of high-intensity interval training protocol on abdominal fat reduction in overweight Chinese women: A randomized controlled trial","volume":"47","author":[{"family":"Zhang","given":"Haifeng"},{"family":"Tong","given":"Tom K"},{"family":"Qiu","given":"Weifeng"},{"family":"Wang","given":"Jingjing"},{"family":"Nie","given":"Jinlei"},{"family":"He","given":"Yuxiu"}],"issued":{"date-parts":[["2015"]]}}}],"schema":"https://github.com/citation-style-language/schema/raw/master/csl-citation.json"}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2015</w:t>
            </w:r>
          </w:p>
        </w:tc>
        <w:tc>
          <w:tcPr>
            <w:tcW w:w="1247" w:type="dxa"/>
            <w:vMerge w:val="restart"/>
            <w:vAlign w:val="center"/>
          </w:tcPr>
          <w:p w14:paraId="673B0C0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p>
        </w:tc>
        <w:tc>
          <w:tcPr>
            <w:tcW w:w="814" w:type="dxa"/>
            <w:vAlign w:val="center"/>
          </w:tcPr>
          <w:p w14:paraId="5F4A36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IG1:12</w:t>
            </w:r>
          </w:p>
        </w:tc>
        <w:tc>
          <w:tcPr>
            <w:tcW w:w="912" w:type="dxa"/>
            <w:vAlign w:val="center"/>
          </w:tcPr>
          <w:p w14:paraId="3D1F55A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21.0±1.0</w:t>
            </w:r>
          </w:p>
        </w:tc>
        <w:tc>
          <w:tcPr>
            <w:tcW w:w="780" w:type="dxa"/>
            <w:vAlign w:val="center"/>
          </w:tcPr>
          <w:p w14:paraId="762679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3D0B6C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25.8±2.7</w:t>
            </w:r>
          </w:p>
        </w:tc>
        <w:tc>
          <w:tcPr>
            <w:tcW w:w="1077" w:type="dxa"/>
            <w:vAlign w:val="center"/>
          </w:tcPr>
          <w:p w14:paraId="7A4F85A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31.3±3.6</w:t>
            </w:r>
          </w:p>
        </w:tc>
        <w:tc>
          <w:tcPr>
            <w:tcW w:w="1276" w:type="dxa"/>
            <w:vAlign w:val="center"/>
          </w:tcPr>
          <w:p w14:paraId="57C664B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1131B7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w:t>
            </w:r>
          </w:p>
        </w:tc>
        <w:tc>
          <w:tcPr>
            <w:tcW w:w="1276" w:type="dxa"/>
            <w:vAlign w:val="center"/>
          </w:tcPr>
          <w:p w14:paraId="0512AE8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38BD5CE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704</w:t>
            </w:r>
          </w:p>
        </w:tc>
        <w:tc>
          <w:tcPr>
            <w:tcW w:w="851" w:type="dxa"/>
            <w:noWrap/>
            <w:vAlign w:val="center"/>
          </w:tcPr>
          <w:p w14:paraId="53A22C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0F927D9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46</w:t>
            </w:r>
          </w:p>
        </w:tc>
        <w:tc>
          <w:tcPr>
            <w:tcW w:w="1843" w:type="dxa"/>
            <w:vMerge w:val="restart"/>
            <w:vAlign w:val="center"/>
          </w:tcPr>
          <w:p w14:paraId="01E83E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3E8D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37733161">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93A24C3">
            <w:pPr>
              <w:widowControl/>
              <w:jc w:val="center"/>
              <w:rPr>
                <w:rFonts w:hint="default" w:ascii="Times New Roman" w:hAnsi="Times New Roman" w:eastAsia="宋体" w:cs="Times New Roman"/>
                <w:color w:val="auto"/>
                <w:kern w:val="0"/>
                <w:sz w:val="20"/>
                <w:szCs w:val="20"/>
              </w:rPr>
            </w:pPr>
          </w:p>
        </w:tc>
        <w:tc>
          <w:tcPr>
            <w:tcW w:w="814" w:type="dxa"/>
            <w:vAlign w:val="center"/>
          </w:tcPr>
          <w:p w14:paraId="26A1347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IG2:12</w:t>
            </w:r>
          </w:p>
        </w:tc>
        <w:tc>
          <w:tcPr>
            <w:tcW w:w="912" w:type="dxa"/>
            <w:vAlign w:val="center"/>
          </w:tcPr>
          <w:p w14:paraId="11669B1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20.6±1.2</w:t>
            </w:r>
          </w:p>
        </w:tc>
        <w:tc>
          <w:tcPr>
            <w:tcW w:w="780" w:type="dxa"/>
            <w:vAlign w:val="center"/>
          </w:tcPr>
          <w:p w14:paraId="28587D6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5CE92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26.0±1.6</w:t>
            </w:r>
          </w:p>
        </w:tc>
        <w:tc>
          <w:tcPr>
            <w:tcW w:w="1077" w:type="dxa"/>
            <w:vAlign w:val="center"/>
          </w:tcPr>
          <w:p w14:paraId="40CFB0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32.0±2.4</w:t>
            </w:r>
          </w:p>
        </w:tc>
        <w:tc>
          <w:tcPr>
            <w:tcW w:w="1276" w:type="dxa"/>
            <w:vAlign w:val="center"/>
          </w:tcPr>
          <w:p w14:paraId="7AB8A2D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184D4BA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33</w:t>
            </w:r>
          </w:p>
        </w:tc>
        <w:tc>
          <w:tcPr>
            <w:tcW w:w="1276" w:type="dxa"/>
            <w:vAlign w:val="center"/>
          </w:tcPr>
          <w:p w14:paraId="685C55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394CF2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897.6</w:t>
            </w:r>
          </w:p>
        </w:tc>
        <w:tc>
          <w:tcPr>
            <w:tcW w:w="851" w:type="dxa"/>
            <w:noWrap/>
            <w:vAlign w:val="center"/>
          </w:tcPr>
          <w:p w14:paraId="5800E90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35F79B8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102.4</w:t>
            </w:r>
          </w:p>
        </w:tc>
        <w:tc>
          <w:tcPr>
            <w:tcW w:w="1843" w:type="dxa"/>
            <w:vMerge w:val="continue"/>
            <w:vAlign w:val="center"/>
          </w:tcPr>
          <w:p w14:paraId="7716BE3E">
            <w:pPr>
              <w:widowControl/>
              <w:jc w:val="center"/>
              <w:rPr>
                <w:rFonts w:hint="default" w:ascii="Times New Roman" w:hAnsi="Times New Roman" w:eastAsia="宋体" w:cs="Times New Roman"/>
                <w:color w:val="auto"/>
                <w:kern w:val="0"/>
                <w:sz w:val="20"/>
                <w:szCs w:val="20"/>
              </w:rPr>
            </w:pPr>
          </w:p>
        </w:tc>
      </w:tr>
      <w:tr w14:paraId="143A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4D7BAB7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C6D938E">
            <w:pPr>
              <w:widowControl/>
              <w:jc w:val="center"/>
              <w:rPr>
                <w:rFonts w:hint="default" w:ascii="Times New Roman" w:hAnsi="Times New Roman" w:eastAsia="宋体" w:cs="Times New Roman"/>
                <w:color w:val="auto"/>
                <w:kern w:val="0"/>
                <w:sz w:val="20"/>
                <w:szCs w:val="20"/>
              </w:rPr>
            </w:pPr>
          </w:p>
        </w:tc>
        <w:tc>
          <w:tcPr>
            <w:tcW w:w="814" w:type="dxa"/>
            <w:vAlign w:val="center"/>
          </w:tcPr>
          <w:p w14:paraId="32C25F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CG:11</w:t>
            </w:r>
          </w:p>
        </w:tc>
        <w:tc>
          <w:tcPr>
            <w:tcW w:w="912" w:type="dxa"/>
            <w:vAlign w:val="center"/>
          </w:tcPr>
          <w:p w14:paraId="65CB966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20.9±1.0</w:t>
            </w:r>
          </w:p>
        </w:tc>
        <w:tc>
          <w:tcPr>
            <w:tcW w:w="780" w:type="dxa"/>
            <w:vAlign w:val="center"/>
          </w:tcPr>
          <w:p w14:paraId="4E55A3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4671BE3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25.4±1.5</w:t>
            </w:r>
          </w:p>
        </w:tc>
        <w:tc>
          <w:tcPr>
            <w:tcW w:w="1077" w:type="dxa"/>
            <w:vAlign w:val="center"/>
          </w:tcPr>
          <w:p w14:paraId="149AD5B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32.0±2.4</w:t>
            </w:r>
          </w:p>
        </w:tc>
        <w:tc>
          <w:tcPr>
            <w:tcW w:w="1276" w:type="dxa"/>
            <w:vAlign w:val="center"/>
          </w:tcPr>
          <w:p w14:paraId="13068F60">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7DB715EF">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3D17DA3">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6CDD45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1571C3D">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5E330D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7D4A7E7">
            <w:pPr>
              <w:widowControl/>
              <w:jc w:val="center"/>
              <w:rPr>
                <w:rFonts w:hint="default" w:ascii="Times New Roman" w:hAnsi="Times New Roman" w:eastAsia="宋体" w:cs="Times New Roman"/>
                <w:color w:val="auto"/>
                <w:kern w:val="0"/>
                <w:sz w:val="20"/>
                <w:szCs w:val="20"/>
              </w:rPr>
            </w:pPr>
          </w:p>
        </w:tc>
      </w:tr>
      <w:tr w14:paraId="191AB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168D900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Herzig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{"citationID":"9Pvl8Diu","properties":{"unsorted":false,"formattedCitation":"\\super 38\\nosupersub{}","plainCitation":"38","noteIndex":0},"citationItems":[{"id":6693,"uris":["http://zotero.org/users/local/9LWqYmzn/items/2NJT5TDY"],"itemData":{"id":6693,"type":"article-journal","abstract":"OBJECTIVE: To examine physical activity (PA) thresholds affecting glucose, insulin and lipid concentrations and body fat composition in high-risk patients for type 2 diabetes (T2D). INTERVENTION: A total of 113 subjects of both genders having abnormal glucose levels in the oral glucose tolerance test were contacted. A total of 78 subjects with age 58.8±10.4 years and body mass index 31.7±5.3 kg m 2 were randomly assigned to intervention and control groups. Intervention consisted of a supervised walking (60 min three times weekly) for 3 months. All the subjects received standard care for PA and weight reduction and wore an accelerometer during the whole wakeful time.\nRESULTS: Over 80% of the daily steps clustered at an acceleration level of 0.3–0.7 g (2–3 km h 1 of walking) and were 5870 in the intervention and 4434 in the control group (Po0.029). Between 0 and 3 months no signiﬁcant changes were observed in fasting and 2-h glucose, body weight or maximal oxygen uptake. In contrast, changes in fasting and 2-h insulin ( 3.4 mU l 1, P ¼ 0.035 and 26.6, P ¼ 0.003, respectively), homeostasis model assessment-estimated insulin resistance ( 1.0, P ¼ 0.036), total cholesterol ( 0.55 mmol l 1, P ¼ 0.041), low-density lipoprotein (LDL) cholesterol ( 0.36 mmol l 1, P ¼ 0.008) and visceral fat area ( 5.5 cm2, P ¼ 0.030) were signiﬁcantly greater in the intervention than in control subjects. The overall effects of PA were analyzed by quartiles of daily steps of all subjects. There were signiﬁcant reductions in total and LDL cholesterol and visceral fat area between the highest (daily steps over 6520) and the lowest quartile (1780–2810 daily steps). The changes associated with PA remained signiﬁcant after adjustments of baseline, sex, age and body weight change.\nCONCLUSION: Habitual and structured PAs with the acceleration levels of 0.3–0.7 g and daily steps over 6520, equivalent to walking at 2–3 km h 1 for 90 min daily, standing for the relative PA intensity of 30–35% of the maximal oxygen uptake, are clinically beneﬁcial for overweight/obese and physically inactive individuals with a high risk for T2D.","call-number":"2","citation-key":"herzigLightPhysicalActivity2014","container-title":"International Journal of Obesity","DOI":"10.1038/ijo.2013.224","ISSN":"0307-0565, 1476-5497","issue":"8","journalAbbreviation":"Int J Obes","language":"en","license":"http://www.springer.com/tdm","note":"JCR分区: Q2\n中科院分区升级版: 医学2区\n中科院分区基础版: 医学2区\n影响因子: 3.8\n5年影响因子: 4.3","page":"1089-1096","source":"3.8","title":"Light physical activity determined by a motion sensor decreases insulin resistance, improves lipid homeostasis and reduces visceral fat in high-risk subjects: PreDiabEx study RCT","title-short":"Light physical activity determined by a motion sensor decreases insulin resistance, improves lipid homeostasis and reduces visceral fat in high-risk subjects","volume":"38","author":[{"family":"Herzig","given":"K-H"},{"family":"Ahola","given":"R"},{"family":"Leppäluoto","given":"J"},{"family":"Jokelainen","given":"J"},{"family":"Jämsä","given":"T"},{"family":"Keinänen-Kiukaanniemi","given":"S"}],"issued":{"date-parts":[["2014",8]]}}}],"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2014</w:t>
            </w:r>
          </w:p>
        </w:tc>
        <w:tc>
          <w:tcPr>
            <w:tcW w:w="1247" w:type="dxa"/>
            <w:vMerge w:val="restart"/>
            <w:vAlign w:val="center"/>
          </w:tcPr>
          <w:p w14:paraId="4FDC27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Finland</w:t>
            </w:r>
          </w:p>
        </w:tc>
        <w:tc>
          <w:tcPr>
            <w:tcW w:w="814" w:type="dxa"/>
            <w:vAlign w:val="center"/>
          </w:tcPr>
          <w:p w14:paraId="4BDB9F7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IG:33</w:t>
            </w:r>
          </w:p>
        </w:tc>
        <w:tc>
          <w:tcPr>
            <w:tcW w:w="912" w:type="dxa"/>
            <w:vAlign w:val="center"/>
          </w:tcPr>
          <w:p w14:paraId="438270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58.1±9.9</w:t>
            </w:r>
          </w:p>
        </w:tc>
        <w:tc>
          <w:tcPr>
            <w:tcW w:w="780" w:type="dxa"/>
            <w:vAlign w:val="center"/>
          </w:tcPr>
          <w:p w14:paraId="7E1B176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05DDE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32.6±5.7</w:t>
            </w:r>
          </w:p>
        </w:tc>
        <w:tc>
          <w:tcPr>
            <w:tcW w:w="1077" w:type="dxa"/>
            <w:vAlign w:val="center"/>
          </w:tcPr>
          <w:p w14:paraId="5C1B861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40.0±7.6</w:t>
            </w:r>
          </w:p>
        </w:tc>
        <w:tc>
          <w:tcPr>
            <w:tcW w:w="1276" w:type="dxa"/>
            <w:vAlign w:val="center"/>
          </w:tcPr>
          <w:p w14:paraId="26F3E8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762040D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w:t>
            </w:r>
          </w:p>
        </w:tc>
        <w:tc>
          <w:tcPr>
            <w:tcW w:w="1276" w:type="dxa"/>
            <w:vAlign w:val="center"/>
          </w:tcPr>
          <w:p w14:paraId="4E65A2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C12FD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378</w:t>
            </w:r>
          </w:p>
        </w:tc>
        <w:tc>
          <w:tcPr>
            <w:tcW w:w="851" w:type="dxa"/>
            <w:noWrap/>
            <w:vAlign w:val="center"/>
          </w:tcPr>
          <w:p w14:paraId="6FA6A6D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75AFDA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122</w:t>
            </w:r>
          </w:p>
        </w:tc>
        <w:tc>
          <w:tcPr>
            <w:tcW w:w="1843" w:type="dxa"/>
            <w:vMerge w:val="restart"/>
            <w:vAlign w:val="center"/>
          </w:tcPr>
          <w:p w14:paraId="28C1425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01E97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18C8B30">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7C48D58">
            <w:pPr>
              <w:widowControl/>
              <w:jc w:val="center"/>
              <w:rPr>
                <w:rFonts w:hint="default" w:ascii="Times New Roman" w:hAnsi="Times New Roman" w:eastAsia="宋体" w:cs="Times New Roman"/>
                <w:color w:val="auto"/>
                <w:kern w:val="0"/>
                <w:sz w:val="20"/>
                <w:szCs w:val="20"/>
              </w:rPr>
            </w:pPr>
          </w:p>
        </w:tc>
        <w:tc>
          <w:tcPr>
            <w:tcW w:w="814" w:type="dxa"/>
            <w:vAlign w:val="center"/>
          </w:tcPr>
          <w:p w14:paraId="4A6F72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CG:35</w:t>
            </w:r>
          </w:p>
        </w:tc>
        <w:tc>
          <w:tcPr>
            <w:tcW w:w="912" w:type="dxa"/>
            <w:vAlign w:val="center"/>
          </w:tcPr>
          <w:p w14:paraId="307B7F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59.5±10.8</w:t>
            </w:r>
          </w:p>
        </w:tc>
        <w:tc>
          <w:tcPr>
            <w:tcW w:w="780" w:type="dxa"/>
            <w:vAlign w:val="center"/>
          </w:tcPr>
          <w:p w14:paraId="0CCC1F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DD4AB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30.9±4.8</w:t>
            </w:r>
          </w:p>
        </w:tc>
        <w:tc>
          <w:tcPr>
            <w:tcW w:w="1077" w:type="dxa"/>
            <w:vAlign w:val="center"/>
          </w:tcPr>
          <w:p w14:paraId="32CB241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38.6±9.0</w:t>
            </w:r>
          </w:p>
        </w:tc>
        <w:tc>
          <w:tcPr>
            <w:tcW w:w="1276" w:type="dxa"/>
            <w:vAlign w:val="center"/>
          </w:tcPr>
          <w:p w14:paraId="3634D6E2">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42462FC">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2F630F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9C06DC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63F8E0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F37B719">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677801C9">
            <w:pPr>
              <w:widowControl/>
              <w:jc w:val="center"/>
              <w:rPr>
                <w:rFonts w:hint="default" w:ascii="Times New Roman" w:hAnsi="Times New Roman" w:eastAsia="宋体" w:cs="Times New Roman"/>
                <w:color w:val="auto"/>
                <w:kern w:val="0"/>
                <w:sz w:val="20"/>
                <w:szCs w:val="20"/>
              </w:rPr>
            </w:pPr>
          </w:p>
        </w:tc>
      </w:tr>
      <w:tr w14:paraId="7D7AA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745553A1">
            <w:pPr>
              <w:widowControl/>
              <w:jc w:val="center"/>
              <w:rPr>
                <w:rFonts w:hint="default" w:ascii="Times New Roman" w:hAnsi="Times New Roman" w:eastAsia="宋体" w:cs="Times New Roman"/>
                <w:color w:val="auto"/>
                <w:kern w:val="0"/>
                <w:sz w:val="20"/>
                <w:szCs w:val="20"/>
                <w:lang w:eastAsia="zh-CN"/>
              </w:rPr>
            </w:pPr>
            <w:r>
              <w:rPr>
                <w:rFonts w:hint="default" w:ascii="Times New Roman" w:hAnsi="Times New Roman" w:eastAsia="宋体" w:cs="Times New Roman"/>
                <w:color w:val="auto"/>
                <w:kern w:val="0"/>
                <w:sz w:val="20"/>
                <w:szCs w:val="20"/>
              </w:rPr>
              <w:t>Bouchonville</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{"citationID":"Ch6rL3Qr","properties":{"unsorted":false,"formattedCitation":"\\super 39\\nosupersub{}","plainCitation":"39","noteIndex":0},"citationItems":[{"id":6695,"uris":["http://zotero.org/users/local/9LWqYmzn/items/CCNWLS6G"],"itemData":{"id":6695,"type":"article-journal","abstract":"BACKGROUND: Obesity exacerbates the age-related decline in insulin sensitivity and is associated with risk for cardiometabolic syndrome in older adults; however, the appropriate treatment for obese older adults is controversial.\nOBJECTIVE: To determine the independent and combined effects of weight loss and exercise on cardiometabolic risk factors in obese older adults. DESIGN: One-hundred and seven obese (body mass index (BMI)X30 kg m 2) older (X65 years) adults with physical frailty were randomized to control group, diet group, exercise group and diet–exercise group for 1 year. Outcomes for this study included changes in insulin sensitivity index (ISI), glucose tolerance, central obesity, adipocytokines and cardiometabolic syndrome.\nRESULTS: Although similar increases in ISI occurred in the diet–exercise and diet groups at 6 months, the ISI improved more in the diet–exercise than in the diet group at 12 months (2.4 vs 1.2; between-group difference, 1.2; 95% conﬁdence interval, 0.2–2.1); no changes in ISI occurred in both exercise and control groups. The diet–exercise and diet groups had similar improvements in insulin area under the curve (AUC) ( 2.9 and 2.9 103 mg min dl 1), glucose AUC ( 1.4 and 2.2 103mg min dl 1), visceral fat ( 787 and 561 cm3), tumor necrosis factor ( 17.0 and 12.8 pg ml 1), adiponectin (5.0 and 4.0 ng ml 1), waist circumference ( 8.2 and 8.4 cm), triglyceride ( 30.7 and 24.3 g dl 1) and systolic/diastolic blood pressure ( 15.9 and 13.1/ 4.9 and 6.7 mm Hg), while no changes in these parameters occurred in both exercise and control groups. The cardiometabolic syndrome prevalence decreased by 40% in the diet–exercise and by 15% in the diet group. Body weight decreased similarly in the diet–exercise and diet groups ( 8.6 and 9.7 kg) but not in the exercise and control groups.\nCONCLUSIONS: In frail, obese older adults, lifestyle interventions associated with weight loss improve insulin sensitivity and other cardiometabolic risk factors, but continued improvement in insulin sensitivity is only achieved when exercise training is added to weight loss.","call-number":"2","citation-key":"bouchonvilleWeightLossExercise2014","container-title":"International Journal of Obesity","DOI":"10.1038/ijo.2013.122","ISSN":"0307-0565, 1476-5497","issue":"3","journalAbbreviation":"Int J Obes","language":"en","page":"423-431","source":"3.8","title":"Weight loss, exercise or both and cardiometabolic risk factors in obese older adults: Results of a randomized controlled trial","title-short":"Weight loss, exercise or both and cardiometabolic risk factors in obese older adults","volume":"38","author":[{"family":"Bouchonville","given":"M"},{"family":"Armamento-Villareal","given":"R"},{"family":"Shah","given":"K"},{"family":"Napoli","given":"N"},{"family":"Sinacore","given":"D R"},{"family":"Qualls","given":"C"},{"family":"Villareal","given":"D T"}],"issued":{"date-parts":[["2014",3]]}}}],"schema":"https://github.com/citation-style-language/schema/raw/master/csl-citation.json"}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39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w:t>
            </w:r>
            <w:r>
              <w:rPr>
                <w:rFonts w:hint="default" w:ascii="Times New Roman" w:hAnsi="Times New Roman" w:eastAsia="宋体" w:cs="Times New Roman"/>
                <w:color w:val="auto"/>
                <w:kern w:val="0"/>
                <w:sz w:val="20"/>
                <w:szCs w:val="20"/>
                <w:lang w:val="en-US" w:eastAsia="zh-CN"/>
              </w:rPr>
              <w:t>4</w:t>
            </w:r>
          </w:p>
        </w:tc>
        <w:tc>
          <w:tcPr>
            <w:tcW w:w="1247" w:type="dxa"/>
            <w:vMerge w:val="restart"/>
            <w:vAlign w:val="center"/>
          </w:tcPr>
          <w:p w14:paraId="08762E2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38D5062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IG:22</w:t>
            </w:r>
          </w:p>
        </w:tc>
        <w:tc>
          <w:tcPr>
            <w:tcW w:w="912" w:type="dxa"/>
            <w:vAlign w:val="center"/>
          </w:tcPr>
          <w:p w14:paraId="5F59CF4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70.0±4.0</w:t>
            </w:r>
          </w:p>
        </w:tc>
        <w:tc>
          <w:tcPr>
            <w:tcW w:w="780" w:type="dxa"/>
            <w:vAlign w:val="center"/>
          </w:tcPr>
          <w:p w14:paraId="13727B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29EEAAD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36.9±5.4</w:t>
            </w:r>
          </w:p>
        </w:tc>
        <w:tc>
          <w:tcPr>
            <w:tcW w:w="1077" w:type="dxa"/>
            <w:vAlign w:val="center"/>
          </w:tcPr>
          <w:p w14:paraId="441C4E6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40.2±10.5</w:t>
            </w:r>
          </w:p>
        </w:tc>
        <w:tc>
          <w:tcPr>
            <w:tcW w:w="1276" w:type="dxa"/>
            <w:vAlign w:val="center"/>
          </w:tcPr>
          <w:p w14:paraId="0CF9630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565986B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439225F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8C889B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205828C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7120C7A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119789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7EDB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64F3EA66">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C743214">
            <w:pPr>
              <w:widowControl/>
              <w:jc w:val="center"/>
              <w:rPr>
                <w:rFonts w:hint="default" w:ascii="Times New Roman" w:hAnsi="Times New Roman" w:eastAsia="宋体" w:cs="Times New Roman"/>
                <w:color w:val="auto"/>
                <w:kern w:val="0"/>
                <w:sz w:val="20"/>
                <w:szCs w:val="20"/>
              </w:rPr>
            </w:pPr>
          </w:p>
        </w:tc>
        <w:tc>
          <w:tcPr>
            <w:tcW w:w="814" w:type="dxa"/>
            <w:vAlign w:val="center"/>
          </w:tcPr>
          <w:p w14:paraId="10B2201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CG:23</w:t>
            </w:r>
          </w:p>
        </w:tc>
        <w:tc>
          <w:tcPr>
            <w:tcW w:w="912" w:type="dxa"/>
            <w:vAlign w:val="center"/>
          </w:tcPr>
          <w:p w14:paraId="1C86629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69.0±4.0</w:t>
            </w:r>
          </w:p>
        </w:tc>
        <w:tc>
          <w:tcPr>
            <w:tcW w:w="780" w:type="dxa"/>
            <w:vAlign w:val="center"/>
          </w:tcPr>
          <w:p w14:paraId="6A80BF8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83F75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37.3±4.7</w:t>
            </w:r>
          </w:p>
        </w:tc>
        <w:tc>
          <w:tcPr>
            <w:tcW w:w="1077" w:type="dxa"/>
            <w:vAlign w:val="center"/>
          </w:tcPr>
          <w:p w14:paraId="6586E8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43.4±6.7</w:t>
            </w:r>
          </w:p>
        </w:tc>
        <w:tc>
          <w:tcPr>
            <w:tcW w:w="1276" w:type="dxa"/>
            <w:vAlign w:val="center"/>
          </w:tcPr>
          <w:p w14:paraId="03A37C89">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31ED4779">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6DBAD2B">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48F3E0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64AC87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DF8583D">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B5DF70D">
            <w:pPr>
              <w:widowControl/>
              <w:jc w:val="center"/>
              <w:rPr>
                <w:rFonts w:hint="default" w:ascii="Times New Roman" w:hAnsi="Times New Roman" w:eastAsia="宋体" w:cs="Times New Roman"/>
                <w:color w:val="auto"/>
                <w:kern w:val="0"/>
                <w:sz w:val="20"/>
                <w:szCs w:val="20"/>
              </w:rPr>
            </w:pPr>
          </w:p>
        </w:tc>
      </w:tr>
      <w:tr w14:paraId="4484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3127D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Dobrosielski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{"citationID":"qrB25Vqf","properties":{"unsorted":false,"formattedCitation":"\\super 40\\nosupersub{}","plainCitation":"40","noteIndex":0},"citationItems":[{"id":6697,"uris":["http://zotero.org/users/local/9LWqYmzn/items/DARHMU45"],"itemData":{"id":6697,"type":"article-journal","abstract":"BACKGROUND: Increased blood pressure (BP) in type 2 diabetes (T2DM) markedly increases cardiovascular disease morbidity and mortality risk compared to having increased BP alone.\nOBJECTIVE: To investigate whether exercise reduces suboptimal levels of untreated suboptimal BP or treated hypertension. DESIGN: Prospective, randomized controlled trial for 6 months. SETTING: Single center in Baltimore, MD, USA. PATIENTS: 140 participants with T2DM not requiring insulin and untreated SBP of 120–159 or DBP of 85–99 mmHg, or, if being treated for hypertension, any SBP &lt;159 mmHg or DBP&lt;99 mmHg; 114 completed the study. INTERVENTION: Supervised exercise, 3 times per week for 6 months compared with general advice about physical activity.\nMEASUREMENTS: Resting SBP and DBP (primary outcome); diabetes status, arterial stiffness assessed as carotid-femoral pulse-wave velocity (PWV), body composition and fitness (secondary outcomes).\nRESULTS: Overall baseline BP was 126.8 ±13.5 / 71.7±9.0 mmHg, with no group differences. At 6 months, BP was unchanged from baseline in either group, BP 125.8±13.2 / 70.7±8.8 mmHg in controls; and 126.0±14.2 / 70.3±9.0 mmHg in exercisers, despite attaining a training effects as evidenced by increased aerobic and strength fitness and lean mass and reduced fat mass (all p &lt;0.05), Overall baseline PWV was 959.9±333.1 cm/s, with no group difference. At 6-months, PWV did not change and was not different between group; exercisers, 923.7±319.8 cm/s, 905.5± 344.7, controls. LIMITATIONS: A completion rate of 81 %.\nCONCLUSIONS: Though exercisers improve fitness and body composition, there were no reductions in BP. The lack of change in arterial stiffness suggests a","citation-key":"dobrosielskiEffectExerciseBlood2012","container-title":"Journal of General Internal Medicine","DOI":"10.1007/s11606-012-2103-8","ISSN":"0884-8734, 1525-1497","issue":"11","journalAbbreviation":"J GEN INTERN MED","language":"en","license":"http://www.springer.com/tdm","note":"JCR分区: Q1\n中科院分区升级版: 医学2区\n中科院分区基础版: 医学2区\n影响因子: 4.2\n5年影响因子: 5.4","page":"1453-1459","source":"4.2","title":"Effect of Exercise on Blood Pressure in Type 2 Diabetes: A Randomized Controlled Trial","title-short":"Effect of Exercise on Blood Pressure in Type 2 Diabetes","volume":"27","author":[{"family":"Dobrosielski","given":"Devon A."},{"family":"Gibbs","given":"Bethany Barone"},{"family":"Ouyang","given":"Pamela"},{"family":"Bonekamp","given":"Susanne"},{"family":"Clark","given":"Jeanne M."},{"family":"Wang","given":"Nae-Yuh"},{"family":"Silber","given":"Harry A."},{"family":"Shapiro","given":"Edward P."},{"family":"Stewart","given":"Kerry J."}],"issued":{"date-parts":[["2012",11]]}}}],"schema":"https://github.com/citation-style-language/schema/raw/master/csl-citation.json"}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2012</w:t>
            </w:r>
          </w:p>
        </w:tc>
        <w:tc>
          <w:tcPr>
            <w:tcW w:w="1247" w:type="dxa"/>
            <w:vMerge w:val="restart"/>
            <w:vAlign w:val="center"/>
          </w:tcPr>
          <w:p w14:paraId="375F6C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62D2CBB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IG:51</w:t>
            </w:r>
          </w:p>
        </w:tc>
        <w:tc>
          <w:tcPr>
            <w:tcW w:w="912" w:type="dxa"/>
            <w:vAlign w:val="center"/>
          </w:tcPr>
          <w:p w14:paraId="4BDEC59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57.0±6.0</w:t>
            </w:r>
          </w:p>
        </w:tc>
        <w:tc>
          <w:tcPr>
            <w:tcW w:w="780" w:type="dxa"/>
            <w:vAlign w:val="center"/>
          </w:tcPr>
          <w:p w14:paraId="3C4EE09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390BA7B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33.0±4.3</w:t>
            </w:r>
          </w:p>
        </w:tc>
        <w:tc>
          <w:tcPr>
            <w:tcW w:w="1077" w:type="dxa"/>
            <w:vAlign w:val="center"/>
          </w:tcPr>
          <w:p w14:paraId="0F2D4E8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38.2±7.5</w:t>
            </w:r>
          </w:p>
        </w:tc>
        <w:tc>
          <w:tcPr>
            <w:tcW w:w="1276" w:type="dxa"/>
            <w:vAlign w:val="center"/>
          </w:tcPr>
          <w:p w14:paraId="5829617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468DBB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466C39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0EA33D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73D2AA3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73D9299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6D1E753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2AEB2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C281499">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8AAE2E2">
            <w:pPr>
              <w:widowControl/>
              <w:jc w:val="center"/>
              <w:rPr>
                <w:rFonts w:hint="default" w:ascii="Times New Roman" w:hAnsi="Times New Roman" w:eastAsia="宋体" w:cs="Times New Roman"/>
                <w:color w:val="auto"/>
                <w:kern w:val="0"/>
                <w:sz w:val="20"/>
                <w:szCs w:val="20"/>
              </w:rPr>
            </w:pPr>
          </w:p>
        </w:tc>
        <w:tc>
          <w:tcPr>
            <w:tcW w:w="814" w:type="dxa"/>
            <w:vAlign w:val="center"/>
          </w:tcPr>
          <w:p w14:paraId="5ECEE5D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CG:63</w:t>
            </w:r>
          </w:p>
        </w:tc>
        <w:tc>
          <w:tcPr>
            <w:tcW w:w="912" w:type="dxa"/>
            <w:vAlign w:val="center"/>
          </w:tcPr>
          <w:p w14:paraId="425579D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56.0±6.0</w:t>
            </w:r>
          </w:p>
        </w:tc>
        <w:tc>
          <w:tcPr>
            <w:tcW w:w="780" w:type="dxa"/>
            <w:vAlign w:val="center"/>
          </w:tcPr>
          <w:p w14:paraId="642F57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729F33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33.6±4.8</w:t>
            </w:r>
          </w:p>
        </w:tc>
        <w:tc>
          <w:tcPr>
            <w:tcW w:w="1077" w:type="dxa"/>
            <w:vAlign w:val="center"/>
          </w:tcPr>
          <w:p w14:paraId="6F65739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38.4±7.5</w:t>
            </w:r>
          </w:p>
        </w:tc>
        <w:tc>
          <w:tcPr>
            <w:tcW w:w="1276" w:type="dxa"/>
            <w:vAlign w:val="center"/>
          </w:tcPr>
          <w:p w14:paraId="2210D23C">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7A5E01DD">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37A72BA">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B8FEB5E">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2B45258E">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6BE791A">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4389CFC">
            <w:pPr>
              <w:widowControl/>
              <w:jc w:val="center"/>
              <w:rPr>
                <w:rFonts w:hint="default" w:ascii="Times New Roman" w:hAnsi="Times New Roman" w:eastAsia="宋体" w:cs="Times New Roman"/>
                <w:color w:val="auto"/>
                <w:kern w:val="0"/>
                <w:sz w:val="20"/>
                <w:szCs w:val="20"/>
              </w:rPr>
            </w:pPr>
          </w:p>
        </w:tc>
      </w:tr>
      <w:tr w14:paraId="583D7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1B605B3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Jung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{"citationID":"HJkw2EUK","properties":{"unsorted":false,"formattedCitation":"\\super 41\\nosupersub{}","plainCitation":"41","noteIndex":0},"citationItems":[{"id":6699,"uris":["http://zotero.org/users/local/9LWqYmzn/items/SZIGV2SU"],"itemData":{"id":6699,"type":"article-journal","abstract":"Background: We investigated the effects of exercise intensity on abdominal and mid-thigh adipose tissue, attenuation of skeletal muscle, and insulin sensitivity in overweight women with type 2 diabetes mellitus (T2DM).\nMethods: Twenty-eight patients were randomly assigned to control (CG, n=12), moderate intensity exercise (MEG, n=8), or vigorous intensity exercise (VEG, n=8) group. Subjects in both exercise groups completed a 12-week exercise program (MEG, 3.6 to 5.2 METs; VEG, ≥5.2 METs) that was monitored by accelerometers. We assessed body mass index (BMI), total fat area (TFA), visceral fat area (VFA), subcutaneous fat area (SFA), mid-thigh intramuscular adipose tissue (TIMAT), total skeletal muscle (TTM), low density skeletal muscle (TLDM), and normal density skeletal muscle (TNDM) using computed tomography, and measured insulin sensitivity with an insulin tolerance test (KITT), before and after the intervention.\nResults: At baseline, the mean age was 53.8±7.9 years, duration of diabetes was 3.8±2.3 years, and BMI was 26.6±2.6 kg/m2. After 12 weeks, the percent change (%C) in BMI, TIMAT, and TLDM were not different among three groups. However, %C in TFA and VFA were significantly reduced in MEG compared to CG (P=0.026 and P=0.008, respectively). %C SFA was significantly reduced in VEG compared to CG (P=0.038) and %C TTM, TNDM, and KITT were significantly increased in VEG compared to the CG (P=0.044, P=0.007, and P=0.016, respectively).\nConclusion: Although there was no difference in the change in BMI among groups, TFA and VFA were more reduced in MEG, and only VEG increased TTM, TNDM, and insulin sensitivity compared to CG.","call-number":"2","citation-key":"jungEffectsAerobicExercise2012","container-title":"Diabetes &amp; Metabolism Journal","DOI":"10.4093/dmj.2012.36.3.211","ISSN":"2233-6079, 2233-6087","issue":"3","journalAbbreviation":"Diabetes Metab J","language":"en","license":"http://creativecommons.org/licenses/by-nc/3.0/","note":"JCR分区: Q1\n中科院分区升级版: 医学2区\n中科院分区基础版: 医学3区\n影响因子: 8.5\n5年影响因子: 7.2","page":"211-221","source":"8.5","title":"Effects of aerobic exercise intensity on abdominal and thigh adipose tissue and skeletal muscle attenuation in overweight women with type 2 diabetes mellitus","volume":"36","author":[{"family":"Jung","given":"Ji Yeon"},{"family":"Han","given":"Kyung Ah"},{"family":"Ahn","given":"Hee Jung"},{"family":"Kwon","given":"Hwi Ryun"},{"family":"Lee","given":"Jae Hyuk"},{"family":"Park","given":"Kang Seo"},{"family":"Min","given":"Kyung Wan"}],"issued":{"date-parts":[["2012"]]}}}],"schema":"https://github.com/citation-style-language/schema/raw/master/csl-citation.json"}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2012</w:t>
            </w:r>
          </w:p>
        </w:tc>
        <w:tc>
          <w:tcPr>
            <w:tcW w:w="1247" w:type="dxa"/>
            <w:vMerge w:val="restart"/>
            <w:vAlign w:val="center"/>
          </w:tcPr>
          <w:p w14:paraId="5A9759F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7B6339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IG:8</w:t>
            </w:r>
          </w:p>
        </w:tc>
        <w:tc>
          <w:tcPr>
            <w:tcW w:w="912" w:type="dxa"/>
            <w:vAlign w:val="center"/>
          </w:tcPr>
          <w:p w14:paraId="28A330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48.4±6.1</w:t>
            </w:r>
          </w:p>
        </w:tc>
        <w:tc>
          <w:tcPr>
            <w:tcW w:w="780" w:type="dxa"/>
            <w:vAlign w:val="center"/>
          </w:tcPr>
          <w:p w14:paraId="178F836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7B14B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25.9±1.6</w:t>
            </w:r>
          </w:p>
        </w:tc>
        <w:tc>
          <w:tcPr>
            <w:tcW w:w="1077" w:type="dxa"/>
            <w:vAlign w:val="center"/>
          </w:tcPr>
          <w:p w14:paraId="679DFD19">
            <w:pPr>
              <w:widowControl/>
              <w:jc w:val="center"/>
              <w:rPr>
                <w:rFonts w:hint="default" w:ascii="Times New Roman" w:hAnsi="Times New Roman" w:eastAsia="宋体" w:cs="Times New Roman"/>
                <w:color w:val="auto"/>
                <w:kern w:val="0"/>
                <w:sz w:val="20"/>
                <w:szCs w:val="20"/>
              </w:rPr>
            </w:pPr>
          </w:p>
        </w:tc>
        <w:tc>
          <w:tcPr>
            <w:tcW w:w="1276" w:type="dxa"/>
            <w:vAlign w:val="center"/>
          </w:tcPr>
          <w:p w14:paraId="33039CB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2CA11E1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3C0CE0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54FB4DC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870</w:t>
            </w:r>
          </w:p>
        </w:tc>
        <w:tc>
          <w:tcPr>
            <w:tcW w:w="851" w:type="dxa"/>
            <w:noWrap/>
            <w:vAlign w:val="center"/>
          </w:tcPr>
          <w:p w14:paraId="47E4827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246E1CF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120</w:t>
            </w:r>
          </w:p>
        </w:tc>
        <w:tc>
          <w:tcPr>
            <w:tcW w:w="1843" w:type="dxa"/>
            <w:vMerge w:val="restart"/>
            <w:vAlign w:val="center"/>
          </w:tcPr>
          <w:p w14:paraId="2F5B2F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14B2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49D3F578">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37CD71B">
            <w:pPr>
              <w:widowControl/>
              <w:jc w:val="center"/>
              <w:rPr>
                <w:rFonts w:hint="default" w:ascii="Times New Roman" w:hAnsi="Times New Roman" w:eastAsia="宋体" w:cs="Times New Roman"/>
                <w:color w:val="auto"/>
                <w:kern w:val="0"/>
                <w:sz w:val="20"/>
                <w:szCs w:val="20"/>
              </w:rPr>
            </w:pPr>
          </w:p>
        </w:tc>
        <w:tc>
          <w:tcPr>
            <w:tcW w:w="814" w:type="dxa"/>
            <w:vAlign w:val="center"/>
          </w:tcPr>
          <w:p w14:paraId="475510D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CG:12</w:t>
            </w:r>
          </w:p>
        </w:tc>
        <w:tc>
          <w:tcPr>
            <w:tcW w:w="912" w:type="dxa"/>
            <w:vAlign w:val="center"/>
          </w:tcPr>
          <w:p w14:paraId="2573960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55.5±7.6</w:t>
            </w:r>
          </w:p>
        </w:tc>
        <w:tc>
          <w:tcPr>
            <w:tcW w:w="780" w:type="dxa"/>
            <w:vAlign w:val="center"/>
          </w:tcPr>
          <w:p w14:paraId="5E4FF5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3C8D9AA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27.7±3.4</w:t>
            </w:r>
          </w:p>
        </w:tc>
        <w:tc>
          <w:tcPr>
            <w:tcW w:w="1077" w:type="dxa"/>
            <w:vAlign w:val="center"/>
          </w:tcPr>
          <w:p w14:paraId="1F7257ED">
            <w:pPr>
              <w:widowControl/>
              <w:jc w:val="center"/>
              <w:rPr>
                <w:rFonts w:hint="default" w:ascii="Times New Roman" w:hAnsi="Times New Roman" w:eastAsia="宋体" w:cs="Times New Roman"/>
                <w:color w:val="auto"/>
                <w:kern w:val="0"/>
                <w:sz w:val="20"/>
                <w:szCs w:val="20"/>
              </w:rPr>
            </w:pPr>
          </w:p>
        </w:tc>
        <w:tc>
          <w:tcPr>
            <w:tcW w:w="1276" w:type="dxa"/>
            <w:vAlign w:val="center"/>
          </w:tcPr>
          <w:p w14:paraId="00A3EA7B">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2B6719D2">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D565C6A">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5242CA7">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37D1F89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D39B86F">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7A65210F">
            <w:pPr>
              <w:widowControl/>
              <w:jc w:val="center"/>
              <w:rPr>
                <w:rFonts w:hint="default" w:ascii="Times New Roman" w:hAnsi="Times New Roman" w:eastAsia="宋体" w:cs="Times New Roman"/>
                <w:color w:val="auto"/>
                <w:kern w:val="0"/>
                <w:sz w:val="20"/>
                <w:szCs w:val="20"/>
              </w:rPr>
            </w:pPr>
          </w:p>
        </w:tc>
      </w:tr>
      <w:tr w14:paraId="4FE1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14468A6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Donges</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{"citationID":"BxIPS0Eh","properties":{"unsorted":false,"formattedCitation":"\\super 42\\nosupersub{}","plainCitation":"42","noteIndex":0},"citationItems":[{"id":6701,"uris":["http://zotero.org/users/local/9LWqYmzn/items/T8KX3HI4"],"itemData":{"id":6701,"type":"article-journal","citation-key":"dongesComparativeEffectsSinglemode2013","container-title":"Applied Physiology, Nutrition, and Metabolism","DOI":"10.1139/apnm-2012-0443","ISSN":"1715-5312, 1715-5320","issue":"7","journalAbbreviation":"Appl. Physiol. Nutr. Metab.","language":"en","license":"http://www.nrcresearchpress.com/page/about/CorporateTextAndDataMining","note":"JCR分区: Q2\n中科院分区升级版: 医学4区\n中科院分区基础版: 医学3区\n影响因子: 2.1\n5年影响因子: 2.9","page":"779-788","source":"DOI.org (Crossref)","title":"Comparative effects of single-mode vs. duration-matched concurrent exercise training on body composition, low-grade inflammation, and glucose regulation in sedentary, overweight, middle-aged men","volume":"38","author":[{"family":"Donges","given":"Cheyne E."},{"family":"Duffield","given":"Rob"},{"family":"Guelfi","given":"Kym J."},{"family":"Smith","given":"Greg C."},{"family":"Adams","given":"David R."},{"family":"Edge","given":"Johann A."}],"issued":{"date-parts":[["2013",7]]}}}],"schema":"https://github.com/citation-style-language/schema/raw/master/csl-citation.json"}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2013</w:t>
            </w:r>
          </w:p>
        </w:tc>
        <w:tc>
          <w:tcPr>
            <w:tcW w:w="1247" w:type="dxa"/>
            <w:vMerge w:val="restart"/>
            <w:vAlign w:val="center"/>
          </w:tcPr>
          <w:p w14:paraId="713906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33AD295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IG1:13</w:t>
            </w:r>
          </w:p>
        </w:tc>
        <w:tc>
          <w:tcPr>
            <w:tcW w:w="912" w:type="dxa"/>
            <w:vAlign w:val="center"/>
          </w:tcPr>
          <w:p w14:paraId="151779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45.4±6.1</w:t>
            </w:r>
          </w:p>
        </w:tc>
        <w:tc>
          <w:tcPr>
            <w:tcW w:w="780" w:type="dxa"/>
            <w:vAlign w:val="center"/>
          </w:tcPr>
          <w:p w14:paraId="40A756E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6EBCC72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32.0±4.9</w:t>
            </w:r>
          </w:p>
        </w:tc>
        <w:tc>
          <w:tcPr>
            <w:tcW w:w="1077" w:type="dxa"/>
            <w:vAlign w:val="center"/>
          </w:tcPr>
          <w:p w14:paraId="5B3240E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27.8±4.7</w:t>
            </w:r>
          </w:p>
        </w:tc>
        <w:tc>
          <w:tcPr>
            <w:tcW w:w="1276" w:type="dxa"/>
            <w:vAlign w:val="center"/>
          </w:tcPr>
          <w:p w14:paraId="31F1787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17A7928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12ACECF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0F0C2BE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870</w:t>
            </w:r>
          </w:p>
        </w:tc>
        <w:tc>
          <w:tcPr>
            <w:tcW w:w="851" w:type="dxa"/>
            <w:noWrap/>
            <w:vAlign w:val="center"/>
          </w:tcPr>
          <w:p w14:paraId="60FD2B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6B6CBEF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120</w:t>
            </w:r>
          </w:p>
        </w:tc>
        <w:tc>
          <w:tcPr>
            <w:tcW w:w="1843" w:type="dxa"/>
            <w:vMerge w:val="restart"/>
            <w:vAlign w:val="center"/>
          </w:tcPr>
          <w:p w14:paraId="45E7277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4C35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743A552">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929FF0D">
            <w:pPr>
              <w:widowControl/>
              <w:jc w:val="center"/>
              <w:rPr>
                <w:rFonts w:hint="default" w:ascii="Times New Roman" w:hAnsi="Times New Roman" w:eastAsia="宋体" w:cs="Times New Roman"/>
                <w:color w:val="auto"/>
                <w:kern w:val="0"/>
                <w:sz w:val="20"/>
                <w:szCs w:val="20"/>
              </w:rPr>
            </w:pPr>
          </w:p>
        </w:tc>
        <w:tc>
          <w:tcPr>
            <w:tcW w:w="814" w:type="dxa"/>
            <w:vAlign w:val="center"/>
          </w:tcPr>
          <w:p w14:paraId="7B2A5B6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IG2:13</w:t>
            </w:r>
          </w:p>
        </w:tc>
        <w:tc>
          <w:tcPr>
            <w:tcW w:w="912" w:type="dxa"/>
            <w:vAlign w:val="center"/>
          </w:tcPr>
          <w:p w14:paraId="23017B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45.4±6.1</w:t>
            </w:r>
          </w:p>
        </w:tc>
        <w:tc>
          <w:tcPr>
            <w:tcW w:w="780" w:type="dxa"/>
            <w:vAlign w:val="center"/>
          </w:tcPr>
          <w:p w14:paraId="0AF630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21AC82B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29.7±3.2</w:t>
            </w:r>
          </w:p>
        </w:tc>
        <w:tc>
          <w:tcPr>
            <w:tcW w:w="1077" w:type="dxa"/>
            <w:vAlign w:val="center"/>
          </w:tcPr>
          <w:p w14:paraId="72206EE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27.6±5.0</w:t>
            </w:r>
          </w:p>
        </w:tc>
        <w:tc>
          <w:tcPr>
            <w:tcW w:w="1276" w:type="dxa"/>
            <w:vAlign w:val="center"/>
          </w:tcPr>
          <w:p w14:paraId="614AFFB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153FDB4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c>
          <w:tcPr>
            <w:tcW w:w="1276" w:type="dxa"/>
            <w:vAlign w:val="center"/>
          </w:tcPr>
          <w:p w14:paraId="4DCC12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8F08A4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450</w:t>
            </w:r>
          </w:p>
        </w:tc>
        <w:tc>
          <w:tcPr>
            <w:tcW w:w="851" w:type="dxa"/>
            <w:noWrap/>
            <w:vAlign w:val="center"/>
          </w:tcPr>
          <w:p w14:paraId="2EF6BF6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4B1ACAC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843" w:type="dxa"/>
            <w:vMerge w:val="continue"/>
            <w:vAlign w:val="center"/>
          </w:tcPr>
          <w:p w14:paraId="5DE2431B">
            <w:pPr>
              <w:widowControl/>
              <w:jc w:val="center"/>
              <w:rPr>
                <w:rFonts w:hint="default" w:ascii="Times New Roman" w:hAnsi="Times New Roman" w:eastAsia="宋体" w:cs="Times New Roman"/>
                <w:color w:val="auto"/>
                <w:kern w:val="0"/>
                <w:sz w:val="20"/>
                <w:szCs w:val="20"/>
              </w:rPr>
            </w:pPr>
          </w:p>
        </w:tc>
      </w:tr>
      <w:tr w14:paraId="04455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295304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069919F">
            <w:pPr>
              <w:widowControl/>
              <w:jc w:val="center"/>
              <w:rPr>
                <w:rFonts w:hint="default" w:ascii="Times New Roman" w:hAnsi="Times New Roman" w:eastAsia="宋体" w:cs="Times New Roman"/>
                <w:color w:val="auto"/>
                <w:kern w:val="0"/>
                <w:sz w:val="20"/>
                <w:szCs w:val="20"/>
              </w:rPr>
            </w:pPr>
          </w:p>
        </w:tc>
        <w:tc>
          <w:tcPr>
            <w:tcW w:w="814" w:type="dxa"/>
            <w:vAlign w:val="center"/>
          </w:tcPr>
          <w:p w14:paraId="0D04505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IG3:13</w:t>
            </w:r>
          </w:p>
        </w:tc>
        <w:tc>
          <w:tcPr>
            <w:tcW w:w="912" w:type="dxa"/>
            <w:vAlign w:val="center"/>
          </w:tcPr>
          <w:p w14:paraId="798AC95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46.2±5.0</w:t>
            </w:r>
          </w:p>
        </w:tc>
        <w:tc>
          <w:tcPr>
            <w:tcW w:w="780" w:type="dxa"/>
            <w:vAlign w:val="center"/>
          </w:tcPr>
          <w:p w14:paraId="5C5AB6C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1F2264D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30.2±2.5</w:t>
            </w:r>
          </w:p>
        </w:tc>
        <w:tc>
          <w:tcPr>
            <w:tcW w:w="1077" w:type="dxa"/>
            <w:vAlign w:val="center"/>
          </w:tcPr>
          <w:p w14:paraId="0582FAE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27.6±5.0</w:t>
            </w:r>
          </w:p>
        </w:tc>
        <w:tc>
          <w:tcPr>
            <w:tcW w:w="1276" w:type="dxa"/>
            <w:vAlign w:val="center"/>
          </w:tcPr>
          <w:p w14:paraId="0CDF1F6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66C42C1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276" w:type="dxa"/>
            <w:vAlign w:val="center"/>
          </w:tcPr>
          <w:p w14:paraId="0EDD979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60CB4F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1" w:type="dxa"/>
            <w:noWrap/>
            <w:vAlign w:val="center"/>
          </w:tcPr>
          <w:p w14:paraId="108794B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3C62002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w:t>
            </w:r>
          </w:p>
        </w:tc>
        <w:tc>
          <w:tcPr>
            <w:tcW w:w="1843" w:type="dxa"/>
            <w:vMerge w:val="continue"/>
            <w:vAlign w:val="center"/>
          </w:tcPr>
          <w:p w14:paraId="16ACF525">
            <w:pPr>
              <w:widowControl/>
              <w:jc w:val="center"/>
              <w:rPr>
                <w:rFonts w:hint="default" w:ascii="Times New Roman" w:hAnsi="Times New Roman" w:eastAsia="宋体" w:cs="Times New Roman"/>
                <w:color w:val="auto"/>
                <w:kern w:val="0"/>
                <w:sz w:val="20"/>
                <w:szCs w:val="20"/>
              </w:rPr>
            </w:pPr>
          </w:p>
        </w:tc>
      </w:tr>
      <w:tr w14:paraId="01507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2C8687A">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D5CFB52">
            <w:pPr>
              <w:widowControl/>
              <w:jc w:val="center"/>
              <w:rPr>
                <w:rFonts w:hint="default" w:ascii="Times New Roman" w:hAnsi="Times New Roman" w:eastAsia="宋体" w:cs="Times New Roman"/>
                <w:color w:val="auto"/>
                <w:kern w:val="0"/>
                <w:sz w:val="20"/>
                <w:szCs w:val="20"/>
              </w:rPr>
            </w:pPr>
          </w:p>
        </w:tc>
        <w:tc>
          <w:tcPr>
            <w:tcW w:w="814" w:type="dxa"/>
            <w:vAlign w:val="center"/>
          </w:tcPr>
          <w:p w14:paraId="43223AF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CG:8</w:t>
            </w:r>
          </w:p>
        </w:tc>
        <w:tc>
          <w:tcPr>
            <w:tcW w:w="912" w:type="dxa"/>
            <w:vAlign w:val="center"/>
          </w:tcPr>
          <w:p w14:paraId="133C65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49.5±7.4</w:t>
            </w:r>
          </w:p>
        </w:tc>
        <w:tc>
          <w:tcPr>
            <w:tcW w:w="780" w:type="dxa"/>
            <w:vAlign w:val="center"/>
          </w:tcPr>
          <w:p w14:paraId="0EFC94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AE6A0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29.6±5.4</w:t>
            </w:r>
          </w:p>
        </w:tc>
        <w:tc>
          <w:tcPr>
            <w:tcW w:w="1077" w:type="dxa"/>
            <w:vAlign w:val="center"/>
          </w:tcPr>
          <w:p w14:paraId="4CAEB2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23.9±6.2</w:t>
            </w:r>
          </w:p>
        </w:tc>
        <w:tc>
          <w:tcPr>
            <w:tcW w:w="1276" w:type="dxa"/>
            <w:vAlign w:val="center"/>
          </w:tcPr>
          <w:p w14:paraId="6504199E">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6957B928">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5672FE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2A5EB91">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724ADF0E">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D5C23EE">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2DB4771">
            <w:pPr>
              <w:widowControl/>
              <w:jc w:val="center"/>
              <w:rPr>
                <w:rFonts w:hint="default" w:ascii="Times New Roman" w:hAnsi="Times New Roman" w:eastAsia="宋体" w:cs="Times New Roman"/>
                <w:color w:val="auto"/>
                <w:kern w:val="0"/>
                <w:sz w:val="20"/>
                <w:szCs w:val="20"/>
              </w:rPr>
            </w:pPr>
          </w:p>
        </w:tc>
      </w:tr>
      <w:tr w14:paraId="6C0E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06BFF7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Heydari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{"citationID":"QAXkCIO0","properties":{"unsorted":false,"formattedCitation":"\\super 43\\nosupersub{}","plainCitation":"43","noteIndex":0},"citationItems":[{"id":6703,"uris":["http://zotero.org/users/local/9LWqYmzn/items/IE8S33AB"],"itemData":{"id":6703,"type":"article-journal","abstract":"To determine the effect of a 12-week high intensity intermittent exercise (HIIE) intervention on total body, abdominal, trunk, visceral fat mass, and fat free mass of young overweight males. Participants were randomly assigned to either exercise or control group. The intervention group received HIIE three times per week, 20 min per session, for 12 weeks. Aerobic power improved significantly (\n              \n                \n                  P\n                  &lt;\n                  0.001\n                \n              \n              ) by 15% for the exercising group. Exercisers compared to controls experienced significant weight loss of 1.5 kg (\n              \n                \n                  P\n                  &lt;\n                  0.005\n                \n              \n              ) and a significant reduction in total fat mass of 2 kg (\n              \n                \n                  P\n                  &lt;\n                  0.001\n                \n              \n              ). Abdominal and trunk adiposity was also significantly reduced in the exercising group by 0.1 kg (\n              \n                \n                  P\n                  &lt;\n                  0.05\n                \n              \n              ) and 1.5 kg (\n              \n                \n                  P\n                  &lt;\n                  0.001\n                \n              \n              ). Also the exercise group had a significant (\n              \n                \n                  P\n                  &lt;\n                  0.01\n                \n              \n              ) 17% reduction in visceral fat after 12 weeks of HIIE, whereas waist circumference was significantly decreased by week six (\n              \n                \n                  P\n                  &lt;\n                  0.001\n                \n              \n              ). Fat free mass was significantly increased (\n              \n                \n                  P\n                  &lt;\n                  0.05\n                \n              \n              ) in the exercising group by 0.4 kg for the leg and 0.7 kg for the trunk. No significant change (\n              \n                \n                  P\n                  &gt;\n                  0.05\n                \n              \n              ) occurred in levels of insulin, HOMA-IR, and blood lipids. Twelve weeks of HIIE resulted in significant reductions in total, abdominal, trunk, and visceral fat and significant increases in fat free mass and aerobic power.","call-number":"3","citation-key":"heydariEffectHighintensityIntermittent2012","container-title":"Journal of Obesity","DOI":"10.1155/2012/480467","ISSN":"2090-0708, 2090-0716","journalAbbreviation":"Journal of Obesity","language":"en","license":"http://creativecommons.org/licenses/by/3.0/","note":"中科院分区升级版: 医学3区\n影响因子: 3.9\n5年影响因子: 4.0","page":"1-8","source":"3.9","title":"The effect of high-intensity intermittent exercise on body composition of overweight young males","volume":"2012","author":[{"family":"Heydari","given":"M."},{"family":"Freund","given":"J."},{"family":"Boutcher","given":"S. H."}],"issued":{"date-parts":[["2012"]]}}}],"schema":"https://github.com/citation-style-language/schema/raw/master/csl-citation.json"}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43</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2012</w:t>
            </w:r>
          </w:p>
        </w:tc>
        <w:tc>
          <w:tcPr>
            <w:tcW w:w="1247" w:type="dxa"/>
            <w:vMerge w:val="restart"/>
            <w:vAlign w:val="center"/>
          </w:tcPr>
          <w:p w14:paraId="0D8B4CF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Australia</w:t>
            </w:r>
          </w:p>
        </w:tc>
        <w:tc>
          <w:tcPr>
            <w:tcW w:w="814" w:type="dxa"/>
            <w:vAlign w:val="center"/>
          </w:tcPr>
          <w:p w14:paraId="341408D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IG:20</w:t>
            </w:r>
          </w:p>
        </w:tc>
        <w:tc>
          <w:tcPr>
            <w:tcW w:w="912" w:type="dxa"/>
            <w:vAlign w:val="center"/>
          </w:tcPr>
          <w:p w14:paraId="7FA3FA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24.7±4.8</w:t>
            </w:r>
          </w:p>
        </w:tc>
        <w:tc>
          <w:tcPr>
            <w:tcW w:w="780" w:type="dxa"/>
            <w:vAlign w:val="center"/>
          </w:tcPr>
          <w:p w14:paraId="50C57A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42E6528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28.4±2.2</w:t>
            </w:r>
          </w:p>
        </w:tc>
        <w:tc>
          <w:tcPr>
            <w:tcW w:w="1077" w:type="dxa"/>
            <w:vAlign w:val="center"/>
          </w:tcPr>
          <w:p w14:paraId="18F7E60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34.8±4.1</w:t>
            </w:r>
          </w:p>
        </w:tc>
        <w:tc>
          <w:tcPr>
            <w:tcW w:w="1276" w:type="dxa"/>
            <w:vAlign w:val="center"/>
          </w:tcPr>
          <w:p w14:paraId="794123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52F2B76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vAlign w:val="center"/>
          </w:tcPr>
          <w:p w14:paraId="4473B4A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5E54A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528</w:t>
            </w:r>
          </w:p>
        </w:tc>
        <w:tc>
          <w:tcPr>
            <w:tcW w:w="851" w:type="dxa"/>
            <w:noWrap/>
            <w:vAlign w:val="center"/>
          </w:tcPr>
          <w:p w14:paraId="68724FF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0471AB5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843" w:type="dxa"/>
            <w:vMerge w:val="restart"/>
            <w:vAlign w:val="center"/>
          </w:tcPr>
          <w:p w14:paraId="17C7EE5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0CCE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04CFC231">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31599636">
            <w:pPr>
              <w:widowControl/>
              <w:jc w:val="center"/>
              <w:rPr>
                <w:rFonts w:hint="default" w:ascii="Times New Roman" w:hAnsi="Times New Roman" w:eastAsia="宋体" w:cs="Times New Roman"/>
                <w:color w:val="auto"/>
                <w:kern w:val="0"/>
                <w:sz w:val="20"/>
                <w:szCs w:val="20"/>
              </w:rPr>
            </w:pPr>
          </w:p>
        </w:tc>
        <w:tc>
          <w:tcPr>
            <w:tcW w:w="814" w:type="dxa"/>
            <w:vAlign w:val="center"/>
          </w:tcPr>
          <w:p w14:paraId="54E4693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CG:18</w:t>
            </w:r>
          </w:p>
        </w:tc>
        <w:tc>
          <w:tcPr>
            <w:tcW w:w="912" w:type="dxa"/>
            <w:vAlign w:val="center"/>
          </w:tcPr>
          <w:p w14:paraId="59A617E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25.1±3.9</w:t>
            </w:r>
          </w:p>
        </w:tc>
        <w:tc>
          <w:tcPr>
            <w:tcW w:w="780" w:type="dxa"/>
            <w:vAlign w:val="center"/>
          </w:tcPr>
          <w:p w14:paraId="53F01BD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3D67D00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29.0±3.1</w:t>
            </w:r>
          </w:p>
        </w:tc>
        <w:tc>
          <w:tcPr>
            <w:tcW w:w="1077" w:type="dxa"/>
            <w:vAlign w:val="center"/>
          </w:tcPr>
          <w:p w14:paraId="52A58C9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36.3±5.9</w:t>
            </w:r>
          </w:p>
        </w:tc>
        <w:tc>
          <w:tcPr>
            <w:tcW w:w="1276" w:type="dxa"/>
            <w:vAlign w:val="center"/>
          </w:tcPr>
          <w:p w14:paraId="340F5F16">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4CBFADDA">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07D5C6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44E13C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259ED5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EF33551">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735130ED">
            <w:pPr>
              <w:widowControl/>
              <w:jc w:val="center"/>
              <w:rPr>
                <w:rFonts w:hint="default" w:ascii="Times New Roman" w:hAnsi="Times New Roman" w:eastAsia="宋体" w:cs="Times New Roman"/>
                <w:color w:val="auto"/>
                <w:kern w:val="0"/>
                <w:sz w:val="20"/>
                <w:szCs w:val="20"/>
              </w:rPr>
            </w:pPr>
          </w:p>
        </w:tc>
      </w:tr>
      <w:tr w14:paraId="4F05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775D03B9">
            <w:pPr>
              <w:widowControl/>
              <w:jc w:val="center"/>
              <w:rPr>
                <w:rFonts w:hint="default" w:ascii="Times New Roman" w:hAnsi="Times New Roman" w:eastAsia="宋体" w:cs="Times New Roman"/>
                <w:color w:val="auto"/>
                <w:kern w:val="0"/>
                <w:sz w:val="20"/>
                <w:szCs w:val="20"/>
                <w:lang w:eastAsia="zh-CN"/>
              </w:rPr>
            </w:pPr>
            <w:r>
              <w:rPr>
                <w:rFonts w:hint="default" w:ascii="Times New Roman" w:hAnsi="Times New Roman" w:eastAsia="宋体" w:cs="Times New Roman"/>
                <w:color w:val="auto"/>
                <w:kern w:val="0"/>
                <w:sz w:val="20"/>
                <w:szCs w:val="20"/>
              </w:rPr>
              <w:t>Moghadasi</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{"citationID":"V10ICbKe","properties":{"unsorted":false,"formattedCitation":"\\super 44\\nosupersub{}","plainCitation":"44","noteIndex":0},"citationItems":[{"id":6705,"uris":["http://zotero.org/users/local/9LWqYmzn/items/N7ULD75M"],"itemData":{"id":6705,"type":"article-journal","abstract":"Adiponectin mRNA and plasma concentrations were reduced in obesity. Exercise training may reduce the adipose tissue (AT), although it is not well known, whether exercise induced change in AT, increases adiponectin mRNA expression and plasma concentrations or not. Therefore, the purpose of this study was to examine the effects of short-term lifestyle activity modification (LAM) on adiponectin mRNA and plasma concentrations. Sixteen obese and overweight middle-aged men (age, 35 50 years) with type 2 diabetes participated in this study. The subjects were randomly assigned to LAM group (n 8) or control group (n 8). The subjects in LAM group walked two miles in 30 min on a treadmill on 4 days per week for 12 weeks according to the guidelines of the Centers for Disease Control and Prevention and American College of Sports Medicine. The results showed that body mass, body mass index, central visceral adipose tissue and subcutaneous adipose tissue volume and hip and thigh subcutaneous adipose tissue (hip and thigh SAT) volume were decreased in the LAM group compared to the control group (P B0.05). Adiponectin mRNA in abdominal and gluteal subcutaneous AT were increased significantly in the LAM group compared to the control group (P B0.05), while plasma adiponectin concentrations, hsCRP and insulin resistance did not change significantly. In conclusion, adiponectin mRNA levels increase after 12 weeks of LAM; however, plasma adiponectin levels were not affected by this protocol in obese and overweight middle-aged men with type 2 diabetes.","call-number":"2","citation-key":"moghadasiEffectsShorttermLifestyle2013","container-title":"European Journal of Sport Science","DOI":"10.1080/17461391.2011.635701","ISSN":"1746-1391, 1536-7290","issue":"4","journalAbbreviation":"European Journal of Sport Science","language":"en","license":"http://onlinelibrary.wiley.com/termsAndConditions#vor","note":"JCR分区: Q1\n中科院分区升级版: 医学3区\n中科院分区基础版: 医学3区\n影响因子: 3.0\n5年影响因子: 3.7","page":"378-385","source":"3.0","title":"Effects of short‐term lifestyle activity modification on adiponectin mRNA expression and plasma concentrations","volume":"13","author":[{"family":"Moghadasi","given":"Mehrzad"},{"family":"Mohebbi","given":"Hamid"},{"family":"Rahmani‐Nia","given":"Farhad"},{"family":"Hassan‐Nia","given":"Sadegh"},{"family":"Noroozi","given":"Hamid"}],"issued":{"date-parts":[["2013",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w:t>
            </w:r>
            <w:r>
              <w:rPr>
                <w:rFonts w:hint="default" w:ascii="Times New Roman" w:hAnsi="Times New Roman" w:eastAsia="宋体" w:cs="Times New Roman"/>
                <w:color w:val="auto"/>
                <w:kern w:val="0"/>
                <w:sz w:val="20"/>
                <w:szCs w:val="20"/>
                <w:lang w:val="en-US" w:eastAsia="zh-CN"/>
              </w:rPr>
              <w:t>3</w:t>
            </w:r>
          </w:p>
        </w:tc>
        <w:tc>
          <w:tcPr>
            <w:tcW w:w="1247" w:type="dxa"/>
            <w:vMerge w:val="restart"/>
            <w:vAlign w:val="center"/>
          </w:tcPr>
          <w:p w14:paraId="4664CE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Iran</w:t>
            </w:r>
          </w:p>
        </w:tc>
        <w:tc>
          <w:tcPr>
            <w:tcW w:w="814" w:type="dxa"/>
            <w:vAlign w:val="center"/>
          </w:tcPr>
          <w:p w14:paraId="245FC0A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IG:8</w:t>
            </w:r>
          </w:p>
        </w:tc>
        <w:tc>
          <w:tcPr>
            <w:tcW w:w="912" w:type="dxa"/>
            <w:vMerge w:val="restart"/>
            <w:vAlign w:val="center"/>
          </w:tcPr>
          <w:p w14:paraId="086FC45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35–50</w:t>
            </w:r>
          </w:p>
        </w:tc>
        <w:tc>
          <w:tcPr>
            <w:tcW w:w="780" w:type="dxa"/>
            <w:vAlign w:val="center"/>
          </w:tcPr>
          <w:p w14:paraId="42CC95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D83A91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30.3±2.1</w:t>
            </w:r>
          </w:p>
        </w:tc>
        <w:tc>
          <w:tcPr>
            <w:tcW w:w="1077" w:type="dxa"/>
            <w:vAlign w:val="center"/>
          </w:tcPr>
          <w:p w14:paraId="7EFA33E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30.0±3.4</w:t>
            </w:r>
          </w:p>
        </w:tc>
        <w:tc>
          <w:tcPr>
            <w:tcW w:w="1276" w:type="dxa"/>
            <w:vAlign w:val="center"/>
          </w:tcPr>
          <w:p w14:paraId="5FA675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FE5FE1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0551AE4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w:t>
            </w:r>
          </w:p>
        </w:tc>
        <w:tc>
          <w:tcPr>
            <w:tcW w:w="850" w:type="dxa"/>
            <w:noWrap/>
            <w:vAlign w:val="center"/>
          </w:tcPr>
          <w:p w14:paraId="2998495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696</w:t>
            </w:r>
          </w:p>
        </w:tc>
        <w:tc>
          <w:tcPr>
            <w:tcW w:w="851" w:type="dxa"/>
            <w:noWrap/>
            <w:vAlign w:val="center"/>
          </w:tcPr>
          <w:p w14:paraId="52425D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56FBA29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54</w:t>
            </w:r>
          </w:p>
        </w:tc>
        <w:tc>
          <w:tcPr>
            <w:tcW w:w="1843" w:type="dxa"/>
            <w:vMerge w:val="restart"/>
            <w:vAlign w:val="center"/>
          </w:tcPr>
          <w:p w14:paraId="0E9A42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37E2F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EF2690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4B4E7AD">
            <w:pPr>
              <w:widowControl/>
              <w:jc w:val="center"/>
              <w:rPr>
                <w:rFonts w:hint="default" w:ascii="Times New Roman" w:hAnsi="Times New Roman" w:eastAsia="宋体" w:cs="Times New Roman"/>
                <w:color w:val="auto"/>
                <w:kern w:val="0"/>
                <w:sz w:val="20"/>
                <w:szCs w:val="20"/>
              </w:rPr>
            </w:pPr>
          </w:p>
        </w:tc>
        <w:tc>
          <w:tcPr>
            <w:tcW w:w="814" w:type="dxa"/>
            <w:vAlign w:val="center"/>
          </w:tcPr>
          <w:p w14:paraId="2B28840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CG:8</w:t>
            </w:r>
          </w:p>
        </w:tc>
        <w:tc>
          <w:tcPr>
            <w:tcW w:w="912" w:type="dxa"/>
            <w:vMerge w:val="continue"/>
            <w:vAlign w:val="center"/>
          </w:tcPr>
          <w:p w14:paraId="4C5EED5E">
            <w:pPr>
              <w:widowControl/>
              <w:jc w:val="center"/>
              <w:rPr>
                <w:rFonts w:hint="default" w:ascii="Times New Roman" w:hAnsi="Times New Roman" w:eastAsia="宋体" w:cs="Times New Roman"/>
                <w:color w:val="auto"/>
                <w:kern w:val="0"/>
                <w:sz w:val="20"/>
                <w:szCs w:val="20"/>
              </w:rPr>
            </w:pPr>
          </w:p>
        </w:tc>
        <w:tc>
          <w:tcPr>
            <w:tcW w:w="780" w:type="dxa"/>
            <w:vAlign w:val="center"/>
          </w:tcPr>
          <w:p w14:paraId="70C518A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44F688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32.0±5.3</w:t>
            </w:r>
          </w:p>
        </w:tc>
        <w:tc>
          <w:tcPr>
            <w:tcW w:w="1077" w:type="dxa"/>
            <w:vAlign w:val="center"/>
          </w:tcPr>
          <w:p w14:paraId="056AD7B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31.4±5.5</w:t>
            </w:r>
          </w:p>
        </w:tc>
        <w:tc>
          <w:tcPr>
            <w:tcW w:w="1276" w:type="dxa"/>
            <w:vAlign w:val="center"/>
          </w:tcPr>
          <w:p w14:paraId="6EE36ACA">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584AE43">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E1E02F3">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064107A">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9D8D6E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EB88FA4">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496B63DD">
            <w:pPr>
              <w:widowControl/>
              <w:jc w:val="center"/>
              <w:rPr>
                <w:rFonts w:hint="default" w:ascii="Times New Roman" w:hAnsi="Times New Roman" w:eastAsia="宋体" w:cs="Times New Roman"/>
                <w:color w:val="auto"/>
                <w:kern w:val="0"/>
                <w:sz w:val="20"/>
                <w:szCs w:val="20"/>
              </w:rPr>
            </w:pPr>
          </w:p>
        </w:tc>
      </w:tr>
      <w:tr w14:paraId="55AE1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7" w:hRule="atLeast"/>
          <w:jc w:val="center"/>
        </w:trPr>
        <w:tc>
          <w:tcPr>
            <w:tcW w:w="1746" w:type="dxa"/>
            <w:vMerge w:val="restart"/>
            <w:vAlign w:val="center"/>
          </w:tcPr>
          <w:p w14:paraId="18CE46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Kim</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{"citationID":"q87ZV5Yc","properties":{"unsorted":false,"formattedCitation":"\\super 45\\nosupersub{}","plainCitation":"45","noteIndex":0},"citationItems":[{"id":6707,"uris":["http://zotero.org/users/local/9LWqYmzn/items/4QQHDBHQ"],"itemData":{"id":6707,"type":"article-journal","abstract":"Background: The percentage of obese postmenopausal women with metabolic syndrome is rising, and physical factors associated with the metabolic syndrome prevalence or incidence are also rising, including high body mass index (BMI), visceral fat area (VFA), low plasma sex hormone-binding globulin (SHBG) levels, and low cardiorespiratory ﬁtness. Therefore, we investigated the inﬂuence of aerobic exercise on SHBG, body fat index (BFI), and metabolic syndrome factors in obese postmenopausal Korean women.\nMethods: Thirty healthy postmenopausal, women aged 53.46 – 2.4 years and with over 32% body fat, were randomly assigned to an aerobic exercise group (EX; n = 15) or to a ‘‘nonexercise’’ control (Con; n = 15) group. The primary outcome measurements were serum SHBG, lipid proﬁles, insulin levels, and metabolic syndrome factors. Secondary outcome measurements were body composition, VFA, blood pressure (BP), and homeostasis model assessment of insulin resistance (HOMA-IR).\nResults: Posttraining body weight and BFI (P &lt; 0.05), total cholesterol, glucose, and insulin levels (P &lt; 0.01), BP, and HOMA-IR (P &lt; 0.001) decreased, whereas SHBG (P &lt; 0.001) and metabolic syndrome factors (P &lt; 0.01) improved in the exercise group but not in the control group. SHBG levels also showed a signiﬁcant positive correlation with high-density lipoprotein cholesterol (HDL-C) and signiﬁcant negative correlations withglucose, diastolic blood pressure, fat mass, BMI, and percent body fat (P &lt; 0.05).\nConclusions: Our ﬁndings indicate that aerobic exercise improves body composition, SHBG, insulin levels, and metabolic syndrome factors. These ﬁndings suggest that in obesepostmenopausal Korean women, 16 weeks of aerobic exercise is effective for preventing the metabolic syndrome caused by obesity.","call-number":"4","citation-key":"kimEffectsAerobicExercise2012","container-title":"Metabolic Syndrome and Related Disorders","DOI":"10.1089/met.2012.0036","ISSN":"1540-4196, 1557-8518","issue":"6","journalAbbreviation":"Metabolic Syndrome and Related Disorders","language":"en","license":"http://www.liebertpub.com/nv/resources-tools/text-and-data-mining-policy/121/","note":"JCR分区: Q3\n中科院分区升级版: 医学4区\n中科院分区基础版: 医学4区\n影响因子: 1.7\n5年影响因子: 2.1","page":"452-457","source":"1.7","title":"Effects of Aerobic Exercise Training on Serum Sex Hormone Binding Globulin, Body Fat Index, and Metabolic Syndrome Factors in Obese Postmenopausal Women","volume":"10","author":[{"family":"Kim","given":"Jong-Won"},{"family":"Kim","given":"Do-Yeon"}],"issued":{"date-parts":[["2012",12]]}}}],"schema":"https://github.com/citation-style-language/schema/raw/master/csl-citation.json"}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2012</w:t>
            </w:r>
          </w:p>
        </w:tc>
        <w:tc>
          <w:tcPr>
            <w:tcW w:w="1247" w:type="dxa"/>
            <w:vMerge w:val="restart"/>
            <w:vAlign w:val="center"/>
          </w:tcPr>
          <w:p w14:paraId="3C811F0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408FC6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IG:15</w:t>
            </w:r>
          </w:p>
        </w:tc>
        <w:tc>
          <w:tcPr>
            <w:tcW w:w="912" w:type="dxa"/>
            <w:vAlign w:val="center"/>
          </w:tcPr>
          <w:p w14:paraId="66ACD1C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54.5±2.8</w:t>
            </w:r>
          </w:p>
        </w:tc>
        <w:tc>
          <w:tcPr>
            <w:tcW w:w="780" w:type="dxa"/>
            <w:vAlign w:val="center"/>
          </w:tcPr>
          <w:p w14:paraId="0EF7E9C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7D12DA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25.0±1.3</w:t>
            </w:r>
          </w:p>
        </w:tc>
        <w:tc>
          <w:tcPr>
            <w:tcW w:w="1077" w:type="dxa"/>
            <w:vAlign w:val="center"/>
          </w:tcPr>
          <w:p w14:paraId="0ED0FA6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36.0±3.0</w:t>
            </w:r>
          </w:p>
        </w:tc>
        <w:tc>
          <w:tcPr>
            <w:tcW w:w="1276" w:type="dxa"/>
            <w:vAlign w:val="center"/>
          </w:tcPr>
          <w:p w14:paraId="0223AEC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2DF5660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A57206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3B834A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1440</w:t>
            </w:r>
          </w:p>
        </w:tc>
        <w:tc>
          <w:tcPr>
            <w:tcW w:w="851" w:type="dxa"/>
            <w:noWrap/>
            <w:vAlign w:val="center"/>
          </w:tcPr>
          <w:p w14:paraId="36C013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1500</w:t>
            </w:r>
          </w:p>
        </w:tc>
        <w:tc>
          <w:tcPr>
            <w:tcW w:w="850" w:type="dxa"/>
            <w:noWrap/>
            <w:vAlign w:val="center"/>
          </w:tcPr>
          <w:p w14:paraId="01B6405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843" w:type="dxa"/>
            <w:vMerge w:val="restart"/>
            <w:vAlign w:val="center"/>
          </w:tcPr>
          <w:p w14:paraId="47CE70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048C9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1236642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BAC6FB3">
            <w:pPr>
              <w:widowControl/>
              <w:jc w:val="center"/>
              <w:rPr>
                <w:rFonts w:hint="default" w:ascii="Times New Roman" w:hAnsi="Times New Roman" w:eastAsia="宋体" w:cs="Times New Roman"/>
                <w:color w:val="auto"/>
                <w:kern w:val="0"/>
                <w:sz w:val="20"/>
                <w:szCs w:val="20"/>
              </w:rPr>
            </w:pPr>
          </w:p>
        </w:tc>
        <w:tc>
          <w:tcPr>
            <w:tcW w:w="814" w:type="dxa"/>
            <w:vAlign w:val="center"/>
          </w:tcPr>
          <w:p w14:paraId="31460FD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67D9FDC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54.5±2.8</w:t>
            </w:r>
          </w:p>
        </w:tc>
        <w:tc>
          <w:tcPr>
            <w:tcW w:w="780" w:type="dxa"/>
            <w:vAlign w:val="center"/>
          </w:tcPr>
          <w:p w14:paraId="30E972E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6E9662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25.1±1.5</w:t>
            </w:r>
          </w:p>
        </w:tc>
        <w:tc>
          <w:tcPr>
            <w:tcW w:w="1077" w:type="dxa"/>
            <w:vAlign w:val="center"/>
          </w:tcPr>
          <w:p w14:paraId="42FFB68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36.6±1.7</w:t>
            </w:r>
          </w:p>
        </w:tc>
        <w:tc>
          <w:tcPr>
            <w:tcW w:w="1276" w:type="dxa"/>
            <w:vAlign w:val="center"/>
          </w:tcPr>
          <w:p w14:paraId="670A8899">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1A2745D4">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6FAE8D3C">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66D31FB">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7623355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FC20533">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14E512B">
            <w:pPr>
              <w:widowControl/>
              <w:jc w:val="center"/>
              <w:rPr>
                <w:rFonts w:hint="default" w:ascii="Times New Roman" w:hAnsi="Times New Roman" w:eastAsia="宋体" w:cs="Times New Roman"/>
                <w:color w:val="auto"/>
                <w:kern w:val="0"/>
                <w:sz w:val="20"/>
                <w:szCs w:val="20"/>
              </w:rPr>
            </w:pPr>
          </w:p>
        </w:tc>
      </w:tr>
      <w:tr w14:paraId="4FA5C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20A5310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Slentz</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{"citationID":"sfglO9gs","properties":{"unsorted":false,"formattedCitation":"\\super 46\\nosupersub{}","plainCitation":"46","noteIndex":0},"citationItems":[{"id":6709,"uris":["http://zotero.org/users/local/9LWqYmzn/items/NTMUYBRY"],"itemData":{"id":6709,"type":"article-journal","abstract":"While the benefits of exercise are clear, many unresolved issues surround the optimal exercise prescription. Many organizations recommend aerobic training (AT) and resistance training (RT), yet few studies have compared their effects alone or in combination. The purpose of this study, part of Studies Targeting Risk Reduction Interventions Through Defined Exercise-Aerobic Training and/or Resistance Training (STRRIDE/AT/RT), was to compare the effects of AT, RT, and the full combination (AT/RT) on central ectopic fat, liver enzymes, and fasting insulin resistance [homeostatic model assessment (HOMA)]. In a randomized trial, 249 subjects [18–70 yr old, overweight, sedentary, with moderate dyslipidemia (LDL cholesterol 130–190 mg/dl or HDL cholesterol ≤40 mg/dl for men or ≤45 mg/dl for women)] performed an initial 4-mo run-in period. Of these, 196 finished the run-in and were randomized into one of the following 8-mo exercise-training groups: 1) RT, which comprised 3 days/wk, 8 exercises, 3 sets/exercise, 8–12 repetitions/set, 2) AT, which was equivalent to ∼19.2 km/wk (12 miles/wk) at 75% peak O\n              2\n              uptake, and 3) full AT + full RT (AT/RT), with 155 subjects completing the intervention. The primary outcome variables were as follows: visceral and liver fat via CT, plasma liver enzymes, and HOMA. AT led to significant reductions in liver fat, visceral fat, alanine aminotransferase, HOMA, and total and subcutaneous abdominal fat (all P &lt; 0.05). RT resulted in a decrease in subcutaneous abdominal fat ( P &lt; 0.05) but did not significantly improve the other variables. AT was more effective than RT at improving visceral fat, liver-to-spleen ratio, and total abdominal fat (all P &lt; 0.05) and trended toward a greater reduction in liver fat score ( P &lt; 0.10). The effects of AT/RT were statistically indistinguishable from the effects of AT. These data show that, for overweight and obese individuals who want to reduce measures of visceral fat and fatty liver infiltration and improve HOMA and alanine aminotransferase, a moderate amount of aerobic exercise is the most time-efficient and effective exercise mode.","call-number":"3","citation-key":"slentzEffectsAerobicVs2011","container-title":"American Journal of Physiology-Endocrinology and Metabolism","DOI":"10.1152/ajpendo.00291.2011","ISSN":"0193-1849, 1522-1555","issue":"5","journalAbbreviation":"American Journal of Physiology-Endocrinology and Metabolism","language":"en","page":"E1033-E1039","source":"3.1","title":"Effects of aerobic vs. resistance training on visceral and liver fat stores, liver enzymes, and insulin resistance by HOMA in overweight adults from STRRIDE AT/RT","volume":"301","author":[{"family":"Slentz","given":"Cris A."},{"family":"Bateman","given":"Lori A."},{"family":"Willis","given":"Leslie H."},{"family":"Shields","given":"A. Tamlyn"},{"family":"Tanner","given":"Charles J."},{"family":"Piner","given":"Lucy W."},{"family":"Hawk","given":"Victoria H."},{"family":"Muehlbauer","given":"Michael J."},{"family":"Samsa","given":"Greg P."},{"family":"Nelson","given":"Rendon C."},{"family":"Huffman","given":"Kim M."},{"family":"Bales","given":"Connie W."},{"family":"Houmard","given":"Joseph A."},{"family":"Kraus","given":"William E."}],"issued":{"date-parts":[["2011",11]]}}}],"schema":"https://github.com/citation-style-language/schema/raw/master/csl-citation.json"}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2011</w:t>
            </w:r>
          </w:p>
        </w:tc>
        <w:tc>
          <w:tcPr>
            <w:tcW w:w="1247" w:type="dxa"/>
            <w:vMerge w:val="restart"/>
            <w:vAlign w:val="center"/>
          </w:tcPr>
          <w:p w14:paraId="7C57BD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4D061D4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IG1:52</w:t>
            </w:r>
          </w:p>
        </w:tc>
        <w:tc>
          <w:tcPr>
            <w:tcW w:w="912" w:type="dxa"/>
            <w:vAlign w:val="center"/>
          </w:tcPr>
          <w:p w14:paraId="7E9EBCD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49.7±11.4</w:t>
            </w:r>
          </w:p>
        </w:tc>
        <w:tc>
          <w:tcPr>
            <w:tcW w:w="780" w:type="dxa"/>
            <w:vAlign w:val="center"/>
          </w:tcPr>
          <w:p w14:paraId="2AC00C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2499525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30.5±3.4</w:t>
            </w:r>
          </w:p>
        </w:tc>
        <w:tc>
          <w:tcPr>
            <w:tcW w:w="1077" w:type="dxa"/>
            <w:vAlign w:val="center"/>
          </w:tcPr>
          <w:p w14:paraId="28F799A3">
            <w:pPr>
              <w:widowControl/>
              <w:jc w:val="center"/>
              <w:rPr>
                <w:rFonts w:hint="default" w:ascii="Times New Roman" w:hAnsi="Times New Roman" w:eastAsia="宋体" w:cs="Times New Roman"/>
                <w:color w:val="auto"/>
                <w:kern w:val="0"/>
                <w:sz w:val="20"/>
                <w:szCs w:val="20"/>
              </w:rPr>
            </w:pPr>
          </w:p>
        </w:tc>
        <w:tc>
          <w:tcPr>
            <w:tcW w:w="1276" w:type="dxa"/>
            <w:vAlign w:val="center"/>
          </w:tcPr>
          <w:p w14:paraId="3DCDBC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18B74DD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4B32747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9AA017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420</w:t>
            </w:r>
          </w:p>
        </w:tc>
        <w:tc>
          <w:tcPr>
            <w:tcW w:w="851" w:type="dxa"/>
            <w:noWrap/>
            <w:vAlign w:val="center"/>
          </w:tcPr>
          <w:p w14:paraId="3A0834F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7E39F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restart"/>
            <w:vAlign w:val="center"/>
          </w:tcPr>
          <w:p w14:paraId="227723D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4B27B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2675935B">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07A2D4FE">
            <w:pPr>
              <w:widowControl/>
              <w:jc w:val="center"/>
              <w:rPr>
                <w:rFonts w:hint="default" w:ascii="Times New Roman" w:hAnsi="Times New Roman" w:eastAsia="宋体" w:cs="Times New Roman"/>
                <w:color w:val="auto"/>
                <w:kern w:val="0"/>
                <w:sz w:val="20"/>
                <w:szCs w:val="20"/>
              </w:rPr>
            </w:pPr>
          </w:p>
        </w:tc>
        <w:tc>
          <w:tcPr>
            <w:tcW w:w="814" w:type="dxa"/>
            <w:vAlign w:val="center"/>
          </w:tcPr>
          <w:p w14:paraId="0CD1B9F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IG2:48</w:t>
            </w:r>
          </w:p>
        </w:tc>
        <w:tc>
          <w:tcPr>
            <w:tcW w:w="912" w:type="dxa"/>
            <w:vAlign w:val="center"/>
          </w:tcPr>
          <w:p w14:paraId="64D7FA3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49.5±9.8</w:t>
            </w:r>
          </w:p>
        </w:tc>
        <w:tc>
          <w:tcPr>
            <w:tcW w:w="780" w:type="dxa"/>
            <w:vAlign w:val="center"/>
          </w:tcPr>
          <w:p w14:paraId="4CA706B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3EBA7D0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30.4±3.2</w:t>
            </w:r>
          </w:p>
        </w:tc>
        <w:tc>
          <w:tcPr>
            <w:tcW w:w="1077" w:type="dxa"/>
            <w:vAlign w:val="center"/>
          </w:tcPr>
          <w:p w14:paraId="135BD68E">
            <w:pPr>
              <w:widowControl/>
              <w:jc w:val="center"/>
              <w:rPr>
                <w:rFonts w:hint="default" w:ascii="Times New Roman" w:hAnsi="Times New Roman" w:eastAsia="宋体" w:cs="Times New Roman"/>
                <w:color w:val="auto"/>
                <w:kern w:val="0"/>
                <w:sz w:val="20"/>
                <w:szCs w:val="20"/>
              </w:rPr>
            </w:pPr>
          </w:p>
        </w:tc>
        <w:tc>
          <w:tcPr>
            <w:tcW w:w="1276" w:type="dxa"/>
            <w:vAlign w:val="center"/>
          </w:tcPr>
          <w:p w14:paraId="4542CAF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2E716D9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508586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2D7E396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816</w:t>
            </w:r>
          </w:p>
        </w:tc>
        <w:tc>
          <w:tcPr>
            <w:tcW w:w="851" w:type="dxa"/>
            <w:noWrap/>
            <w:vAlign w:val="center"/>
          </w:tcPr>
          <w:p w14:paraId="5E6BE5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6C617F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w:t>
            </w:r>
          </w:p>
        </w:tc>
        <w:tc>
          <w:tcPr>
            <w:tcW w:w="1843" w:type="dxa"/>
            <w:vMerge w:val="continue"/>
            <w:vAlign w:val="center"/>
          </w:tcPr>
          <w:p w14:paraId="73637FB8">
            <w:pPr>
              <w:widowControl/>
              <w:jc w:val="center"/>
              <w:rPr>
                <w:rFonts w:hint="default" w:ascii="Times New Roman" w:hAnsi="Times New Roman" w:eastAsia="宋体" w:cs="Times New Roman"/>
                <w:color w:val="auto"/>
                <w:kern w:val="0"/>
                <w:sz w:val="20"/>
                <w:szCs w:val="20"/>
              </w:rPr>
            </w:pPr>
          </w:p>
        </w:tc>
      </w:tr>
      <w:tr w14:paraId="76D3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E71313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77AF6FB">
            <w:pPr>
              <w:widowControl/>
              <w:jc w:val="center"/>
              <w:rPr>
                <w:rFonts w:hint="default" w:ascii="Times New Roman" w:hAnsi="Times New Roman" w:eastAsia="宋体" w:cs="Times New Roman"/>
                <w:color w:val="auto"/>
                <w:kern w:val="0"/>
                <w:sz w:val="20"/>
                <w:szCs w:val="20"/>
              </w:rPr>
            </w:pPr>
          </w:p>
        </w:tc>
        <w:tc>
          <w:tcPr>
            <w:tcW w:w="814" w:type="dxa"/>
            <w:vAlign w:val="center"/>
          </w:tcPr>
          <w:p w14:paraId="7361E4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CG:44</w:t>
            </w:r>
          </w:p>
        </w:tc>
        <w:tc>
          <w:tcPr>
            <w:tcW w:w="912" w:type="dxa"/>
            <w:vAlign w:val="center"/>
          </w:tcPr>
          <w:p w14:paraId="0D91BDB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46.9±10.0</w:t>
            </w:r>
          </w:p>
        </w:tc>
        <w:tc>
          <w:tcPr>
            <w:tcW w:w="780" w:type="dxa"/>
            <w:vAlign w:val="center"/>
          </w:tcPr>
          <w:p w14:paraId="2B2719A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160EDF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30.4±3.2</w:t>
            </w:r>
          </w:p>
        </w:tc>
        <w:tc>
          <w:tcPr>
            <w:tcW w:w="1077" w:type="dxa"/>
            <w:vAlign w:val="center"/>
          </w:tcPr>
          <w:p w14:paraId="53994E16">
            <w:pPr>
              <w:widowControl/>
              <w:jc w:val="center"/>
              <w:rPr>
                <w:rFonts w:hint="default" w:ascii="Times New Roman" w:hAnsi="Times New Roman" w:eastAsia="宋体" w:cs="Times New Roman"/>
                <w:color w:val="auto"/>
                <w:kern w:val="0"/>
                <w:sz w:val="20"/>
                <w:szCs w:val="20"/>
              </w:rPr>
            </w:pPr>
          </w:p>
        </w:tc>
        <w:tc>
          <w:tcPr>
            <w:tcW w:w="1276" w:type="dxa"/>
            <w:vAlign w:val="center"/>
          </w:tcPr>
          <w:p w14:paraId="3B5575E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5899564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w:t>
            </w:r>
          </w:p>
        </w:tc>
        <w:tc>
          <w:tcPr>
            <w:tcW w:w="1276" w:type="dxa"/>
            <w:vAlign w:val="center"/>
          </w:tcPr>
          <w:p w14:paraId="0D8F5AC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F994EB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1125</w:t>
            </w:r>
          </w:p>
        </w:tc>
        <w:tc>
          <w:tcPr>
            <w:tcW w:w="851" w:type="dxa"/>
            <w:noWrap/>
            <w:vAlign w:val="center"/>
          </w:tcPr>
          <w:p w14:paraId="476EA47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7AA75F9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w:t>
            </w:r>
          </w:p>
        </w:tc>
        <w:tc>
          <w:tcPr>
            <w:tcW w:w="1843" w:type="dxa"/>
            <w:vMerge w:val="continue"/>
            <w:vAlign w:val="center"/>
          </w:tcPr>
          <w:p w14:paraId="020AE3D9">
            <w:pPr>
              <w:widowControl/>
              <w:jc w:val="center"/>
              <w:rPr>
                <w:rFonts w:hint="default" w:ascii="Times New Roman" w:hAnsi="Times New Roman" w:eastAsia="宋体" w:cs="Times New Roman"/>
                <w:color w:val="auto"/>
                <w:kern w:val="0"/>
                <w:sz w:val="20"/>
                <w:szCs w:val="20"/>
              </w:rPr>
            </w:pPr>
          </w:p>
        </w:tc>
      </w:tr>
      <w:tr w14:paraId="2D85E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32B1331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Hallsworth</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{"citationID":"AUxRbug2","properties":{"unsorted":false,"formattedCitation":"\\super 47\\nosupersub{}","plainCitation":"47","noteIndex":0},"citationItems":[{"id":6711,"uris":["http://zotero.org/users/local/9LWqYmzn/items/KYU3KJ8P"],"itemData":{"id":6711,"type":"article-journal","abstract":"Background Lifestyle interventions focusing on weight loss remain the cornerstone of non-alcoholic fatty liver disease (NAFLD) management. Despite this, the weight losses achieved in research trials are not easily replicated in the clinic and there is an urgent need for therapies independent of weight loss. Aerobic exercise is not well sustained and the effectiveness of the better tolerated resistance exercise upon liver lipid and mediators of liver lipid has not been assessed.\nMethods Sedentary adults with clinically deﬁned NAFLD were assigned to 8 weeks of resistance exercise (n¼11) or continued normal treatment (n¼8).\nResults 8 weeks of resistance exercise elicited a 13% relative reduction in liver lipid (14.069.1 vs 12.269.0; p&lt;0.05). Lipid oxidation (submaximal RQ Δ 0.02060.010 vs 0.00460.003; p&lt;0.05), glucose control ( 12% vs +12% change AUC; p&lt;0.01) and homeostasis model assessment insulin resistance (5.965.9 to 4.664.6 vs 4.762.1 to 5.162.5; p&lt;0.05) were all improved. Resistance exercise had no effect on body weight, visceral adipose tissue volume, or whole body fat mass (p&gt;0.05).\nConclusion This is the ﬁrst study to demonstrate that resistance exercise speciﬁcally improves NAFLD independent of any change in body weight. These data demonstrate that resistance exercise may provide beneﬁt for the management for non-alcoholic fatty liver, and the long-term impact of this now requires evaluation.","call-number":"1","citation-key":"hallsworthResistanceExerciseReduces2011","container-title":"Gut","DOI":"10.1136/gut.2011.242073","ISSN":"0017-5749, 1468-3288","issue":"9","journalAbbreviation":"Gut","language":"en","note":"JCR分区: Q1\n中科院分区升级版: 医学1区\n中科院分区基础版: 医学1区\n影响因子: 26.2\n5年影响因子: 25.4","page":"1278-1283","source":"25.8","title":"Resistance exercise reduces liver fat and its mediators in non-alcoholic fatty liver disease independent of weight loss","volume":"60","author":[{"family":"Hallsworth","given":"Kate"},{"family":"Fattakhova","given":"Gulnar"},{"family":"Hollingsworth","given":"Kieren G"},{"family":"Thoma","given":"Christian"},{"family":"Moore","given":"Sarah"},{"family":"Taylor","given":"Roy"},{"family":"Day","given":"Christopher P"},{"family":"Trenell","given":"Michael I"}],"issued":{"date-parts":[["2011",9]]}}}],"schema":"https://github.com/citation-style-language/schema/raw/master/csl-citation.json"}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2011</w:t>
            </w:r>
          </w:p>
        </w:tc>
        <w:tc>
          <w:tcPr>
            <w:tcW w:w="1247" w:type="dxa"/>
            <w:vMerge w:val="restart"/>
            <w:vAlign w:val="center"/>
          </w:tcPr>
          <w:p w14:paraId="530214F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UK</w:t>
            </w:r>
          </w:p>
        </w:tc>
        <w:tc>
          <w:tcPr>
            <w:tcW w:w="814" w:type="dxa"/>
            <w:vAlign w:val="center"/>
          </w:tcPr>
          <w:p w14:paraId="11EBC5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w:t>
            </w:r>
          </w:p>
        </w:tc>
        <w:tc>
          <w:tcPr>
            <w:tcW w:w="912" w:type="dxa"/>
            <w:vAlign w:val="center"/>
          </w:tcPr>
          <w:p w14:paraId="1CFC75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52.0±13.3</w:t>
            </w:r>
          </w:p>
        </w:tc>
        <w:tc>
          <w:tcPr>
            <w:tcW w:w="780" w:type="dxa"/>
            <w:vAlign w:val="center"/>
          </w:tcPr>
          <w:p w14:paraId="1C267D9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0BAD7E8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32.3±4.9</w:t>
            </w:r>
          </w:p>
        </w:tc>
        <w:tc>
          <w:tcPr>
            <w:tcW w:w="1077" w:type="dxa"/>
            <w:vAlign w:val="center"/>
          </w:tcPr>
          <w:p w14:paraId="19DAAA2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37.0±8.0</w:t>
            </w:r>
          </w:p>
        </w:tc>
        <w:tc>
          <w:tcPr>
            <w:tcW w:w="1276" w:type="dxa"/>
            <w:vAlign w:val="center"/>
          </w:tcPr>
          <w:p w14:paraId="74BE4FB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440600F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3560E98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61EB2D3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696</w:t>
            </w:r>
          </w:p>
        </w:tc>
        <w:tc>
          <w:tcPr>
            <w:tcW w:w="851" w:type="dxa"/>
            <w:noWrap/>
            <w:vAlign w:val="center"/>
          </w:tcPr>
          <w:p w14:paraId="163377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4F7CF48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54</w:t>
            </w:r>
          </w:p>
        </w:tc>
        <w:tc>
          <w:tcPr>
            <w:tcW w:w="1843" w:type="dxa"/>
            <w:vMerge w:val="restart"/>
            <w:vAlign w:val="center"/>
          </w:tcPr>
          <w:p w14:paraId="07BE60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00AA8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4EC73D9">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E24ED65">
            <w:pPr>
              <w:widowControl/>
              <w:jc w:val="center"/>
              <w:rPr>
                <w:rFonts w:hint="default" w:ascii="Times New Roman" w:hAnsi="Times New Roman" w:eastAsia="宋体" w:cs="Times New Roman"/>
                <w:color w:val="auto"/>
                <w:kern w:val="0"/>
                <w:sz w:val="20"/>
                <w:szCs w:val="20"/>
              </w:rPr>
            </w:pPr>
          </w:p>
        </w:tc>
        <w:tc>
          <w:tcPr>
            <w:tcW w:w="814" w:type="dxa"/>
            <w:vAlign w:val="center"/>
          </w:tcPr>
          <w:p w14:paraId="69B44A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CG:8</w:t>
            </w:r>
          </w:p>
        </w:tc>
        <w:tc>
          <w:tcPr>
            <w:tcW w:w="912" w:type="dxa"/>
            <w:vAlign w:val="center"/>
          </w:tcPr>
          <w:p w14:paraId="449279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62.0±7.4</w:t>
            </w:r>
          </w:p>
        </w:tc>
        <w:tc>
          <w:tcPr>
            <w:tcW w:w="780" w:type="dxa"/>
            <w:vAlign w:val="center"/>
          </w:tcPr>
          <w:p w14:paraId="423CEF8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36BEDFE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32.3±4.8</w:t>
            </w:r>
          </w:p>
        </w:tc>
        <w:tc>
          <w:tcPr>
            <w:tcW w:w="1077" w:type="dxa"/>
            <w:vAlign w:val="center"/>
          </w:tcPr>
          <w:p w14:paraId="53A02EB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41.0±6.0</w:t>
            </w:r>
          </w:p>
        </w:tc>
        <w:tc>
          <w:tcPr>
            <w:tcW w:w="1276" w:type="dxa"/>
            <w:vAlign w:val="center"/>
          </w:tcPr>
          <w:p w14:paraId="432C996A">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106522C">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A8B339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946AD8D">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77CCC9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9C0C86B">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3D5805F">
            <w:pPr>
              <w:widowControl/>
              <w:jc w:val="center"/>
              <w:rPr>
                <w:rFonts w:hint="default" w:ascii="Times New Roman" w:hAnsi="Times New Roman" w:eastAsia="宋体" w:cs="Times New Roman"/>
                <w:color w:val="auto"/>
                <w:kern w:val="0"/>
                <w:sz w:val="20"/>
                <w:szCs w:val="20"/>
              </w:rPr>
            </w:pPr>
          </w:p>
        </w:tc>
      </w:tr>
      <w:tr w14:paraId="65E2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29BBBED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Friedenreich</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{"citationID":"kGvTw83R","properties":{"unsorted":false,"formattedCitation":"\\super 48\\nosupersub{}","plainCitation":"48","noteIndex":0},"citationItems":[{"id":6713,"uris":["http://zotero.org/users/local/9LWqYmzn/items/ARH85IL8"],"itemData":{"id":6713,"type":"article-journal","abstract":"Objective: We examined the effects of an aerobic exercise intervention on adiposity outcomes that may be involved in the association between physical activity and breast cancer risk. Design: This study was a two-centre, two-armed, randomized controlled trial. The 1-year-long exercise intervention included 45 min of moderate-to-vigorous aerobic exercise five times per week, with at least three of the sessions being facility based. The control group was asked not to change their activity and both groups were asked not to change their diet. Subjects: A total of 320 postmenopausal, sedentary, normal weight-to-obese women aged 50–74 years who were cancer-free, nondiabetic and nonhormone replacement therapy users were included in this study.\nMeasurements: Anthropometric measurements of height, weight and waist and hip circumferences; dual energy X-ray absorptiometry measurements of total body fat; and computerized tomography measurements of abdominal adiposity were carried out.\nResults: Women in the exercise group exercised a mean of 3.6 days (s.d. ¼ 1.3) per week and 178.5 min (s.d. ¼ 76.1) per week. Changes in all measures of adiposity favored exercisers relative to controls (Po0.001). The mean difference between groups was: 1.8 kg for body weight; 2.0 kg for total body fat; 14.9 cm2 for intra-abdominal fat area; and 24.1 cm2 for subcutaneous abdominal fat area. A linear trend of greater body fat loss with increasing volume of exercise was also observed.\nConclusion: A 1-year aerobic exercise program consistent with current public health guidelines resulted in reduced adiposity levels in previously sedentary postmenopausal women at higher risk of breast cancer.","call-number":"2","citation-key":"friedenreichAdiposityChanges1year2011","container-title":"International Journal of Obesity","DOI":"10.1038/ijo.2010.147","ISSN":"0307-0565, 1476-5497","issue":"3","journalAbbreviation":"Int J Obes","language":"en","license":"http://www.springer.com/tdm","note":"JCR分区: Q2\n中科院分区升级版: 医学2区\n中科院分区基础版: 医学2区\n影响因子: 3.8\n5年影响因子: 4.3","page":"427-435","source":"3.8","title":"Adiposity changes after a 1-year aerobic exercise intervention among postmenopausal women: A randomized controlled trial","title-short":"Adiposity changes after a 1-year aerobic exercise intervention among postmenopausal women","volume":"35","author":[{"family":"Friedenreich","given":"C M"},{"family":"Woolcott","given":"C G"},{"family":"McTiernan","given":"A"},{"family":"Terry","given":"T"},{"family":"Brant","given":"R"},{"family":"Ballard-Barbash","given":"R"},{"family":"Irwin","given":"M L"},{"family":"Jones","given":"C A"},{"family":"Boyd","given":"N F"},{"family":"Yaffe","given":"M J"},{"family":"Campbell","given":"K L"},{"family":"McNeely","given":"M L"},{"family":"Karvinen","given":"K H"},{"family":"Courneya","given":"K S"}],"issued":{"date-parts":[["2011",3]]}}}],"schema":"https://github.com/citation-style-language/schema/raw/master/csl-citation.json"}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2011</w:t>
            </w:r>
          </w:p>
        </w:tc>
        <w:tc>
          <w:tcPr>
            <w:tcW w:w="1247" w:type="dxa"/>
            <w:vMerge w:val="restart"/>
            <w:vAlign w:val="center"/>
          </w:tcPr>
          <w:p w14:paraId="2295E5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Canada</w:t>
            </w:r>
          </w:p>
        </w:tc>
        <w:tc>
          <w:tcPr>
            <w:tcW w:w="814" w:type="dxa"/>
            <w:vAlign w:val="center"/>
          </w:tcPr>
          <w:p w14:paraId="6B85B9D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IG:155</w:t>
            </w:r>
          </w:p>
        </w:tc>
        <w:tc>
          <w:tcPr>
            <w:tcW w:w="912" w:type="dxa"/>
            <w:vAlign w:val="center"/>
          </w:tcPr>
          <w:p w14:paraId="0438328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61.2±5.4</w:t>
            </w:r>
          </w:p>
        </w:tc>
        <w:tc>
          <w:tcPr>
            <w:tcW w:w="780" w:type="dxa"/>
            <w:vAlign w:val="center"/>
          </w:tcPr>
          <w:p w14:paraId="7AF85CF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2513080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29.1±4.5</w:t>
            </w:r>
          </w:p>
        </w:tc>
        <w:tc>
          <w:tcPr>
            <w:tcW w:w="1077" w:type="dxa"/>
            <w:vAlign w:val="center"/>
          </w:tcPr>
          <w:p w14:paraId="662708D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42.2±4.9</w:t>
            </w:r>
          </w:p>
        </w:tc>
        <w:tc>
          <w:tcPr>
            <w:tcW w:w="1276" w:type="dxa"/>
            <w:vAlign w:val="center"/>
          </w:tcPr>
          <w:p w14:paraId="028C2C2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56879A0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45</w:t>
            </w:r>
          </w:p>
        </w:tc>
        <w:tc>
          <w:tcPr>
            <w:tcW w:w="1276" w:type="dxa"/>
            <w:vAlign w:val="center"/>
          </w:tcPr>
          <w:p w14:paraId="2B2CFD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77F3B10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1530</w:t>
            </w:r>
          </w:p>
        </w:tc>
        <w:tc>
          <w:tcPr>
            <w:tcW w:w="851" w:type="dxa"/>
            <w:vAlign w:val="center"/>
          </w:tcPr>
          <w:p w14:paraId="5ADB88A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1500</w:t>
            </w:r>
          </w:p>
        </w:tc>
        <w:tc>
          <w:tcPr>
            <w:tcW w:w="850" w:type="dxa"/>
            <w:noWrap/>
            <w:vAlign w:val="center"/>
          </w:tcPr>
          <w:p w14:paraId="3316352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843" w:type="dxa"/>
            <w:vMerge w:val="restart"/>
            <w:vAlign w:val="center"/>
          </w:tcPr>
          <w:p w14:paraId="7602D6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56EF5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467F61E6">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FDBA181">
            <w:pPr>
              <w:widowControl/>
              <w:jc w:val="center"/>
              <w:rPr>
                <w:rFonts w:hint="default" w:ascii="Times New Roman" w:hAnsi="Times New Roman" w:eastAsia="宋体" w:cs="Times New Roman"/>
                <w:color w:val="auto"/>
                <w:kern w:val="0"/>
                <w:sz w:val="20"/>
                <w:szCs w:val="20"/>
              </w:rPr>
            </w:pPr>
          </w:p>
        </w:tc>
        <w:tc>
          <w:tcPr>
            <w:tcW w:w="814" w:type="dxa"/>
            <w:vAlign w:val="center"/>
          </w:tcPr>
          <w:p w14:paraId="47CF896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CG:156</w:t>
            </w:r>
          </w:p>
        </w:tc>
        <w:tc>
          <w:tcPr>
            <w:tcW w:w="912" w:type="dxa"/>
            <w:vAlign w:val="center"/>
          </w:tcPr>
          <w:p w14:paraId="7FD665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60.6±5.7</w:t>
            </w:r>
          </w:p>
        </w:tc>
        <w:tc>
          <w:tcPr>
            <w:tcW w:w="780" w:type="dxa"/>
            <w:vAlign w:val="center"/>
          </w:tcPr>
          <w:p w14:paraId="5EF8CF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0A34B95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29.2±4.3</w:t>
            </w:r>
          </w:p>
        </w:tc>
        <w:tc>
          <w:tcPr>
            <w:tcW w:w="1077" w:type="dxa"/>
            <w:vAlign w:val="center"/>
          </w:tcPr>
          <w:p w14:paraId="23B6798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42.4±5.7</w:t>
            </w:r>
          </w:p>
        </w:tc>
        <w:tc>
          <w:tcPr>
            <w:tcW w:w="1276" w:type="dxa"/>
            <w:vAlign w:val="center"/>
          </w:tcPr>
          <w:p w14:paraId="2A60D163">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5F4D9649">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3E8B47C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04CC422">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C0CF9FC">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8DF03C7">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EA0B93D">
            <w:pPr>
              <w:widowControl/>
              <w:jc w:val="center"/>
              <w:rPr>
                <w:rFonts w:hint="default" w:ascii="Times New Roman" w:hAnsi="Times New Roman" w:eastAsia="宋体" w:cs="Times New Roman"/>
                <w:color w:val="auto"/>
                <w:kern w:val="0"/>
                <w:sz w:val="20"/>
                <w:szCs w:val="20"/>
              </w:rPr>
            </w:pPr>
          </w:p>
        </w:tc>
      </w:tr>
      <w:tr w14:paraId="1DBB9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362D43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Ku</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{"citationID":"01WgAQ9r","properties":{"unsorted":false,"formattedCitation":"\\super 49\\nosupersub{}","plainCitation":"49","noteIndex":0},"citationItems":[{"id":6715,"uris":["http://zotero.org/users/local/9LWqYmzn/items/H9FNI3T9"],"itemData":{"id":6715,"type":"article-journal","abstract":"Lipid accumulation in muscle is associated with diminished insulin sensitivity. It was hypothesized that resistance exercise decreases muscular adipose tissue and reduces the level of retinol-binding protein-4 (RBP4), which is linked to adipose tissue and insulin sensitivity in diabetics. Forty-four women with type 2 diabetes were randomly assigned to three groups for a period of 12 weeks: control (asked to maintain a sedentary lifestyle); resistance exercise (elastic band exercise at moderate intensity five times per week); and aerobic exercise (walking for 60 min at moderate intensity five times per week). Subcutaneous (SCAT), subfascial (SFAT) and intramuscular (IMAT) adipose tissues at mid-thigh level were assessed using computed tomography, and RBP4 level and insulin sensitivity (fractional disappearance rate of insulin, k\n              ITT\n              ) were assessed before and after intervention. Changes in SCAT, SFAT, IMAT, RBP4 and k\n              ITT\n              were similar among the three groups. Within-group analysis revealed that body mass index and waist circumference decreased significantly in both exercise groups, but RBP4 decreased significantly only with resistance exercise. Resistance exercise did not alter muscular adipose tissue or improve insulin sensitivity.","citation-key":"kuResistanceExerciseDid2010","container-title":"Journal of International Medical Research","DOI":"10.1177/147323001003800305","ISSN":"0300-0605, 1473-2300","issue":"3","journalAbbreviation":"J Int Med Res","language":"en","license":"https://journals.sagepub.com/page/policies/text-and-data-mining-license","note":"JCR分区: Q3\n中科院分区升级版: 医学4区\n中科院分区基础版: 医学4区\n影响因子: 1.5\n5年影响因子: 1.7","page":"782-791","source":"1.5","title":"Resistance Exercise Did Not Alter Intramuscular Adipose Tissue but Reduced Retinol-binding Protein-4 Concentration in Individuals with Type 2 Diabetes Mellitus","volume":"38","author":[{"family":"Ku","given":"Yh"},{"family":"Han","given":"Ka"},{"family":"Ahn","given":"H"},{"family":"Kwon","given":"H"},{"family":"Koo","given":"Bk"},{"family":"Kim","given":"Hc"},{"family":"Min","given":"Kw"}],"issued":{"date-parts":[["2010",6]]}}}],"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49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2010</w:t>
            </w:r>
          </w:p>
        </w:tc>
        <w:tc>
          <w:tcPr>
            <w:tcW w:w="1247" w:type="dxa"/>
            <w:vMerge w:val="restart"/>
            <w:vAlign w:val="center"/>
          </w:tcPr>
          <w:p w14:paraId="0170408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4A673EB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IG1:13</w:t>
            </w:r>
          </w:p>
        </w:tc>
        <w:tc>
          <w:tcPr>
            <w:tcW w:w="912" w:type="dxa"/>
            <w:vAlign w:val="center"/>
          </w:tcPr>
          <w:p w14:paraId="75DF13D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55.7±6.2</w:t>
            </w:r>
          </w:p>
        </w:tc>
        <w:tc>
          <w:tcPr>
            <w:tcW w:w="780" w:type="dxa"/>
            <w:vAlign w:val="center"/>
          </w:tcPr>
          <w:p w14:paraId="0A08ADA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09FA4FB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27.1±2.3</w:t>
            </w:r>
          </w:p>
        </w:tc>
        <w:tc>
          <w:tcPr>
            <w:tcW w:w="1077" w:type="dxa"/>
            <w:vAlign w:val="center"/>
          </w:tcPr>
          <w:p w14:paraId="62D0B88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35.2±5.6</w:t>
            </w:r>
          </w:p>
        </w:tc>
        <w:tc>
          <w:tcPr>
            <w:tcW w:w="1276" w:type="dxa"/>
            <w:vAlign w:val="center"/>
          </w:tcPr>
          <w:p w14:paraId="7C43205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363C0CD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276" w:type="dxa"/>
            <w:vAlign w:val="center"/>
          </w:tcPr>
          <w:p w14:paraId="38C52AC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7F08227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875</w:t>
            </w:r>
          </w:p>
        </w:tc>
        <w:tc>
          <w:tcPr>
            <w:tcW w:w="851" w:type="dxa"/>
            <w:noWrap/>
            <w:vAlign w:val="center"/>
          </w:tcPr>
          <w:p w14:paraId="761EEB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1B4ABB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w:t>
            </w:r>
          </w:p>
        </w:tc>
        <w:tc>
          <w:tcPr>
            <w:tcW w:w="1843" w:type="dxa"/>
            <w:vMerge w:val="restart"/>
            <w:vAlign w:val="center"/>
          </w:tcPr>
          <w:p w14:paraId="1D10849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462A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01B9494">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D1FCCBA">
            <w:pPr>
              <w:widowControl/>
              <w:jc w:val="center"/>
              <w:rPr>
                <w:rFonts w:hint="default" w:ascii="Times New Roman" w:hAnsi="Times New Roman" w:eastAsia="宋体" w:cs="Times New Roman"/>
                <w:color w:val="auto"/>
                <w:kern w:val="0"/>
                <w:sz w:val="20"/>
                <w:szCs w:val="20"/>
              </w:rPr>
            </w:pPr>
          </w:p>
        </w:tc>
        <w:tc>
          <w:tcPr>
            <w:tcW w:w="814" w:type="dxa"/>
            <w:vAlign w:val="center"/>
          </w:tcPr>
          <w:p w14:paraId="47FDE9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IG2:15</w:t>
            </w:r>
          </w:p>
        </w:tc>
        <w:tc>
          <w:tcPr>
            <w:tcW w:w="912" w:type="dxa"/>
            <w:vAlign w:val="center"/>
          </w:tcPr>
          <w:p w14:paraId="72E20D0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55.7±7.0</w:t>
            </w:r>
          </w:p>
        </w:tc>
        <w:tc>
          <w:tcPr>
            <w:tcW w:w="780" w:type="dxa"/>
            <w:vAlign w:val="center"/>
          </w:tcPr>
          <w:p w14:paraId="6519E08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2CC7EDA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27.1±2.4</w:t>
            </w:r>
          </w:p>
        </w:tc>
        <w:tc>
          <w:tcPr>
            <w:tcW w:w="1077" w:type="dxa"/>
            <w:vAlign w:val="center"/>
          </w:tcPr>
          <w:p w14:paraId="0CF5834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36.4±6.0</w:t>
            </w:r>
          </w:p>
        </w:tc>
        <w:tc>
          <w:tcPr>
            <w:tcW w:w="1276" w:type="dxa"/>
            <w:vAlign w:val="center"/>
          </w:tcPr>
          <w:p w14:paraId="41BAF41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3C321AE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693DD00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03626F6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1440</w:t>
            </w:r>
          </w:p>
        </w:tc>
        <w:tc>
          <w:tcPr>
            <w:tcW w:w="851" w:type="dxa"/>
            <w:noWrap/>
            <w:vAlign w:val="center"/>
          </w:tcPr>
          <w:p w14:paraId="72590B4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1500</w:t>
            </w:r>
          </w:p>
        </w:tc>
        <w:tc>
          <w:tcPr>
            <w:tcW w:w="850" w:type="dxa"/>
            <w:noWrap/>
            <w:vAlign w:val="center"/>
          </w:tcPr>
          <w:p w14:paraId="5D1361F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843" w:type="dxa"/>
            <w:vMerge w:val="continue"/>
            <w:vAlign w:val="center"/>
          </w:tcPr>
          <w:p w14:paraId="4BA2F8A8">
            <w:pPr>
              <w:widowControl/>
              <w:jc w:val="center"/>
              <w:rPr>
                <w:rFonts w:hint="default" w:ascii="Times New Roman" w:hAnsi="Times New Roman" w:eastAsia="宋体" w:cs="Times New Roman"/>
                <w:color w:val="auto"/>
                <w:kern w:val="0"/>
                <w:sz w:val="20"/>
                <w:szCs w:val="20"/>
              </w:rPr>
            </w:pPr>
          </w:p>
        </w:tc>
      </w:tr>
      <w:tr w14:paraId="783A8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59E9376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3006973">
            <w:pPr>
              <w:widowControl/>
              <w:jc w:val="center"/>
              <w:rPr>
                <w:rFonts w:hint="default" w:ascii="Times New Roman" w:hAnsi="Times New Roman" w:eastAsia="宋体" w:cs="Times New Roman"/>
                <w:color w:val="auto"/>
                <w:kern w:val="0"/>
                <w:sz w:val="20"/>
                <w:szCs w:val="20"/>
              </w:rPr>
            </w:pPr>
          </w:p>
        </w:tc>
        <w:tc>
          <w:tcPr>
            <w:tcW w:w="814" w:type="dxa"/>
            <w:vAlign w:val="center"/>
          </w:tcPr>
          <w:p w14:paraId="21DA4F9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CG:16</w:t>
            </w:r>
          </w:p>
        </w:tc>
        <w:tc>
          <w:tcPr>
            <w:tcW w:w="912" w:type="dxa"/>
            <w:vAlign w:val="center"/>
          </w:tcPr>
          <w:p w14:paraId="4F2C6C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57.8±8.1</w:t>
            </w:r>
          </w:p>
        </w:tc>
        <w:tc>
          <w:tcPr>
            <w:tcW w:w="780" w:type="dxa"/>
            <w:vAlign w:val="center"/>
          </w:tcPr>
          <w:p w14:paraId="76590A5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0ED89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27.1±2.4</w:t>
            </w:r>
          </w:p>
        </w:tc>
        <w:tc>
          <w:tcPr>
            <w:tcW w:w="1077" w:type="dxa"/>
            <w:vAlign w:val="center"/>
          </w:tcPr>
          <w:p w14:paraId="43BF4B0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35.1±6.5</w:t>
            </w:r>
          </w:p>
        </w:tc>
        <w:tc>
          <w:tcPr>
            <w:tcW w:w="1276" w:type="dxa"/>
            <w:vAlign w:val="center"/>
          </w:tcPr>
          <w:p w14:paraId="1CAD6F15">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448B4CEC">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F12E0D6">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2484930">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2A2C68F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4C2A95E">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3AE82E06">
            <w:pPr>
              <w:widowControl/>
              <w:jc w:val="center"/>
              <w:rPr>
                <w:rFonts w:hint="default" w:ascii="Times New Roman" w:hAnsi="Times New Roman" w:eastAsia="宋体" w:cs="Times New Roman"/>
                <w:color w:val="auto"/>
                <w:kern w:val="0"/>
                <w:sz w:val="20"/>
                <w:szCs w:val="20"/>
              </w:rPr>
            </w:pPr>
          </w:p>
        </w:tc>
      </w:tr>
      <w:tr w14:paraId="5C0C1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77B9F9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Kwon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{"citationID":"bBKvCXw1","properties":{"unsorted":false,"formattedCitation":"\\super 50\\nosupersub{}","plainCitation":"50","noteIndex":0},"citationItems":[{"id":6717,"uris":["http://zotero.org/users/local/9LWqYmzn/items/3MECG283"],"itemData":{"id":6717,"type":"article-journal","abstract":"Background: Aerobic exercise can effectively reduce visceral fat. However, few studies have examined the effect of daily physical activity on obesity and cardiopulmonary function in the subjects with diabetes. We examined the effect of moderate intensity of walking in obese diabetes patients by monitoring of daily activity and measuring the change in abdominal fat area, muscle are and maximal muscle strength.\nMethods: We randomly assigned 27 obese women with type 2 diabetes to an aerobic exercise group (AG, n = 13) and control group (CG, n = 14). The AG performed moderate intensity walking for 60 minutes per exercise, 5 times per week, and for 12 weeks. The activity energy expenditure was monitored by a multi-record accelerometer. The CG maintained routine daily activities. At the time of the initiation of the study and after 12 weeks of exercise, the aerobic exercise capacity was assessed using oxygen consumption rate at anaerobic threshold (VO2-AT). The abdominal fat area and the quadriceps muscle area were measured by computed tomography, and the maximum muscle strength of the upper and lower limbs was measured by a chest press and a leg press, respectively.\nResults: The mean age of the study subjects was 56.6 ± 8.0 years, the mean duration of diabetes was 6.3 ± 6.0 years, and the body weight index (BMI) was 27.3 ± 2.7 kg/m2. The BMI of the AG was significantly decreased (P = 0.003). In the AG, the visceral fat area and subcutaneous fat area were also significantly decreased (P = 0.018 and P &lt; 0.001, respectively) but not in CG. VO2-AT of the AG was significantly improved, while that of the CG did not change (P = 0.009 and P = 0.115, respectively). The quadriceps muscle mass and the maximal muscle strength of the AG did not change, however, the CG showed a significant decrease. Duration of moderate intensity exercise was correlated with the decrease in total abdominal fat area (r = -0.484; P = 0.011) and that of high intensity exercise was correlated with improvement of cardiopulmonary function (r = 0.414; P = 0.032).\nConclusion: Daily moderate intensity aerobic exercise is effective at reducing abdominal fat mass, while high intensity exercise improves cardiopulmonary function.","citation-key":"kwonEffectsAerobicExercise2010","container-title":"Korean Diabetes Journal","DOI":"10.4093/kdj.2010.34.1.23","ISSN":"1976-9180","issue":"1","journalAbbreviation":"Korean Diabetes J","language":"en","license":"http://creativecommons.org/licenses/by-nc/3.0/","page":"23-31","source":"DOI.org (Crossref)","title":"Effects of aerobic exercise on abdominal fat, thigh muscle mass and muscle strength in type 2 diabetic subject","volume":"34","author":[{"family":"Kwon","given":"Hwi Ryun"},{"family":"Min","given":"Kyung Wan"},{"family":"Ahn","given":"Hee Jung"},{"family":"Seok","given":"Hee Geum"},{"family":"Koo","given":"Bo Kyung"},{"family":"Kim","given":"Ho Chul"},{"family":"Han","given":"Kyung Ah"}],"issued":{"date-parts":[["2010"]]}}}],"schema":"https://github.com/citation-style-language/schema/raw/master/csl-citation.json"}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2010</w:t>
            </w:r>
          </w:p>
        </w:tc>
        <w:tc>
          <w:tcPr>
            <w:tcW w:w="1247" w:type="dxa"/>
            <w:vMerge w:val="restart"/>
            <w:vAlign w:val="center"/>
          </w:tcPr>
          <w:p w14:paraId="34A0A32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Korea</w:t>
            </w:r>
          </w:p>
        </w:tc>
        <w:tc>
          <w:tcPr>
            <w:tcW w:w="814" w:type="dxa"/>
            <w:vAlign w:val="center"/>
          </w:tcPr>
          <w:p w14:paraId="11A0E45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IG:13</w:t>
            </w:r>
          </w:p>
        </w:tc>
        <w:tc>
          <w:tcPr>
            <w:tcW w:w="912" w:type="dxa"/>
            <w:vAlign w:val="center"/>
          </w:tcPr>
          <w:p w14:paraId="6463D1A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55.5±7.5</w:t>
            </w:r>
          </w:p>
        </w:tc>
        <w:tc>
          <w:tcPr>
            <w:tcW w:w="780" w:type="dxa"/>
            <w:vAlign w:val="center"/>
          </w:tcPr>
          <w:p w14:paraId="646E4EB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6CF20B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27.0±2.5</w:t>
            </w:r>
          </w:p>
        </w:tc>
        <w:tc>
          <w:tcPr>
            <w:tcW w:w="1077" w:type="dxa"/>
            <w:vAlign w:val="center"/>
          </w:tcPr>
          <w:p w14:paraId="032702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37.3±5.5</w:t>
            </w:r>
          </w:p>
        </w:tc>
        <w:tc>
          <w:tcPr>
            <w:tcW w:w="1276" w:type="dxa"/>
            <w:vAlign w:val="center"/>
          </w:tcPr>
          <w:p w14:paraId="0AA8B8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12</w:t>
            </w:r>
          </w:p>
        </w:tc>
        <w:tc>
          <w:tcPr>
            <w:tcW w:w="992" w:type="dxa"/>
            <w:noWrap/>
            <w:vAlign w:val="center"/>
          </w:tcPr>
          <w:p w14:paraId="05ACCF5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519BF98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67C121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1200</w:t>
            </w:r>
          </w:p>
        </w:tc>
        <w:tc>
          <w:tcPr>
            <w:tcW w:w="851" w:type="dxa"/>
            <w:noWrap/>
            <w:vAlign w:val="center"/>
          </w:tcPr>
          <w:p w14:paraId="772043C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1250</w:t>
            </w:r>
          </w:p>
        </w:tc>
        <w:tc>
          <w:tcPr>
            <w:tcW w:w="850" w:type="dxa"/>
            <w:noWrap/>
            <w:vAlign w:val="center"/>
          </w:tcPr>
          <w:p w14:paraId="2BD4245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w:t>
            </w:r>
          </w:p>
        </w:tc>
        <w:tc>
          <w:tcPr>
            <w:tcW w:w="1843" w:type="dxa"/>
            <w:vMerge w:val="restart"/>
            <w:vAlign w:val="center"/>
          </w:tcPr>
          <w:p w14:paraId="048421A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50BC0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581C4438">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F7207D6">
            <w:pPr>
              <w:widowControl/>
              <w:jc w:val="center"/>
              <w:rPr>
                <w:rFonts w:hint="default" w:ascii="Times New Roman" w:hAnsi="Times New Roman" w:eastAsia="宋体" w:cs="Times New Roman"/>
                <w:color w:val="auto"/>
                <w:kern w:val="0"/>
                <w:sz w:val="20"/>
                <w:szCs w:val="20"/>
              </w:rPr>
            </w:pPr>
          </w:p>
        </w:tc>
        <w:tc>
          <w:tcPr>
            <w:tcW w:w="814" w:type="dxa"/>
            <w:vAlign w:val="center"/>
          </w:tcPr>
          <w:p w14:paraId="64A3815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CG:14</w:t>
            </w:r>
          </w:p>
        </w:tc>
        <w:tc>
          <w:tcPr>
            <w:tcW w:w="912" w:type="dxa"/>
            <w:vAlign w:val="center"/>
          </w:tcPr>
          <w:p w14:paraId="6FA6F12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57.5±8.6</w:t>
            </w:r>
          </w:p>
        </w:tc>
        <w:tc>
          <w:tcPr>
            <w:tcW w:w="780" w:type="dxa"/>
            <w:vAlign w:val="center"/>
          </w:tcPr>
          <w:p w14:paraId="727F391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5BF11C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27.5±3.0</w:t>
            </w:r>
          </w:p>
        </w:tc>
        <w:tc>
          <w:tcPr>
            <w:tcW w:w="1077" w:type="dxa"/>
            <w:vAlign w:val="center"/>
          </w:tcPr>
          <w:p w14:paraId="5E1A166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37.5±6.2</w:t>
            </w:r>
          </w:p>
        </w:tc>
        <w:tc>
          <w:tcPr>
            <w:tcW w:w="1276" w:type="dxa"/>
            <w:vAlign w:val="center"/>
          </w:tcPr>
          <w:p w14:paraId="29DB153D">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54CA7D21">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72F4F20">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CFB6D4B">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49CBB07">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BBFBAD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570500E">
            <w:pPr>
              <w:widowControl/>
              <w:jc w:val="center"/>
              <w:rPr>
                <w:rFonts w:hint="default" w:ascii="Times New Roman" w:hAnsi="Times New Roman" w:eastAsia="宋体" w:cs="Times New Roman"/>
                <w:color w:val="auto"/>
                <w:kern w:val="0"/>
                <w:sz w:val="20"/>
                <w:szCs w:val="20"/>
              </w:rPr>
            </w:pPr>
          </w:p>
        </w:tc>
      </w:tr>
      <w:tr w14:paraId="6EF7B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57E00EBC">
            <w:pPr>
              <w:widowControl/>
              <w:jc w:val="center"/>
              <w:rPr>
                <w:rFonts w:hint="default" w:ascii="Times New Roman" w:hAnsi="Times New Roman" w:eastAsia="宋体" w:cs="Times New Roman"/>
                <w:color w:val="auto"/>
                <w:kern w:val="0"/>
                <w:sz w:val="20"/>
                <w:szCs w:val="20"/>
                <w:lang w:val="en-US" w:eastAsia="zh-CN"/>
              </w:rPr>
            </w:pPr>
            <w:r>
              <w:rPr>
                <w:rFonts w:hint="default" w:ascii="Times New Roman" w:hAnsi="Times New Roman" w:eastAsia="宋体" w:cs="Times New Roman"/>
                <w:color w:val="auto"/>
                <w:kern w:val="0"/>
                <w:sz w:val="20"/>
                <w:szCs w:val="20"/>
              </w:rPr>
              <w:t>Barone</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{"citationID":"svnmGYav","properties":{"unsorted":false,"formattedCitation":"\\super 51\\nosupersub{}","plainCitation":"51","noteIndex":0},"citationItems":[{"id":6719,"uris":["http://zotero.org/users/local/9LWqYmzn/items/3B84I6SG"],"itemData":{"id":6719,"type":"article-journal","abstract":"Objective: To describe the contribution of changes in fitness and fatness resulting from exercise training on changes in submaximal exercise blood pressure (BP) during treadmill testing. Design and setting: Prospective, randomised, controlled trial. Participants: Sedentary older adults (n = 115) with untreated prehypertension or mild hypertension. Intervention: Six-month supervised aerobic and strength training. Main outcome measurement: Systolic BP (SBP) was assessed at rest and during each stage of a maximal graded exercise test (GXT) that determined VO2peak. General and regional fatness was assessed by anthropometry, dual-energy x-ray absorptiometry and MRI. BP changes were calculated for each GXT stage, and multivariate regression models were used to describe the association of changes in exercise BP with changes in fitness and fatness.\nResults: After training, exercisers versus controls had significantly increased VO2peak and significantly lower measures of general and regional fatness. Also, stagespecific SBP was significantly lower at stage 3 (29.4 vs 21.6 mm Hg, p = 0.03) and stage 4 (27.9 vs 21.2 mm Hg, p = 0.03). Pooled regression analysis across all stages showed that exercisers had a 7.1 mm Hg reduction in SBP, but this reduction fell short of statistical significance (p = 0.12) compared with controls. A 1.0 ml/kg/min increase in VO2peak and a 1.0 cm decrease in waist circumference independently predicted a 1.0 mm Hg decrease in exercise SBP (p = 0.04 and p = 0.001, respectively).\nConclusions: Decreased exercise SBP was independently associated with decreased waist circumference, a marker of abdominal obesity and increased fitness. These findings suggest that exercise training improves multiple factors that have an independent influence on SBP.","call-number":"1","citation-key":"baroneDecreasedExerciseBlood2009","container-title":"British Journal of Sports Medicine","DOI":"10.1136/bjsm.2008.050906","ISSN":"0306-3674, 1473-0480","issue":"1","journalAbbreviation":"Br J Sports Med","language":"en","note":"JCR分区: Q1\n中科院分区升级版: 医学1区\n中科院分区基础版: 医学1区\n影响因子: 16.3\n5年影响因子: 17.9","page":"52-56","source":"16.2","title":"Decreased exercise blood pressure in older adults after exercise training: Contributions of increased fitness and decreased fatness","title-short":"Decreased exercise blood pressure in older adults after exercise training","volume":"43","author":[{"family":"Barone","given":"B B"},{"family":"Wang","given":"N-Y"},{"family":"Bacher","given":"A C"},{"family":"Stewart","given":"K J"}],"issued":{"date-parts":[["2009",1]]}}}],"schema":"https://github.com/citation-style-language/schema/raw/master/csl-citation.json"}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51</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200</w:t>
            </w:r>
            <w:r>
              <w:rPr>
                <w:rFonts w:hint="default" w:ascii="Times New Roman" w:hAnsi="Times New Roman" w:eastAsia="宋体" w:cs="Times New Roman"/>
                <w:color w:val="auto"/>
                <w:kern w:val="0"/>
                <w:sz w:val="20"/>
                <w:szCs w:val="20"/>
                <w:lang w:val="en-US" w:eastAsia="zh-CN"/>
              </w:rPr>
              <w:t>9</w:t>
            </w:r>
          </w:p>
        </w:tc>
        <w:tc>
          <w:tcPr>
            <w:tcW w:w="1247" w:type="dxa"/>
            <w:vMerge w:val="restart"/>
            <w:vAlign w:val="center"/>
          </w:tcPr>
          <w:p w14:paraId="49A221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6BDBF3D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IG:51</w:t>
            </w:r>
          </w:p>
        </w:tc>
        <w:tc>
          <w:tcPr>
            <w:tcW w:w="912" w:type="dxa"/>
            <w:vAlign w:val="center"/>
          </w:tcPr>
          <w:p w14:paraId="7026C82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64.6±5.7</w:t>
            </w:r>
          </w:p>
        </w:tc>
        <w:tc>
          <w:tcPr>
            <w:tcW w:w="780" w:type="dxa"/>
            <w:vAlign w:val="center"/>
          </w:tcPr>
          <w:p w14:paraId="1AD8CDB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0A59C29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29.4±3.8</w:t>
            </w:r>
          </w:p>
        </w:tc>
        <w:tc>
          <w:tcPr>
            <w:tcW w:w="1077" w:type="dxa"/>
            <w:vAlign w:val="center"/>
          </w:tcPr>
          <w:p w14:paraId="308A3EF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38.0±9.0</w:t>
            </w:r>
          </w:p>
        </w:tc>
        <w:tc>
          <w:tcPr>
            <w:tcW w:w="1276" w:type="dxa"/>
            <w:vAlign w:val="center"/>
          </w:tcPr>
          <w:p w14:paraId="429F7BF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vAlign w:val="center"/>
          </w:tcPr>
          <w:p w14:paraId="7B6305C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60</w:t>
            </w:r>
          </w:p>
        </w:tc>
        <w:tc>
          <w:tcPr>
            <w:tcW w:w="1276" w:type="dxa"/>
            <w:vAlign w:val="center"/>
          </w:tcPr>
          <w:p w14:paraId="20E1575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FE1944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0C024D8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4F65C11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restart"/>
            <w:vAlign w:val="center"/>
          </w:tcPr>
          <w:p w14:paraId="0DAE336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039D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30527608">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686ECD7">
            <w:pPr>
              <w:widowControl/>
              <w:jc w:val="center"/>
              <w:rPr>
                <w:rFonts w:hint="default" w:ascii="Times New Roman" w:hAnsi="Times New Roman" w:eastAsia="宋体" w:cs="Times New Roman"/>
                <w:color w:val="auto"/>
                <w:kern w:val="0"/>
                <w:sz w:val="20"/>
                <w:szCs w:val="20"/>
              </w:rPr>
            </w:pPr>
          </w:p>
        </w:tc>
        <w:tc>
          <w:tcPr>
            <w:tcW w:w="814" w:type="dxa"/>
            <w:vAlign w:val="center"/>
          </w:tcPr>
          <w:p w14:paraId="6138EF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CG:53</w:t>
            </w:r>
          </w:p>
        </w:tc>
        <w:tc>
          <w:tcPr>
            <w:tcW w:w="912" w:type="dxa"/>
            <w:vAlign w:val="center"/>
          </w:tcPr>
          <w:p w14:paraId="604674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64.6±5.7</w:t>
            </w:r>
          </w:p>
        </w:tc>
        <w:tc>
          <w:tcPr>
            <w:tcW w:w="780" w:type="dxa"/>
            <w:vAlign w:val="center"/>
          </w:tcPr>
          <w:p w14:paraId="09FACF0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5E45BF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29.7±5.0</w:t>
            </w:r>
          </w:p>
        </w:tc>
        <w:tc>
          <w:tcPr>
            <w:tcW w:w="1077" w:type="dxa"/>
            <w:vAlign w:val="center"/>
          </w:tcPr>
          <w:p w14:paraId="54A8DD3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38.0±10.0</w:t>
            </w:r>
          </w:p>
        </w:tc>
        <w:tc>
          <w:tcPr>
            <w:tcW w:w="1276" w:type="dxa"/>
            <w:vAlign w:val="center"/>
          </w:tcPr>
          <w:p w14:paraId="6D3B295F">
            <w:pPr>
              <w:widowControl/>
              <w:jc w:val="center"/>
              <w:rPr>
                <w:rFonts w:hint="default" w:ascii="Times New Roman" w:hAnsi="Times New Roman" w:eastAsia="宋体" w:cs="Times New Roman"/>
                <w:color w:val="auto"/>
                <w:kern w:val="0"/>
                <w:sz w:val="20"/>
                <w:szCs w:val="20"/>
              </w:rPr>
            </w:pPr>
          </w:p>
        </w:tc>
        <w:tc>
          <w:tcPr>
            <w:tcW w:w="992" w:type="dxa"/>
            <w:vAlign w:val="center"/>
          </w:tcPr>
          <w:p w14:paraId="11AF09AA">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31284D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87E1965">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18A11EDF">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782A200F">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031CD17E">
            <w:pPr>
              <w:widowControl/>
              <w:jc w:val="center"/>
              <w:rPr>
                <w:rFonts w:hint="default" w:ascii="Times New Roman" w:hAnsi="Times New Roman" w:eastAsia="宋体" w:cs="Times New Roman"/>
                <w:color w:val="auto"/>
                <w:kern w:val="0"/>
                <w:sz w:val="20"/>
                <w:szCs w:val="20"/>
              </w:rPr>
            </w:pPr>
          </w:p>
        </w:tc>
      </w:tr>
      <w:tr w14:paraId="2AFB5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F41046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Schmitz</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{"citationID":"YrTQ3oVT","properties":{"unsorted":false,"formattedCitation":"\\super 52\\nosupersub{}","plainCitation":"52","noteIndex":0},"citationItems":[{"id":6721,"uris":["http://zotero.org/users/local/9LWqYmzn/items/E97DLKW8"],"itemData":{"id":6721,"type":"article-journal","abstract":"Background: American women aged 25– 44 y gain 0.5–1 kg yearly, most of which is fat. Because few midlife women participate in strength training, this mode of activity may be a novel intervention for preventing age-associated fat increases in this population.\nObjectives: The primary aim was to assess the efficacy of twiceweekly strength training to avoid increases in percentage body fat and intraabdominal fat. Design: A randomized controlled trial was conducted in an ethnically diverse sample of 164 overweight and obese [body mass index (in kg/m2): 25–35] women aged 25– 44 y. The treatment group did twice-weekly strength training for 2 y. The standard care comparison group was given brochures recommending aerobic exercise. Assessments at baseline, 1, and 2 y included intraabdominal fat by computed tomography scan and body fat and fat-free mass by dualenergy X-ray absorptiometry.\nResults: During 2 y, percentage body fat changes were 3.68 0.99% for the treatment group and 0.14 1.04% for the control group, P 0.01. Two-year intraabdominal fat changes were 7.05 5.07% for the treatment group and 21.36 5.34% for the control group, P 0.05.\nConclusion: This study suggests that strength training is an efficacious intervention for preventing percentage body fat increases and attenuating intraabdominal fat increases in overweight and obese premenopausal women. This is relevant to public health efforts for obesity prevention because most weight gain can be assumed to be fat, including abdominal fat. Am J Clin Nutr 2007;86:566 –72.","citation-key":"schmitzStrengthTrainingAdiposity2018","container-title":"The American Journal of Clinical Nutrition","DOI":"10.1093/ajcn/86.3.566","issue":"3","language":"en","page":"566–572","source":"Zotero","title":"Strength training and adiposity in premenopausal women: Strong, Healthy, and Empowered study","volume":"86","author":[{"family":"Schmitz","given":"Kathryn H"},{"family":"Hannan","given":"Peter J"},{"family":"Stovitz","given":"Steven D"},{"family":"Bryan","given":"Cathy J"},{"family":"Warren","given":"Meghan"},{"family":"Jensen","given":"Michael D"}],"issued":{"date-parts":[["2007"]]}}}],"schema":"https://github.com/citation-style-language/schema/raw/master/csl-citation.json"}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52</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2007</w:t>
            </w:r>
          </w:p>
        </w:tc>
        <w:tc>
          <w:tcPr>
            <w:tcW w:w="1247" w:type="dxa"/>
            <w:vMerge w:val="restart"/>
            <w:vAlign w:val="center"/>
          </w:tcPr>
          <w:p w14:paraId="0C52C65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5E8ED2F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IG:70</w:t>
            </w:r>
          </w:p>
        </w:tc>
        <w:tc>
          <w:tcPr>
            <w:tcW w:w="912" w:type="dxa"/>
            <w:vAlign w:val="center"/>
          </w:tcPr>
          <w:p w14:paraId="28410B4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36.0±5.0</w:t>
            </w:r>
          </w:p>
        </w:tc>
        <w:tc>
          <w:tcPr>
            <w:tcW w:w="780" w:type="dxa"/>
            <w:vAlign w:val="center"/>
          </w:tcPr>
          <w:p w14:paraId="625A74B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433B723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29.4±3.3</w:t>
            </w:r>
          </w:p>
        </w:tc>
        <w:tc>
          <w:tcPr>
            <w:tcW w:w="1077" w:type="dxa"/>
            <w:vAlign w:val="center"/>
          </w:tcPr>
          <w:p w14:paraId="5A9A29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44.3±5.0</w:t>
            </w:r>
          </w:p>
        </w:tc>
        <w:tc>
          <w:tcPr>
            <w:tcW w:w="1276" w:type="dxa"/>
            <w:vAlign w:val="center"/>
          </w:tcPr>
          <w:p w14:paraId="673D054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2B000F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C6C9AE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2D7F43B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420</w:t>
            </w:r>
          </w:p>
        </w:tc>
        <w:tc>
          <w:tcPr>
            <w:tcW w:w="851" w:type="dxa"/>
            <w:noWrap/>
            <w:vAlign w:val="center"/>
          </w:tcPr>
          <w:p w14:paraId="0654CAD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DF6AFB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restart"/>
            <w:vAlign w:val="center"/>
          </w:tcPr>
          <w:p w14:paraId="7BC0B5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0DA6A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6EA9137">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FD18D98">
            <w:pPr>
              <w:widowControl/>
              <w:jc w:val="center"/>
              <w:rPr>
                <w:rFonts w:hint="default" w:ascii="Times New Roman" w:hAnsi="Times New Roman" w:eastAsia="宋体" w:cs="Times New Roman"/>
                <w:color w:val="auto"/>
                <w:kern w:val="0"/>
                <w:sz w:val="20"/>
                <w:szCs w:val="20"/>
              </w:rPr>
            </w:pPr>
          </w:p>
        </w:tc>
        <w:tc>
          <w:tcPr>
            <w:tcW w:w="814" w:type="dxa"/>
            <w:vAlign w:val="center"/>
          </w:tcPr>
          <w:p w14:paraId="5531FD4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CG:63</w:t>
            </w:r>
          </w:p>
        </w:tc>
        <w:tc>
          <w:tcPr>
            <w:tcW w:w="912" w:type="dxa"/>
            <w:vAlign w:val="center"/>
          </w:tcPr>
          <w:p w14:paraId="79CE466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36.0±6.0</w:t>
            </w:r>
          </w:p>
        </w:tc>
        <w:tc>
          <w:tcPr>
            <w:tcW w:w="780" w:type="dxa"/>
            <w:vAlign w:val="center"/>
          </w:tcPr>
          <w:p w14:paraId="79701E2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5D40DF1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29.4±3.2</w:t>
            </w:r>
          </w:p>
        </w:tc>
        <w:tc>
          <w:tcPr>
            <w:tcW w:w="1077" w:type="dxa"/>
            <w:vAlign w:val="center"/>
          </w:tcPr>
          <w:p w14:paraId="1CBB15A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43.5±4.8</w:t>
            </w:r>
          </w:p>
        </w:tc>
        <w:tc>
          <w:tcPr>
            <w:tcW w:w="1276" w:type="dxa"/>
            <w:vAlign w:val="center"/>
          </w:tcPr>
          <w:p w14:paraId="503A6628">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6B6DF91A">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4FA3BD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3ED6F921">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58204639">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932CD60">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CFDBF74">
            <w:pPr>
              <w:widowControl/>
              <w:jc w:val="center"/>
              <w:rPr>
                <w:rFonts w:hint="default" w:ascii="Times New Roman" w:hAnsi="Times New Roman" w:eastAsia="宋体" w:cs="Times New Roman"/>
                <w:color w:val="auto"/>
                <w:kern w:val="0"/>
                <w:sz w:val="20"/>
                <w:szCs w:val="20"/>
              </w:rPr>
            </w:pPr>
          </w:p>
        </w:tc>
      </w:tr>
      <w:tr w14:paraId="7FC9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E7B1A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i w:val="0"/>
                <w:iCs w:val="0"/>
                <w:color w:val="auto"/>
                <w:kern w:val="0"/>
                <w:sz w:val="20"/>
                <w:szCs w:val="20"/>
                <w:u w:val="none"/>
                <w:lang w:val="en-US" w:eastAsia="zh-CN" w:bidi="ar"/>
              </w:rPr>
              <w:t>Slentz</w:t>
            </w:r>
            <w:r>
              <w:rPr>
                <w:rFonts w:hint="default" w:ascii="Times New Roman" w:hAnsi="Times New Roman" w:eastAsia="宋体" w:cs="Times New Roman"/>
                <w:i w:val="0"/>
                <w:iCs w:val="0"/>
                <w:color w:val="auto"/>
                <w:kern w:val="0"/>
                <w:sz w:val="20"/>
                <w:szCs w:val="20"/>
                <w:u w:val="none"/>
                <w:lang w:val="en-US" w:eastAsia="zh-CN" w:bidi="ar"/>
              </w:rPr>
              <w:fldChar w:fldCharType="begin"/>
            </w:r>
            <w:r>
              <w:rPr>
                <w:rFonts w:hint="default" w:ascii="Times New Roman" w:hAnsi="Times New Roman" w:eastAsia="宋体" w:cs="Times New Roman"/>
                <w:i w:val="0"/>
                <w:iCs w:val="0"/>
                <w:color w:val="auto"/>
                <w:kern w:val="0"/>
                <w:sz w:val="20"/>
                <w:szCs w:val="20"/>
                <w:u w:val="none"/>
                <w:lang w:val="en-US" w:eastAsia="zh-CN" w:bidi="ar"/>
              </w:rPr>
              <w:instrText xml:space="preserve"> ADDIN ZOTERO_ITEM CSL_CITATION {"citationID":"klR9x2Ph","properties":{"unsorted":false,"formattedCitation":"\\super 53\\nosupersub{}","plainCitation":"53","noteIndex":0},"citationItems":[{"id":6723,"uris":["http://zotero.org/users/local/9LWqYmzn/items/V6MB2JCN"],"itemData":{"id":6723,"type":"article-journal","call-number":"3","citation-key":"boothHIGHLIGHTEDTOPICRole2005","DOI":"10.1152/japplphysiol.00124.2005","ISSN":"8750-7587, 1522-1601","language":"en","note":"JCR分区: Q1\n中科院分区升级版: 医学2区\n中科院分区基础版: 医学3区\n影响因子: 3.3\n5年影响因子: 3.5","source":"3.3","title":"Slentz, C. A., Aiken, L. B., Houmard, J. A., Bales, C. W., Johnson, J. L., Tanner, C. J., Duscha, B. D., &amp; Kraus, W. E. (2005). Inactivity, exercise, and visceral fat. STRRIDE: A randomized, controlled study of exercise intensity and amount. Journal of Applied Physiology, 99(4), 1613–1618.","title-short":"HIGHLIGHTED TOPIC","URL":"https://doi.org/10.1152/japplphysiol.00124.2005","accessed":{"date-parts":[["2026",5,12]]}}}],"schema":"https://github.com/citation-style-language/schema/raw/master/csl-citation.json"} </w:instrText>
            </w:r>
            <w:r>
              <w:rPr>
                <w:rFonts w:hint="default" w:ascii="Times New Roman" w:hAnsi="Times New Roman" w:eastAsia="宋体" w:cs="Times New Roman"/>
                <w:i w:val="0"/>
                <w:iCs w:val="0"/>
                <w:color w:val="auto"/>
                <w:kern w:val="0"/>
                <w:sz w:val="20"/>
                <w:szCs w:val="20"/>
                <w:u w:val="none"/>
                <w:lang w:val="en-US" w:eastAsia="zh-CN" w:bidi="ar"/>
              </w:rPr>
              <w:fldChar w:fldCharType="separate"/>
            </w:r>
            <w:r>
              <w:rPr>
                <w:rFonts w:hint="default" w:ascii="Times New Roman" w:hAnsi="Times New Roman" w:cs="Times New Roman"/>
                <w:color w:val="auto"/>
                <w:sz w:val="20"/>
                <w:szCs w:val="24"/>
                <w:vertAlign w:val="superscript"/>
              </w:rPr>
              <w:t>53</w:t>
            </w:r>
            <w:r>
              <w:rPr>
                <w:rFonts w:hint="default" w:ascii="Times New Roman" w:hAnsi="Times New Roman" w:eastAsia="宋体" w:cs="Times New Roman"/>
                <w:i w:val="0"/>
                <w:iCs w:val="0"/>
                <w:color w:val="auto"/>
                <w:kern w:val="0"/>
                <w:sz w:val="20"/>
                <w:szCs w:val="20"/>
                <w:u w:val="none"/>
                <w:lang w:val="en-US" w:eastAsia="zh-CN" w:bidi="ar"/>
              </w:rPr>
              <w:fldChar w:fldCharType="end"/>
            </w:r>
            <w:r>
              <w:rPr>
                <w:rFonts w:hint="default" w:ascii="Times New Roman" w:hAnsi="Times New Roman" w:eastAsia="宋体" w:cs="Times New Roman"/>
                <w:i w:val="0"/>
                <w:iCs w:val="0"/>
                <w:color w:val="auto"/>
                <w:kern w:val="0"/>
                <w:sz w:val="20"/>
                <w:szCs w:val="20"/>
                <w:u w:val="none"/>
                <w:lang w:val="en-US" w:eastAsia="zh-CN" w:bidi="ar"/>
              </w:rPr>
              <w:t xml:space="preserve"> 2005</w:t>
            </w:r>
          </w:p>
        </w:tc>
        <w:tc>
          <w:tcPr>
            <w:tcW w:w="1247" w:type="dxa"/>
            <w:vMerge w:val="restart"/>
            <w:vAlign w:val="center"/>
          </w:tcPr>
          <w:p w14:paraId="63AE7A8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379FA81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IG:46</w:t>
            </w:r>
          </w:p>
        </w:tc>
        <w:tc>
          <w:tcPr>
            <w:tcW w:w="912" w:type="dxa"/>
            <w:vAlign w:val="center"/>
          </w:tcPr>
          <w:p w14:paraId="02FF8D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53.0±7.0</w:t>
            </w:r>
          </w:p>
        </w:tc>
        <w:tc>
          <w:tcPr>
            <w:tcW w:w="780" w:type="dxa"/>
            <w:vAlign w:val="center"/>
          </w:tcPr>
          <w:p w14:paraId="20DB0B3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0E495E6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29.7±3.1</w:t>
            </w:r>
          </w:p>
        </w:tc>
        <w:tc>
          <w:tcPr>
            <w:tcW w:w="1077" w:type="dxa"/>
            <w:vAlign w:val="center"/>
          </w:tcPr>
          <w:p w14:paraId="2FB83D3C">
            <w:pPr>
              <w:widowControl/>
              <w:jc w:val="center"/>
              <w:rPr>
                <w:rFonts w:hint="default" w:ascii="Times New Roman" w:hAnsi="Times New Roman" w:eastAsia="宋体" w:cs="Times New Roman"/>
                <w:color w:val="auto"/>
                <w:kern w:val="0"/>
                <w:sz w:val="20"/>
                <w:szCs w:val="20"/>
              </w:rPr>
            </w:pPr>
          </w:p>
        </w:tc>
        <w:tc>
          <w:tcPr>
            <w:tcW w:w="1276" w:type="dxa"/>
            <w:vAlign w:val="center"/>
          </w:tcPr>
          <w:p w14:paraId="4A12052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w:t>
            </w:r>
          </w:p>
        </w:tc>
        <w:tc>
          <w:tcPr>
            <w:tcW w:w="992" w:type="dxa"/>
            <w:noWrap/>
            <w:vAlign w:val="center"/>
          </w:tcPr>
          <w:p w14:paraId="305BB7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498D354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94262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864</w:t>
            </w:r>
          </w:p>
        </w:tc>
        <w:tc>
          <w:tcPr>
            <w:tcW w:w="851" w:type="dxa"/>
            <w:noWrap/>
            <w:vAlign w:val="center"/>
          </w:tcPr>
          <w:p w14:paraId="12DAE2E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noWrap/>
            <w:vAlign w:val="center"/>
          </w:tcPr>
          <w:p w14:paraId="723FEE4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114</w:t>
            </w:r>
          </w:p>
        </w:tc>
        <w:tc>
          <w:tcPr>
            <w:tcW w:w="1843" w:type="dxa"/>
            <w:vMerge w:val="restart"/>
            <w:vAlign w:val="center"/>
          </w:tcPr>
          <w:p w14:paraId="19A591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70497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5F5A6EAD">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B54C2AF">
            <w:pPr>
              <w:widowControl/>
              <w:jc w:val="center"/>
              <w:rPr>
                <w:rFonts w:hint="default" w:ascii="Times New Roman" w:hAnsi="Times New Roman" w:eastAsia="宋体" w:cs="Times New Roman"/>
                <w:color w:val="auto"/>
                <w:kern w:val="0"/>
                <w:sz w:val="20"/>
                <w:szCs w:val="20"/>
              </w:rPr>
            </w:pPr>
          </w:p>
        </w:tc>
        <w:tc>
          <w:tcPr>
            <w:tcW w:w="814" w:type="dxa"/>
            <w:vAlign w:val="center"/>
          </w:tcPr>
          <w:p w14:paraId="6DBD73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CG:47</w:t>
            </w:r>
          </w:p>
        </w:tc>
        <w:tc>
          <w:tcPr>
            <w:tcW w:w="912" w:type="dxa"/>
            <w:vAlign w:val="center"/>
          </w:tcPr>
          <w:p w14:paraId="17FBBA5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52.3±7.7</w:t>
            </w:r>
          </w:p>
        </w:tc>
        <w:tc>
          <w:tcPr>
            <w:tcW w:w="780" w:type="dxa"/>
            <w:vAlign w:val="center"/>
          </w:tcPr>
          <w:p w14:paraId="2F277B5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8B357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29.8±3.0</w:t>
            </w:r>
          </w:p>
        </w:tc>
        <w:tc>
          <w:tcPr>
            <w:tcW w:w="1077" w:type="dxa"/>
            <w:vAlign w:val="center"/>
          </w:tcPr>
          <w:p w14:paraId="333B3659">
            <w:pPr>
              <w:widowControl/>
              <w:jc w:val="center"/>
              <w:rPr>
                <w:rFonts w:hint="default" w:ascii="Times New Roman" w:hAnsi="Times New Roman" w:eastAsia="宋体" w:cs="Times New Roman"/>
                <w:color w:val="auto"/>
                <w:kern w:val="0"/>
                <w:sz w:val="20"/>
                <w:szCs w:val="20"/>
              </w:rPr>
            </w:pPr>
          </w:p>
        </w:tc>
        <w:tc>
          <w:tcPr>
            <w:tcW w:w="1276" w:type="dxa"/>
            <w:vAlign w:val="center"/>
          </w:tcPr>
          <w:p w14:paraId="01A0D1FF">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11A4D910">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7C2801D8">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5DBA84E">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76D478B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02745FD">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0DB4E889">
            <w:pPr>
              <w:widowControl/>
              <w:jc w:val="center"/>
              <w:rPr>
                <w:rFonts w:hint="default" w:ascii="Times New Roman" w:hAnsi="Times New Roman" w:eastAsia="宋体" w:cs="Times New Roman"/>
                <w:color w:val="auto"/>
                <w:kern w:val="0"/>
                <w:sz w:val="20"/>
                <w:szCs w:val="20"/>
              </w:rPr>
            </w:pPr>
          </w:p>
        </w:tc>
      </w:tr>
      <w:tr w14:paraId="53B5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DBE8AC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Cuff</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{"citationID":"7m4AFbFv","properties":{"unsorted":false,"formattedCitation":"\\super 53,54\\nosupersub{}","plainCitation":"53,54","dontUpdate":true,"noteIndex":0},"citationItems":[{"id":6725,"uris":["http://zotero.org/users/local/9LWqYmzn/items/32BKWU7M"],"itemData":{"id":6725,"type":"article-journal","abstract":"OBJECTIVE — The purpose of this study was to evaluate whether a combined resistance and aerobic training program would improve insulin sensitivity compared with aerobic training alone in postmenopausal women with type 2 diabetes. A second objective was to relate the improved insulin sensitivity to changes in abdominal adipose tissue (AT) and thigh muscle density. RESEARCH DESIGN AND METHODS — A total of 28 obese postmenopausal women with type 2 diabetes were randomly assigned to one of three 16-week treatments: control, aerobic only training (Ae only), or aerobic plus resistance training (Ae RT). Pre- and posttreatment outcome measures included glucose disposal by hyperinsulinemic-euglycemic clamp and computed tomography scans of abdominal AT and mid-thigh skeletal muscle.\nRESULTS — Glucose infusion rates increased signiﬁcantly (P 0.05) in the Ae RT group. Both exercise groups had reduced abdominal subcutaneous and visceral AT and increased muscle density. The Ae RT training group exhibited a signiﬁcantly greater increase in muscle density than the Ae only group. Improved glucose disposal was independently associated with changes in subcutaneous AT, visceral AT, and muscle density. Muscle density retained a relationship with glucose disposal after controlling for abdominal AT.\nCONCLUSIONS — Adding resistance training to aerobic training enhanced glucose disposal in postmenopausal women with type 2 diabetes. The improved insulin sensitivity is related to loss of abdominal subcutaneous and visceral AT and to increased muscle density.","citation-key":"cuffEffectiveExerciseModality2003","container-title":"Diabetes Care","DOI":"10.2337/diacare.26.11.2977","ISSN":"0149-5992, 1935-5548","issue":"11","language":"en","note":"JCR分区: Q1\n中科院分区升级版: 医学1区\n中科院分区基础版: 医学1区\n影响因子: 16.6\n5年影响因子: 14.5","page":"2977-2982","source":"16.6","title":"Effective Exercise Modality to Reduce Insulin Resistance in Women With Type 2 Diabetes","volume":"26","author":[{"family":"Cuff","given":"Darcye J."},{"family":"Meneilly","given":"Graydon S."},{"family":"Martin","given":"Alan"},{"family":"Ignaszewski","given":"Andrew"},{"family":"Tildesley","given":"Hugh D."},{"family":"Frohlich","given":"Jiri J."}],"issued":{"date-parts":[["2003",11,1]]}}},{"id":6723,"uris":["http://zotero.org/users/local/9LWqYmzn/items/V6MB2JCN"],"itemData":{"id":6723,"type":"article-journal","call-number":"3","citation-key":"boothHIGHLIGHTEDTOPICRole2005","DOI":"10.1152/japplphysiol.00124.2005","ISSN":"8750-7587, 1522-1601","language":"en","note":"JCR分区: Q1\n中科院分区升级版: 医学2区\n中科院分区基础版: 医学3区\n影响因子: 3.3\n5年影响因子: 3.5","source":"3.3","title":"Slentz, C. A., Aiken, L. B., Houmard, J. A., Bales, C. W., Johnson, J. L., Tanner, C. J., Duscha, B. D., &amp; Kraus, W. E. (2005). Inactivity, exercise, and visceral fat. STRRIDE: A randomized, controlled study of exercise intensity and amount. Journal of Applied Physiology, 99(4), 1613–1618.","title-short":"HIGHLIGHTED TOPIC","URL":"https://doi.org/10.1152/japplphysiol.00124.2005","accessed":{"date-parts":[["2026",5,12]]}}}],"schema":"https://github.com/citation-style-language/schema/raw/master/csl-citation.json"}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54</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2003</w:t>
            </w:r>
          </w:p>
        </w:tc>
        <w:tc>
          <w:tcPr>
            <w:tcW w:w="1247" w:type="dxa"/>
            <w:vMerge w:val="restart"/>
            <w:vAlign w:val="center"/>
          </w:tcPr>
          <w:p w14:paraId="21DE18F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Canada</w:t>
            </w:r>
          </w:p>
        </w:tc>
        <w:tc>
          <w:tcPr>
            <w:tcW w:w="814" w:type="dxa"/>
            <w:vAlign w:val="center"/>
          </w:tcPr>
          <w:p w14:paraId="607038B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IG1:10</w:t>
            </w:r>
          </w:p>
        </w:tc>
        <w:tc>
          <w:tcPr>
            <w:tcW w:w="912" w:type="dxa"/>
            <w:vAlign w:val="center"/>
          </w:tcPr>
          <w:p w14:paraId="4C3D53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63.4±7.0</w:t>
            </w:r>
          </w:p>
        </w:tc>
        <w:tc>
          <w:tcPr>
            <w:tcW w:w="780" w:type="dxa"/>
            <w:vAlign w:val="center"/>
          </w:tcPr>
          <w:p w14:paraId="67CA47F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56380C3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33.3±4.7</w:t>
            </w:r>
          </w:p>
        </w:tc>
        <w:tc>
          <w:tcPr>
            <w:tcW w:w="1077" w:type="dxa"/>
            <w:vAlign w:val="center"/>
          </w:tcPr>
          <w:p w14:paraId="3F39CEB5">
            <w:pPr>
              <w:widowControl/>
              <w:jc w:val="center"/>
              <w:rPr>
                <w:rFonts w:hint="default" w:ascii="Times New Roman" w:hAnsi="Times New Roman" w:eastAsia="宋体" w:cs="Times New Roman"/>
                <w:color w:val="auto"/>
                <w:kern w:val="0"/>
                <w:sz w:val="20"/>
                <w:szCs w:val="20"/>
              </w:rPr>
            </w:pPr>
          </w:p>
        </w:tc>
        <w:tc>
          <w:tcPr>
            <w:tcW w:w="1276" w:type="dxa"/>
            <w:vAlign w:val="center"/>
          </w:tcPr>
          <w:p w14:paraId="27BBD41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6BC444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65</w:t>
            </w:r>
          </w:p>
        </w:tc>
        <w:tc>
          <w:tcPr>
            <w:tcW w:w="1276" w:type="dxa"/>
            <w:vAlign w:val="center"/>
          </w:tcPr>
          <w:p w14:paraId="637694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5731D5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975</w:t>
            </w:r>
          </w:p>
        </w:tc>
        <w:tc>
          <w:tcPr>
            <w:tcW w:w="851" w:type="dxa"/>
            <w:noWrap/>
            <w:vAlign w:val="center"/>
          </w:tcPr>
          <w:p w14:paraId="2DE44BC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2A3CDD0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c>
          <w:tcPr>
            <w:tcW w:w="1843" w:type="dxa"/>
            <w:vMerge w:val="restart"/>
            <w:vAlign w:val="center"/>
          </w:tcPr>
          <w:p w14:paraId="7BF7278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51CE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454B1D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70387E71">
            <w:pPr>
              <w:widowControl/>
              <w:jc w:val="center"/>
              <w:rPr>
                <w:rFonts w:hint="default" w:ascii="Times New Roman" w:hAnsi="Times New Roman" w:eastAsia="宋体" w:cs="Times New Roman"/>
                <w:color w:val="auto"/>
                <w:kern w:val="0"/>
                <w:sz w:val="20"/>
                <w:szCs w:val="20"/>
              </w:rPr>
            </w:pPr>
          </w:p>
        </w:tc>
        <w:tc>
          <w:tcPr>
            <w:tcW w:w="814" w:type="dxa"/>
            <w:vAlign w:val="center"/>
          </w:tcPr>
          <w:p w14:paraId="4257AB5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IG2:9</w:t>
            </w:r>
          </w:p>
        </w:tc>
        <w:tc>
          <w:tcPr>
            <w:tcW w:w="912" w:type="dxa"/>
            <w:vAlign w:val="center"/>
          </w:tcPr>
          <w:p w14:paraId="3855E16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59.4±6.6</w:t>
            </w:r>
          </w:p>
        </w:tc>
        <w:tc>
          <w:tcPr>
            <w:tcW w:w="780" w:type="dxa"/>
            <w:vAlign w:val="center"/>
          </w:tcPr>
          <w:p w14:paraId="51B6203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2FE9CF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32.5±4.2</w:t>
            </w:r>
          </w:p>
        </w:tc>
        <w:tc>
          <w:tcPr>
            <w:tcW w:w="1077" w:type="dxa"/>
            <w:vAlign w:val="center"/>
          </w:tcPr>
          <w:p w14:paraId="0CD9B343">
            <w:pPr>
              <w:widowControl/>
              <w:jc w:val="center"/>
              <w:rPr>
                <w:rFonts w:hint="default" w:ascii="Times New Roman" w:hAnsi="Times New Roman" w:eastAsia="宋体" w:cs="Times New Roman"/>
                <w:color w:val="auto"/>
                <w:kern w:val="0"/>
                <w:sz w:val="20"/>
                <w:szCs w:val="20"/>
              </w:rPr>
            </w:pPr>
          </w:p>
        </w:tc>
        <w:tc>
          <w:tcPr>
            <w:tcW w:w="1276" w:type="dxa"/>
            <w:vAlign w:val="center"/>
          </w:tcPr>
          <w:p w14:paraId="16BED5E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16</w:t>
            </w:r>
          </w:p>
        </w:tc>
        <w:tc>
          <w:tcPr>
            <w:tcW w:w="992" w:type="dxa"/>
            <w:noWrap/>
            <w:vAlign w:val="center"/>
          </w:tcPr>
          <w:p w14:paraId="3220BA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65</w:t>
            </w:r>
          </w:p>
        </w:tc>
        <w:tc>
          <w:tcPr>
            <w:tcW w:w="1276" w:type="dxa"/>
            <w:vAlign w:val="center"/>
          </w:tcPr>
          <w:p w14:paraId="2C90B10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5E4C9E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1072.5</w:t>
            </w:r>
          </w:p>
        </w:tc>
        <w:tc>
          <w:tcPr>
            <w:tcW w:w="851" w:type="dxa"/>
            <w:noWrap/>
            <w:vAlign w:val="center"/>
          </w:tcPr>
          <w:p w14:paraId="7522E4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56A33D2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72.5</w:t>
            </w:r>
          </w:p>
        </w:tc>
        <w:tc>
          <w:tcPr>
            <w:tcW w:w="1843" w:type="dxa"/>
            <w:vMerge w:val="continue"/>
            <w:vAlign w:val="center"/>
          </w:tcPr>
          <w:p w14:paraId="4F6E3405">
            <w:pPr>
              <w:widowControl/>
              <w:jc w:val="center"/>
              <w:rPr>
                <w:rFonts w:hint="default" w:ascii="Times New Roman" w:hAnsi="Times New Roman" w:eastAsia="宋体" w:cs="Times New Roman"/>
                <w:color w:val="auto"/>
                <w:kern w:val="0"/>
                <w:sz w:val="20"/>
                <w:szCs w:val="20"/>
              </w:rPr>
            </w:pPr>
          </w:p>
        </w:tc>
      </w:tr>
      <w:tr w14:paraId="693F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7D07618C">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F364387">
            <w:pPr>
              <w:widowControl/>
              <w:jc w:val="center"/>
              <w:rPr>
                <w:rFonts w:hint="default" w:ascii="Times New Roman" w:hAnsi="Times New Roman" w:eastAsia="宋体" w:cs="Times New Roman"/>
                <w:color w:val="auto"/>
                <w:kern w:val="0"/>
                <w:sz w:val="20"/>
                <w:szCs w:val="20"/>
              </w:rPr>
            </w:pPr>
          </w:p>
        </w:tc>
        <w:tc>
          <w:tcPr>
            <w:tcW w:w="814" w:type="dxa"/>
            <w:vAlign w:val="center"/>
          </w:tcPr>
          <w:p w14:paraId="7FC95BB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CG:9</w:t>
            </w:r>
          </w:p>
        </w:tc>
        <w:tc>
          <w:tcPr>
            <w:tcW w:w="912" w:type="dxa"/>
            <w:vAlign w:val="center"/>
          </w:tcPr>
          <w:p w14:paraId="6ACFAAB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60.0±5.7</w:t>
            </w:r>
          </w:p>
        </w:tc>
        <w:tc>
          <w:tcPr>
            <w:tcW w:w="780" w:type="dxa"/>
            <w:vAlign w:val="center"/>
          </w:tcPr>
          <w:p w14:paraId="3BD4C31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C4CFB0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36.7±6.0</w:t>
            </w:r>
          </w:p>
        </w:tc>
        <w:tc>
          <w:tcPr>
            <w:tcW w:w="1077" w:type="dxa"/>
            <w:vAlign w:val="center"/>
          </w:tcPr>
          <w:p w14:paraId="60474C27">
            <w:pPr>
              <w:widowControl/>
              <w:jc w:val="center"/>
              <w:rPr>
                <w:rFonts w:hint="default" w:ascii="Times New Roman" w:hAnsi="Times New Roman" w:eastAsia="宋体" w:cs="Times New Roman"/>
                <w:color w:val="auto"/>
                <w:kern w:val="0"/>
                <w:sz w:val="20"/>
                <w:szCs w:val="20"/>
              </w:rPr>
            </w:pPr>
          </w:p>
        </w:tc>
        <w:tc>
          <w:tcPr>
            <w:tcW w:w="1276" w:type="dxa"/>
            <w:vAlign w:val="center"/>
          </w:tcPr>
          <w:p w14:paraId="2A4163E3">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29A1CEA3">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3F810E85">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516CCD9">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66BD7413">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0D1AF58A">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E4A738A">
            <w:pPr>
              <w:widowControl/>
              <w:jc w:val="center"/>
              <w:rPr>
                <w:rFonts w:hint="default" w:ascii="Times New Roman" w:hAnsi="Times New Roman" w:eastAsia="宋体" w:cs="Times New Roman"/>
                <w:color w:val="auto"/>
                <w:kern w:val="0"/>
                <w:sz w:val="20"/>
                <w:szCs w:val="20"/>
              </w:rPr>
            </w:pPr>
          </w:p>
        </w:tc>
      </w:tr>
      <w:tr w14:paraId="61002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restart"/>
            <w:vAlign w:val="center"/>
          </w:tcPr>
          <w:p w14:paraId="4196A0A6">
            <w:pPr>
              <w:widowControl/>
              <w:jc w:val="center"/>
              <w:rPr>
                <w:rFonts w:hint="default" w:ascii="Times New Roman" w:hAnsi="Times New Roman" w:eastAsia="宋体" w:cs="Times New Roman"/>
                <w:color w:val="auto"/>
                <w:kern w:val="0"/>
                <w:sz w:val="20"/>
                <w:szCs w:val="20"/>
                <w:lang w:eastAsia="zh-CN"/>
              </w:rPr>
            </w:pPr>
            <w:r>
              <w:rPr>
                <w:rFonts w:hint="default" w:ascii="Times New Roman" w:hAnsi="Times New Roman" w:eastAsia="宋体" w:cs="Times New Roman"/>
                <w:color w:val="auto"/>
                <w:kern w:val="0"/>
                <w:sz w:val="20"/>
                <w:szCs w:val="20"/>
              </w:rPr>
              <w:t>McTiernan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{"citationID":"uPA76yWu","properties":{"unsorted":false,"formattedCitation":"\\super 55\\nosupersub{}","plainCitation":"55","noteIndex":0},"citationItems":[{"id":6727,"uris":["http://zotero.org/users/local/9LWqYmzn/items/DHX5T9HD"],"itemData":{"id":6727,"type":"article-journal","abstract":"MCTIERNAN, ANNE, BESS SORENSEN, MELINDA L. IRWIN, ANGELA MORGAN, YUTAKA YASUI, REBECCA E. RUDOLPH, CHRISTINA SURAWICZ, JOHANNA W. LAMPE, PAUL D. LAMPE, KAMRAN AYUB, AND JOHN D. POTTER. Exercise effect on weight and body fat in men and women. Obesity. 2007;15: 1496 –1512.","citation-key":"mctiernanExerciseEffectWeight","container-title":"Obesity","DOI":"10.1038/oby.2007.178","issue":"6","language":"en","page":"1496-1512","source":"Zotero","title":"Exercise effect on weight and body fat in men and women","volume":"15","author":[{"family":"McTiernan","given":"Anne"},{"family":"Sorensen","given":"Bess"},{"family":"Irwin","given":"Melinda L"},{"family":"Morgan","given":"Angela"},{"family":"Yasui","given":"Yutaka"},{"family":"Rudolph","given":"Rebecca E"},{"family":"Surawicz","given":"Christina"},{"family":"Lampe","given":"Johanna W"},{"family":"Lampe","given":"Paul D"},{"family":"Ayub","given":"Kamran"},{"family":"Potter","given":"John D"}],"issued":{"date-parts":[["2007"]]}}}],"schema":"https://github.com/citation-style-language/schema/raw/master/csl-citation.json"}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55</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200</w:t>
            </w:r>
            <w:r>
              <w:rPr>
                <w:rFonts w:hint="default" w:ascii="Times New Roman" w:hAnsi="Times New Roman" w:eastAsia="宋体" w:cs="Times New Roman"/>
                <w:color w:val="auto"/>
                <w:kern w:val="0"/>
                <w:sz w:val="20"/>
                <w:szCs w:val="20"/>
                <w:lang w:val="en-US" w:eastAsia="zh-CN"/>
              </w:rPr>
              <w:t>7</w:t>
            </w:r>
          </w:p>
        </w:tc>
        <w:tc>
          <w:tcPr>
            <w:tcW w:w="1247" w:type="dxa"/>
            <w:vMerge w:val="restart"/>
            <w:vAlign w:val="center"/>
          </w:tcPr>
          <w:p w14:paraId="4A9DD67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2439B57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IG:48</w:t>
            </w:r>
          </w:p>
        </w:tc>
        <w:tc>
          <w:tcPr>
            <w:tcW w:w="912" w:type="dxa"/>
            <w:vAlign w:val="center"/>
          </w:tcPr>
          <w:p w14:paraId="54F2E04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56.2±6.7</w:t>
            </w:r>
          </w:p>
        </w:tc>
        <w:tc>
          <w:tcPr>
            <w:tcW w:w="780" w:type="dxa"/>
            <w:vAlign w:val="center"/>
          </w:tcPr>
          <w:p w14:paraId="04930C6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184F10D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29.7±3.7</w:t>
            </w:r>
          </w:p>
        </w:tc>
        <w:tc>
          <w:tcPr>
            <w:tcW w:w="1077" w:type="dxa"/>
            <w:vAlign w:val="center"/>
          </w:tcPr>
          <w:p w14:paraId="2C4546D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31.5±6.4</w:t>
            </w:r>
          </w:p>
        </w:tc>
        <w:tc>
          <w:tcPr>
            <w:tcW w:w="1276" w:type="dxa"/>
            <w:vAlign w:val="center"/>
          </w:tcPr>
          <w:p w14:paraId="78BB9E4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50B464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337531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w:t>
            </w:r>
          </w:p>
        </w:tc>
        <w:tc>
          <w:tcPr>
            <w:tcW w:w="850" w:type="dxa"/>
            <w:noWrap/>
            <w:vAlign w:val="center"/>
          </w:tcPr>
          <w:p w14:paraId="31FF8D5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1728</w:t>
            </w:r>
          </w:p>
        </w:tc>
        <w:tc>
          <w:tcPr>
            <w:tcW w:w="851" w:type="dxa"/>
            <w:noWrap/>
            <w:vAlign w:val="center"/>
          </w:tcPr>
          <w:p w14:paraId="33DD439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1500</w:t>
            </w:r>
          </w:p>
        </w:tc>
        <w:tc>
          <w:tcPr>
            <w:tcW w:w="850" w:type="dxa"/>
            <w:noWrap/>
            <w:vAlign w:val="center"/>
          </w:tcPr>
          <w:p w14:paraId="4A77495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228</w:t>
            </w:r>
          </w:p>
        </w:tc>
        <w:tc>
          <w:tcPr>
            <w:tcW w:w="1843" w:type="dxa"/>
            <w:vMerge w:val="restart"/>
            <w:vAlign w:val="center"/>
          </w:tcPr>
          <w:p w14:paraId="5D45FCCD">
            <w:pPr>
              <w:widowControl/>
              <w:jc w:val="center"/>
              <w:rPr>
                <w:rFonts w:hint="default" w:ascii="Times New Roman" w:hAnsi="Times New Roman" w:eastAsia="宋体" w:cs="Times New Roman"/>
                <w:color w:val="auto"/>
                <w:kern w:val="0"/>
                <w:sz w:val="20"/>
                <w:szCs w:val="20"/>
              </w:rPr>
            </w:pPr>
            <w:bookmarkStart w:id="1" w:name="OLE_LINK2"/>
            <w:r>
              <w:rPr>
                <w:rFonts w:hint="default" w:ascii="Times New Roman" w:hAnsi="Times New Roman" w:eastAsia="宋体" w:cs="Times New Roman"/>
                <w:color w:val="auto"/>
                <w:kern w:val="0"/>
                <w:sz w:val="20"/>
                <w:szCs w:val="20"/>
              </w:rPr>
              <w:t>CT</w:t>
            </w:r>
            <w:bookmarkEnd w:id="1"/>
          </w:p>
        </w:tc>
      </w:tr>
      <w:tr w14:paraId="380B5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5F18B7E5">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5253A74E">
            <w:pPr>
              <w:widowControl/>
              <w:jc w:val="center"/>
              <w:rPr>
                <w:rFonts w:hint="default" w:ascii="Times New Roman" w:hAnsi="Times New Roman" w:eastAsia="宋体" w:cs="Times New Roman"/>
                <w:color w:val="auto"/>
                <w:kern w:val="0"/>
                <w:sz w:val="20"/>
                <w:szCs w:val="20"/>
              </w:rPr>
            </w:pPr>
          </w:p>
        </w:tc>
        <w:tc>
          <w:tcPr>
            <w:tcW w:w="814" w:type="dxa"/>
            <w:vAlign w:val="center"/>
          </w:tcPr>
          <w:p w14:paraId="6E46306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CG:51</w:t>
            </w:r>
          </w:p>
        </w:tc>
        <w:tc>
          <w:tcPr>
            <w:tcW w:w="912" w:type="dxa"/>
            <w:vAlign w:val="center"/>
          </w:tcPr>
          <w:p w14:paraId="15BAD94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56.6±7.6</w:t>
            </w:r>
          </w:p>
        </w:tc>
        <w:tc>
          <w:tcPr>
            <w:tcW w:w="780" w:type="dxa"/>
            <w:vAlign w:val="center"/>
          </w:tcPr>
          <w:p w14:paraId="3C2F0D5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420203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30.1±4.8</w:t>
            </w:r>
          </w:p>
        </w:tc>
        <w:tc>
          <w:tcPr>
            <w:tcW w:w="1077" w:type="dxa"/>
            <w:vAlign w:val="center"/>
          </w:tcPr>
          <w:p w14:paraId="0F81CF9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29.7±5.9</w:t>
            </w:r>
          </w:p>
        </w:tc>
        <w:tc>
          <w:tcPr>
            <w:tcW w:w="1276" w:type="dxa"/>
            <w:vAlign w:val="center"/>
          </w:tcPr>
          <w:p w14:paraId="02062223">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40584E5D">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16C321BA">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6F1A22D">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0EE78EBD">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45B9BD6">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29763CE8">
            <w:pPr>
              <w:widowControl/>
              <w:jc w:val="center"/>
              <w:rPr>
                <w:rFonts w:hint="default" w:ascii="Times New Roman" w:hAnsi="Times New Roman" w:eastAsia="宋体" w:cs="Times New Roman"/>
                <w:color w:val="auto"/>
                <w:kern w:val="0"/>
                <w:sz w:val="20"/>
                <w:szCs w:val="20"/>
              </w:rPr>
            </w:pPr>
          </w:p>
        </w:tc>
      </w:tr>
      <w:tr w14:paraId="69F89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259A5F7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Donnelly</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{"citationID":"eT6BZIgx","properties":{"unsorted":false,"formattedCitation":"\\super 56\\nosupersub{}","plainCitation":"56","noteIndex":0},"citationItems":[{"id":6729,"uris":["http://zotero.org/users/local/9LWqYmzn/items/GTPK4TBA"],"itemData":{"id":6729,"type":"article-journal","citation-key":"donnellyEffects16monthRandomized2003","container-title":"Archives of Internal Medicine","DOI":"10.1001/archinte.163.11.1343","ISSN":"0003-9926","issue":"11","journalAbbreviation":"Arch Intern Med","language":"en","page":"1343-1350","source":"DOI.org (Crossref)","title":"Effects of a 16-month randomized controlled exercise trial on body weight and composition in young, overweight men and women: The midwest exercise trial","title-short":"Effects of a 16-Month Randomized Controlled Exercise Trial on Body Weight and Composition in Young, Overweight Men and Women","volume":"163","author":[{"family":"Donnelly","given":"Joseph E."},{"family":"Hill","given":"James O."},{"family":"Jacobsen","given":"Dennis J."},{"family":"Potteiger","given":"Jeffrey"},{"family":"Sullivan","given":"Debra K."},{"family":"Johnson","given":"Susan L."},{"family":"Heelan","given":"Kate"},{"family":"Hise","given":"Mary"},{"family":"Fennessey","given":"Paul V."},{"family":"Sonko","given":"Bakary"},{"family":"Sharp","given":"Teresa"},{"family":"Jakicic","given":"John M."},{"family":"Blair","given":"Steven N."},{"family":"Tran","given":"Zung V."},{"family":"Mayo","given":"Matthew"},{"family":"Gibson","given":"Cheryl"},{"family":"Washburn","given":"Richard A."}],"issued":{"date-parts":[["2003",6,9]]}}}],"schema":"https://github.com/citation-style-language/schema/raw/master/csl-citation.json"}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56</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2003</w:t>
            </w:r>
          </w:p>
        </w:tc>
        <w:tc>
          <w:tcPr>
            <w:tcW w:w="1247" w:type="dxa"/>
            <w:vMerge w:val="restart"/>
            <w:vAlign w:val="center"/>
          </w:tcPr>
          <w:p w14:paraId="2E4D7EC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6E0629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IG:16</w:t>
            </w:r>
          </w:p>
        </w:tc>
        <w:tc>
          <w:tcPr>
            <w:tcW w:w="912" w:type="dxa"/>
            <w:vAlign w:val="center"/>
          </w:tcPr>
          <w:p w14:paraId="7D7DB70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22.0±4.0</w:t>
            </w:r>
          </w:p>
        </w:tc>
        <w:tc>
          <w:tcPr>
            <w:tcW w:w="780" w:type="dxa"/>
            <w:vAlign w:val="center"/>
          </w:tcPr>
          <w:p w14:paraId="5AE415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7B1FC73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29.7±2.9</w:t>
            </w:r>
          </w:p>
        </w:tc>
        <w:tc>
          <w:tcPr>
            <w:tcW w:w="1077" w:type="dxa"/>
            <w:vAlign w:val="center"/>
          </w:tcPr>
          <w:p w14:paraId="0D2971A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28.3±4.6</w:t>
            </w:r>
          </w:p>
        </w:tc>
        <w:tc>
          <w:tcPr>
            <w:tcW w:w="1276" w:type="dxa"/>
            <w:vAlign w:val="center"/>
          </w:tcPr>
          <w:p w14:paraId="09F8E4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64</w:t>
            </w:r>
          </w:p>
        </w:tc>
        <w:tc>
          <w:tcPr>
            <w:tcW w:w="992" w:type="dxa"/>
            <w:noWrap/>
            <w:vAlign w:val="center"/>
          </w:tcPr>
          <w:p w14:paraId="2C59AFB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07B6BD0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w:t>
            </w:r>
          </w:p>
        </w:tc>
        <w:tc>
          <w:tcPr>
            <w:tcW w:w="850" w:type="dxa"/>
            <w:noWrap/>
            <w:vAlign w:val="center"/>
          </w:tcPr>
          <w:p w14:paraId="087D61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960</w:t>
            </w:r>
          </w:p>
        </w:tc>
        <w:tc>
          <w:tcPr>
            <w:tcW w:w="851" w:type="dxa"/>
            <w:noWrap/>
            <w:vAlign w:val="center"/>
          </w:tcPr>
          <w:p w14:paraId="4D0C5D9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6E6F1D8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843" w:type="dxa"/>
            <w:vMerge w:val="restart"/>
            <w:vAlign w:val="center"/>
          </w:tcPr>
          <w:p w14:paraId="37CDB72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CT</w:t>
            </w:r>
          </w:p>
        </w:tc>
      </w:tr>
      <w:tr w14:paraId="55BD2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003A06BE">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4D216417">
            <w:pPr>
              <w:widowControl/>
              <w:jc w:val="center"/>
              <w:rPr>
                <w:rFonts w:hint="default" w:ascii="Times New Roman" w:hAnsi="Times New Roman" w:eastAsia="宋体" w:cs="Times New Roman"/>
                <w:color w:val="auto"/>
                <w:kern w:val="0"/>
                <w:sz w:val="20"/>
                <w:szCs w:val="20"/>
              </w:rPr>
            </w:pPr>
          </w:p>
        </w:tc>
        <w:tc>
          <w:tcPr>
            <w:tcW w:w="814" w:type="dxa"/>
            <w:vAlign w:val="center"/>
          </w:tcPr>
          <w:p w14:paraId="1509A1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CG:15</w:t>
            </w:r>
          </w:p>
        </w:tc>
        <w:tc>
          <w:tcPr>
            <w:tcW w:w="912" w:type="dxa"/>
            <w:vAlign w:val="center"/>
          </w:tcPr>
          <w:p w14:paraId="2D8A1BC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24.0±4.0</w:t>
            </w:r>
          </w:p>
        </w:tc>
        <w:tc>
          <w:tcPr>
            <w:tcW w:w="780" w:type="dxa"/>
            <w:vAlign w:val="center"/>
          </w:tcPr>
          <w:p w14:paraId="2658013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1933CB7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29.0±3.0</w:t>
            </w:r>
          </w:p>
        </w:tc>
        <w:tc>
          <w:tcPr>
            <w:tcW w:w="1077" w:type="dxa"/>
            <w:vAlign w:val="center"/>
          </w:tcPr>
          <w:p w14:paraId="73105875">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26.8±4.6</w:t>
            </w:r>
          </w:p>
        </w:tc>
        <w:tc>
          <w:tcPr>
            <w:tcW w:w="1276" w:type="dxa"/>
            <w:vAlign w:val="center"/>
          </w:tcPr>
          <w:p w14:paraId="551E795D">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0D22BE2E">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8E69294">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091DD28">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46DE138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509F431C">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08DE5DB2">
            <w:pPr>
              <w:widowControl/>
              <w:jc w:val="center"/>
              <w:rPr>
                <w:rFonts w:hint="default" w:ascii="Times New Roman" w:hAnsi="Times New Roman" w:eastAsia="宋体" w:cs="Times New Roman"/>
                <w:color w:val="auto"/>
                <w:kern w:val="0"/>
                <w:sz w:val="20"/>
                <w:szCs w:val="20"/>
              </w:rPr>
            </w:pPr>
          </w:p>
        </w:tc>
      </w:tr>
      <w:tr w14:paraId="27855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543F22F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Waters</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{"citationID":"AwXzZEVf","properties":{"unsorted":false,"formattedCitation":"\\super 57\\nosupersub{}","plainCitation":"57","noteIndex":0},"citationItems":[{"id":6731,"uris":["http://zotero.org/users/local/9LWqYmzn/items/86KE9WF6"],"itemData":{"id":6731,"type":"article-journal","abstract":"Background: Obesity exacerbates age-related effects on body composition, physical and metabolic function. Which exercise mode is most effective in mitigating these deleterious changes in dieting obese older adults is unknown.\nMethods: In a randomized controlled trial, we performed a head-to-head comparison of aerobic (AEX), resistance (REX), or combination (COMB) exercise during matched weight loss in 160 obese older adults. Prespecified analyses compared 6-month changes in intermuscular adipose tissue (IMAT) and visceral adipose tissue (VAT) assessed using MRI, insulin sensitivity index (ISI) by oral glucose tolerance test, physical function using Modified Physical Performance Test (PPT), VO2peak, gait-speed, and knee strength by dynamometry.\nResults: IMAT and VAT decreased more in COMB than AEX and REX groups (IMAT; 41% vs. -28% and -23% and VAT: -36% vs. -19% and -21%; p=.003 to .01); IMAT and VAT decreased in all groups more than control (CON) (between-group p&lt;.001). ISI increased more in COMB than AEX and REX groups (86% vs. 50% and 39%; p=.005 to .03). PPT improved more in COMB than AEX and REX groups, while VO2peak improved more in COMB and AEX than REX group (all p&lt;.05). Knee strength improved more in COMB and REX than AEX group (all p&lt;.05). Changes in IMAT and VAT correlated with PPT (r=-.28 and -.39), VO2peak (r=-.49 and -.52), gait-speed (r=-.25 and -.36), and ISI (r=-.49 and -.52) (all p&lt;.05).\nConclusions: Weight loss plus combination aerobic and resistance exercise was most effective in improving ectopic fat deposition and physical and metabolic function in older adults with obesity.","citation-key":"watersEffectAerobicResistance2022","container-title":"The Journals of Gerontology: Series A","DOI":"10.1093/gerona/glab111","ISSN":"1079-5006, 1758-535X","issue":"1","language":"en","page":"131-139","source":"DOI.org (Crossref)","title":"Effect of aerobic or resistance exercise, or both, on intermuscular and visceral fat and physical and metabolic function in older adults with obesity while dieting","volume":"77","author":[{"family":"Waters","given":"Debra L"},{"family":"Aguirre","given":"Lina"},{"family":"Gurney","given":"Burke"},{"family":"Sinacore","given":"David R"},{"family":"Fowler","given":"Kenneth"},{"family":"Gregori","given":"Giulia"},{"family":"Armamento-Villareal","given":"Reina"},{"family":"Qualls","given":"Clifford"},{"family":"Villareal","given":"Dennis T"}],"editor":[{"family":"Lipsitz","given":"Lewis"}],"issued":{"date-parts":[["2022",1,7]]}}}],"schema":"https://github.com/citation-style-language/schema/raw/master/csl-citation.json"}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57</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2022</w:t>
            </w:r>
          </w:p>
        </w:tc>
        <w:tc>
          <w:tcPr>
            <w:tcW w:w="1247" w:type="dxa"/>
            <w:vMerge w:val="restart"/>
            <w:vAlign w:val="center"/>
          </w:tcPr>
          <w:p w14:paraId="152E444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USA</w:t>
            </w:r>
          </w:p>
        </w:tc>
        <w:tc>
          <w:tcPr>
            <w:tcW w:w="814" w:type="dxa"/>
            <w:vAlign w:val="center"/>
          </w:tcPr>
          <w:p w14:paraId="2AFD9DF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IG1:35</w:t>
            </w:r>
          </w:p>
        </w:tc>
        <w:tc>
          <w:tcPr>
            <w:tcW w:w="912" w:type="dxa"/>
            <w:vAlign w:val="center"/>
          </w:tcPr>
          <w:p w14:paraId="5EA1446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70.0±4.0</w:t>
            </w:r>
          </w:p>
        </w:tc>
        <w:tc>
          <w:tcPr>
            <w:tcW w:w="780" w:type="dxa"/>
            <w:vAlign w:val="center"/>
          </w:tcPr>
          <w:p w14:paraId="6BCAD89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FE344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35.9±4.4</w:t>
            </w:r>
          </w:p>
        </w:tc>
        <w:tc>
          <w:tcPr>
            <w:tcW w:w="1077" w:type="dxa"/>
            <w:vAlign w:val="center"/>
          </w:tcPr>
          <w:p w14:paraId="2CB8D5BE">
            <w:pPr>
              <w:widowControl/>
              <w:jc w:val="center"/>
              <w:rPr>
                <w:rFonts w:hint="default" w:ascii="Times New Roman" w:hAnsi="Times New Roman" w:eastAsia="宋体" w:cs="Times New Roman"/>
                <w:color w:val="auto"/>
                <w:kern w:val="0"/>
                <w:sz w:val="20"/>
                <w:szCs w:val="20"/>
              </w:rPr>
            </w:pPr>
          </w:p>
        </w:tc>
        <w:tc>
          <w:tcPr>
            <w:tcW w:w="1276" w:type="dxa"/>
            <w:vAlign w:val="center"/>
          </w:tcPr>
          <w:p w14:paraId="49EC9F4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w:t>
            </w:r>
          </w:p>
        </w:tc>
        <w:tc>
          <w:tcPr>
            <w:tcW w:w="992" w:type="dxa"/>
            <w:noWrap/>
            <w:vAlign w:val="center"/>
          </w:tcPr>
          <w:p w14:paraId="15A67A8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2EB72E7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47E3F2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1224</w:t>
            </w:r>
          </w:p>
        </w:tc>
        <w:tc>
          <w:tcPr>
            <w:tcW w:w="851" w:type="dxa"/>
            <w:noWrap/>
            <w:vAlign w:val="center"/>
          </w:tcPr>
          <w:p w14:paraId="3A49B6A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1250</w:t>
            </w:r>
          </w:p>
        </w:tc>
        <w:tc>
          <w:tcPr>
            <w:tcW w:w="850" w:type="dxa"/>
            <w:noWrap/>
            <w:vAlign w:val="center"/>
          </w:tcPr>
          <w:p w14:paraId="38F0E55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26</w:t>
            </w:r>
          </w:p>
        </w:tc>
        <w:tc>
          <w:tcPr>
            <w:tcW w:w="1843" w:type="dxa"/>
            <w:vMerge w:val="restart"/>
            <w:vAlign w:val="center"/>
          </w:tcPr>
          <w:p w14:paraId="0C9ABE5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53BE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2B48003">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19FB8DA">
            <w:pPr>
              <w:widowControl/>
              <w:jc w:val="center"/>
              <w:rPr>
                <w:rFonts w:hint="default" w:ascii="Times New Roman" w:hAnsi="Times New Roman" w:eastAsia="宋体" w:cs="Times New Roman"/>
                <w:color w:val="auto"/>
                <w:kern w:val="0"/>
                <w:sz w:val="20"/>
                <w:szCs w:val="20"/>
              </w:rPr>
            </w:pPr>
          </w:p>
        </w:tc>
        <w:tc>
          <w:tcPr>
            <w:tcW w:w="814" w:type="dxa"/>
            <w:vAlign w:val="center"/>
          </w:tcPr>
          <w:p w14:paraId="07833AC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IG2:35</w:t>
            </w:r>
          </w:p>
        </w:tc>
        <w:tc>
          <w:tcPr>
            <w:tcW w:w="912" w:type="dxa"/>
            <w:vAlign w:val="center"/>
          </w:tcPr>
          <w:p w14:paraId="50734F0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70.0±5.0</w:t>
            </w:r>
          </w:p>
        </w:tc>
        <w:tc>
          <w:tcPr>
            <w:tcW w:w="780" w:type="dxa"/>
            <w:vAlign w:val="center"/>
          </w:tcPr>
          <w:p w14:paraId="72AC35E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539CE81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36.7±5.8</w:t>
            </w:r>
          </w:p>
        </w:tc>
        <w:tc>
          <w:tcPr>
            <w:tcW w:w="1077" w:type="dxa"/>
            <w:vAlign w:val="center"/>
          </w:tcPr>
          <w:p w14:paraId="45816A7D">
            <w:pPr>
              <w:widowControl/>
              <w:jc w:val="center"/>
              <w:rPr>
                <w:rFonts w:hint="default" w:ascii="Times New Roman" w:hAnsi="Times New Roman" w:eastAsia="宋体" w:cs="Times New Roman"/>
                <w:color w:val="auto"/>
                <w:kern w:val="0"/>
                <w:sz w:val="20"/>
                <w:szCs w:val="20"/>
              </w:rPr>
            </w:pPr>
          </w:p>
        </w:tc>
        <w:tc>
          <w:tcPr>
            <w:tcW w:w="1276" w:type="dxa"/>
            <w:vAlign w:val="center"/>
          </w:tcPr>
          <w:p w14:paraId="10DF21F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w:t>
            </w:r>
          </w:p>
        </w:tc>
        <w:tc>
          <w:tcPr>
            <w:tcW w:w="992" w:type="dxa"/>
            <w:noWrap/>
            <w:vAlign w:val="center"/>
          </w:tcPr>
          <w:p w14:paraId="5B26D16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7B3D347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6137C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1080</w:t>
            </w:r>
          </w:p>
        </w:tc>
        <w:tc>
          <w:tcPr>
            <w:tcW w:w="851" w:type="dxa"/>
            <w:noWrap/>
            <w:vAlign w:val="center"/>
          </w:tcPr>
          <w:p w14:paraId="64A957C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4F99BA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80</w:t>
            </w:r>
          </w:p>
        </w:tc>
        <w:tc>
          <w:tcPr>
            <w:tcW w:w="1843" w:type="dxa"/>
            <w:vMerge w:val="continue"/>
            <w:vAlign w:val="center"/>
          </w:tcPr>
          <w:p w14:paraId="57A0ED58">
            <w:pPr>
              <w:widowControl/>
              <w:jc w:val="center"/>
              <w:rPr>
                <w:rFonts w:hint="default" w:ascii="Times New Roman" w:hAnsi="Times New Roman" w:eastAsia="宋体" w:cs="Times New Roman"/>
                <w:color w:val="auto"/>
                <w:kern w:val="0"/>
                <w:sz w:val="20"/>
                <w:szCs w:val="20"/>
              </w:rPr>
            </w:pPr>
          </w:p>
        </w:tc>
      </w:tr>
      <w:tr w14:paraId="48956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4107E856">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6769012F">
            <w:pPr>
              <w:widowControl/>
              <w:jc w:val="center"/>
              <w:rPr>
                <w:rFonts w:hint="default" w:ascii="Times New Roman" w:hAnsi="Times New Roman" w:eastAsia="宋体" w:cs="Times New Roman"/>
                <w:color w:val="auto"/>
                <w:kern w:val="0"/>
                <w:sz w:val="20"/>
                <w:szCs w:val="20"/>
              </w:rPr>
            </w:pPr>
          </w:p>
        </w:tc>
        <w:tc>
          <w:tcPr>
            <w:tcW w:w="814" w:type="dxa"/>
            <w:vAlign w:val="center"/>
          </w:tcPr>
          <w:p w14:paraId="425F4F0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IG3:35</w:t>
            </w:r>
          </w:p>
        </w:tc>
        <w:tc>
          <w:tcPr>
            <w:tcW w:w="912" w:type="dxa"/>
            <w:vAlign w:val="center"/>
          </w:tcPr>
          <w:p w14:paraId="5D67890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70.0±5.0</w:t>
            </w:r>
          </w:p>
        </w:tc>
        <w:tc>
          <w:tcPr>
            <w:tcW w:w="780" w:type="dxa"/>
            <w:vAlign w:val="center"/>
          </w:tcPr>
          <w:p w14:paraId="6801727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COM</w:t>
            </w:r>
          </w:p>
        </w:tc>
        <w:tc>
          <w:tcPr>
            <w:tcW w:w="912" w:type="dxa"/>
            <w:vAlign w:val="center"/>
          </w:tcPr>
          <w:p w14:paraId="1A9128A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35.8±4.5</w:t>
            </w:r>
          </w:p>
        </w:tc>
        <w:tc>
          <w:tcPr>
            <w:tcW w:w="1077" w:type="dxa"/>
            <w:vAlign w:val="center"/>
          </w:tcPr>
          <w:p w14:paraId="4DD17E50">
            <w:pPr>
              <w:widowControl/>
              <w:jc w:val="center"/>
              <w:rPr>
                <w:rFonts w:hint="default" w:ascii="Times New Roman" w:hAnsi="Times New Roman" w:eastAsia="宋体" w:cs="Times New Roman"/>
                <w:color w:val="auto"/>
                <w:kern w:val="0"/>
                <w:sz w:val="20"/>
                <w:szCs w:val="20"/>
              </w:rPr>
            </w:pPr>
          </w:p>
        </w:tc>
        <w:tc>
          <w:tcPr>
            <w:tcW w:w="1276" w:type="dxa"/>
            <w:vAlign w:val="center"/>
          </w:tcPr>
          <w:p w14:paraId="78E78F4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26</w:t>
            </w:r>
          </w:p>
        </w:tc>
        <w:tc>
          <w:tcPr>
            <w:tcW w:w="992" w:type="dxa"/>
            <w:noWrap/>
            <w:vAlign w:val="center"/>
          </w:tcPr>
          <w:p w14:paraId="666FF32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60</w:t>
            </w:r>
          </w:p>
        </w:tc>
        <w:tc>
          <w:tcPr>
            <w:tcW w:w="1276" w:type="dxa"/>
            <w:vAlign w:val="center"/>
          </w:tcPr>
          <w:p w14:paraId="6FCF012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736BBF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900</w:t>
            </w:r>
          </w:p>
        </w:tc>
        <w:tc>
          <w:tcPr>
            <w:tcW w:w="851" w:type="dxa"/>
            <w:noWrap/>
            <w:vAlign w:val="center"/>
          </w:tcPr>
          <w:p w14:paraId="07933B4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1000</w:t>
            </w:r>
          </w:p>
        </w:tc>
        <w:tc>
          <w:tcPr>
            <w:tcW w:w="850" w:type="dxa"/>
            <w:noWrap/>
            <w:vAlign w:val="center"/>
          </w:tcPr>
          <w:p w14:paraId="365609B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w:t>
            </w:r>
          </w:p>
        </w:tc>
        <w:tc>
          <w:tcPr>
            <w:tcW w:w="1843" w:type="dxa"/>
            <w:vMerge w:val="continue"/>
            <w:vAlign w:val="center"/>
          </w:tcPr>
          <w:p w14:paraId="1DBF2259">
            <w:pPr>
              <w:widowControl/>
              <w:jc w:val="center"/>
              <w:rPr>
                <w:rFonts w:hint="default" w:ascii="Times New Roman" w:hAnsi="Times New Roman" w:eastAsia="宋体" w:cs="Times New Roman"/>
                <w:color w:val="auto"/>
                <w:kern w:val="0"/>
                <w:sz w:val="20"/>
                <w:szCs w:val="20"/>
              </w:rPr>
            </w:pPr>
          </w:p>
        </w:tc>
      </w:tr>
      <w:tr w14:paraId="7EA65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27E8F970">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FB61821">
            <w:pPr>
              <w:widowControl/>
              <w:jc w:val="center"/>
              <w:rPr>
                <w:rFonts w:hint="default" w:ascii="Times New Roman" w:hAnsi="Times New Roman" w:eastAsia="宋体" w:cs="Times New Roman"/>
                <w:color w:val="auto"/>
                <w:kern w:val="0"/>
                <w:sz w:val="20"/>
                <w:szCs w:val="20"/>
              </w:rPr>
            </w:pPr>
          </w:p>
        </w:tc>
        <w:tc>
          <w:tcPr>
            <w:tcW w:w="814" w:type="dxa"/>
            <w:vAlign w:val="center"/>
          </w:tcPr>
          <w:p w14:paraId="77C866A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CG:36</w:t>
            </w:r>
          </w:p>
        </w:tc>
        <w:tc>
          <w:tcPr>
            <w:tcW w:w="912" w:type="dxa"/>
            <w:vAlign w:val="center"/>
          </w:tcPr>
          <w:p w14:paraId="5E17FFF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70.0±5.0</w:t>
            </w:r>
          </w:p>
        </w:tc>
        <w:tc>
          <w:tcPr>
            <w:tcW w:w="780" w:type="dxa"/>
            <w:vAlign w:val="center"/>
          </w:tcPr>
          <w:p w14:paraId="59C4AAE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68DE6FB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36.7±5.0</w:t>
            </w:r>
          </w:p>
        </w:tc>
        <w:tc>
          <w:tcPr>
            <w:tcW w:w="1077" w:type="dxa"/>
            <w:vAlign w:val="center"/>
          </w:tcPr>
          <w:p w14:paraId="38716221">
            <w:pPr>
              <w:widowControl/>
              <w:jc w:val="center"/>
              <w:rPr>
                <w:rFonts w:hint="default" w:ascii="Times New Roman" w:hAnsi="Times New Roman" w:eastAsia="宋体" w:cs="Times New Roman"/>
                <w:color w:val="auto"/>
                <w:kern w:val="0"/>
                <w:sz w:val="20"/>
                <w:szCs w:val="20"/>
              </w:rPr>
            </w:pPr>
          </w:p>
        </w:tc>
        <w:tc>
          <w:tcPr>
            <w:tcW w:w="1276" w:type="dxa"/>
            <w:vAlign w:val="center"/>
          </w:tcPr>
          <w:p w14:paraId="70CE55DD">
            <w:pPr>
              <w:widowControl/>
              <w:jc w:val="center"/>
              <w:rPr>
                <w:rFonts w:hint="default" w:ascii="Times New Roman" w:hAnsi="Times New Roman" w:eastAsia="Times New Roman" w:cs="Times New Roman"/>
                <w:color w:val="auto"/>
                <w:kern w:val="0"/>
                <w:sz w:val="20"/>
                <w:szCs w:val="20"/>
              </w:rPr>
            </w:pPr>
          </w:p>
        </w:tc>
        <w:tc>
          <w:tcPr>
            <w:tcW w:w="992" w:type="dxa"/>
            <w:noWrap/>
            <w:vAlign w:val="center"/>
          </w:tcPr>
          <w:p w14:paraId="36C1033C">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25A5E9B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6902FD6C">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32C0F512">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2F868F67">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5838306B">
            <w:pPr>
              <w:widowControl/>
              <w:jc w:val="center"/>
              <w:rPr>
                <w:rFonts w:hint="default" w:ascii="Times New Roman" w:hAnsi="Times New Roman" w:eastAsia="宋体" w:cs="Times New Roman"/>
                <w:color w:val="auto"/>
                <w:kern w:val="0"/>
                <w:sz w:val="20"/>
                <w:szCs w:val="20"/>
              </w:rPr>
            </w:pPr>
          </w:p>
        </w:tc>
      </w:tr>
      <w:tr w14:paraId="563C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4E413BF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Haganes</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{"citationID":"dbeWcKfx","properties":{"unsorted":false,"formattedCitation":"\\super 58\\nosupersub{}","plainCitation":"58","noteIndex":0},"citationItems":[{"id":6733,"uris":["http://zotero.org/users/local/9LWqYmzn/items/4JHYXJV5"],"itemData":{"id":6733,"type":"article-journal","abstract":"Diet modiﬁcation and exercise training are primary lifestyle strategies for obesity management, but poor adherence rates limit their effectiveness. Time-restricted eating (TRE) and high-intensity interval training (HIIT) improve cardiometabolic health in at-risk individuals, but whether these two interventions combined induce superior improvements in glycemic control than each individual intervention is not known. In this four-armed randomized controlled trial (ClinicalTrials.gov NCT04019860), we determined the isolated and combined effects of 7 weeks of TRE (%10-h daily eating window, with ad libitum energy intake) and HIIT (three exercise sessions per week), compared with a non-intervention control group, on glycemic control and secondary cardiometabolic outcomes in 131 women (36.2 ± 6.2 years) with overweight/obesity. There were no statistically signiﬁcant effects after isolated TRE, HIIT, or a combination (TREHIIT) on glucose area under the curve during an oral glucose tolerance test (the primary outcome) compared with the control group (TRE, 26.3 mmol/L; 95% conﬁdence interval [CI], 82.3 to 29.7, p = 0.36; HIIT, 53.8 mmol/L; 95% CI, 109.2 to 1.6, p = 0.057; TREHIIT, 41.3 mmol/L; 95% CI, 96.4 to 13.8, p = 0.14). However, TREHIIT improved HbA1c and induced superior reductions in total and visceral fat mass compared with TRE and HIIT alone. High participant adherence rates suggest that TRE, HIIT, and a combination thereof may be realistic diet-exercise strategies for improving markers of metabolic health in women at risk of cardiometabolic disease.","citation-key":"haganesTimerestrictedEatingExercise2022","container-title":"Cell Metabolism","DOI":"10.1016/j.cmet.2022.09.003","ISSN":"15504131","issue":"10","journalAbbreviation":"Cell Metabolism","language":"en","note":"JCR分区: Q1\n中科院分区升级版: 生物学1区\n中科院分区基础版: 生物1区\n影响因子: 30.9\n5年影响因子: 33.4","page":"1457-1471.e4","source":"30.9","title":"Time-restricted eating and exercise training improve HbA1c and body composition in women with overweight/obesity: A randomized controlled trial","title-short":"Time-restricted eating and exercise training improve HbA1c and body composition in women with overweight/obesity","volume":"34","author":[{"family":"Haganes","given":"Kamilla L."},{"family":"Silva","given":"Catalina P."},{"family":"Eyjólfsdóttir","given":"Svala K."},{"family":"Steen","given":"Sandra"},{"family":"Grindberg","given":"Martine"},{"family":"Lydersen","given":"Stian"},{"family":"Hawley","given":"John A."},{"family":"Moholdt","given":"Trine"}],"issued":{"date-parts":[["2022",10]]}}}],"schema":"https://github.com/citation-style-language/schema/raw/master/csl-citation.json"}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58</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2022</w:t>
            </w:r>
          </w:p>
        </w:tc>
        <w:tc>
          <w:tcPr>
            <w:tcW w:w="1247" w:type="dxa"/>
            <w:vMerge w:val="restart"/>
            <w:vAlign w:val="center"/>
          </w:tcPr>
          <w:p w14:paraId="37A678EE">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Norway</w:t>
            </w:r>
          </w:p>
        </w:tc>
        <w:tc>
          <w:tcPr>
            <w:tcW w:w="814" w:type="dxa"/>
            <w:vAlign w:val="center"/>
          </w:tcPr>
          <w:p w14:paraId="087A022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IG:26</w:t>
            </w:r>
          </w:p>
        </w:tc>
        <w:tc>
          <w:tcPr>
            <w:tcW w:w="912" w:type="dxa"/>
            <w:vAlign w:val="center"/>
          </w:tcPr>
          <w:p w14:paraId="4BB154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34.9±7.0</w:t>
            </w:r>
          </w:p>
        </w:tc>
        <w:tc>
          <w:tcPr>
            <w:tcW w:w="780" w:type="dxa"/>
            <w:vAlign w:val="center"/>
          </w:tcPr>
          <w:p w14:paraId="6D0E427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912" w:type="dxa"/>
            <w:vAlign w:val="center"/>
          </w:tcPr>
          <w:p w14:paraId="57199A5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32.5±4.5</w:t>
            </w:r>
          </w:p>
        </w:tc>
        <w:tc>
          <w:tcPr>
            <w:tcW w:w="1077" w:type="dxa"/>
            <w:vAlign w:val="center"/>
          </w:tcPr>
          <w:p w14:paraId="0C42C8D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38.6±10.5</w:t>
            </w:r>
          </w:p>
        </w:tc>
        <w:tc>
          <w:tcPr>
            <w:tcW w:w="1276" w:type="dxa"/>
            <w:vAlign w:val="center"/>
          </w:tcPr>
          <w:p w14:paraId="79205DC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7</w:t>
            </w:r>
          </w:p>
        </w:tc>
        <w:tc>
          <w:tcPr>
            <w:tcW w:w="992" w:type="dxa"/>
            <w:noWrap/>
            <w:vAlign w:val="center"/>
          </w:tcPr>
          <w:p w14:paraId="69BBCFB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w:t>
            </w:r>
          </w:p>
        </w:tc>
        <w:tc>
          <w:tcPr>
            <w:tcW w:w="1276" w:type="dxa"/>
            <w:vAlign w:val="center"/>
          </w:tcPr>
          <w:p w14:paraId="651DD4D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447AF8A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528</w:t>
            </w:r>
          </w:p>
        </w:tc>
        <w:tc>
          <w:tcPr>
            <w:tcW w:w="851" w:type="dxa"/>
            <w:noWrap/>
            <w:vAlign w:val="center"/>
          </w:tcPr>
          <w:p w14:paraId="3CA1C9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25AEB6A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843" w:type="dxa"/>
            <w:vMerge w:val="restart"/>
            <w:vAlign w:val="center"/>
          </w:tcPr>
          <w:p w14:paraId="3AA13A0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InBody</w:t>
            </w:r>
          </w:p>
        </w:tc>
      </w:tr>
      <w:tr w14:paraId="60870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7" w:hRule="atLeast"/>
          <w:jc w:val="center"/>
        </w:trPr>
        <w:tc>
          <w:tcPr>
            <w:tcW w:w="1746" w:type="dxa"/>
            <w:vMerge w:val="continue"/>
            <w:vAlign w:val="center"/>
          </w:tcPr>
          <w:p w14:paraId="6FB8CD9F">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1FB5507D">
            <w:pPr>
              <w:widowControl/>
              <w:jc w:val="center"/>
              <w:rPr>
                <w:rFonts w:hint="default" w:ascii="Times New Roman" w:hAnsi="Times New Roman" w:eastAsia="宋体" w:cs="Times New Roman"/>
                <w:color w:val="auto"/>
                <w:kern w:val="0"/>
                <w:sz w:val="20"/>
                <w:szCs w:val="20"/>
              </w:rPr>
            </w:pPr>
          </w:p>
        </w:tc>
        <w:tc>
          <w:tcPr>
            <w:tcW w:w="814" w:type="dxa"/>
            <w:vAlign w:val="center"/>
          </w:tcPr>
          <w:p w14:paraId="09DD8B7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CG:29</w:t>
            </w:r>
          </w:p>
        </w:tc>
        <w:tc>
          <w:tcPr>
            <w:tcW w:w="912" w:type="dxa"/>
            <w:vAlign w:val="center"/>
          </w:tcPr>
          <w:p w14:paraId="133C866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36.4±6.2</w:t>
            </w:r>
          </w:p>
        </w:tc>
        <w:tc>
          <w:tcPr>
            <w:tcW w:w="780" w:type="dxa"/>
            <w:vAlign w:val="center"/>
          </w:tcPr>
          <w:p w14:paraId="13FD41B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CON</w:t>
            </w:r>
          </w:p>
        </w:tc>
        <w:tc>
          <w:tcPr>
            <w:tcW w:w="912" w:type="dxa"/>
            <w:vAlign w:val="center"/>
          </w:tcPr>
          <w:p w14:paraId="75CFB01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33.1±4.2</w:t>
            </w:r>
          </w:p>
        </w:tc>
        <w:tc>
          <w:tcPr>
            <w:tcW w:w="1077" w:type="dxa"/>
            <w:vAlign w:val="center"/>
          </w:tcPr>
          <w:p w14:paraId="3BA3910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39.5±10.1</w:t>
            </w:r>
          </w:p>
        </w:tc>
        <w:tc>
          <w:tcPr>
            <w:tcW w:w="1276" w:type="dxa"/>
            <w:vAlign w:val="center"/>
          </w:tcPr>
          <w:p w14:paraId="0CFF0984">
            <w:pPr>
              <w:widowControl/>
              <w:jc w:val="center"/>
              <w:rPr>
                <w:rFonts w:hint="default" w:ascii="Times New Roman" w:hAnsi="Times New Roman" w:eastAsia="宋体" w:cs="Times New Roman"/>
                <w:color w:val="auto"/>
                <w:kern w:val="0"/>
                <w:sz w:val="20"/>
                <w:szCs w:val="20"/>
              </w:rPr>
            </w:pPr>
          </w:p>
        </w:tc>
        <w:tc>
          <w:tcPr>
            <w:tcW w:w="992" w:type="dxa"/>
            <w:noWrap/>
            <w:vAlign w:val="center"/>
          </w:tcPr>
          <w:p w14:paraId="2F1CD63C">
            <w:pPr>
              <w:widowControl/>
              <w:jc w:val="center"/>
              <w:rPr>
                <w:rFonts w:hint="default" w:ascii="Times New Roman" w:hAnsi="Times New Roman" w:eastAsia="Times New Roman" w:cs="Times New Roman"/>
                <w:color w:val="auto"/>
                <w:kern w:val="0"/>
                <w:sz w:val="20"/>
                <w:szCs w:val="20"/>
              </w:rPr>
            </w:pPr>
          </w:p>
        </w:tc>
        <w:tc>
          <w:tcPr>
            <w:tcW w:w="1276" w:type="dxa"/>
            <w:vAlign w:val="center"/>
          </w:tcPr>
          <w:p w14:paraId="0053880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1F95376D">
            <w:pPr>
              <w:widowControl/>
              <w:jc w:val="center"/>
              <w:rPr>
                <w:rFonts w:hint="default" w:ascii="Times New Roman" w:hAnsi="Times New Roman" w:eastAsia="Times New Roman" w:cs="Times New Roman"/>
                <w:color w:val="auto"/>
                <w:kern w:val="0"/>
                <w:sz w:val="20"/>
                <w:szCs w:val="20"/>
              </w:rPr>
            </w:pPr>
          </w:p>
        </w:tc>
        <w:tc>
          <w:tcPr>
            <w:tcW w:w="851" w:type="dxa"/>
            <w:noWrap/>
            <w:vAlign w:val="center"/>
          </w:tcPr>
          <w:p w14:paraId="3A7C18C1">
            <w:pPr>
              <w:widowControl/>
              <w:jc w:val="center"/>
              <w:rPr>
                <w:rFonts w:hint="default" w:ascii="Times New Roman" w:hAnsi="Times New Roman" w:eastAsia="Times New Roman" w:cs="Times New Roman"/>
                <w:color w:val="auto"/>
                <w:kern w:val="0"/>
                <w:sz w:val="20"/>
                <w:szCs w:val="20"/>
              </w:rPr>
            </w:pPr>
          </w:p>
        </w:tc>
        <w:tc>
          <w:tcPr>
            <w:tcW w:w="850" w:type="dxa"/>
            <w:noWrap/>
            <w:vAlign w:val="center"/>
          </w:tcPr>
          <w:p w14:paraId="45CE8944">
            <w:pPr>
              <w:widowControl/>
              <w:jc w:val="center"/>
              <w:rPr>
                <w:rFonts w:hint="default" w:ascii="Times New Roman" w:hAnsi="Times New Roman" w:eastAsia="Times New Roman" w:cs="Times New Roman"/>
                <w:color w:val="auto"/>
                <w:kern w:val="0"/>
                <w:sz w:val="20"/>
                <w:szCs w:val="20"/>
              </w:rPr>
            </w:pPr>
          </w:p>
        </w:tc>
        <w:tc>
          <w:tcPr>
            <w:tcW w:w="1843" w:type="dxa"/>
            <w:vMerge w:val="continue"/>
            <w:vAlign w:val="center"/>
          </w:tcPr>
          <w:p w14:paraId="1F74D7C9">
            <w:pPr>
              <w:widowControl/>
              <w:jc w:val="center"/>
              <w:rPr>
                <w:rFonts w:hint="default" w:ascii="Times New Roman" w:hAnsi="Times New Roman" w:eastAsia="宋体" w:cs="Times New Roman"/>
                <w:color w:val="auto"/>
                <w:kern w:val="0"/>
                <w:sz w:val="20"/>
                <w:szCs w:val="20"/>
              </w:rPr>
            </w:pPr>
          </w:p>
        </w:tc>
      </w:tr>
      <w:tr w14:paraId="68A91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restart"/>
            <w:vAlign w:val="center"/>
          </w:tcPr>
          <w:p w14:paraId="37BB9FFC">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Lehmann</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{"citationID":"5y61XLNI","properties":{"unsorted":false,"formattedCitation":"\\super 59\\nosupersub{}","plainCitation":"59","noteIndex":0},"citationItems":[{"id":6735,"uris":["http://zotero.org/users/local/9LWqYmzn/items/TUEE9K45"],"itemData":{"id":6735,"type":"article-journal","abstract":"Aim: To compare the effectiveness of strength versus endurance training on reducing visceral fat in individuals with obesity. Materials and Methods: For the STrength versus ENdurance (STEN) 24-month randomized clinical trial, we assigned 239 participants with abdominal obesity to either strength or endurance training (two to three times a week, 60 min/training session) in addition to standard nutritional counselling to promote a healthy diet. Changes in abdominal visceral adipose tissue (VAT) area quantified by magnetic resonance imaging after 12 months were defined as a primary endpoint.","citation-key":"lehmannVisceralFatMass2024","container-title":"Diabetes, Obesity and Metabolism","DOI":"10.1111/dom.15767","ISSN":"1462-8902, 1463-1326","issue":"9","journalAbbreviation":"Diabetes Obesity Metabolism","language":"en","note":"JCR分区: Q1\n中科院分区升级版: 医学2区\n中科院分区基础版: 医学2区\n影响因子: 5.7\n5年影响因子: 5.5","page":"4087-4099","source":"DOI.org (Crossref)","title":"Visceral fat mass dynamics in a 2‐year randomized STrength versus ENdurance training trial in people with obesity","volume":"26","author":[{"family":"Lehmann","given":"Stefanie"},{"family":"Retschlag","given":"Ulf"},{"family":"Oberbach","given":"Andreas"},{"family":"Morgenroth","given":"Roland"},{"family":"Linder","given":"Nicolas"},{"family":"Schaudinn","given":"Alexander"},{"family":"Garnov","given":"Nikita"},{"family":"Busse","given":"Harald"},{"family":"Solty","given":"Kilian"},{"family":"Prettin","given":"Christiane"},{"family":"Köppe‐Bauernfeind","given":"Nicole"},{"family":"Flehmig","given":"Gesine"},{"family":"Selig","given":"Lars"},{"family":"Trips","given":"Evelyn"},{"family":"Stumvoll","given":"Michael"},{"family":"Petroff","given":"David"},{"family":"Blüher","given":"Matthias"}],"issued":{"date-parts":[["2024",9]]}}}],"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59</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2024</w:t>
            </w:r>
          </w:p>
        </w:tc>
        <w:tc>
          <w:tcPr>
            <w:tcW w:w="1247" w:type="dxa"/>
            <w:vMerge w:val="restart"/>
            <w:vAlign w:val="center"/>
          </w:tcPr>
          <w:p w14:paraId="33F5579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Germany</w:t>
            </w:r>
          </w:p>
        </w:tc>
        <w:tc>
          <w:tcPr>
            <w:tcW w:w="814" w:type="dxa"/>
            <w:vAlign w:val="center"/>
          </w:tcPr>
          <w:p w14:paraId="662F36C4">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IG:56</w:t>
            </w:r>
          </w:p>
        </w:tc>
        <w:tc>
          <w:tcPr>
            <w:tcW w:w="912" w:type="dxa"/>
            <w:vAlign w:val="center"/>
          </w:tcPr>
          <w:p w14:paraId="3C54EC66">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43.5±10.7</w:t>
            </w:r>
          </w:p>
        </w:tc>
        <w:tc>
          <w:tcPr>
            <w:tcW w:w="780" w:type="dxa"/>
            <w:vAlign w:val="center"/>
          </w:tcPr>
          <w:p w14:paraId="20FDCDD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RT</w:t>
            </w:r>
          </w:p>
        </w:tc>
        <w:tc>
          <w:tcPr>
            <w:tcW w:w="912" w:type="dxa"/>
            <w:vAlign w:val="center"/>
          </w:tcPr>
          <w:p w14:paraId="43CD665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37.1±5.2</w:t>
            </w:r>
          </w:p>
        </w:tc>
        <w:tc>
          <w:tcPr>
            <w:tcW w:w="1077" w:type="dxa"/>
            <w:vAlign w:val="center"/>
          </w:tcPr>
          <w:p w14:paraId="39DC509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43.2±5.4</w:t>
            </w:r>
          </w:p>
        </w:tc>
        <w:tc>
          <w:tcPr>
            <w:tcW w:w="1276" w:type="dxa"/>
            <w:vAlign w:val="center"/>
          </w:tcPr>
          <w:p w14:paraId="540D0FD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14259A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01A5E4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5435B9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464</w:t>
            </w:r>
          </w:p>
        </w:tc>
        <w:tc>
          <w:tcPr>
            <w:tcW w:w="851" w:type="dxa"/>
            <w:noWrap/>
            <w:vAlign w:val="center"/>
          </w:tcPr>
          <w:p w14:paraId="2C161E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67A58C0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c>
          <w:tcPr>
            <w:tcW w:w="1843" w:type="dxa"/>
            <w:vMerge w:val="restart"/>
            <w:vAlign w:val="center"/>
          </w:tcPr>
          <w:p w14:paraId="54F8D25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MRI</w:t>
            </w:r>
          </w:p>
        </w:tc>
      </w:tr>
      <w:tr w14:paraId="311B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5" w:hRule="atLeast"/>
          <w:jc w:val="center"/>
        </w:trPr>
        <w:tc>
          <w:tcPr>
            <w:tcW w:w="1746" w:type="dxa"/>
            <w:vMerge w:val="continue"/>
            <w:vAlign w:val="center"/>
          </w:tcPr>
          <w:p w14:paraId="3A493C23">
            <w:pPr>
              <w:widowControl/>
              <w:jc w:val="center"/>
              <w:rPr>
                <w:rFonts w:hint="default" w:ascii="Times New Roman" w:hAnsi="Times New Roman" w:eastAsia="宋体" w:cs="Times New Roman"/>
                <w:color w:val="auto"/>
                <w:kern w:val="0"/>
                <w:sz w:val="20"/>
                <w:szCs w:val="20"/>
              </w:rPr>
            </w:pPr>
          </w:p>
        </w:tc>
        <w:tc>
          <w:tcPr>
            <w:tcW w:w="1247" w:type="dxa"/>
            <w:vMerge w:val="continue"/>
            <w:vAlign w:val="center"/>
          </w:tcPr>
          <w:p w14:paraId="2694CDDA">
            <w:pPr>
              <w:widowControl/>
              <w:jc w:val="center"/>
              <w:rPr>
                <w:rFonts w:hint="default" w:ascii="Times New Roman" w:hAnsi="Times New Roman" w:eastAsia="宋体" w:cs="Times New Roman"/>
                <w:color w:val="auto"/>
                <w:kern w:val="0"/>
                <w:sz w:val="20"/>
                <w:szCs w:val="20"/>
              </w:rPr>
            </w:pPr>
          </w:p>
        </w:tc>
        <w:tc>
          <w:tcPr>
            <w:tcW w:w="814" w:type="dxa"/>
            <w:vAlign w:val="center"/>
          </w:tcPr>
          <w:p w14:paraId="35A9F47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CG:56</w:t>
            </w:r>
          </w:p>
        </w:tc>
        <w:tc>
          <w:tcPr>
            <w:tcW w:w="912" w:type="dxa"/>
            <w:vAlign w:val="center"/>
          </w:tcPr>
          <w:p w14:paraId="5413817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45.0±11.1</w:t>
            </w:r>
          </w:p>
        </w:tc>
        <w:tc>
          <w:tcPr>
            <w:tcW w:w="780" w:type="dxa"/>
            <w:vAlign w:val="center"/>
          </w:tcPr>
          <w:p w14:paraId="0B5BB4F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912" w:type="dxa"/>
            <w:vAlign w:val="center"/>
          </w:tcPr>
          <w:p w14:paraId="58391FD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37.</w:t>
            </w:r>
            <w:r>
              <w:rPr>
                <w:rFonts w:hint="default" w:ascii="Times New Roman" w:hAnsi="Times New Roman" w:eastAsia="宋体" w:cs="Times New Roman"/>
                <w:color w:val="auto"/>
                <w:kern w:val="0"/>
                <w:sz w:val="20"/>
                <w:szCs w:val="20"/>
                <w:lang w:val="en-US" w:eastAsia="zh-CN"/>
              </w:rPr>
              <w:t>1</w:t>
            </w:r>
            <w:r>
              <w:rPr>
                <w:rFonts w:hint="default" w:ascii="Times New Roman" w:hAnsi="Times New Roman" w:eastAsia="宋体" w:cs="Times New Roman"/>
                <w:color w:val="auto"/>
                <w:kern w:val="0"/>
                <w:sz w:val="20"/>
                <w:szCs w:val="20"/>
              </w:rPr>
              <w:t>±4.8</w:t>
            </w:r>
          </w:p>
        </w:tc>
        <w:tc>
          <w:tcPr>
            <w:tcW w:w="1077" w:type="dxa"/>
            <w:vAlign w:val="center"/>
          </w:tcPr>
          <w:p w14:paraId="2286A3D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43.6±6.5</w:t>
            </w:r>
          </w:p>
        </w:tc>
        <w:tc>
          <w:tcPr>
            <w:tcW w:w="1276" w:type="dxa"/>
            <w:vAlign w:val="center"/>
          </w:tcPr>
          <w:p w14:paraId="22474B5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48</w:t>
            </w:r>
          </w:p>
        </w:tc>
        <w:tc>
          <w:tcPr>
            <w:tcW w:w="992" w:type="dxa"/>
            <w:noWrap/>
            <w:vAlign w:val="center"/>
          </w:tcPr>
          <w:p w14:paraId="2421135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40</w:t>
            </w:r>
          </w:p>
        </w:tc>
        <w:tc>
          <w:tcPr>
            <w:tcW w:w="1276" w:type="dxa"/>
            <w:vAlign w:val="center"/>
          </w:tcPr>
          <w:p w14:paraId="23F054FD">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2</w:t>
            </w:r>
          </w:p>
        </w:tc>
        <w:tc>
          <w:tcPr>
            <w:tcW w:w="850" w:type="dxa"/>
            <w:noWrap/>
            <w:vAlign w:val="center"/>
          </w:tcPr>
          <w:p w14:paraId="55F939F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320</w:t>
            </w:r>
          </w:p>
        </w:tc>
        <w:tc>
          <w:tcPr>
            <w:tcW w:w="851" w:type="dxa"/>
            <w:noWrap/>
            <w:vAlign w:val="center"/>
          </w:tcPr>
          <w:p w14:paraId="55317A3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850" w:type="dxa"/>
            <w:noWrap/>
            <w:vAlign w:val="center"/>
          </w:tcPr>
          <w:p w14:paraId="662A86B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70</w:t>
            </w:r>
          </w:p>
        </w:tc>
        <w:tc>
          <w:tcPr>
            <w:tcW w:w="1843" w:type="dxa"/>
            <w:vMerge w:val="continue"/>
            <w:vAlign w:val="center"/>
          </w:tcPr>
          <w:p w14:paraId="087FFD0B">
            <w:pPr>
              <w:widowControl/>
              <w:jc w:val="center"/>
              <w:rPr>
                <w:rFonts w:hint="default" w:ascii="Times New Roman" w:hAnsi="Times New Roman" w:eastAsia="宋体" w:cs="Times New Roman"/>
                <w:color w:val="auto"/>
                <w:kern w:val="0"/>
                <w:sz w:val="20"/>
                <w:szCs w:val="20"/>
              </w:rPr>
            </w:pPr>
          </w:p>
        </w:tc>
      </w:tr>
      <w:tr w14:paraId="3C0C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82" w:hRule="atLeast"/>
          <w:jc w:val="center"/>
        </w:trPr>
        <w:tc>
          <w:tcPr>
            <w:tcW w:w="1746" w:type="dxa"/>
            <w:vMerge w:val="restart"/>
            <w:vAlign w:val="center"/>
          </w:tcPr>
          <w:p w14:paraId="00D44AF9">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Chang</w:t>
            </w:r>
            <w:r>
              <w:rPr>
                <w:rFonts w:hint="default" w:ascii="Times New Roman" w:hAnsi="Times New Roman" w:eastAsia="宋体" w:cs="Times New Roman"/>
                <w:color w:val="auto"/>
                <w:kern w:val="0"/>
                <w:sz w:val="20"/>
                <w:szCs w:val="20"/>
              </w:rPr>
              <w:fldChar w:fldCharType="begin"/>
            </w:r>
            <w:r>
              <w:rPr>
                <w:rFonts w:hint="default" w:ascii="Times New Roman" w:hAnsi="Times New Roman" w:eastAsia="宋体" w:cs="Times New Roman"/>
                <w:color w:val="auto"/>
                <w:kern w:val="0"/>
                <w:sz w:val="20"/>
                <w:szCs w:val="20"/>
                <w:lang w:eastAsia="zh-CN"/>
              </w:rPr>
              <w:instrText xml:space="preserve"> ADDIN ZOTERO_ITEM CSL_CITATION {"citationID":"jhh3psqe","properties":{"unsorted":false,"formattedCitation":"\\super 60\\nosupersub{}","plainCitation":"60","noteIndex":0},"citationItems":[{"id":6737,"uris":["http://zotero.org/users/local/9LWqYmzn/items/YU788VXN"],"itemData":{"id":6737,"type":"article-journal","abstract":"Background: Exercise is the most effective method of reducing visceral adipose tissue (VAT). However, the optimal exercise modality and strategy for reducing VAT have yet to be determined.\nPurpose: This study was designed to identify the optimal sequence exercise strategy for reducing VAT in community residents with obesity.\nMethods: A sequential multiple assignment randomized trial design was used to conduct a two-stage (8 weeks each) adaptive exercise for 40- to 64-year-old residents with obesity. In the first stage, the participants were randomly allocated into two groups, one of which did 30 minutes of moderateintensity continuous training (MICT; n = 58) and the other which did 20 minutes of high-intensity interval training (HIIT; n = 58) three times per week. In the second stage, the nonresponders (with VAT decreases &lt; 3%) were randomly reallocated into a group that performed MICT combined with an additional 10 minutes of resistance exercise or one that performed the opposite of the first-stage treatment (HIIT or MICT). Those who responded to the first-stage intervention (with VAT decreases of ≥ 3%) continued the same exercise treatment until 16 weeks.\nResults: The MICT intervention was found to be more efficacious than the HIIT intervention in reducing VAT during the first 8 weeks (β = −4.10, p = .029). Among the nonresponders to MICT, the HIIT outperformed MICT combined with resistance exercise as the alternative choice in the second stage (β = −7.36, p = .006). On the contrary, there were no significant differences between MICT and MICT combined with resistance exercise for the nonresponders to HIIT (β = 1.34, p = .626). Those participants who repeated the same exercise modality (either MICT or HIIT) in both stages exhibited superior VAT reduction to those who changed exercise modalities after the first stage.\nConclusions/Implications for Practice: The optimal sequence exercise strategy for reducing VAT is captured by a two-stage sequential multiple assignment randomized trial design. Community residents with obesity are advised to reduce VAT efficiently through participation in an 8-week MICT program. For those preferring HIIT rather than MICT, a 16-week program without changing the modality midway is recommended.","call-number":"3","citation-key":"changExerciseStrategyReducing2025","container-title":"Journal of Nursing Research","DOI":"10.1097/jnr.0000000000000662","ISSN":"1948-965X","issue":"2","language":"en","note":"JCR分区: Q1\n中科院分区升级版: 医学3区\n中科院分区基础版: 医学4区\n影响因子: 2.5\n5年影响因子: 3.0","page":"e385","source":"2.5","title":"Exercise strategy for reducing visceral adipose tissue in community residents with obesity: A sequential multiple assignment randomized trial","title-short":"Exercise Strategy for Reducing Visceral Adipose Tissue in Community Residents With Obesity","volume":"33","author":[{"family":"Chang","given":"Yu-Hsuan"},{"family":"Lee","given":"Yun-Hsiang"},{"family":"Wu","given":"Kay Lh"},{"family":"Hsu","given":"Wei-Li"},{"family":"Hung","given":"Hung"},{"family":"Shun","given":"Shiow-Ching"}],"issued":{"date-parts":[["2025",4]]}}}],"schema":"https://github.com/citation-style-language/schema/raw/master/csl-citation.json"} </w:instrText>
            </w:r>
            <w:r>
              <w:rPr>
                <w:rFonts w:hint="default" w:ascii="Times New Roman" w:hAnsi="Times New Roman" w:eastAsia="宋体" w:cs="Times New Roman"/>
                <w:color w:val="auto"/>
                <w:kern w:val="0"/>
                <w:sz w:val="20"/>
                <w:szCs w:val="20"/>
              </w:rPr>
              <w:fldChar w:fldCharType="separate"/>
            </w:r>
            <w:r>
              <w:rPr>
                <w:rFonts w:hint="default" w:ascii="Times New Roman" w:hAnsi="Times New Roman" w:cs="Times New Roman"/>
                <w:color w:val="auto"/>
                <w:sz w:val="20"/>
                <w:szCs w:val="24"/>
                <w:vertAlign w:val="superscript"/>
              </w:rPr>
              <w:t>60</w:t>
            </w:r>
            <w:r>
              <w:rPr>
                <w:rFonts w:hint="default" w:ascii="Times New Roman" w:hAnsi="Times New Roman" w:eastAsia="宋体" w:cs="Times New Roman"/>
                <w:color w:val="auto"/>
                <w:kern w:val="0"/>
                <w:sz w:val="20"/>
                <w:szCs w:val="20"/>
              </w:rPr>
              <w:fldChar w:fldCharType="end"/>
            </w:r>
            <w:r>
              <w:rPr>
                <w:rFonts w:hint="default" w:ascii="Times New Roman" w:hAnsi="Times New Roman" w:eastAsia="宋体" w:cs="Times New Roman"/>
                <w:color w:val="auto"/>
                <w:kern w:val="0"/>
                <w:sz w:val="20"/>
                <w:szCs w:val="20"/>
              </w:rPr>
              <w:t xml:space="preserve"> 2025</w:t>
            </w:r>
          </w:p>
        </w:tc>
        <w:tc>
          <w:tcPr>
            <w:tcW w:w="1247" w:type="dxa"/>
            <w:vMerge w:val="restart"/>
            <w:vAlign w:val="center"/>
          </w:tcPr>
          <w:p w14:paraId="6B4CED93">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China</w:t>
            </w:r>
            <w:r>
              <w:rPr>
                <w:rFonts w:hint="default" w:ascii="Times New Roman" w:hAnsi="Times New Roman" w:eastAsia="宋体" w:cs="Times New Roman"/>
                <w:color w:val="auto"/>
                <w:kern w:val="0"/>
                <w:sz w:val="20"/>
                <w:szCs w:val="20"/>
              </w:rPr>
              <w:br w:type="textWrapping"/>
            </w:r>
            <w:r>
              <w:rPr>
                <w:rFonts w:hint="default" w:ascii="Times New Roman" w:hAnsi="Times New Roman" w:eastAsia="宋体" w:cs="Times New Roman"/>
                <w:color w:val="auto"/>
                <w:kern w:val="0"/>
                <w:sz w:val="20"/>
                <w:szCs w:val="20"/>
              </w:rPr>
              <w:t>(Taiwan)</w:t>
            </w:r>
          </w:p>
        </w:tc>
        <w:tc>
          <w:tcPr>
            <w:tcW w:w="814" w:type="dxa"/>
            <w:vAlign w:val="center"/>
          </w:tcPr>
          <w:p w14:paraId="0143064F">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IG:58</w:t>
            </w:r>
          </w:p>
        </w:tc>
        <w:tc>
          <w:tcPr>
            <w:tcW w:w="912" w:type="dxa"/>
            <w:vAlign w:val="center"/>
          </w:tcPr>
          <w:p w14:paraId="0355C4EB">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57.4±6.0</w:t>
            </w:r>
          </w:p>
        </w:tc>
        <w:tc>
          <w:tcPr>
            <w:tcW w:w="780" w:type="dxa"/>
            <w:vAlign w:val="center"/>
          </w:tcPr>
          <w:p w14:paraId="0C70120A">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AE</w:t>
            </w:r>
          </w:p>
        </w:tc>
        <w:tc>
          <w:tcPr>
            <w:tcW w:w="1989" w:type="dxa"/>
            <w:gridSpan w:val="2"/>
            <w:vMerge w:val="restart"/>
            <w:vAlign w:val="center"/>
          </w:tcPr>
          <w:p w14:paraId="7A3A4D1B">
            <w:pPr>
              <w:widowControl/>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≥25%</w:t>
            </w:r>
            <w:r>
              <w:rPr>
                <w:rFonts w:hint="default" w:ascii="Times New Roman" w:hAnsi="Times New Roman" w:eastAsia="宋体" w:cs="Times New Roman"/>
                <w:color w:val="auto"/>
                <w:kern w:val="0"/>
                <w:szCs w:val="21"/>
                <w:lang w:val="en-US" w:eastAsia="zh-CN"/>
              </w:rPr>
              <w:t xml:space="preserve"> </w:t>
            </w:r>
            <w:r>
              <w:rPr>
                <w:rFonts w:hint="default" w:ascii="Times New Roman" w:hAnsi="Times New Roman" w:eastAsia="宋体" w:cs="Times New Roman"/>
                <w:color w:val="auto"/>
                <w:kern w:val="0"/>
                <w:szCs w:val="21"/>
              </w:rPr>
              <w:t>in</w:t>
            </w:r>
            <w:r>
              <w:rPr>
                <w:rFonts w:hint="default" w:ascii="Times New Roman" w:hAnsi="Times New Roman" w:eastAsia="宋体" w:cs="Times New Roman"/>
                <w:color w:val="auto"/>
                <w:kern w:val="0"/>
                <w:szCs w:val="21"/>
              </w:rPr>
              <w:t xml:space="preserve"> </w:t>
            </w:r>
            <w:r>
              <w:rPr>
                <w:rFonts w:hint="default" w:ascii="Times New Roman" w:hAnsi="Times New Roman" w:eastAsia="宋体" w:cs="Times New Roman"/>
                <w:color w:val="auto"/>
                <w:kern w:val="0"/>
                <w:szCs w:val="21"/>
              </w:rPr>
              <w:t>males</w:t>
            </w:r>
            <w:r>
              <w:rPr>
                <w:rFonts w:hint="default" w:ascii="Times New Roman" w:hAnsi="Times New Roman" w:eastAsia="宋体" w:cs="Times New Roman"/>
                <w:color w:val="auto"/>
                <w:kern w:val="0"/>
                <w:szCs w:val="21"/>
              </w:rPr>
              <w:t xml:space="preserve"> </w:t>
            </w:r>
            <w:r>
              <w:rPr>
                <w:rFonts w:hint="default" w:ascii="Times New Roman" w:hAnsi="Times New Roman" w:eastAsia="宋体" w:cs="Times New Roman"/>
                <w:color w:val="auto"/>
                <w:kern w:val="0"/>
                <w:szCs w:val="21"/>
              </w:rPr>
              <w:t>and</w:t>
            </w:r>
            <w:r>
              <w:rPr>
                <w:rFonts w:hint="default" w:ascii="Times New Roman" w:hAnsi="Times New Roman" w:eastAsia="宋体" w:cs="Times New Roman"/>
                <w:color w:val="auto"/>
                <w:kern w:val="0"/>
                <w:szCs w:val="21"/>
              </w:rPr>
              <w:t xml:space="preserve"> </w:t>
            </w:r>
            <w:r>
              <w:rPr>
                <w:rFonts w:hint="default" w:ascii="Times New Roman" w:hAnsi="Times New Roman" w:eastAsia="宋体" w:cs="Times New Roman"/>
                <w:color w:val="auto"/>
                <w:kern w:val="0"/>
                <w:szCs w:val="21"/>
              </w:rPr>
              <w:t>≥30%</w:t>
            </w:r>
            <w:r>
              <w:rPr>
                <w:rFonts w:hint="default" w:ascii="Times New Roman" w:hAnsi="Times New Roman" w:eastAsia="宋体" w:cs="Times New Roman"/>
                <w:color w:val="auto"/>
                <w:kern w:val="0"/>
                <w:szCs w:val="21"/>
              </w:rPr>
              <w:t xml:space="preserve"> </w:t>
            </w:r>
            <w:r>
              <w:rPr>
                <w:rFonts w:hint="default" w:ascii="Times New Roman" w:hAnsi="Times New Roman" w:eastAsia="宋体" w:cs="Times New Roman"/>
                <w:color w:val="auto"/>
                <w:kern w:val="0"/>
                <w:szCs w:val="21"/>
              </w:rPr>
              <w:t>in</w:t>
            </w:r>
            <w:r>
              <w:rPr>
                <w:rFonts w:hint="default" w:ascii="Times New Roman" w:hAnsi="Times New Roman" w:eastAsia="宋体" w:cs="Times New Roman"/>
                <w:color w:val="auto"/>
                <w:kern w:val="0"/>
                <w:szCs w:val="21"/>
              </w:rPr>
              <w:t xml:space="preserve"> </w:t>
            </w:r>
            <w:r>
              <w:rPr>
                <w:rFonts w:hint="default" w:ascii="Times New Roman" w:hAnsi="Times New Roman" w:eastAsia="宋体" w:cs="Times New Roman"/>
                <w:color w:val="auto"/>
                <w:kern w:val="0"/>
                <w:szCs w:val="21"/>
              </w:rPr>
              <w:t>female</w:t>
            </w:r>
            <w:r>
              <w:rPr>
                <w:rFonts w:hint="default" w:ascii="Times New Roman" w:hAnsi="Times New Roman" w:eastAsia="宋体" w:cs="Times New Roman"/>
                <w:color w:val="auto"/>
                <w:kern w:val="0"/>
                <w:szCs w:val="21"/>
              </w:rPr>
              <w:t>s</w:t>
            </w:r>
          </w:p>
        </w:tc>
        <w:tc>
          <w:tcPr>
            <w:tcW w:w="1276" w:type="dxa"/>
            <w:vAlign w:val="center"/>
          </w:tcPr>
          <w:p w14:paraId="29AD10C7">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noWrap/>
            <w:vAlign w:val="center"/>
          </w:tcPr>
          <w:p w14:paraId="6F6961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276" w:type="dxa"/>
            <w:vAlign w:val="center"/>
          </w:tcPr>
          <w:p w14:paraId="38CCA41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noWrap/>
            <w:vAlign w:val="center"/>
          </w:tcPr>
          <w:p w14:paraId="1DBEDCA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612</w:t>
            </w:r>
          </w:p>
        </w:tc>
        <w:tc>
          <w:tcPr>
            <w:tcW w:w="851" w:type="dxa"/>
            <w:noWrap/>
            <w:vAlign w:val="center"/>
          </w:tcPr>
          <w:p w14:paraId="3E236F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500</w:t>
            </w:r>
          </w:p>
        </w:tc>
        <w:tc>
          <w:tcPr>
            <w:tcW w:w="850" w:type="dxa"/>
            <w:noWrap/>
            <w:vAlign w:val="center"/>
          </w:tcPr>
          <w:p w14:paraId="7085A8D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112</w:t>
            </w:r>
          </w:p>
        </w:tc>
        <w:tc>
          <w:tcPr>
            <w:tcW w:w="1843" w:type="dxa"/>
            <w:vMerge w:val="restart"/>
            <w:tcBorders>
              <w:bottom w:val="single" w:color="auto" w:sz="12" w:space="0"/>
            </w:tcBorders>
            <w:vAlign w:val="center"/>
          </w:tcPr>
          <w:p w14:paraId="52AC6E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ACCUNIQ BC300</w:t>
            </w:r>
          </w:p>
        </w:tc>
      </w:tr>
      <w:tr w14:paraId="2888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74" w:hRule="atLeast"/>
          <w:jc w:val="center"/>
        </w:trPr>
        <w:tc>
          <w:tcPr>
            <w:tcW w:w="1746" w:type="dxa"/>
            <w:vMerge w:val="continue"/>
            <w:tcBorders>
              <w:bottom w:val="single" w:color="auto" w:sz="12" w:space="0"/>
            </w:tcBorders>
            <w:vAlign w:val="center"/>
          </w:tcPr>
          <w:p w14:paraId="3CE5E762">
            <w:pPr>
              <w:widowControl/>
              <w:jc w:val="center"/>
              <w:rPr>
                <w:rFonts w:hint="default" w:ascii="Times New Roman" w:hAnsi="Times New Roman" w:eastAsia="宋体" w:cs="Times New Roman"/>
                <w:color w:val="auto"/>
                <w:kern w:val="0"/>
                <w:sz w:val="20"/>
                <w:szCs w:val="20"/>
              </w:rPr>
            </w:pPr>
          </w:p>
        </w:tc>
        <w:tc>
          <w:tcPr>
            <w:tcW w:w="1247" w:type="dxa"/>
            <w:vMerge w:val="continue"/>
            <w:tcBorders>
              <w:bottom w:val="single" w:color="auto" w:sz="12" w:space="0"/>
            </w:tcBorders>
            <w:vAlign w:val="center"/>
          </w:tcPr>
          <w:p w14:paraId="5AEA7616">
            <w:pPr>
              <w:widowControl/>
              <w:jc w:val="center"/>
              <w:rPr>
                <w:rFonts w:hint="default" w:ascii="Times New Roman" w:hAnsi="Times New Roman" w:eastAsia="宋体" w:cs="Times New Roman"/>
                <w:color w:val="auto"/>
                <w:kern w:val="0"/>
                <w:sz w:val="20"/>
                <w:szCs w:val="20"/>
              </w:rPr>
            </w:pPr>
          </w:p>
        </w:tc>
        <w:tc>
          <w:tcPr>
            <w:tcW w:w="814" w:type="dxa"/>
            <w:tcBorders>
              <w:bottom w:val="single" w:color="auto" w:sz="12" w:space="0"/>
            </w:tcBorders>
            <w:vAlign w:val="center"/>
          </w:tcPr>
          <w:p w14:paraId="6FC121E0">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CG:58</w:t>
            </w:r>
          </w:p>
        </w:tc>
        <w:tc>
          <w:tcPr>
            <w:tcW w:w="912" w:type="dxa"/>
            <w:tcBorders>
              <w:bottom w:val="single" w:color="auto" w:sz="12" w:space="0"/>
            </w:tcBorders>
            <w:vAlign w:val="center"/>
          </w:tcPr>
          <w:p w14:paraId="5F3D8031">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56.8±6.6</w:t>
            </w:r>
          </w:p>
        </w:tc>
        <w:tc>
          <w:tcPr>
            <w:tcW w:w="780" w:type="dxa"/>
            <w:tcBorders>
              <w:bottom w:val="single" w:color="auto" w:sz="12" w:space="0"/>
            </w:tcBorders>
            <w:vAlign w:val="center"/>
          </w:tcPr>
          <w:p w14:paraId="556BAE58">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HIIT</w:t>
            </w:r>
          </w:p>
        </w:tc>
        <w:tc>
          <w:tcPr>
            <w:tcW w:w="1989" w:type="dxa"/>
            <w:gridSpan w:val="2"/>
            <w:vMerge w:val="continue"/>
            <w:tcBorders>
              <w:bottom w:val="single" w:color="auto" w:sz="12" w:space="0"/>
            </w:tcBorders>
            <w:vAlign w:val="center"/>
          </w:tcPr>
          <w:p w14:paraId="32CAE774">
            <w:pPr>
              <w:widowControl/>
              <w:jc w:val="center"/>
              <w:rPr>
                <w:rFonts w:hint="default" w:ascii="Times New Roman" w:hAnsi="Times New Roman" w:eastAsia="宋体" w:cs="Times New Roman"/>
                <w:color w:val="auto"/>
                <w:kern w:val="0"/>
                <w:sz w:val="18"/>
                <w:szCs w:val="18"/>
              </w:rPr>
            </w:pPr>
          </w:p>
        </w:tc>
        <w:tc>
          <w:tcPr>
            <w:tcW w:w="1276" w:type="dxa"/>
            <w:tcBorders>
              <w:bottom w:val="single" w:color="auto" w:sz="12" w:space="0"/>
            </w:tcBorders>
            <w:vAlign w:val="center"/>
          </w:tcPr>
          <w:p w14:paraId="2D1E0AE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8</w:t>
            </w:r>
          </w:p>
        </w:tc>
        <w:tc>
          <w:tcPr>
            <w:tcW w:w="992" w:type="dxa"/>
            <w:tcBorders>
              <w:bottom w:val="single" w:color="auto" w:sz="12" w:space="0"/>
            </w:tcBorders>
            <w:noWrap/>
            <w:vAlign w:val="center"/>
          </w:tcPr>
          <w:p w14:paraId="74944D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276" w:type="dxa"/>
            <w:tcBorders>
              <w:bottom w:val="single" w:color="auto" w:sz="12" w:space="0"/>
            </w:tcBorders>
            <w:vAlign w:val="center"/>
          </w:tcPr>
          <w:p w14:paraId="786859F2">
            <w:pPr>
              <w:widowControl/>
              <w:jc w:val="center"/>
              <w:rPr>
                <w:rFonts w:hint="default" w:ascii="Times New Roman" w:hAnsi="Times New Roman" w:eastAsia="宋体" w:cs="Times New Roman"/>
                <w:color w:val="auto"/>
                <w:kern w:val="0"/>
                <w:sz w:val="20"/>
                <w:szCs w:val="20"/>
              </w:rPr>
            </w:pPr>
            <w:r>
              <w:rPr>
                <w:rFonts w:hint="default" w:ascii="Times New Roman" w:hAnsi="Times New Roman" w:eastAsia="宋体" w:cs="Times New Roman"/>
                <w:color w:val="auto"/>
                <w:kern w:val="0"/>
                <w:sz w:val="20"/>
                <w:szCs w:val="20"/>
              </w:rPr>
              <w:t>3</w:t>
            </w:r>
          </w:p>
        </w:tc>
        <w:tc>
          <w:tcPr>
            <w:tcW w:w="850" w:type="dxa"/>
            <w:tcBorders>
              <w:bottom w:val="single" w:color="auto" w:sz="12" w:space="0"/>
            </w:tcBorders>
            <w:noWrap/>
            <w:vAlign w:val="center"/>
          </w:tcPr>
          <w:p w14:paraId="564F9A9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660</w:t>
            </w:r>
          </w:p>
        </w:tc>
        <w:tc>
          <w:tcPr>
            <w:tcW w:w="851" w:type="dxa"/>
            <w:tcBorders>
              <w:bottom w:val="single" w:color="auto" w:sz="12" w:space="0"/>
            </w:tcBorders>
            <w:noWrap/>
            <w:vAlign w:val="center"/>
          </w:tcPr>
          <w:p w14:paraId="46EB630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750</w:t>
            </w:r>
          </w:p>
        </w:tc>
        <w:tc>
          <w:tcPr>
            <w:tcW w:w="850" w:type="dxa"/>
            <w:tcBorders>
              <w:bottom w:val="single" w:color="auto" w:sz="12" w:space="0"/>
            </w:tcBorders>
            <w:noWrap/>
            <w:vAlign w:val="center"/>
          </w:tcPr>
          <w:p w14:paraId="4F4411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90</w:t>
            </w:r>
          </w:p>
        </w:tc>
        <w:tc>
          <w:tcPr>
            <w:tcW w:w="1843" w:type="dxa"/>
            <w:vMerge w:val="continue"/>
            <w:tcBorders>
              <w:top w:val="single" w:color="auto" w:sz="12" w:space="0"/>
              <w:bottom w:val="single" w:color="auto" w:sz="12" w:space="0"/>
            </w:tcBorders>
          </w:tcPr>
          <w:p w14:paraId="01515723">
            <w:pPr>
              <w:widowControl/>
              <w:jc w:val="center"/>
              <w:rPr>
                <w:rFonts w:hint="default" w:ascii="Times New Roman" w:hAnsi="Times New Roman" w:eastAsia="宋体" w:cs="Times New Roman"/>
                <w:color w:val="auto"/>
                <w:kern w:val="0"/>
                <w:sz w:val="20"/>
                <w:szCs w:val="20"/>
              </w:rPr>
            </w:pPr>
          </w:p>
        </w:tc>
      </w:tr>
    </w:tbl>
    <w:p w14:paraId="279BDE64">
      <w:pPr>
        <w:tabs>
          <w:tab w:val="left" w:pos="260"/>
        </w:tabs>
        <w:spacing w:line="360" w:lineRule="exact"/>
        <w:rPr>
          <w:rFonts w:hint="default" w:ascii="Times New Roman" w:hAnsi="Times New Roman" w:eastAsia="宋体" w:cs="Times New Roman"/>
          <w:color w:val="auto"/>
          <w:kern w:val="0"/>
          <w:sz w:val="18"/>
          <w:szCs w:val="18"/>
          <w:lang w:val="en-US" w:eastAsia="zh-CN" w:bidi="ar"/>
        </w:rPr>
        <w:sectPr>
          <w:footerReference r:id="rId4" w:type="default"/>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pPr>
      <w:r>
        <w:rPr>
          <w:rFonts w:hint="default" w:ascii="Times New Roman" w:hAnsi="Times New Roman" w:eastAsia="宋体" w:cs="Times New Roman"/>
          <w:color w:val="auto"/>
          <w:kern w:val="0"/>
          <w:sz w:val="18"/>
          <w:szCs w:val="18"/>
          <w:lang w:bidi="ar"/>
        </w:rPr>
        <w:t>①AE = Aerobic exercise, ②RT = Resistance training, ③CON = Control, ④COM = Combined aerobic and resistance training, ⑤HIIT = High-intensity interval training, ⑥IG = Intervention group, ⑦CG = Comparison group, ⑧</w:t>
      </w:r>
      <w:r>
        <w:rPr>
          <w:rFonts w:hint="default" w:ascii="Times New Roman" w:hAnsi="Times New Roman" w:eastAsia="宋体" w:cs="Times New Roman"/>
          <w:color w:val="auto"/>
          <w:kern w:val="0"/>
          <w:sz w:val="18"/>
          <w:szCs w:val="18"/>
          <w:lang w:bidi="ar"/>
        </w:rPr>
        <w:t>DEXA</w:t>
      </w:r>
      <w:r>
        <w:rPr>
          <w:rFonts w:hint="default" w:ascii="Times New Roman" w:hAnsi="Times New Roman" w:eastAsia="宋体" w:cs="Times New Roman"/>
          <w:color w:val="auto"/>
          <w:kern w:val="0"/>
          <w:sz w:val="18"/>
          <w:szCs w:val="18"/>
          <w:lang w:val="en-US" w:eastAsia="zh-CN" w:bidi="ar"/>
        </w:rPr>
        <w:t>/</w:t>
      </w:r>
      <w:r>
        <w:rPr>
          <w:rFonts w:hint="default" w:ascii="Times New Roman" w:hAnsi="Times New Roman" w:eastAsia="宋体" w:cs="Times New Roman"/>
          <w:color w:val="auto"/>
          <w:kern w:val="0"/>
          <w:sz w:val="18"/>
          <w:szCs w:val="18"/>
          <w:lang w:bidi="ar"/>
        </w:rPr>
        <w:t>DXA = Dual-energy X-ray absorptiometry,</w:t>
      </w:r>
      <w:r>
        <w:rPr>
          <w:rFonts w:hint="default" w:ascii="Times New Roman" w:hAnsi="Times New Roman" w:eastAsia="宋体" w:cs="Times New Roman"/>
          <w:color w:val="auto"/>
          <w:kern w:val="0"/>
          <w:sz w:val="18"/>
          <w:szCs w:val="18"/>
          <w:lang w:bidi="ar"/>
        </w:rPr>
        <w:t xml:space="preserve"> ⑨MRI = Magnetic resonance imaging, ⑩InBody = a bioelectrical impedance analysis (BIA) device, ⑪CT = Computed tomography</w:t>
      </w:r>
      <w:r>
        <w:rPr>
          <w:rFonts w:hint="default" w:ascii="Times New Roman" w:hAnsi="Times New Roman" w:eastAsia="宋体" w:cs="Times New Roman"/>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bidi="ar"/>
        </w:rPr>
        <w:t>⑫BMI = Body mass index</w:t>
      </w:r>
      <w:r>
        <w:rPr>
          <w:rFonts w:hint="default" w:ascii="Times New Roman" w:hAnsi="Times New Roman" w:eastAsia="宋体" w:cs="Times New Roman"/>
          <w:color w:val="auto"/>
          <w:kern w:val="0"/>
          <w:sz w:val="18"/>
          <w:szCs w:val="18"/>
          <w:lang w:val="en-US" w:eastAsia="zh-CN" w:bidi="ar"/>
        </w:rPr>
        <w:t>, ⑬</w:t>
      </w:r>
      <w:r>
        <w:rPr>
          <w:rFonts w:hint="default" w:ascii="Times New Roman" w:hAnsi="Times New Roman" w:eastAsia="宋体" w:cs="Times New Roman"/>
          <w:color w:val="auto"/>
          <w:kern w:val="0"/>
          <w:sz w:val="18"/>
          <w:szCs w:val="18"/>
          <w:lang w:bidi="ar"/>
        </w:rPr>
        <w:t>BF% = Body fat percentage</w:t>
      </w:r>
      <w:r>
        <w:rPr>
          <w:rFonts w:hint="default" w:ascii="Times New Roman" w:hAnsi="Times New Roman" w:eastAsia="宋体" w:cs="Times New Roman"/>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val="en-US" w:eastAsia="zh-CN" w:bidi="ar"/>
        </w:rPr>
        <w:t>⑭</w:t>
      </w:r>
      <w:r>
        <w:rPr>
          <w:rFonts w:hint="default" w:ascii="Times New Roman" w:hAnsi="Times New Roman" w:eastAsia="宋体" w:cs="Times New Roman"/>
          <w:color w:val="auto"/>
          <w:kern w:val="0"/>
          <w:sz w:val="18"/>
          <w:szCs w:val="18"/>
          <w:lang w:bidi="ar"/>
        </w:rPr>
        <w:t>MET = Metabolic equivalent of task</w:t>
      </w:r>
    </w:p>
    <w:p w14:paraId="21AF6132">
      <w:pPr>
        <w:spacing w:line="360" w:lineRule="exact"/>
        <w:outlineLvl w:val="0"/>
        <w:rPr>
          <w:rFonts w:hint="default" w:ascii="Times New Roman" w:hAnsi="Times New Roman" w:eastAsia="宋体" w:cs="Times New Roman"/>
          <w:color w:val="auto"/>
          <w:highlight w:val="none"/>
        </w:rPr>
      </w:pPr>
      <w:r>
        <w:rPr>
          <w:rFonts w:hint="default" w:ascii="Times New Roman" w:hAnsi="Times New Roman" w:cs="Times New Roman"/>
          <w:b/>
          <w:bCs/>
          <w:color w:val="auto"/>
          <w:highlight w:val="none"/>
        </w:rPr>
        <w:t xml:space="preserve">Appendix </w:t>
      </w:r>
      <w:r>
        <w:rPr>
          <w:rFonts w:hint="default" w:ascii="Times New Roman" w:hAnsi="Times New Roman" w:cs="Times New Roman"/>
          <w:b/>
          <w:bCs/>
          <w:color w:val="auto"/>
          <w:highlight w:val="none"/>
        </w:rPr>
        <w:t>4</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rPr>
        <w:t>Risk of Bias Assessment with the RoB</w:t>
      </w:r>
      <w:r>
        <w:rPr>
          <w:rFonts w:hint="default" w:ascii="Times New Roman" w:hAnsi="Times New Roman" w:cs="Times New Roman"/>
          <w:color w:val="auto"/>
          <w:highlight w:val="none"/>
          <w:lang w:val="en-US" w:eastAsia="zh-CN"/>
        </w:rPr>
        <w:t xml:space="preserve"> 2.0</w:t>
      </w:r>
      <w:r>
        <w:rPr>
          <w:rFonts w:hint="default" w:ascii="Times New Roman" w:hAnsi="Times New Roman" w:cs="Times New Roman"/>
          <w:color w:val="auto"/>
          <w:highlight w:val="none"/>
        </w:rPr>
        <w:t xml:space="preserve"> Tool</w:t>
      </w:r>
    </w:p>
    <w:tbl>
      <w:tblPr>
        <w:tblStyle w:val="6"/>
        <w:tblW w:w="110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21"/>
        <w:gridCol w:w="1454"/>
        <w:gridCol w:w="1454"/>
        <w:gridCol w:w="1454"/>
        <w:gridCol w:w="1454"/>
        <w:gridCol w:w="1454"/>
        <w:gridCol w:w="1454"/>
      </w:tblGrid>
      <w:tr w14:paraId="0906C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2321" w:type="dxa"/>
            <w:tcBorders>
              <w:top w:val="single" w:color="auto" w:sz="12" w:space="0"/>
              <w:left w:val="nil"/>
              <w:bottom w:val="single" w:color="auto" w:sz="6" w:space="0"/>
              <w:right w:val="nil"/>
            </w:tcBorders>
            <w:shd w:val="clear" w:color="auto" w:fill="auto"/>
            <w:vAlign w:val="center"/>
          </w:tcPr>
          <w:p w14:paraId="7E77C67A">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Study</w:t>
            </w:r>
          </w:p>
        </w:tc>
        <w:tc>
          <w:tcPr>
            <w:tcW w:w="1454" w:type="dxa"/>
            <w:tcBorders>
              <w:top w:val="single" w:color="auto" w:sz="12" w:space="0"/>
              <w:left w:val="nil"/>
              <w:bottom w:val="single" w:color="auto" w:sz="6" w:space="0"/>
              <w:right w:val="nil"/>
            </w:tcBorders>
            <w:shd w:val="clear" w:color="auto" w:fill="auto"/>
            <w:vAlign w:val="center"/>
          </w:tcPr>
          <w:p w14:paraId="0DDF16F7">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Randomization process</w:t>
            </w:r>
          </w:p>
        </w:tc>
        <w:tc>
          <w:tcPr>
            <w:tcW w:w="1454" w:type="dxa"/>
            <w:tcBorders>
              <w:top w:val="single" w:color="auto" w:sz="12" w:space="0"/>
              <w:left w:val="nil"/>
              <w:bottom w:val="single" w:color="auto" w:sz="6" w:space="0"/>
              <w:right w:val="nil"/>
            </w:tcBorders>
            <w:shd w:val="clear" w:color="auto" w:fill="auto"/>
            <w:vAlign w:val="center"/>
          </w:tcPr>
          <w:p w14:paraId="415EA58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Deviations from intended interventions</w:t>
            </w:r>
          </w:p>
        </w:tc>
        <w:tc>
          <w:tcPr>
            <w:tcW w:w="1454" w:type="dxa"/>
            <w:tcBorders>
              <w:top w:val="single" w:color="auto" w:sz="12" w:space="0"/>
              <w:left w:val="nil"/>
              <w:bottom w:val="single" w:color="auto" w:sz="6" w:space="0"/>
              <w:right w:val="nil"/>
            </w:tcBorders>
            <w:shd w:val="clear" w:color="auto" w:fill="auto"/>
            <w:vAlign w:val="center"/>
          </w:tcPr>
          <w:p w14:paraId="763073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Mis</w:t>
            </w:r>
            <w:r>
              <w:rPr>
                <w:rFonts w:hint="default" w:ascii="Times New Roman" w:hAnsi="Times New Roman" w:eastAsia="宋体" w:cs="Times New Roman"/>
                <w:b/>
                <w:bCs/>
                <w:i w:val="0"/>
                <w:iCs w:val="0"/>
                <w:color w:val="auto"/>
                <w:kern w:val="0"/>
                <w:sz w:val="18"/>
                <w:szCs w:val="18"/>
                <w:u w:val="none"/>
                <w:lang w:val="en-US" w:eastAsia="zh-CN" w:bidi="ar"/>
              </w:rPr>
              <w:t>s</w:t>
            </w:r>
            <w:r>
              <w:rPr>
                <w:rFonts w:hint="default" w:ascii="Times New Roman" w:hAnsi="Times New Roman" w:eastAsia="宋体" w:cs="Times New Roman"/>
                <w:b/>
                <w:bCs/>
                <w:i w:val="0"/>
                <w:iCs w:val="0"/>
                <w:color w:val="auto"/>
                <w:kern w:val="0"/>
                <w:sz w:val="18"/>
                <w:szCs w:val="18"/>
                <w:u w:val="none"/>
                <w:lang w:val="en-US" w:eastAsia="zh-CN" w:bidi="ar"/>
              </w:rPr>
              <w:t>ing outcome data</w:t>
            </w:r>
          </w:p>
        </w:tc>
        <w:tc>
          <w:tcPr>
            <w:tcW w:w="1454" w:type="dxa"/>
            <w:tcBorders>
              <w:top w:val="single" w:color="auto" w:sz="12" w:space="0"/>
              <w:left w:val="nil"/>
              <w:bottom w:val="single" w:color="auto" w:sz="6" w:space="0"/>
              <w:right w:val="nil"/>
            </w:tcBorders>
            <w:shd w:val="clear" w:color="auto" w:fill="auto"/>
            <w:vAlign w:val="center"/>
          </w:tcPr>
          <w:p w14:paraId="149C40CC">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Measurement of the outcome</w:t>
            </w:r>
          </w:p>
        </w:tc>
        <w:tc>
          <w:tcPr>
            <w:tcW w:w="1454" w:type="dxa"/>
            <w:tcBorders>
              <w:top w:val="single" w:color="auto" w:sz="12" w:space="0"/>
              <w:left w:val="nil"/>
              <w:bottom w:val="single" w:color="auto" w:sz="6" w:space="0"/>
              <w:right w:val="nil"/>
            </w:tcBorders>
            <w:shd w:val="clear" w:color="auto" w:fill="auto"/>
            <w:vAlign w:val="center"/>
          </w:tcPr>
          <w:p w14:paraId="226BC0AD">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Selection of the reported result</w:t>
            </w:r>
          </w:p>
        </w:tc>
        <w:tc>
          <w:tcPr>
            <w:tcW w:w="1454" w:type="dxa"/>
            <w:tcBorders>
              <w:top w:val="single" w:color="auto" w:sz="12" w:space="0"/>
              <w:left w:val="nil"/>
              <w:bottom w:val="single" w:color="auto" w:sz="6" w:space="0"/>
              <w:right w:val="nil"/>
            </w:tcBorders>
            <w:shd w:val="clear" w:color="auto" w:fill="auto"/>
            <w:vAlign w:val="center"/>
          </w:tcPr>
          <w:p w14:paraId="72C42870">
            <w:pPr>
              <w:keepNext w:val="0"/>
              <w:keepLines w:val="0"/>
              <w:widowControl/>
              <w:suppressLineNumbers w:val="0"/>
              <w:jc w:val="center"/>
              <w:textAlignment w:val="center"/>
              <w:rPr>
                <w:rFonts w:hint="default" w:ascii="Times New Roman" w:hAnsi="Times New Roman" w:eastAsia="宋体" w:cs="Times New Roman"/>
                <w:b/>
                <w:bCs/>
                <w:i w:val="0"/>
                <w:iCs w:val="0"/>
                <w:color w:val="auto"/>
                <w:sz w:val="18"/>
                <w:szCs w:val="18"/>
                <w:u w:val="none"/>
              </w:rPr>
            </w:pPr>
            <w:r>
              <w:rPr>
                <w:rFonts w:hint="default" w:ascii="Times New Roman" w:hAnsi="Times New Roman" w:eastAsia="宋体" w:cs="Times New Roman"/>
                <w:b/>
                <w:bCs/>
                <w:i w:val="0"/>
                <w:iCs w:val="0"/>
                <w:color w:val="auto"/>
                <w:kern w:val="0"/>
                <w:sz w:val="18"/>
                <w:szCs w:val="18"/>
                <w:u w:val="none"/>
                <w:lang w:val="en-US" w:eastAsia="zh-CN" w:bidi="ar"/>
              </w:rPr>
              <w:t>Overall Bias</w:t>
            </w:r>
          </w:p>
        </w:tc>
      </w:tr>
      <w:tr w14:paraId="3D081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single" w:color="auto" w:sz="6" w:space="0"/>
              <w:left w:val="nil"/>
              <w:bottom w:val="nil"/>
              <w:right w:val="nil"/>
            </w:tcBorders>
            <w:shd w:val="clear" w:color="auto" w:fill="auto"/>
            <w:vAlign w:val="center"/>
          </w:tcPr>
          <w:p w14:paraId="43444D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Mohammadi 2022</w:t>
            </w:r>
          </w:p>
        </w:tc>
        <w:tc>
          <w:tcPr>
            <w:tcW w:w="1454" w:type="dxa"/>
            <w:tcBorders>
              <w:top w:val="single" w:color="auto" w:sz="6" w:space="0"/>
              <w:left w:val="nil"/>
              <w:bottom w:val="nil"/>
              <w:right w:val="nil"/>
            </w:tcBorders>
            <w:shd w:val="clear" w:color="auto" w:fill="FEDB61"/>
            <w:noWrap/>
            <w:vAlign w:val="center"/>
          </w:tcPr>
          <w:p w14:paraId="0971D33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single" w:color="auto" w:sz="6" w:space="0"/>
              <w:left w:val="nil"/>
              <w:bottom w:val="nil"/>
              <w:right w:val="nil"/>
            </w:tcBorders>
            <w:shd w:val="clear" w:color="auto" w:fill="7CDED7"/>
            <w:noWrap/>
            <w:vAlign w:val="center"/>
          </w:tcPr>
          <w:p w14:paraId="1B93F9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single" w:color="auto" w:sz="6" w:space="0"/>
              <w:left w:val="nil"/>
              <w:bottom w:val="nil"/>
              <w:right w:val="nil"/>
            </w:tcBorders>
            <w:shd w:val="clear" w:color="auto" w:fill="FEDB61"/>
            <w:noWrap/>
            <w:vAlign w:val="center"/>
          </w:tcPr>
          <w:p w14:paraId="74D3A12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single" w:color="auto" w:sz="6" w:space="0"/>
              <w:left w:val="nil"/>
              <w:bottom w:val="nil"/>
              <w:right w:val="nil"/>
            </w:tcBorders>
            <w:shd w:val="clear" w:color="auto" w:fill="EF949F"/>
            <w:noWrap/>
            <w:vAlign w:val="center"/>
          </w:tcPr>
          <w:p w14:paraId="7D1373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single" w:color="auto" w:sz="6" w:space="0"/>
              <w:left w:val="nil"/>
              <w:bottom w:val="nil"/>
              <w:right w:val="nil"/>
            </w:tcBorders>
            <w:shd w:val="clear" w:color="auto" w:fill="7CDED7"/>
            <w:noWrap/>
            <w:vAlign w:val="center"/>
          </w:tcPr>
          <w:p w14:paraId="63A281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single" w:color="auto" w:sz="6" w:space="0"/>
              <w:left w:val="nil"/>
              <w:bottom w:val="nil"/>
              <w:right w:val="nil"/>
            </w:tcBorders>
            <w:shd w:val="clear" w:color="auto" w:fill="EF949F"/>
            <w:noWrap/>
            <w:vAlign w:val="center"/>
          </w:tcPr>
          <w:p w14:paraId="565BA5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067A3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634A875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Hyun 2021</w:t>
            </w:r>
          </w:p>
        </w:tc>
        <w:tc>
          <w:tcPr>
            <w:tcW w:w="1454" w:type="dxa"/>
            <w:tcBorders>
              <w:top w:val="nil"/>
              <w:left w:val="nil"/>
              <w:bottom w:val="nil"/>
              <w:right w:val="nil"/>
            </w:tcBorders>
            <w:shd w:val="clear" w:color="auto" w:fill="7CDED7"/>
            <w:noWrap/>
            <w:vAlign w:val="center"/>
          </w:tcPr>
          <w:p w14:paraId="344D43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BC724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BCF597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99F40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76C77F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908558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52D87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3C7C7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Jamka 2021</w:t>
            </w:r>
          </w:p>
        </w:tc>
        <w:tc>
          <w:tcPr>
            <w:tcW w:w="1454" w:type="dxa"/>
            <w:tcBorders>
              <w:top w:val="nil"/>
              <w:left w:val="nil"/>
              <w:bottom w:val="nil"/>
              <w:right w:val="nil"/>
            </w:tcBorders>
            <w:shd w:val="clear" w:color="auto" w:fill="7CDED7"/>
            <w:noWrap/>
            <w:vAlign w:val="center"/>
          </w:tcPr>
          <w:p w14:paraId="7A92DD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C4E53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43FE08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DAADC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6358C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8855BF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7060C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E4B8E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Rashidi 2021</w:t>
            </w:r>
          </w:p>
        </w:tc>
        <w:tc>
          <w:tcPr>
            <w:tcW w:w="1454" w:type="dxa"/>
            <w:tcBorders>
              <w:top w:val="nil"/>
              <w:left w:val="nil"/>
              <w:bottom w:val="nil"/>
              <w:right w:val="nil"/>
            </w:tcBorders>
            <w:shd w:val="clear" w:color="auto" w:fill="7CDED7"/>
            <w:noWrap/>
            <w:vAlign w:val="center"/>
          </w:tcPr>
          <w:p w14:paraId="549A76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9A1A8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2CE277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0B7BD4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C0973D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7CAC2A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4AB0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49CCE3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Valsdottir 2021</w:t>
            </w:r>
          </w:p>
        </w:tc>
        <w:tc>
          <w:tcPr>
            <w:tcW w:w="1454" w:type="dxa"/>
            <w:tcBorders>
              <w:top w:val="nil"/>
              <w:left w:val="nil"/>
              <w:bottom w:val="nil"/>
              <w:right w:val="nil"/>
            </w:tcBorders>
            <w:shd w:val="clear" w:color="auto" w:fill="7CDED7"/>
            <w:noWrap/>
            <w:vAlign w:val="center"/>
          </w:tcPr>
          <w:p w14:paraId="3FBA6D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52C86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CF43F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2841B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F7C85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6D2E8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A315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5B58937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Abdelbasset 2020</w:t>
            </w:r>
          </w:p>
        </w:tc>
        <w:tc>
          <w:tcPr>
            <w:tcW w:w="1454" w:type="dxa"/>
            <w:tcBorders>
              <w:top w:val="nil"/>
              <w:left w:val="nil"/>
              <w:bottom w:val="nil"/>
              <w:right w:val="nil"/>
            </w:tcBorders>
            <w:shd w:val="clear" w:color="auto" w:fill="7CDED7"/>
            <w:noWrap/>
            <w:vAlign w:val="center"/>
          </w:tcPr>
          <w:p w14:paraId="47448C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779D05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EF949F"/>
            <w:noWrap/>
            <w:vAlign w:val="center"/>
          </w:tcPr>
          <w:p w14:paraId="27F41E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nil"/>
              <w:left w:val="nil"/>
              <w:bottom w:val="nil"/>
              <w:right w:val="nil"/>
            </w:tcBorders>
            <w:shd w:val="clear" w:color="auto" w:fill="7CDED7"/>
            <w:noWrap/>
            <w:vAlign w:val="center"/>
          </w:tcPr>
          <w:p w14:paraId="341BF1F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09E31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EF949F"/>
            <w:noWrap/>
            <w:vAlign w:val="center"/>
          </w:tcPr>
          <w:p w14:paraId="0C207D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1C026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F37676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Gripp 202</w:t>
            </w:r>
            <w:r>
              <w:rPr>
                <w:rFonts w:hint="default" w:ascii="Times New Roman" w:hAnsi="Times New Roman" w:eastAsia="宋体" w:cs="Times New Roman"/>
                <w:i w:val="0"/>
                <w:iCs w:val="0"/>
                <w:color w:val="auto"/>
                <w:kern w:val="0"/>
                <w:sz w:val="20"/>
                <w:szCs w:val="20"/>
                <w:u w:val="none"/>
                <w:lang w:val="en-US" w:eastAsia="zh-CN" w:bidi="ar"/>
              </w:rPr>
              <w:t>1</w:t>
            </w:r>
          </w:p>
        </w:tc>
        <w:tc>
          <w:tcPr>
            <w:tcW w:w="1454" w:type="dxa"/>
            <w:tcBorders>
              <w:top w:val="nil"/>
              <w:left w:val="nil"/>
              <w:bottom w:val="nil"/>
              <w:right w:val="nil"/>
            </w:tcBorders>
            <w:shd w:val="clear" w:color="auto" w:fill="7CDED7"/>
            <w:noWrap/>
            <w:vAlign w:val="center"/>
          </w:tcPr>
          <w:p w14:paraId="513212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1BCE86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0D7B08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96BAB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DBF7F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F55409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71BF7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2B01CFD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Lee 2020</w:t>
            </w:r>
          </w:p>
        </w:tc>
        <w:tc>
          <w:tcPr>
            <w:tcW w:w="1454" w:type="dxa"/>
            <w:tcBorders>
              <w:top w:val="nil"/>
              <w:left w:val="nil"/>
              <w:bottom w:val="nil"/>
              <w:right w:val="nil"/>
            </w:tcBorders>
            <w:shd w:val="clear" w:color="auto" w:fill="7CDED7"/>
            <w:noWrap/>
            <w:vAlign w:val="center"/>
          </w:tcPr>
          <w:p w14:paraId="706910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C95D9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419B8F3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75506F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A4AF2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D133C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4397B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8548A4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Mendham 2020</w:t>
            </w:r>
          </w:p>
        </w:tc>
        <w:tc>
          <w:tcPr>
            <w:tcW w:w="1454" w:type="dxa"/>
            <w:tcBorders>
              <w:top w:val="nil"/>
              <w:left w:val="nil"/>
              <w:bottom w:val="nil"/>
              <w:right w:val="nil"/>
            </w:tcBorders>
            <w:shd w:val="clear" w:color="auto" w:fill="7CDED7"/>
            <w:noWrap/>
            <w:vAlign w:val="center"/>
          </w:tcPr>
          <w:p w14:paraId="1194D4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D1E7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E218E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CA4CA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7091D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B6D4E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5EA77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99D3E4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Ramos 2020</w:t>
            </w:r>
          </w:p>
        </w:tc>
        <w:tc>
          <w:tcPr>
            <w:tcW w:w="1454" w:type="dxa"/>
            <w:tcBorders>
              <w:top w:val="nil"/>
              <w:left w:val="nil"/>
              <w:bottom w:val="nil"/>
              <w:right w:val="nil"/>
            </w:tcBorders>
            <w:shd w:val="clear" w:color="auto" w:fill="7CDED7"/>
            <w:noWrap/>
            <w:vAlign w:val="center"/>
          </w:tcPr>
          <w:p w14:paraId="4EB041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28B150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D78E6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C4620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3FFE937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5EA8BC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0353B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0F093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Ballin 2019</w:t>
            </w:r>
          </w:p>
        </w:tc>
        <w:tc>
          <w:tcPr>
            <w:tcW w:w="1454" w:type="dxa"/>
            <w:tcBorders>
              <w:top w:val="nil"/>
              <w:left w:val="nil"/>
              <w:bottom w:val="nil"/>
              <w:right w:val="nil"/>
            </w:tcBorders>
            <w:shd w:val="clear" w:color="auto" w:fill="7CDED7"/>
            <w:noWrap/>
            <w:vAlign w:val="center"/>
          </w:tcPr>
          <w:p w14:paraId="437B70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64581F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52397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00A8A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2643C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2CE38E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2782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EC25C4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Zhang 2020</w:t>
            </w:r>
          </w:p>
        </w:tc>
        <w:tc>
          <w:tcPr>
            <w:tcW w:w="1454" w:type="dxa"/>
            <w:tcBorders>
              <w:top w:val="nil"/>
              <w:left w:val="nil"/>
              <w:bottom w:val="nil"/>
              <w:right w:val="nil"/>
            </w:tcBorders>
            <w:shd w:val="clear" w:color="auto" w:fill="7CDED7"/>
            <w:noWrap/>
            <w:vAlign w:val="center"/>
          </w:tcPr>
          <w:p w14:paraId="7C5C77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3D9C54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21C78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9AC21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E6790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03680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3B02B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5E4A8E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Smidt 2020</w:t>
            </w:r>
          </w:p>
        </w:tc>
        <w:tc>
          <w:tcPr>
            <w:tcW w:w="1454" w:type="dxa"/>
            <w:tcBorders>
              <w:top w:val="nil"/>
              <w:left w:val="nil"/>
              <w:bottom w:val="nil"/>
              <w:right w:val="nil"/>
            </w:tcBorders>
            <w:shd w:val="clear" w:color="auto" w:fill="7CDED7"/>
            <w:noWrap/>
            <w:vAlign w:val="center"/>
          </w:tcPr>
          <w:p w14:paraId="6188CAB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04A732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6748B7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255FA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D0590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400755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1E9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32B2D3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Boutcher 2019</w:t>
            </w:r>
          </w:p>
        </w:tc>
        <w:tc>
          <w:tcPr>
            <w:tcW w:w="1454" w:type="dxa"/>
            <w:tcBorders>
              <w:top w:val="nil"/>
              <w:left w:val="nil"/>
              <w:bottom w:val="nil"/>
              <w:right w:val="nil"/>
            </w:tcBorders>
            <w:shd w:val="clear" w:color="auto" w:fill="7CDED7"/>
            <w:noWrap/>
            <w:vAlign w:val="center"/>
          </w:tcPr>
          <w:p w14:paraId="28C96F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F681B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3E06A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5B2B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DCACE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44E62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20C7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256AC62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Cho 2019</w:t>
            </w:r>
          </w:p>
        </w:tc>
        <w:tc>
          <w:tcPr>
            <w:tcW w:w="1454" w:type="dxa"/>
            <w:tcBorders>
              <w:top w:val="nil"/>
              <w:left w:val="nil"/>
              <w:bottom w:val="nil"/>
              <w:right w:val="nil"/>
            </w:tcBorders>
            <w:shd w:val="clear" w:color="auto" w:fill="7CDED7"/>
            <w:noWrap/>
            <w:vAlign w:val="center"/>
          </w:tcPr>
          <w:p w14:paraId="09905D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6B5B9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2F4AD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766ED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726B65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6AE400A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1EE2A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8658A4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Hagovska 20</w:t>
            </w:r>
            <w:r>
              <w:rPr>
                <w:rFonts w:hint="default" w:ascii="Times New Roman" w:hAnsi="Times New Roman" w:eastAsia="宋体" w:cs="Times New Roman"/>
                <w:i w:val="0"/>
                <w:iCs w:val="0"/>
                <w:color w:val="auto"/>
                <w:kern w:val="0"/>
                <w:sz w:val="20"/>
                <w:szCs w:val="20"/>
                <w:u w:val="none"/>
                <w:lang w:val="en-US" w:eastAsia="zh-CN" w:bidi="ar"/>
              </w:rPr>
              <w:t>20</w:t>
            </w:r>
          </w:p>
        </w:tc>
        <w:tc>
          <w:tcPr>
            <w:tcW w:w="1454" w:type="dxa"/>
            <w:tcBorders>
              <w:top w:val="nil"/>
              <w:left w:val="nil"/>
              <w:bottom w:val="nil"/>
              <w:right w:val="nil"/>
            </w:tcBorders>
            <w:shd w:val="clear" w:color="auto" w:fill="7CDED7"/>
            <w:noWrap/>
            <w:vAlign w:val="center"/>
          </w:tcPr>
          <w:p w14:paraId="291BDC7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F401C3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B194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19396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0DC79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D656A2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80BA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83522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lang w:val="en-US"/>
              </w:rPr>
            </w:pPr>
            <w:r>
              <w:rPr>
                <w:rFonts w:hint="default" w:ascii="Times New Roman" w:hAnsi="Times New Roman" w:eastAsia="宋体" w:cs="Times New Roman"/>
                <w:i w:val="0"/>
                <w:iCs w:val="0"/>
                <w:color w:val="auto"/>
                <w:kern w:val="0"/>
                <w:sz w:val="20"/>
                <w:szCs w:val="20"/>
                <w:u w:val="none"/>
                <w:lang w:val="en-US" w:eastAsia="zh-CN" w:bidi="ar"/>
              </w:rPr>
              <w:t>Dupuit 20</w:t>
            </w:r>
            <w:r>
              <w:rPr>
                <w:rFonts w:hint="default" w:ascii="Times New Roman" w:hAnsi="Times New Roman" w:eastAsia="宋体" w:cs="Times New Roman"/>
                <w:i w:val="0"/>
                <w:iCs w:val="0"/>
                <w:color w:val="auto"/>
                <w:kern w:val="0"/>
                <w:sz w:val="20"/>
                <w:szCs w:val="20"/>
                <w:u w:val="none"/>
                <w:lang w:val="en-US" w:eastAsia="zh-CN" w:bidi="ar"/>
              </w:rPr>
              <w:t>20</w:t>
            </w:r>
          </w:p>
        </w:tc>
        <w:tc>
          <w:tcPr>
            <w:tcW w:w="1454" w:type="dxa"/>
            <w:tcBorders>
              <w:top w:val="nil"/>
              <w:left w:val="nil"/>
              <w:bottom w:val="nil"/>
              <w:right w:val="nil"/>
            </w:tcBorders>
            <w:shd w:val="clear" w:color="auto" w:fill="7CDED7"/>
            <w:noWrap/>
            <w:vAlign w:val="center"/>
          </w:tcPr>
          <w:p w14:paraId="5BF145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0AC2F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F51B66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B5ED3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756DD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A35BF2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59650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759040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Nunes 2019</w:t>
            </w:r>
          </w:p>
        </w:tc>
        <w:tc>
          <w:tcPr>
            <w:tcW w:w="1454" w:type="dxa"/>
            <w:tcBorders>
              <w:top w:val="nil"/>
              <w:left w:val="nil"/>
              <w:bottom w:val="nil"/>
              <w:right w:val="nil"/>
            </w:tcBorders>
            <w:shd w:val="clear" w:color="auto" w:fill="FEDB61"/>
            <w:noWrap/>
            <w:vAlign w:val="center"/>
          </w:tcPr>
          <w:p w14:paraId="4AC922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4B93B3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5C00D0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09CB31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5AE7C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207128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1C74C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5887CA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Ratajczak 2019</w:t>
            </w:r>
          </w:p>
        </w:tc>
        <w:tc>
          <w:tcPr>
            <w:tcW w:w="1454" w:type="dxa"/>
            <w:tcBorders>
              <w:top w:val="nil"/>
              <w:left w:val="nil"/>
              <w:bottom w:val="nil"/>
              <w:right w:val="nil"/>
            </w:tcBorders>
            <w:shd w:val="clear" w:color="auto" w:fill="7CDED7"/>
            <w:noWrap/>
            <w:vAlign w:val="center"/>
          </w:tcPr>
          <w:p w14:paraId="2272B0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9789F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787E94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85C4F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929FD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BE49D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4619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55D4E7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Bairapareddy 2018</w:t>
            </w:r>
          </w:p>
        </w:tc>
        <w:tc>
          <w:tcPr>
            <w:tcW w:w="1454" w:type="dxa"/>
            <w:tcBorders>
              <w:top w:val="nil"/>
              <w:left w:val="nil"/>
              <w:bottom w:val="nil"/>
              <w:right w:val="nil"/>
            </w:tcBorders>
            <w:shd w:val="clear" w:color="auto" w:fill="7CDED7"/>
            <w:noWrap/>
            <w:vAlign w:val="center"/>
          </w:tcPr>
          <w:p w14:paraId="2644D4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C2AC4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698A44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EF949F"/>
            <w:noWrap/>
            <w:vAlign w:val="center"/>
          </w:tcPr>
          <w:p w14:paraId="287C59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nil"/>
              <w:left w:val="nil"/>
              <w:bottom w:val="nil"/>
              <w:right w:val="nil"/>
            </w:tcBorders>
            <w:shd w:val="clear" w:color="auto" w:fill="FEDB61"/>
            <w:noWrap/>
            <w:vAlign w:val="center"/>
          </w:tcPr>
          <w:p w14:paraId="564A21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EF949F"/>
            <w:noWrap/>
            <w:vAlign w:val="center"/>
          </w:tcPr>
          <w:p w14:paraId="4496D2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4B53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E31FD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Wedell Neergaard 2019</w:t>
            </w:r>
          </w:p>
        </w:tc>
        <w:tc>
          <w:tcPr>
            <w:tcW w:w="1454" w:type="dxa"/>
            <w:tcBorders>
              <w:top w:val="nil"/>
              <w:left w:val="nil"/>
              <w:bottom w:val="nil"/>
              <w:right w:val="nil"/>
            </w:tcBorders>
            <w:shd w:val="clear" w:color="auto" w:fill="7CDED7"/>
            <w:noWrap/>
            <w:vAlign w:val="center"/>
          </w:tcPr>
          <w:p w14:paraId="32D6C37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D9ACEE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0C9E5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39781C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4DE08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BF5389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707A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3CA96F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Holliday 2018</w:t>
            </w:r>
          </w:p>
        </w:tc>
        <w:tc>
          <w:tcPr>
            <w:tcW w:w="1454" w:type="dxa"/>
            <w:tcBorders>
              <w:top w:val="nil"/>
              <w:left w:val="nil"/>
              <w:bottom w:val="nil"/>
              <w:right w:val="nil"/>
            </w:tcBorders>
            <w:shd w:val="clear" w:color="auto" w:fill="7CDED7"/>
            <w:noWrap/>
            <w:vAlign w:val="center"/>
          </w:tcPr>
          <w:p w14:paraId="4DE0C0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FEAF15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8E0681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601F32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445CAB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17C612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5D32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EADF8B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Roy 2018</w:t>
            </w:r>
          </w:p>
        </w:tc>
        <w:tc>
          <w:tcPr>
            <w:tcW w:w="1454" w:type="dxa"/>
            <w:tcBorders>
              <w:top w:val="nil"/>
              <w:left w:val="nil"/>
              <w:bottom w:val="nil"/>
              <w:right w:val="nil"/>
            </w:tcBorders>
            <w:shd w:val="clear" w:color="auto" w:fill="7CDED7"/>
            <w:noWrap/>
            <w:vAlign w:val="center"/>
          </w:tcPr>
          <w:p w14:paraId="211C44A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89EEC0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300A59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15C427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E6940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1F2E4D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0B619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9FD9C8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Tong 2018</w:t>
            </w:r>
          </w:p>
        </w:tc>
        <w:tc>
          <w:tcPr>
            <w:tcW w:w="1454" w:type="dxa"/>
            <w:tcBorders>
              <w:top w:val="nil"/>
              <w:left w:val="nil"/>
              <w:bottom w:val="nil"/>
              <w:right w:val="nil"/>
            </w:tcBorders>
            <w:shd w:val="clear" w:color="auto" w:fill="7CDED7"/>
            <w:noWrap/>
            <w:vAlign w:val="center"/>
          </w:tcPr>
          <w:p w14:paraId="568659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D1704B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ABB99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4C9779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E95B64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D66D9B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7379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26704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Chen 2017</w:t>
            </w:r>
          </w:p>
        </w:tc>
        <w:tc>
          <w:tcPr>
            <w:tcW w:w="1454" w:type="dxa"/>
            <w:tcBorders>
              <w:top w:val="nil"/>
              <w:left w:val="nil"/>
              <w:bottom w:val="nil"/>
              <w:right w:val="nil"/>
            </w:tcBorders>
            <w:shd w:val="clear" w:color="auto" w:fill="7CDED7"/>
            <w:noWrap/>
            <w:vAlign w:val="center"/>
          </w:tcPr>
          <w:p w14:paraId="3F8B1B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655C53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74079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11274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D0E7FD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E49BF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09218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BEEA6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Oh 2017</w:t>
            </w:r>
          </w:p>
        </w:tc>
        <w:tc>
          <w:tcPr>
            <w:tcW w:w="1454" w:type="dxa"/>
            <w:tcBorders>
              <w:top w:val="nil"/>
              <w:left w:val="nil"/>
              <w:bottom w:val="nil"/>
              <w:right w:val="nil"/>
            </w:tcBorders>
            <w:shd w:val="clear" w:color="auto" w:fill="7CDED7"/>
            <w:noWrap/>
            <w:vAlign w:val="center"/>
          </w:tcPr>
          <w:p w14:paraId="20513B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3265569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73B61A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EF949F"/>
            <w:noWrap/>
            <w:vAlign w:val="center"/>
          </w:tcPr>
          <w:p w14:paraId="056F66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nil"/>
              <w:left w:val="nil"/>
              <w:bottom w:val="nil"/>
              <w:right w:val="nil"/>
            </w:tcBorders>
            <w:shd w:val="clear" w:color="auto" w:fill="7CDED7"/>
            <w:noWrap/>
            <w:vAlign w:val="center"/>
          </w:tcPr>
          <w:p w14:paraId="76BAA10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EF949F"/>
            <w:noWrap/>
            <w:vAlign w:val="center"/>
          </w:tcPr>
          <w:p w14:paraId="7316F09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03DE6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FCF5D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Keating 2017</w:t>
            </w:r>
          </w:p>
        </w:tc>
        <w:tc>
          <w:tcPr>
            <w:tcW w:w="1454" w:type="dxa"/>
            <w:tcBorders>
              <w:top w:val="nil"/>
              <w:left w:val="nil"/>
              <w:bottom w:val="nil"/>
              <w:right w:val="nil"/>
            </w:tcBorders>
            <w:shd w:val="clear" w:color="auto" w:fill="7CDED7"/>
            <w:noWrap/>
            <w:vAlign w:val="center"/>
          </w:tcPr>
          <w:p w14:paraId="2AFAA95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F8CD0B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7DE3B4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C1DC62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256EE8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E87301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26C0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20DB4B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Wu 2017</w:t>
            </w:r>
          </w:p>
        </w:tc>
        <w:tc>
          <w:tcPr>
            <w:tcW w:w="1454" w:type="dxa"/>
            <w:tcBorders>
              <w:top w:val="nil"/>
              <w:left w:val="nil"/>
              <w:bottom w:val="nil"/>
              <w:right w:val="nil"/>
            </w:tcBorders>
            <w:shd w:val="clear" w:color="auto" w:fill="7CDED7"/>
            <w:noWrap/>
            <w:vAlign w:val="center"/>
          </w:tcPr>
          <w:p w14:paraId="754CB20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28B078D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774B8F0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FF73E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F7856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642B9F1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53A11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19C29C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Houghton 2016</w:t>
            </w:r>
          </w:p>
        </w:tc>
        <w:tc>
          <w:tcPr>
            <w:tcW w:w="1454" w:type="dxa"/>
            <w:tcBorders>
              <w:top w:val="nil"/>
              <w:left w:val="nil"/>
              <w:bottom w:val="nil"/>
              <w:right w:val="nil"/>
            </w:tcBorders>
            <w:shd w:val="clear" w:color="auto" w:fill="7CDED7"/>
            <w:noWrap/>
            <w:vAlign w:val="center"/>
          </w:tcPr>
          <w:p w14:paraId="2593F9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AE51E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93FD1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0C6E7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340F1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71DC9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196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6059A8B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Zhang 2017</w:t>
            </w:r>
          </w:p>
        </w:tc>
        <w:tc>
          <w:tcPr>
            <w:tcW w:w="1454" w:type="dxa"/>
            <w:tcBorders>
              <w:top w:val="nil"/>
              <w:left w:val="nil"/>
              <w:bottom w:val="nil"/>
              <w:right w:val="nil"/>
            </w:tcBorders>
            <w:shd w:val="clear" w:color="auto" w:fill="7CDED7"/>
            <w:noWrap/>
            <w:vAlign w:val="center"/>
          </w:tcPr>
          <w:p w14:paraId="458059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667ED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AA33E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0BF18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26B158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DE90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57836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5488C0E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Cooper 2016</w:t>
            </w:r>
          </w:p>
        </w:tc>
        <w:tc>
          <w:tcPr>
            <w:tcW w:w="1454" w:type="dxa"/>
            <w:tcBorders>
              <w:top w:val="nil"/>
              <w:left w:val="nil"/>
              <w:bottom w:val="nil"/>
              <w:right w:val="nil"/>
            </w:tcBorders>
            <w:shd w:val="clear" w:color="auto" w:fill="7CDED7"/>
            <w:noWrap/>
            <w:vAlign w:val="center"/>
          </w:tcPr>
          <w:p w14:paraId="5E3B3E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E9248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B051E0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8EE6AF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01604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FF1B4A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832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AE6550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Maillard 2016</w:t>
            </w:r>
          </w:p>
        </w:tc>
        <w:tc>
          <w:tcPr>
            <w:tcW w:w="1454" w:type="dxa"/>
            <w:tcBorders>
              <w:top w:val="nil"/>
              <w:left w:val="nil"/>
              <w:bottom w:val="nil"/>
              <w:right w:val="nil"/>
            </w:tcBorders>
            <w:shd w:val="clear" w:color="auto" w:fill="7CDED7"/>
            <w:noWrap/>
            <w:vAlign w:val="center"/>
          </w:tcPr>
          <w:p w14:paraId="684849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F99126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1C3C65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7F5C3F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C63E1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803457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7A0A1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384F1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Keating 2015</w:t>
            </w:r>
          </w:p>
        </w:tc>
        <w:tc>
          <w:tcPr>
            <w:tcW w:w="1454" w:type="dxa"/>
            <w:tcBorders>
              <w:top w:val="nil"/>
              <w:left w:val="nil"/>
              <w:bottom w:val="nil"/>
              <w:right w:val="nil"/>
            </w:tcBorders>
            <w:shd w:val="clear" w:color="auto" w:fill="7CDED7"/>
            <w:noWrap/>
            <w:vAlign w:val="center"/>
          </w:tcPr>
          <w:p w14:paraId="2E0A8B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13093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D05EB0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04B8E1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90A43F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4B9AA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624F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FF6E4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Arad 2015</w:t>
            </w:r>
          </w:p>
        </w:tc>
        <w:tc>
          <w:tcPr>
            <w:tcW w:w="1454" w:type="dxa"/>
            <w:tcBorders>
              <w:top w:val="nil"/>
              <w:left w:val="nil"/>
              <w:bottom w:val="nil"/>
              <w:right w:val="nil"/>
            </w:tcBorders>
            <w:shd w:val="clear" w:color="auto" w:fill="7CDED7"/>
            <w:noWrap/>
            <w:vAlign w:val="center"/>
          </w:tcPr>
          <w:p w14:paraId="0DF3099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BE9E4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91F78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CC2CB0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3D08C5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2590647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6AACB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6AD44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Baria 2014</w:t>
            </w:r>
          </w:p>
        </w:tc>
        <w:tc>
          <w:tcPr>
            <w:tcW w:w="1454" w:type="dxa"/>
            <w:tcBorders>
              <w:top w:val="nil"/>
              <w:left w:val="nil"/>
              <w:bottom w:val="nil"/>
              <w:right w:val="nil"/>
            </w:tcBorders>
            <w:shd w:val="clear" w:color="auto" w:fill="7CDED7"/>
            <w:noWrap/>
            <w:vAlign w:val="center"/>
          </w:tcPr>
          <w:p w14:paraId="34291F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5AF25E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6C4DA3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36980E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14095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467237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7ED86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C9F8A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Bacchi 2013</w:t>
            </w:r>
          </w:p>
        </w:tc>
        <w:tc>
          <w:tcPr>
            <w:tcW w:w="1454" w:type="dxa"/>
            <w:tcBorders>
              <w:top w:val="nil"/>
              <w:left w:val="nil"/>
              <w:bottom w:val="nil"/>
              <w:right w:val="nil"/>
            </w:tcBorders>
            <w:shd w:val="clear" w:color="auto" w:fill="7CDED7"/>
            <w:noWrap/>
            <w:vAlign w:val="center"/>
          </w:tcPr>
          <w:p w14:paraId="77D30BD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64F701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70063A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CD386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D8F97D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AAD824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31B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2024C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Zhang 2015</w:t>
            </w:r>
          </w:p>
        </w:tc>
        <w:tc>
          <w:tcPr>
            <w:tcW w:w="1454" w:type="dxa"/>
            <w:tcBorders>
              <w:top w:val="nil"/>
              <w:left w:val="nil"/>
              <w:bottom w:val="nil"/>
              <w:right w:val="nil"/>
            </w:tcBorders>
            <w:shd w:val="clear" w:color="auto" w:fill="7CDED7"/>
            <w:noWrap/>
            <w:vAlign w:val="center"/>
          </w:tcPr>
          <w:p w14:paraId="27C35B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8D645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8A33FD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265CF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384EE4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E5295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04BC2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1547E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Herzig 2014</w:t>
            </w:r>
          </w:p>
        </w:tc>
        <w:tc>
          <w:tcPr>
            <w:tcW w:w="1454" w:type="dxa"/>
            <w:tcBorders>
              <w:top w:val="nil"/>
              <w:left w:val="nil"/>
              <w:bottom w:val="nil"/>
              <w:right w:val="nil"/>
            </w:tcBorders>
            <w:shd w:val="clear" w:color="auto" w:fill="7CDED7"/>
            <w:noWrap/>
            <w:vAlign w:val="center"/>
          </w:tcPr>
          <w:p w14:paraId="5A85EB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51B5DB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EF949F"/>
            <w:noWrap/>
            <w:vAlign w:val="center"/>
          </w:tcPr>
          <w:p w14:paraId="3FA8F2D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nil"/>
              <w:left w:val="nil"/>
              <w:bottom w:val="nil"/>
              <w:right w:val="nil"/>
            </w:tcBorders>
            <w:shd w:val="clear" w:color="auto" w:fill="7CDED7"/>
            <w:noWrap/>
            <w:vAlign w:val="center"/>
          </w:tcPr>
          <w:p w14:paraId="53D278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5DDC2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EF949F"/>
            <w:noWrap/>
            <w:vAlign w:val="center"/>
          </w:tcPr>
          <w:p w14:paraId="590B021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44178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140F9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Bouchonville 201</w:t>
            </w:r>
            <w:r>
              <w:rPr>
                <w:rFonts w:hint="default" w:ascii="Times New Roman" w:hAnsi="Times New Roman" w:eastAsia="宋体" w:cs="Times New Roman"/>
                <w:i w:val="0"/>
                <w:iCs w:val="0"/>
                <w:color w:val="auto"/>
                <w:kern w:val="0"/>
                <w:sz w:val="20"/>
                <w:szCs w:val="20"/>
                <w:u w:val="none"/>
                <w:lang w:val="en-US" w:eastAsia="zh-CN" w:bidi="ar"/>
              </w:rPr>
              <w:t>4</w:t>
            </w:r>
          </w:p>
        </w:tc>
        <w:tc>
          <w:tcPr>
            <w:tcW w:w="1454" w:type="dxa"/>
            <w:tcBorders>
              <w:top w:val="nil"/>
              <w:left w:val="nil"/>
              <w:bottom w:val="nil"/>
              <w:right w:val="nil"/>
            </w:tcBorders>
            <w:shd w:val="clear" w:color="auto" w:fill="7CDED7"/>
            <w:noWrap/>
            <w:vAlign w:val="center"/>
          </w:tcPr>
          <w:p w14:paraId="442117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83576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3BE12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41BD7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72785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40E57E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C3D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A28D55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Dobrosielski 2012</w:t>
            </w:r>
          </w:p>
        </w:tc>
        <w:tc>
          <w:tcPr>
            <w:tcW w:w="1454" w:type="dxa"/>
            <w:tcBorders>
              <w:top w:val="nil"/>
              <w:left w:val="nil"/>
              <w:bottom w:val="nil"/>
              <w:right w:val="nil"/>
            </w:tcBorders>
            <w:shd w:val="clear" w:color="auto" w:fill="7CDED7"/>
            <w:noWrap/>
            <w:vAlign w:val="center"/>
          </w:tcPr>
          <w:p w14:paraId="347D66B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80168C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66AD055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9C879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321807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75553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4D096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1F6B2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Jung 2012</w:t>
            </w:r>
          </w:p>
        </w:tc>
        <w:tc>
          <w:tcPr>
            <w:tcW w:w="1454" w:type="dxa"/>
            <w:tcBorders>
              <w:top w:val="nil"/>
              <w:left w:val="nil"/>
              <w:bottom w:val="nil"/>
              <w:right w:val="nil"/>
            </w:tcBorders>
            <w:shd w:val="clear" w:color="auto" w:fill="7CDED7"/>
            <w:noWrap/>
            <w:vAlign w:val="center"/>
          </w:tcPr>
          <w:p w14:paraId="01B417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67DBF3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2FDA85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84E636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49F4B5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122F5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107F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2A85F4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Donges 2013</w:t>
            </w:r>
          </w:p>
        </w:tc>
        <w:tc>
          <w:tcPr>
            <w:tcW w:w="1454" w:type="dxa"/>
            <w:tcBorders>
              <w:top w:val="nil"/>
              <w:left w:val="nil"/>
              <w:bottom w:val="nil"/>
              <w:right w:val="nil"/>
            </w:tcBorders>
            <w:shd w:val="clear" w:color="auto" w:fill="7CDED7"/>
            <w:noWrap/>
            <w:vAlign w:val="center"/>
          </w:tcPr>
          <w:p w14:paraId="6E0B14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6965A9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F71AE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036B0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8EAE2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8AA67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08F6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3181EC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Heydari 2012</w:t>
            </w:r>
          </w:p>
        </w:tc>
        <w:tc>
          <w:tcPr>
            <w:tcW w:w="1454" w:type="dxa"/>
            <w:tcBorders>
              <w:top w:val="nil"/>
              <w:left w:val="nil"/>
              <w:bottom w:val="nil"/>
              <w:right w:val="nil"/>
            </w:tcBorders>
            <w:shd w:val="clear" w:color="auto" w:fill="7CDED7"/>
            <w:noWrap/>
            <w:vAlign w:val="center"/>
          </w:tcPr>
          <w:p w14:paraId="239DE0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1F1AB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E01AE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236AD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86EE3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261AF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1CA05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5B9C7CC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Moghadasi 201</w:t>
            </w:r>
            <w:r>
              <w:rPr>
                <w:rFonts w:hint="default" w:ascii="Times New Roman" w:hAnsi="Times New Roman" w:eastAsia="宋体" w:cs="Times New Roman"/>
                <w:i w:val="0"/>
                <w:iCs w:val="0"/>
                <w:color w:val="auto"/>
                <w:kern w:val="0"/>
                <w:sz w:val="20"/>
                <w:szCs w:val="20"/>
                <w:u w:val="none"/>
                <w:lang w:val="en-US" w:eastAsia="zh-CN" w:bidi="ar"/>
              </w:rPr>
              <w:t>3</w:t>
            </w:r>
          </w:p>
        </w:tc>
        <w:tc>
          <w:tcPr>
            <w:tcW w:w="1454" w:type="dxa"/>
            <w:tcBorders>
              <w:top w:val="nil"/>
              <w:left w:val="nil"/>
              <w:bottom w:val="nil"/>
              <w:right w:val="nil"/>
            </w:tcBorders>
            <w:shd w:val="clear" w:color="auto" w:fill="7CDED7"/>
            <w:noWrap/>
            <w:vAlign w:val="center"/>
          </w:tcPr>
          <w:p w14:paraId="67C5E38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D46AD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7F8CF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8A166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F750DD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CEBEC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5B942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61298EB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Kim 2012</w:t>
            </w:r>
          </w:p>
        </w:tc>
        <w:tc>
          <w:tcPr>
            <w:tcW w:w="1454" w:type="dxa"/>
            <w:tcBorders>
              <w:top w:val="nil"/>
              <w:left w:val="nil"/>
              <w:bottom w:val="nil"/>
              <w:right w:val="nil"/>
            </w:tcBorders>
            <w:shd w:val="clear" w:color="auto" w:fill="7CDED7"/>
            <w:noWrap/>
            <w:vAlign w:val="center"/>
          </w:tcPr>
          <w:p w14:paraId="5476F4E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1EFDF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129E28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4CFCA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0764AC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7FEEFF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4724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128C2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Slentz 2011</w:t>
            </w:r>
          </w:p>
        </w:tc>
        <w:tc>
          <w:tcPr>
            <w:tcW w:w="1454" w:type="dxa"/>
            <w:tcBorders>
              <w:top w:val="nil"/>
              <w:left w:val="nil"/>
              <w:bottom w:val="nil"/>
              <w:right w:val="nil"/>
            </w:tcBorders>
            <w:shd w:val="clear" w:color="auto" w:fill="7CDED7"/>
            <w:noWrap/>
            <w:vAlign w:val="center"/>
          </w:tcPr>
          <w:p w14:paraId="5B38A38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9E9EA6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43185E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884976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EE52D1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C3BF5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BEF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733FE0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Hallsworth 2011</w:t>
            </w:r>
          </w:p>
        </w:tc>
        <w:tc>
          <w:tcPr>
            <w:tcW w:w="1454" w:type="dxa"/>
            <w:tcBorders>
              <w:top w:val="nil"/>
              <w:left w:val="nil"/>
              <w:bottom w:val="nil"/>
              <w:right w:val="nil"/>
            </w:tcBorders>
            <w:shd w:val="clear" w:color="auto" w:fill="7CDED7"/>
            <w:noWrap/>
            <w:vAlign w:val="center"/>
          </w:tcPr>
          <w:p w14:paraId="27F333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1DB91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07C8BF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D34A94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4D7E8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51F1D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20EF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C09D2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Friedenreich 2011</w:t>
            </w:r>
          </w:p>
        </w:tc>
        <w:tc>
          <w:tcPr>
            <w:tcW w:w="1454" w:type="dxa"/>
            <w:tcBorders>
              <w:top w:val="nil"/>
              <w:left w:val="nil"/>
              <w:bottom w:val="nil"/>
              <w:right w:val="nil"/>
            </w:tcBorders>
            <w:shd w:val="clear" w:color="auto" w:fill="7CDED7"/>
            <w:noWrap/>
            <w:vAlign w:val="center"/>
          </w:tcPr>
          <w:p w14:paraId="0A8E058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985EBC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E43CB8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A114BF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36B12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D56F12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20A90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1F8BD72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Ku 2010</w:t>
            </w:r>
          </w:p>
        </w:tc>
        <w:tc>
          <w:tcPr>
            <w:tcW w:w="1454" w:type="dxa"/>
            <w:tcBorders>
              <w:top w:val="nil"/>
              <w:left w:val="nil"/>
              <w:bottom w:val="nil"/>
              <w:right w:val="nil"/>
            </w:tcBorders>
            <w:shd w:val="clear" w:color="auto" w:fill="7CDED7"/>
            <w:noWrap/>
            <w:vAlign w:val="center"/>
          </w:tcPr>
          <w:p w14:paraId="565E73A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754BAD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D927BD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5F03DE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51057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DAA4E7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3CD6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2EC8AD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Kwon 2010</w:t>
            </w:r>
          </w:p>
        </w:tc>
        <w:tc>
          <w:tcPr>
            <w:tcW w:w="1454" w:type="dxa"/>
            <w:tcBorders>
              <w:top w:val="nil"/>
              <w:left w:val="nil"/>
              <w:bottom w:val="nil"/>
              <w:right w:val="nil"/>
            </w:tcBorders>
            <w:shd w:val="clear" w:color="auto" w:fill="7CDED7"/>
            <w:noWrap/>
            <w:vAlign w:val="center"/>
          </w:tcPr>
          <w:p w14:paraId="09ACAB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341339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3CCBBD0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522118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EC63B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768BD7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2C881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68F8A9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Barone 200</w:t>
            </w:r>
            <w:r>
              <w:rPr>
                <w:rFonts w:hint="default" w:ascii="Times New Roman" w:hAnsi="Times New Roman" w:eastAsia="宋体" w:cs="Times New Roman"/>
                <w:i w:val="0"/>
                <w:iCs w:val="0"/>
                <w:color w:val="auto"/>
                <w:kern w:val="0"/>
                <w:sz w:val="20"/>
                <w:szCs w:val="20"/>
                <w:u w:val="none"/>
                <w:lang w:val="en-US" w:eastAsia="zh-CN" w:bidi="ar"/>
              </w:rPr>
              <w:t>9</w:t>
            </w:r>
          </w:p>
        </w:tc>
        <w:tc>
          <w:tcPr>
            <w:tcW w:w="1454" w:type="dxa"/>
            <w:tcBorders>
              <w:top w:val="nil"/>
              <w:left w:val="nil"/>
              <w:bottom w:val="nil"/>
              <w:right w:val="nil"/>
            </w:tcBorders>
            <w:shd w:val="clear" w:color="auto" w:fill="7CDED7"/>
            <w:noWrap/>
            <w:vAlign w:val="center"/>
          </w:tcPr>
          <w:p w14:paraId="4DAF5A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FDF38B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114307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DC0E7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21D8A4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C10250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961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2020E3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Schmitz 2007</w:t>
            </w:r>
          </w:p>
        </w:tc>
        <w:tc>
          <w:tcPr>
            <w:tcW w:w="1454" w:type="dxa"/>
            <w:tcBorders>
              <w:top w:val="nil"/>
              <w:left w:val="nil"/>
              <w:bottom w:val="nil"/>
              <w:right w:val="nil"/>
            </w:tcBorders>
            <w:shd w:val="clear" w:color="auto" w:fill="7CDED7"/>
            <w:noWrap/>
            <w:vAlign w:val="center"/>
          </w:tcPr>
          <w:p w14:paraId="22CC45C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27C1CB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5DC9925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22F431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0681F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C65E3B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B94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AE45D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Slentz 2005</w:t>
            </w:r>
          </w:p>
        </w:tc>
        <w:tc>
          <w:tcPr>
            <w:tcW w:w="1454" w:type="dxa"/>
            <w:tcBorders>
              <w:top w:val="nil"/>
              <w:left w:val="nil"/>
              <w:bottom w:val="nil"/>
              <w:right w:val="nil"/>
            </w:tcBorders>
            <w:shd w:val="clear" w:color="auto" w:fill="7CDED7"/>
            <w:noWrap/>
            <w:vAlign w:val="center"/>
          </w:tcPr>
          <w:p w14:paraId="650BB78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FF6F7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6B50AA7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2499BB2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752EDBD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2905B3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017DC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132D18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Cuff 2003</w:t>
            </w:r>
          </w:p>
        </w:tc>
        <w:tc>
          <w:tcPr>
            <w:tcW w:w="1454" w:type="dxa"/>
            <w:tcBorders>
              <w:top w:val="nil"/>
              <w:left w:val="nil"/>
              <w:bottom w:val="nil"/>
              <w:right w:val="nil"/>
            </w:tcBorders>
            <w:shd w:val="clear" w:color="auto" w:fill="7CDED7"/>
            <w:noWrap/>
            <w:vAlign w:val="center"/>
          </w:tcPr>
          <w:p w14:paraId="4B07D34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6802F9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489D5F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6A49D6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4B326D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48F45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1475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44DABE1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McTiernan 200</w:t>
            </w:r>
            <w:r>
              <w:rPr>
                <w:rFonts w:hint="default" w:ascii="Times New Roman" w:hAnsi="Times New Roman" w:eastAsia="宋体" w:cs="Times New Roman"/>
                <w:i w:val="0"/>
                <w:iCs w:val="0"/>
                <w:color w:val="auto"/>
                <w:kern w:val="0"/>
                <w:sz w:val="20"/>
                <w:szCs w:val="20"/>
                <w:u w:val="none"/>
                <w:lang w:val="en-US" w:eastAsia="zh-CN" w:bidi="ar"/>
              </w:rPr>
              <w:t>7</w:t>
            </w:r>
          </w:p>
        </w:tc>
        <w:tc>
          <w:tcPr>
            <w:tcW w:w="1454" w:type="dxa"/>
            <w:tcBorders>
              <w:top w:val="nil"/>
              <w:left w:val="nil"/>
              <w:bottom w:val="nil"/>
              <w:right w:val="nil"/>
            </w:tcBorders>
            <w:shd w:val="clear" w:color="auto" w:fill="7CDED7"/>
            <w:noWrap/>
            <w:vAlign w:val="center"/>
          </w:tcPr>
          <w:p w14:paraId="5E8D353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75BFD0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0F907C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0DEEC2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0AFB486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23B39B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27958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6E536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Donnelly 2003</w:t>
            </w:r>
          </w:p>
        </w:tc>
        <w:tc>
          <w:tcPr>
            <w:tcW w:w="1454" w:type="dxa"/>
            <w:tcBorders>
              <w:top w:val="nil"/>
              <w:left w:val="nil"/>
              <w:bottom w:val="nil"/>
              <w:right w:val="nil"/>
            </w:tcBorders>
            <w:shd w:val="clear" w:color="auto" w:fill="FEDB61"/>
            <w:noWrap/>
            <w:vAlign w:val="center"/>
          </w:tcPr>
          <w:p w14:paraId="4D8E15C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08E324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417E320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EF949F"/>
            <w:noWrap/>
            <w:vAlign w:val="center"/>
          </w:tcPr>
          <w:p w14:paraId="7A60DF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c>
          <w:tcPr>
            <w:tcW w:w="1454" w:type="dxa"/>
            <w:tcBorders>
              <w:top w:val="nil"/>
              <w:left w:val="nil"/>
              <w:bottom w:val="nil"/>
              <w:right w:val="nil"/>
            </w:tcBorders>
            <w:shd w:val="clear" w:color="auto" w:fill="7CDED7"/>
            <w:noWrap/>
            <w:vAlign w:val="center"/>
          </w:tcPr>
          <w:p w14:paraId="42ED383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EF949F"/>
            <w:noWrap/>
            <w:vAlign w:val="center"/>
          </w:tcPr>
          <w:p w14:paraId="22FC178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High</w:t>
            </w:r>
          </w:p>
        </w:tc>
      </w:tr>
      <w:tr w14:paraId="66DB0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238FA0A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Waters 2022</w:t>
            </w:r>
          </w:p>
        </w:tc>
        <w:tc>
          <w:tcPr>
            <w:tcW w:w="1454" w:type="dxa"/>
            <w:tcBorders>
              <w:top w:val="nil"/>
              <w:left w:val="nil"/>
              <w:bottom w:val="nil"/>
              <w:right w:val="nil"/>
            </w:tcBorders>
            <w:shd w:val="clear" w:color="auto" w:fill="7CDED7"/>
            <w:noWrap/>
            <w:vAlign w:val="center"/>
          </w:tcPr>
          <w:p w14:paraId="1FB6388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111C0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E89EE6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E3798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E31FE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20265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71C14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6CFDD23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Haganes 2022</w:t>
            </w:r>
          </w:p>
        </w:tc>
        <w:tc>
          <w:tcPr>
            <w:tcW w:w="1454" w:type="dxa"/>
            <w:tcBorders>
              <w:top w:val="nil"/>
              <w:left w:val="nil"/>
              <w:bottom w:val="nil"/>
              <w:right w:val="nil"/>
            </w:tcBorders>
            <w:shd w:val="clear" w:color="auto" w:fill="7CDED7"/>
            <w:noWrap/>
            <w:vAlign w:val="center"/>
          </w:tcPr>
          <w:p w14:paraId="4FF868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10216C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FC8EAF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317290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2EA13C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193DDE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r w14:paraId="68E75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nil"/>
              <w:right w:val="nil"/>
            </w:tcBorders>
            <w:shd w:val="clear" w:color="auto" w:fill="auto"/>
            <w:vAlign w:val="center"/>
          </w:tcPr>
          <w:p w14:paraId="0284D05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Lehmann 2024</w:t>
            </w:r>
          </w:p>
        </w:tc>
        <w:tc>
          <w:tcPr>
            <w:tcW w:w="1454" w:type="dxa"/>
            <w:tcBorders>
              <w:top w:val="nil"/>
              <w:left w:val="nil"/>
              <w:bottom w:val="nil"/>
              <w:right w:val="nil"/>
            </w:tcBorders>
            <w:shd w:val="clear" w:color="auto" w:fill="7CDED7"/>
            <w:noWrap/>
            <w:vAlign w:val="center"/>
          </w:tcPr>
          <w:p w14:paraId="4AD5CAB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7CDED7"/>
            <w:noWrap/>
            <w:vAlign w:val="center"/>
          </w:tcPr>
          <w:p w14:paraId="7473FBA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722036A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FEDB61"/>
            <w:noWrap/>
            <w:vAlign w:val="center"/>
          </w:tcPr>
          <w:p w14:paraId="0407BDE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c>
          <w:tcPr>
            <w:tcW w:w="1454" w:type="dxa"/>
            <w:tcBorders>
              <w:top w:val="nil"/>
              <w:left w:val="nil"/>
              <w:bottom w:val="nil"/>
              <w:right w:val="nil"/>
            </w:tcBorders>
            <w:shd w:val="clear" w:color="auto" w:fill="7CDED7"/>
            <w:noWrap/>
            <w:vAlign w:val="center"/>
          </w:tcPr>
          <w:p w14:paraId="2515177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nil"/>
              <w:right w:val="nil"/>
            </w:tcBorders>
            <w:shd w:val="clear" w:color="auto" w:fill="FEDB61"/>
            <w:noWrap/>
            <w:vAlign w:val="center"/>
          </w:tcPr>
          <w:p w14:paraId="067F514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some concerns</w:t>
            </w:r>
          </w:p>
        </w:tc>
      </w:tr>
      <w:tr w14:paraId="6F67C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2321" w:type="dxa"/>
            <w:tcBorders>
              <w:top w:val="nil"/>
              <w:left w:val="nil"/>
              <w:bottom w:val="single" w:color="000000" w:sz="8" w:space="0"/>
              <w:right w:val="nil"/>
            </w:tcBorders>
            <w:shd w:val="clear" w:color="auto" w:fill="auto"/>
            <w:vAlign w:val="center"/>
          </w:tcPr>
          <w:p w14:paraId="57EE237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Chang 2025</w:t>
            </w:r>
          </w:p>
        </w:tc>
        <w:tc>
          <w:tcPr>
            <w:tcW w:w="1454" w:type="dxa"/>
            <w:tcBorders>
              <w:top w:val="nil"/>
              <w:left w:val="nil"/>
              <w:bottom w:val="single" w:color="000000" w:sz="8" w:space="0"/>
              <w:right w:val="nil"/>
            </w:tcBorders>
            <w:shd w:val="clear" w:color="auto" w:fill="7CDED7"/>
            <w:noWrap/>
            <w:vAlign w:val="center"/>
          </w:tcPr>
          <w:p w14:paraId="1BB8A66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single" w:color="000000" w:sz="8" w:space="0"/>
              <w:right w:val="nil"/>
            </w:tcBorders>
            <w:shd w:val="clear" w:color="auto" w:fill="7CDED7"/>
            <w:noWrap/>
            <w:vAlign w:val="center"/>
          </w:tcPr>
          <w:p w14:paraId="1314AA38">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single" w:color="000000" w:sz="8" w:space="0"/>
              <w:right w:val="nil"/>
            </w:tcBorders>
            <w:shd w:val="clear" w:color="auto" w:fill="7CDED7"/>
            <w:noWrap/>
            <w:vAlign w:val="center"/>
          </w:tcPr>
          <w:p w14:paraId="79EAA2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single" w:color="000000" w:sz="8" w:space="0"/>
              <w:right w:val="nil"/>
            </w:tcBorders>
            <w:shd w:val="clear" w:color="auto" w:fill="7CDED7"/>
            <w:noWrap/>
            <w:vAlign w:val="center"/>
          </w:tcPr>
          <w:p w14:paraId="3813D0B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single" w:color="000000" w:sz="8" w:space="0"/>
              <w:right w:val="nil"/>
            </w:tcBorders>
            <w:shd w:val="clear" w:color="auto" w:fill="7CDED7"/>
            <w:noWrap/>
            <w:vAlign w:val="center"/>
          </w:tcPr>
          <w:p w14:paraId="32F5077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c>
          <w:tcPr>
            <w:tcW w:w="1454" w:type="dxa"/>
            <w:tcBorders>
              <w:top w:val="nil"/>
              <w:left w:val="nil"/>
              <w:bottom w:val="single" w:color="000000" w:sz="8" w:space="0"/>
              <w:right w:val="nil"/>
            </w:tcBorders>
            <w:shd w:val="clear" w:color="auto" w:fill="7CDED7"/>
            <w:noWrap/>
            <w:vAlign w:val="center"/>
          </w:tcPr>
          <w:p w14:paraId="757B422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Low</w:t>
            </w:r>
          </w:p>
        </w:tc>
      </w:tr>
    </w:tbl>
    <w:p w14:paraId="035422C1">
      <w:pPr>
        <w:spacing w:line="360" w:lineRule="exact"/>
        <w:rPr>
          <w:rFonts w:hint="default" w:ascii="Times New Roman" w:hAnsi="Times New Roman" w:cs="Times New Roman"/>
          <w:b/>
          <w:bCs/>
          <w:color w:val="auto"/>
        </w:rPr>
      </w:pPr>
    </w:p>
    <w:p w14:paraId="3F58E0FF">
      <w:pPr>
        <w:spacing w:line="360" w:lineRule="exact"/>
        <w:rPr>
          <w:rFonts w:hint="default" w:ascii="Times New Roman" w:hAnsi="Times New Roman" w:cs="Times New Roman"/>
          <w:b/>
          <w:bCs/>
          <w:color w:val="auto"/>
        </w:rPr>
      </w:pPr>
    </w:p>
    <w:p w14:paraId="4FBC7772">
      <w:pPr>
        <w:spacing w:line="360" w:lineRule="exact"/>
        <w:rPr>
          <w:rFonts w:hint="default" w:ascii="Times New Roman" w:hAnsi="Times New Roman" w:cs="Times New Roman"/>
          <w:b/>
          <w:bCs/>
          <w:color w:val="auto"/>
        </w:rPr>
      </w:pPr>
    </w:p>
    <w:p w14:paraId="0C3F1DF8">
      <w:pPr>
        <w:spacing w:line="360" w:lineRule="exact"/>
        <w:rPr>
          <w:rFonts w:hint="default" w:ascii="Times New Roman" w:hAnsi="Times New Roman" w:cs="Times New Roman"/>
          <w:b/>
          <w:bCs/>
          <w:color w:val="auto"/>
        </w:rPr>
      </w:pPr>
    </w:p>
    <w:p w14:paraId="6C6D667E">
      <w:pPr>
        <w:spacing w:line="360" w:lineRule="exact"/>
        <w:rPr>
          <w:rFonts w:hint="default" w:ascii="Times New Roman" w:hAnsi="Times New Roman" w:cs="Times New Roman"/>
          <w:b/>
          <w:bCs/>
          <w:color w:val="auto"/>
        </w:rPr>
      </w:pPr>
    </w:p>
    <w:p w14:paraId="3C01E0D7">
      <w:pPr>
        <w:spacing w:line="360" w:lineRule="exact"/>
        <w:rPr>
          <w:rFonts w:hint="default" w:ascii="Times New Roman" w:hAnsi="Times New Roman" w:cs="Times New Roman"/>
          <w:b/>
          <w:bCs/>
          <w:color w:val="auto"/>
        </w:rPr>
      </w:pPr>
    </w:p>
    <w:p w14:paraId="2F1B75B1">
      <w:pPr>
        <w:spacing w:line="360" w:lineRule="exact"/>
        <w:rPr>
          <w:rFonts w:hint="default" w:ascii="Times New Roman" w:hAnsi="Times New Roman" w:cs="Times New Roman"/>
          <w:b/>
          <w:bCs/>
          <w:color w:val="auto"/>
        </w:rPr>
      </w:pPr>
    </w:p>
    <w:p w14:paraId="4B7EDC1F">
      <w:pPr>
        <w:spacing w:line="360" w:lineRule="exact"/>
        <w:rPr>
          <w:rFonts w:hint="default" w:ascii="Times New Roman" w:hAnsi="Times New Roman" w:cs="Times New Roman"/>
          <w:b/>
          <w:bCs/>
          <w:color w:val="auto"/>
        </w:rPr>
      </w:pPr>
    </w:p>
    <w:p w14:paraId="5CCF5C6A">
      <w:pPr>
        <w:spacing w:line="360" w:lineRule="exact"/>
        <w:rPr>
          <w:rFonts w:hint="default" w:ascii="Times New Roman" w:hAnsi="Times New Roman" w:cs="Times New Roman"/>
          <w:b/>
          <w:bCs/>
          <w:color w:val="auto"/>
        </w:rPr>
      </w:pPr>
    </w:p>
    <w:p w14:paraId="1A192F78">
      <w:pPr>
        <w:spacing w:line="360" w:lineRule="exact"/>
        <w:rPr>
          <w:rFonts w:hint="default" w:ascii="Times New Roman" w:hAnsi="Times New Roman" w:cs="Times New Roman"/>
          <w:b/>
          <w:bCs/>
          <w:color w:val="auto"/>
        </w:rPr>
      </w:pPr>
    </w:p>
    <w:p w14:paraId="533EC3B8">
      <w:pPr>
        <w:spacing w:line="360" w:lineRule="exact"/>
        <w:rPr>
          <w:rFonts w:hint="default" w:ascii="Times New Roman" w:hAnsi="Times New Roman" w:cs="Times New Roman"/>
          <w:b/>
          <w:bCs/>
          <w:color w:val="auto"/>
        </w:rPr>
      </w:pPr>
    </w:p>
    <w:p w14:paraId="29E73B5E">
      <w:pPr>
        <w:spacing w:line="360" w:lineRule="exact"/>
        <w:rPr>
          <w:rFonts w:hint="default" w:ascii="Times New Roman" w:hAnsi="Times New Roman" w:cs="Times New Roman"/>
          <w:b/>
          <w:bCs/>
          <w:color w:val="auto"/>
        </w:rPr>
      </w:pPr>
    </w:p>
    <w:p w14:paraId="26DD509A">
      <w:pPr>
        <w:spacing w:line="360" w:lineRule="exact"/>
        <w:rPr>
          <w:rFonts w:hint="default" w:ascii="Times New Roman" w:hAnsi="Times New Roman" w:cs="Times New Roman"/>
          <w:b/>
          <w:bCs/>
          <w:color w:val="auto"/>
        </w:rPr>
      </w:pPr>
    </w:p>
    <w:p w14:paraId="1369FA6A">
      <w:pPr>
        <w:spacing w:line="360" w:lineRule="exact"/>
        <w:rPr>
          <w:rFonts w:hint="default" w:ascii="Times New Roman" w:hAnsi="Times New Roman" w:cs="Times New Roman"/>
          <w:b/>
          <w:bCs/>
          <w:color w:val="auto"/>
        </w:rPr>
      </w:pPr>
    </w:p>
    <w:p w14:paraId="63B87F82">
      <w:pPr>
        <w:spacing w:line="360" w:lineRule="exact"/>
        <w:rPr>
          <w:rFonts w:hint="default" w:ascii="Times New Roman" w:hAnsi="Times New Roman" w:cs="Times New Roman"/>
          <w:b/>
          <w:bCs/>
          <w:color w:val="auto"/>
        </w:rPr>
      </w:pPr>
    </w:p>
    <w:p w14:paraId="3800979C">
      <w:pPr>
        <w:spacing w:line="360" w:lineRule="exact"/>
        <w:rPr>
          <w:rFonts w:hint="default" w:ascii="Times New Roman" w:hAnsi="Times New Roman" w:cs="Times New Roman"/>
          <w:b/>
          <w:bCs/>
          <w:color w:val="auto"/>
        </w:rPr>
      </w:pPr>
    </w:p>
    <w:p w14:paraId="09C51F68">
      <w:pPr>
        <w:spacing w:line="360" w:lineRule="exact"/>
        <w:rPr>
          <w:rFonts w:hint="default" w:ascii="Times New Roman" w:hAnsi="Times New Roman" w:cs="Times New Roman"/>
          <w:b/>
          <w:bCs/>
          <w:color w:val="auto"/>
        </w:rPr>
      </w:pPr>
    </w:p>
    <w:p w14:paraId="6A528330">
      <w:pPr>
        <w:spacing w:line="360" w:lineRule="exact"/>
        <w:rPr>
          <w:rFonts w:hint="default" w:ascii="Times New Roman" w:hAnsi="Times New Roman" w:cs="Times New Roman"/>
          <w:b/>
          <w:bCs/>
          <w:color w:val="auto"/>
        </w:rPr>
      </w:pPr>
    </w:p>
    <w:p w14:paraId="7A7FC14B">
      <w:pPr>
        <w:spacing w:line="360" w:lineRule="exact"/>
        <w:rPr>
          <w:rFonts w:hint="default" w:ascii="Times New Roman" w:hAnsi="Times New Roman" w:cs="Times New Roman"/>
          <w:b/>
          <w:bCs/>
          <w:color w:val="auto"/>
        </w:rPr>
      </w:pPr>
    </w:p>
    <w:p w14:paraId="2C4C14D2">
      <w:pPr>
        <w:widowControl/>
        <w:jc w:val="left"/>
        <w:rPr>
          <w:rFonts w:hint="default" w:ascii="Times New Roman" w:hAnsi="Times New Roman" w:cs="Times New Roman"/>
          <w:b/>
          <w:bCs/>
          <w:color w:val="auto"/>
        </w:rPr>
      </w:pPr>
      <w:r>
        <w:rPr>
          <w:rFonts w:hint="default" w:ascii="Times New Roman" w:hAnsi="Times New Roman" w:cs="Times New Roman"/>
          <w:b/>
          <w:bCs/>
          <w:color w:val="auto"/>
        </w:rPr>
        <w:br w:type="page"/>
      </w:r>
    </w:p>
    <w:p w14:paraId="371B10F1">
      <w:pPr>
        <w:spacing w:line="360" w:lineRule="exact"/>
        <w:outlineLvl w:val="0"/>
        <w:rPr>
          <w:rFonts w:hint="default" w:ascii="Times New Roman" w:hAnsi="Times New Roman" w:cs="Times New Roman"/>
          <w:color w:val="auto"/>
        </w:rPr>
      </w:pPr>
      <w:r>
        <w:rPr>
          <w:rFonts w:hint="default" w:ascii="Times New Roman" w:hAnsi="Times New Roman" w:cs="Times New Roman"/>
          <w:color w:val="auto"/>
        </w:rPr>
        <w:drawing>
          <wp:anchor distT="0" distB="0" distL="114300" distR="114300" simplePos="0" relativeHeight="251659264" behindDoc="0" locked="0" layoutInCell="1" allowOverlap="1">
            <wp:simplePos x="0" y="0"/>
            <wp:positionH relativeFrom="column">
              <wp:posOffset>1043305</wp:posOffset>
            </wp:positionH>
            <wp:positionV relativeFrom="paragraph">
              <wp:posOffset>481965</wp:posOffset>
            </wp:positionV>
            <wp:extent cx="4554220" cy="4234815"/>
            <wp:effectExtent l="0" t="0" r="0" b="0"/>
            <wp:wrapTopAndBottom/>
            <wp:docPr id="1831276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7653" name="图片 3"/>
                    <pic:cNvPicPr>
                      <a:picLocks noChangeAspect="1"/>
                    </pic:cNvPicPr>
                  </pic:nvPicPr>
                  <pic:blipFill>
                    <a:blip r:embed="rId6"/>
                    <a:srcRect l="17324" t="11955" r="17487" b="4684"/>
                    <a:stretch>
                      <a:fillRect/>
                    </a:stretch>
                  </pic:blipFill>
                  <pic:spPr>
                    <a:xfrm>
                      <a:off x="0" y="0"/>
                      <a:ext cx="4554220" cy="4234815"/>
                    </a:xfrm>
                    <a:prstGeom prst="rect">
                      <a:avLst/>
                    </a:prstGeom>
                    <a:ln>
                      <a:noFill/>
                    </a:ln>
                  </pic:spPr>
                </pic:pic>
              </a:graphicData>
            </a:graphic>
          </wp:anchor>
        </w:drawing>
      </w: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 xml:space="preserve">5 </w:t>
      </w:r>
      <w:r>
        <w:rPr>
          <w:rFonts w:hint="default" w:ascii="Times New Roman" w:hAnsi="Times New Roman" w:cs="Times New Roman"/>
          <w:color w:val="auto"/>
        </w:rPr>
        <w:t>Contribution of Direct and Indirect Comparisons to the Network Meta-Analysis (NMA) and the Number of Studies in Each Direct Comparison</w:t>
      </w:r>
    </w:p>
    <w:p w14:paraId="0AB1A05C">
      <w:pPr>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 Control, B: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 C:</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High-intensity interval training, D: 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E: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p>
    <w:p w14:paraId="0C496F21">
      <w:pPr>
        <w:spacing w:line="360" w:lineRule="exact"/>
        <w:jc w:val="center"/>
        <w:rPr>
          <w:rFonts w:hint="default" w:ascii="Times New Roman" w:hAnsi="Times New Roman" w:cs="Times New Roman"/>
          <w:b/>
          <w:bCs/>
          <w:color w:val="auto"/>
        </w:rPr>
      </w:pPr>
    </w:p>
    <w:p w14:paraId="69F9BF56">
      <w:pPr>
        <w:widowControl/>
        <w:jc w:val="left"/>
        <w:rPr>
          <w:rFonts w:hint="default" w:ascii="Times New Roman" w:hAnsi="Times New Roman" w:cs="Times New Roman"/>
          <w:b/>
          <w:bCs/>
          <w:color w:val="auto"/>
        </w:rPr>
      </w:pPr>
      <w:r>
        <w:rPr>
          <w:rFonts w:hint="default" w:ascii="Times New Roman" w:hAnsi="Times New Roman" w:cs="Times New Roman"/>
          <w:b/>
          <w:bCs/>
          <w:color w:val="auto"/>
        </w:rPr>
        <w:br w:type="page"/>
      </w:r>
    </w:p>
    <w:p w14:paraId="74006357">
      <w:pPr>
        <w:spacing w:line="360" w:lineRule="exact"/>
        <w:jc w:val="left"/>
        <w:outlineLvl w:val="0"/>
        <w:rPr>
          <w:rFonts w:hint="default" w:ascii="Times New Roman" w:hAnsi="Times New Roman" w:cs="Times New Roman"/>
          <w:color w:val="auto"/>
        </w:rPr>
      </w:pP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 xml:space="preserve">6 </w:t>
      </w:r>
      <w:r>
        <w:rPr>
          <w:rFonts w:hint="default" w:ascii="Times New Roman" w:hAnsi="Times New Roman" w:cs="Times New Roman"/>
          <w:color w:val="auto"/>
        </w:rPr>
        <w:t>Inconsistency Analysis Using Loop, Global, and Local Inconsistency</w:t>
      </w:r>
      <w:r>
        <w:rPr>
          <w:rFonts w:hint="default" w:ascii="Times New Roman" w:hAnsi="Times New Roman" w:cs="Times New Roman"/>
          <w:color w:val="auto"/>
        </w:rPr>
        <w:t xml:space="preserve"> </w:t>
      </w:r>
      <w:r>
        <w:rPr>
          <w:rFonts w:hint="default" w:ascii="Times New Roman" w:hAnsi="Times New Roman" w:cs="Times New Roman"/>
          <w:color w:val="auto"/>
        </w:rPr>
        <w:t>Tests</w:t>
      </w:r>
    </w:p>
    <w:p w14:paraId="69538800">
      <w:pPr>
        <w:spacing w:line="360" w:lineRule="exact"/>
        <w:jc w:val="center"/>
        <w:rPr>
          <w:rFonts w:hint="default" w:ascii="Times New Roman" w:hAnsi="Times New Roman" w:cs="Times New Roman"/>
          <w:color w:val="auto"/>
          <w:szCs w:val="21"/>
        </w:rPr>
      </w:pPr>
      <w:r>
        <w:rPr>
          <w:rFonts w:hint="default" w:ascii="Times New Roman" w:hAnsi="Times New Roman" w:cs="Times New Roman"/>
          <w:b/>
          <w:bCs/>
          <w:color w:val="auto"/>
        </w:rPr>
        <w:t>Table S5</w:t>
      </w:r>
      <w:r>
        <w:rPr>
          <w:rFonts w:hint="default" w:ascii="Times New Roman" w:hAnsi="Times New Roman" w:cs="Times New Roman"/>
          <w:color w:val="auto"/>
        </w:rPr>
        <w:t xml:space="preserve"> </w:t>
      </w:r>
      <w:r>
        <w:rPr>
          <w:rFonts w:hint="default" w:ascii="Times New Roman" w:hAnsi="Times New Roman" w:cs="Times New Roman"/>
          <w:color w:val="auto"/>
        </w:rPr>
        <w:t>Results of the Loop Inconsistency Test</w:t>
      </w:r>
    </w:p>
    <w:tbl>
      <w:tblPr>
        <w:tblStyle w:val="14"/>
        <w:tblW w:w="1057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1"/>
        <w:gridCol w:w="952"/>
        <w:gridCol w:w="948"/>
        <w:gridCol w:w="1288"/>
        <w:gridCol w:w="1288"/>
        <w:gridCol w:w="1659"/>
        <w:gridCol w:w="2531"/>
      </w:tblGrid>
      <w:tr w14:paraId="347DB9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1911" w:type="dxa"/>
            <w:tcBorders>
              <w:bottom w:val="single" w:color="auto" w:sz="6" w:space="0"/>
              <w:insideH w:val="single" w:sz="6" w:space="0"/>
            </w:tcBorders>
            <w:vAlign w:val="center"/>
          </w:tcPr>
          <w:p w14:paraId="44955120">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Loop</w:t>
            </w:r>
          </w:p>
        </w:tc>
        <w:tc>
          <w:tcPr>
            <w:tcW w:w="952" w:type="dxa"/>
            <w:tcBorders>
              <w:bottom w:val="single" w:color="auto" w:sz="6" w:space="0"/>
              <w:insideH w:val="single" w:sz="6" w:space="0"/>
            </w:tcBorders>
            <w:vAlign w:val="center"/>
          </w:tcPr>
          <w:p w14:paraId="2F560C65">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IF</w:t>
            </w:r>
          </w:p>
        </w:tc>
        <w:tc>
          <w:tcPr>
            <w:tcW w:w="948" w:type="dxa"/>
            <w:tcBorders>
              <w:bottom w:val="single" w:color="auto" w:sz="6" w:space="0"/>
              <w:insideH w:val="single" w:sz="6" w:space="0"/>
            </w:tcBorders>
            <w:vAlign w:val="center"/>
          </w:tcPr>
          <w:p w14:paraId="13265B61">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seIF</w:t>
            </w:r>
          </w:p>
        </w:tc>
        <w:tc>
          <w:tcPr>
            <w:tcW w:w="1288" w:type="dxa"/>
            <w:tcBorders>
              <w:bottom w:val="single" w:color="auto" w:sz="6" w:space="0"/>
              <w:insideH w:val="single" w:sz="6" w:space="0"/>
            </w:tcBorders>
            <w:vAlign w:val="center"/>
          </w:tcPr>
          <w:p w14:paraId="418C662A">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z_value</w:t>
            </w:r>
          </w:p>
        </w:tc>
        <w:tc>
          <w:tcPr>
            <w:tcW w:w="1288" w:type="dxa"/>
            <w:tcBorders>
              <w:bottom w:val="single" w:color="auto" w:sz="6" w:space="0"/>
              <w:insideH w:val="single" w:sz="6" w:space="0"/>
            </w:tcBorders>
            <w:vAlign w:val="center"/>
          </w:tcPr>
          <w:p w14:paraId="42382F80">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p_value</w:t>
            </w:r>
          </w:p>
        </w:tc>
        <w:tc>
          <w:tcPr>
            <w:tcW w:w="1659" w:type="dxa"/>
            <w:tcBorders>
              <w:bottom w:val="single" w:color="auto" w:sz="6" w:space="0"/>
              <w:insideH w:val="single" w:sz="6" w:space="0"/>
            </w:tcBorders>
            <w:vAlign w:val="center"/>
          </w:tcPr>
          <w:p w14:paraId="00831DF7">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CI_95</w:t>
            </w:r>
          </w:p>
        </w:tc>
        <w:tc>
          <w:tcPr>
            <w:tcW w:w="2531" w:type="dxa"/>
            <w:tcBorders>
              <w:bottom w:val="single" w:color="auto" w:sz="6" w:space="0"/>
              <w:insideH w:val="single" w:sz="6" w:space="0"/>
            </w:tcBorders>
            <w:vAlign w:val="center"/>
          </w:tcPr>
          <w:p w14:paraId="412145C0">
            <w:pPr>
              <w:widowControl/>
              <w:spacing w:line="360" w:lineRule="exact"/>
              <w:jc w:val="center"/>
              <w:rPr>
                <w:rFonts w:hint="default" w:ascii="Times New Roman" w:hAnsi="Times New Roman" w:eastAsia="等线" w:cs="Times New Roman"/>
                <w:b/>
                <w:bCs/>
                <w:color w:val="auto"/>
                <w:kern w:val="0"/>
                <w:szCs w:val="21"/>
              </w:rPr>
            </w:pPr>
            <w:r>
              <w:rPr>
                <w:rFonts w:hint="default" w:ascii="Times New Roman" w:hAnsi="Times New Roman" w:eastAsia="等线" w:cs="Times New Roman"/>
                <w:b/>
                <w:bCs/>
                <w:color w:val="auto"/>
                <w:kern w:val="0"/>
                <w:szCs w:val="21"/>
                <w:lang w:val="en-GB"/>
              </w:rPr>
              <w:t>Loop_Heterog_tau2</w:t>
            </w:r>
          </w:p>
        </w:tc>
      </w:tr>
      <w:tr w14:paraId="5FCF0C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52547B7F">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AE-COM-RT</w:t>
            </w:r>
          </w:p>
        </w:tc>
        <w:tc>
          <w:tcPr>
            <w:tcW w:w="952" w:type="dxa"/>
          </w:tcPr>
          <w:p w14:paraId="0E128A29">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0.654</w:t>
            </w:r>
          </w:p>
        </w:tc>
        <w:tc>
          <w:tcPr>
            <w:tcW w:w="948" w:type="dxa"/>
          </w:tcPr>
          <w:p w14:paraId="784B0442">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0.511</w:t>
            </w:r>
          </w:p>
        </w:tc>
        <w:tc>
          <w:tcPr>
            <w:tcW w:w="1288" w:type="dxa"/>
          </w:tcPr>
          <w:p w14:paraId="70EF4F1C">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1.28</w:t>
            </w:r>
          </w:p>
        </w:tc>
        <w:tc>
          <w:tcPr>
            <w:tcW w:w="1288" w:type="dxa"/>
          </w:tcPr>
          <w:p w14:paraId="27BADE2F">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0.2</w:t>
            </w:r>
          </w:p>
        </w:tc>
        <w:tc>
          <w:tcPr>
            <w:tcW w:w="1659" w:type="dxa"/>
          </w:tcPr>
          <w:p w14:paraId="46EA7209">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(0.00,1.66)</w:t>
            </w:r>
          </w:p>
        </w:tc>
        <w:tc>
          <w:tcPr>
            <w:tcW w:w="2531" w:type="dxa"/>
          </w:tcPr>
          <w:p w14:paraId="2B25AF9E">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0.094</w:t>
            </w:r>
          </w:p>
        </w:tc>
      </w:tr>
      <w:tr w14:paraId="7F0AF4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252EBEDB">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CON-HIIT-COM</w:t>
            </w:r>
          </w:p>
        </w:tc>
        <w:tc>
          <w:tcPr>
            <w:tcW w:w="952" w:type="dxa"/>
          </w:tcPr>
          <w:p w14:paraId="0D5C8F3C">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0.485</w:t>
            </w:r>
          </w:p>
        </w:tc>
        <w:tc>
          <w:tcPr>
            <w:tcW w:w="948" w:type="dxa"/>
          </w:tcPr>
          <w:p w14:paraId="32EFA2B3">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0.82</w:t>
            </w:r>
          </w:p>
        </w:tc>
        <w:tc>
          <w:tcPr>
            <w:tcW w:w="1288" w:type="dxa"/>
          </w:tcPr>
          <w:p w14:paraId="2E4185D2">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0.592</w:t>
            </w:r>
          </w:p>
        </w:tc>
        <w:tc>
          <w:tcPr>
            <w:tcW w:w="1288" w:type="dxa"/>
          </w:tcPr>
          <w:p w14:paraId="22B78622">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0.554</w:t>
            </w:r>
          </w:p>
        </w:tc>
        <w:tc>
          <w:tcPr>
            <w:tcW w:w="1659" w:type="dxa"/>
          </w:tcPr>
          <w:p w14:paraId="75A18CB5">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(0.00,2.09)</w:t>
            </w:r>
          </w:p>
        </w:tc>
        <w:tc>
          <w:tcPr>
            <w:tcW w:w="2531" w:type="dxa"/>
          </w:tcPr>
          <w:p w14:paraId="519FEB19">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0.397</w:t>
            </w:r>
          </w:p>
        </w:tc>
      </w:tr>
      <w:tr w14:paraId="01D168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6262EF94">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CON-AE-HIIT</w:t>
            </w:r>
          </w:p>
        </w:tc>
        <w:tc>
          <w:tcPr>
            <w:tcW w:w="952" w:type="dxa"/>
          </w:tcPr>
          <w:p w14:paraId="088DE5B3">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0.444</w:t>
            </w:r>
          </w:p>
        </w:tc>
        <w:tc>
          <w:tcPr>
            <w:tcW w:w="948" w:type="dxa"/>
          </w:tcPr>
          <w:p w14:paraId="46B1AAD7">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0.254</w:t>
            </w:r>
          </w:p>
        </w:tc>
        <w:tc>
          <w:tcPr>
            <w:tcW w:w="1288" w:type="dxa"/>
          </w:tcPr>
          <w:p w14:paraId="28F3D765">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1.748</w:t>
            </w:r>
          </w:p>
        </w:tc>
        <w:tc>
          <w:tcPr>
            <w:tcW w:w="1288" w:type="dxa"/>
          </w:tcPr>
          <w:p w14:paraId="2D9AF6A3">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0.08</w:t>
            </w:r>
          </w:p>
        </w:tc>
        <w:tc>
          <w:tcPr>
            <w:tcW w:w="1659" w:type="dxa"/>
          </w:tcPr>
          <w:p w14:paraId="2CF4A6DB">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(0.00,0.94)</w:t>
            </w:r>
          </w:p>
        </w:tc>
        <w:tc>
          <w:tcPr>
            <w:tcW w:w="2531" w:type="dxa"/>
          </w:tcPr>
          <w:p w14:paraId="40B1D8A7">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0.111</w:t>
            </w:r>
          </w:p>
        </w:tc>
      </w:tr>
      <w:tr w14:paraId="0769DC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5998E9BD">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CON-AE-COM</w:t>
            </w:r>
          </w:p>
        </w:tc>
        <w:tc>
          <w:tcPr>
            <w:tcW w:w="952" w:type="dxa"/>
          </w:tcPr>
          <w:p w14:paraId="5A4BE1FC">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0.345</w:t>
            </w:r>
          </w:p>
        </w:tc>
        <w:tc>
          <w:tcPr>
            <w:tcW w:w="948" w:type="dxa"/>
          </w:tcPr>
          <w:p w14:paraId="2C2967BA">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0.42</w:t>
            </w:r>
          </w:p>
        </w:tc>
        <w:tc>
          <w:tcPr>
            <w:tcW w:w="1288" w:type="dxa"/>
          </w:tcPr>
          <w:p w14:paraId="4B7D029E">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0.821</w:t>
            </w:r>
          </w:p>
        </w:tc>
        <w:tc>
          <w:tcPr>
            <w:tcW w:w="1288" w:type="dxa"/>
          </w:tcPr>
          <w:p w14:paraId="15DA3C25">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0.411</w:t>
            </w:r>
          </w:p>
        </w:tc>
        <w:tc>
          <w:tcPr>
            <w:tcW w:w="1659" w:type="dxa"/>
          </w:tcPr>
          <w:p w14:paraId="70421BA0">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(0.00,1.17)</w:t>
            </w:r>
          </w:p>
        </w:tc>
        <w:tc>
          <w:tcPr>
            <w:tcW w:w="2531" w:type="dxa"/>
          </w:tcPr>
          <w:p w14:paraId="332AAE34">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0.251</w:t>
            </w:r>
          </w:p>
        </w:tc>
      </w:tr>
      <w:tr w14:paraId="2FDEF4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032CC748">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CON-COM-RT</w:t>
            </w:r>
          </w:p>
        </w:tc>
        <w:tc>
          <w:tcPr>
            <w:tcW w:w="952" w:type="dxa"/>
          </w:tcPr>
          <w:p w14:paraId="67E5CABA">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0.345</w:t>
            </w:r>
          </w:p>
        </w:tc>
        <w:tc>
          <w:tcPr>
            <w:tcW w:w="948" w:type="dxa"/>
          </w:tcPr>
          <w:p w14:paraId="759F3CE7">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0.921</w:t>
            </w:r>
          </w:p>
        </w:tc>
        <w:tc>
          <w:tcPr>
            <w:tcW w:w="1288" w:type="dxa"/>
          </w:tcPr>
          <w:p w14:paraId="78F05A02">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0.374</w:t>
            </w:r>
          </w:p>
        </w:tc>
        <w:tc>
          <w:tcPr>
            <w:tcW w:w="1288" w:type="dxa"/>
          </w:tcPr>
          <w:p w14:paraId="37B9F4BD">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0.708</w:t>
            </w:r>
          </w:p>
        </w:tc>
        <w:tc>
          <w:tcPr>
            <w:tcW w:w="1659" w:type="dxa"/>
          </w:tcPr>
          <w:p w14:paraId="73EED3CB">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(0.00,2.15)</w:t>
            </w:r>
          </w:p>
        </w:tc>
        <w:tc>
          <w:tcPr>
            <w:tcW w:w="2531" w:type="dxa"/>
          </w:tcPr>
          <w:p w14:paraId="2C400A7C">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0.551</w:t>
            </w:r>
          </w:p>
        </w:tc>
      </w:tr>
      <w:tr w14:paraId="530D673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175ED6C4">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AE-HIIT-COM</w:t>
            </w:r>
          </w:p>
        </w:tc>
        <w:tc>
          <w:tcPr>
            <w:tcW w:w="952" w:type="dxa"/>
          </w:tcPr>
          <w:p w14:paraId="2C61DF37">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0.315</w:t>
            </w:r>
          </w:p>
        </w:tc>
        <w:tc>
          <w:tcPr>
            <w:tcW w:w="948" w:type="dxa"/>
          </w:tcPr>
          <w:p w14:paraId="41BD1BCB">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0.751</w:t>
            </w:r>
          </w:p>
        </w:tc>
        <w:tc>
          <w:tcPr>
            <w:tcW w:w="1288" w:type="dxa"/>
          </w:tcPr>
          <w:p w14:paraId="0EE01A48">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0.419</w:t>
            </w:r>
          </w:p>
        </w:tc>
        <w:tc>
          <w:tcPr>
            <w:tcW w:w="1288" w:type="dxa"/>
          </w:tcPr>
          <w:p w14:paraId="465D0656">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0.675</w:t>
            </w:r>
          </w:p>
        </w:tc>
        <w:tc>
          <w:tcPr>
            <w:tcW w:w="1659" w:type="dxa"/>
          </w:tcPr>
          <w:p w14:paraId="79C8E456">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(0.00,1.79)</w:t>
            </w:r>
          </w:p>
        </w:tc>
        <w:tc>
          <w:tcPr>
            <w:tcW w:w="2531" w:type="dxa"/>
          </w:tcPr>
          <w:p w14:paraId="2AECA1F1">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0.155</w:t>
            </w:r>
          </w:p>
        </w:tc>
      </w:tr>
      <w:tr w14:paraId="569B5A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911" w:type="dxa"/>
          </w:tcPr>
          <w:p w14:paraId="443D08C3">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CON-AE-RT</w:t>
            </w:r>
          </w:p>
        </w:tc>
        <w:tc>
          <w:tcPr>
            <w:tcW w:w="952" w:type="dxa"/>
          </w:tcPr>
          <w:p w14:paraId="7485F6A1">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0.025</w:t>
            </w:r>
          </w:p>
        </w:tc>
        <w:tc>
          <w:tcPr>
            <w:tcW w:w="948" w:type="dxa"/>
          </w:tcPr>
          <w:p w14:paraId="52537DDE">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0.371</w:t>
            </w:r>
          </w:p>
        </w:tc>
        <w:tc>
          <w:tcPr>
            <w:tcW w:w="1288" w:type="dxa"/>
          </w:tcPr>
          <w:p w14:paraId="68107F65">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0.067</w:t>
            </w:r>
          </w:p>
        </w:tc>
        <w:tc>
          <w:tcPr>
            <w:tcW w:w="1288" w:type="dxa"/>
          </w:tcPr>
          <w:p w14:paraId="5BF4260C">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0.947</w:t>
            </w:r>
          </w:p>
        </w:tc>
        <w:tc>
          <w:tcPr>
            <w:tcW w:w="1659" w:type="dxa"/>
          </w:tcPr>
          <w:p w14:paraId="40648AD4">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(0.00,0.75)</w:t>
            </w:r>
          </w:p>
        </w:tc>
        <w:tc>
          <w:tcPr>
            <w:tcW w:w="2531" w:type="dxa"/>
          </w:tcPr>
          <w:p w14:paraId="6C2EB324">
            <w:pPr>
              <w:widowControl/>
              <w:jc w:val="center"/>
              <w:rPr>
                <w:rFonts w:hint="default" w:ascii="Times New Roman" w:hAnsi="Times New Roman" w:eastAsia="等线" w:cs="Times New Roman"/>
                <w:color w:val="auto"/>
                <w:kern w:val="0"/>
                <w:szCs w:val="21"/>
              </w:rPr>
            </w:pPr>
            <w:r>
              <w:rPr>
                <w:rFonts w:hint="default" w:ascii="Times New Roman" w:hAnsi="Times New Roman" w:eastAsia="等线" w:cs="Times New Roman"/>
                <w:color w:val="auto"/>
                <w:kern w:val="0"/>
                <w:szCs w:val="21"/>
              </w:rPr>
              <w:t>0.148</w:t>
            </w:r>
          </w:p>
        </w:tc>
      </w:tr>
    </w:tbl>
    <w:p w14:paraId="4C7F6109">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CON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6DFCAFFB">
      <w:pPr>
        <w:widowControl/>
        <w:spacing w:line="360" w:lineRule="exact"/>
        <w:jc w:val="left"/>
        <w:rPr>
          <w:rFonts w:hint="default" w:ascii="Times New Roman" w:hAnsi="Times New Roman" w:cs="Times New Roman"/>
          <w:b/>
          <w:bCs/>
          <w:color w:val="auto"/>
        </w:rPr>
      </w:pPr>
    </w:p>
    <w:p w14:paraId="4DBA6DA3">
      <w:pPr>
        <w:widowControl/>
        <w:spacing w:line="360" w:lineRule="exact"/>
        <w:jc w:val="left"/>
        <w:rPr>
          <w:rFonts w:hint="default" w:ascii="Times New Roman" w:hAnsi="Times New Roman" w:cs="Times New Roman"/>
          <w:color w:val="auto"/>
        </w:rPr>
      </w:pPr>
      <w:r>
        <w:rPr>
          <w:rFonts w:hint="default" w:ascii="Times New Roman" w:hAnsi="Times New Roman" w:cs="Times New Roman"/>
          <w:b/>
          <w:bCs/>
          <w:color w:val="auto"/>
        </w:rPr>
        <w:t xml:space="preserve">Table </w:t>
      </w:r>
      <w:r>
        <w:rPr>
          <w:rFonts w:hint="default" w:ascii="Times New Roman" w:hAnsi="Times New Roman" w:cs="Times New Roman"/>
          <w:b/>
          <w:bCs/>
          <w:color w:val="auto"/>
        </w:rPr>
        <w:t>S6</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cs="Times New Roman"/>
          <w:color w:val="auto"/>
        </w:rPr>
        <w:t>Fitting the Inconsistency Model</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1"/>
        <w:gridCol w:w="5341"/>
      </w:tblGrid>
      <w:tr w14:paraId="4CA4F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1" w:type="dxa"/>
            <w:tcBorders>
              <w:top w:val="single" w:color="auto" w:sz="12" w:space="0"/>
              <w:left w:val="nil"/>
              <w:bottom w:val="single" w:color="auto" w:sz="6" w:space="0"/>
              <w:right w:val="nil"/>
            </w:tcBorders>
          </w:tcPr>
          <w:p w14:paraId="040CD81E">
            <w:pPr>
              <w:widowControl/>
              <w:spacing w:line="360" w:lineRule="exact"/>
              <w:jc w:val="left"/>
              <w:rPr>
                <w:rFonts w:hint="default" w:ascii="Times New Roman" w:hAnsi="Times New Roman" w:cs="Times New Roman"/>
                <w:color w:val="auto"/>
              </w:rPr>
            </w:pPr>
            <w:r>
              <w:rPr>
                <w:rFonts w:hint="default" w:ascii="Times New Roman" w:hAnsi="Times New Roman" w:cs="Times New Roman"/>
                <w:b/>
                <w:bCs/>
                <w:color w:val="auto"/>
              </w:rPr>
              <w:t>Fitting the Inconsistency Model</w:t>
            </w:r>
          </w:p>
        </w:tc>
        <w:tc>
          <w:tcPr>
            <w:tcW w:w="5341" w:type="dxa"/>
            <w:tcBorders>
              <w:top w:val="single" w:color="auto" w:sz="12" w:space="0"/>
              <w:left w:val="nil"/>
              <w:bottom w:val="single" w:color="auto" w:sz="6" w:space="0"/>
              <w:right w:val="nil"/>
            </w:tcBorders>
          </w:tcPr>
          <w:p w14:paraId="7BCB9877">
            <w:pPr>
              <w:spacing w:line="360" w:lineRule="exact"/>
              <w:rPr>
                <w:rFonts w:hint="default" w:ascii="Times New Roman" w:hAnsi="Times New Roman" w:cs="Times New Roman"/>
                <w:color w:val="auto"/>
              </w:rPr>
            </w:pPr>
          </w:p>
        </w:tc>
      </w:tr>
      <w:tr w14:paraId="5D44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1" w:type="dxa"/>
            <w:tcBorders>
              <w:top w:val="single" w:color="auto" w:sz="6" w:space="0"/>
              <w:left w:val="nil"/>
              <w:bottom w:val="nil"/>
              <w:right w:val="nil"/>
            </w:tcBorders>
          </w:tcPr>
          <w:p w14:paraId="6F695674">
            <w:pPr>
              <w:spacing w:line="360" w:lineRule="exact"/>
              <w:jc w:val="center"/>
              <w:rPr>
                <w:rFonts w:hint="default" w:ascii="Times New Roman" w:hAnsi="Times New Roman" w:cs="Times New Roman"/>
                <w:color w:val="auto"/>
              </w:rPr>
            </w:pPr>
            <w:r>
              <w:rPr>
                <w:rFonts w:hint="default" w:ascii="Times New Roman" w:hAnsi="Times New Roman" w:cs="Times New Roman"/>
                <w:color w:val="auto"/>
              </w:rPr>
              <w:t>chi2</w:t>
            </w:r>
          </w:p>
        </w:tc>
        <w:tc>
          <w:tcPr>
            <w:tcW w:w="5341" w:type="dxa"/>
            <w:tcBorders>
              <w:top w:val="single" w:color="auto" w:sz="6" w:space="0"/>
              <w:left w:val="nil"/>
              <w:bottom w:val="nil"/>
              <w:right w:val="nil"/>
            </w:tcBorders>
            <w:vAlign w:val="center"/>
          </w:tcPr>
          <w:p w14:paraId="37268EE3">
            <w:pPr>
              <w:widowControl/>
              <w:spacing w:line="360" w:lineRule="exact"/>
              <w:jc w:val="center"/>
              <w:textAlignment w:val="center"/>
              <w:rPr>
                <w:rFonts w:hint="default" w:ascii="Times New Roman" w:hAnsi="Times New Roman" w:cs="Times New Roman"/>
                <w:color w:val="auto"/>
                <w:szCs w:val="21"/>
              </w:rPr>
            </w:pPr>
            <w:r>
              <w:rPr>
                <w:rFonts w:hint="default" w:ascii="Times New Roman" w:hAnsi="Times New Roman" w:eastAsia="等线" w:cs="Times New Roman"/>
                <w:color w:val="auto"/>
                <w:sz w:val="22"/>
                <w:szCs w:val="22"/>
              </w:rPr>
              <w:t>4.47</w:t>
            </w:r>
          </w:p>
        </w:tc>
      </w:tr>
      <w:tr w14:paraId="2695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1" w:type="dxa"/>
            <w:tcBorders>
              <w:top w:val="nil"/>
              <w:left w:val="nil"/>
              <w:bottom w:val="single" w:color="auto" w:sz="12" w:space="0"/>
              <w:right w:val="nil"/>
            </w:tcBorders>
          </w:tcPr>
          <w:p w14:paraId="2320C930">
            <w:pPr>
              <w:spacing w:line="360" w:lineRule="exact"/>
              <w:jc w:val="center"/>
              <w:rPr>
                <w:rFonts w:hint="default" w:ascii="Times New Roman" w:hAnsi="Times New Roman" w:cs="Times New Roman"/>
                <w:color w:val="auto"/>
              </w:rPr>
            </w:pPr>
            <w:r>
              <w:rPr>
                <w:rFonts w:hint="default" w:ascii="Times New Roman" w:hAnsi="Times New Roman" w:cs="Times New Roman"/>
                <w:color w:val="auto"/>
              </w:rPr>
              <w:t>Prob &gt; chi2</w:t>
            </w:r>
          </w:p>
        </w:tc>
        <w:tc>
          <w:tcPr>
            <w:tcW w:w="5341" w:type="dxa"/>
            <w:tcBorders>
              <w:top w:val="nil"/>
              <w:left w:val="nil"/>
              <w:bottom w:val="single" w:color="auto" w:sz="12" w:space="0"/>
              <w:right w:val="nil"/>
            </w:tcBorders>
            <w:vAlign w:val="center"/>
          </w:tcPr>
          <w:p w14:paraId="3BD2F1DB">
            <w:pPr>
              <w:widowControl/>
              <w:spacing w:line="360" w:lineRule="exact"/>
              <w:jc w:val="center"/>
              <w:textAlignment w:val="center"/>
              <w:rPr>
                <w:rFonts w:hint="default" w:ascii="Times New Roman" w:hAnsi="Times New Roman" w:cs="Times New Roman"/>
                <w:color w:val="auto"/>
                <w:szCs w:val="21"/>
              </w:rPr>
            </w:pPr>
            <w:r>
              <w:rPr>
                <w:rFonts w:hint="default" w:ascii="Times New Roman" w:hAnsi="Times New Roman" w:eastAsia="等线" w:cs="Times New Roman"/>
                <w:color w:val="auto"/>
                <w:sz w:val="22"/>
                <w:szCs w:val="22"/>
              </w:rPr>
              <w:t>0.4837</w:t>
            </w:r>
          </w:p>
        </w:tc>
      </w:tr>
    </w:tbl>
    <w:p w14:paraId="45DDD003">
      <w:pPr>
        <w:widowControl/>
        <w:spacing w:line="360" w:lineRule="exact"/>
        <w:jc w:val="left"/>
        <w:rPr>
          <w:rFonts w:hint="default" w:ascii="Times New Roman" w:hAnsi="Times New Roman" w:eastAsia="宋体" w:cs="Times New Roman"/>
          <w:b/>
          <w:bCs/>
          <w:color w:val="auto"/>
          <w:kern w:val="0"/>
          <w:sz w:val="20"/>
          <w:szCs w:val="20"/>
          <w:lang w:bidi="ar"/>
        </w:rPr>
      </w:pPr>
    </w:p>
    <w:p w14:paraId="6981D2A9">
      <w:pPr>
        <w:widowControl/>
        <w:spacing w:line="360" w:lineRule="exact"/>
        <w:jc w:val="left"/>
        <w:rPr>
          <w:rFonts w:hint="default" w:ascii="Times New Roman" w:hAnsi="Times New Roman" w:cs="Times New Roman"/>
          <w:color w:val="auto"/>
        </w:rPr>
      </w:pPr>
      <w:r>
        <w:rPr>
          <w:rFonts w:hint="default" w:ascii="Times New Roman" w:hAnsi="Times New Roman" w:eastAsia="宋体" w:cs="Times New Roman"/>
          <w:b/>
          <w:bCs/>
          <w:color w:val="auto"/>
          <w:kern w:val="0"/>
          <w:sz w:val="20"/>
          <w:szCs w:val="20"/>
          <w:lang w:bidi="ar"/>
        </w:rPr>
        <w:t xml:space="preserve">Table </w:t>
      </w:r>
      <w:r>
        <w:rPr>
          <w:rFonts w:hint="default" w:ascii="Times New Roman" w:hAnsi="Times New Roman" w:eastAsia="宋体" w:cs="Times New Roman"/>
          <w:b/>
          <w:bCs/>
          <w:color w:val="auto"/>
          <w:kern w:val="0"/>
          <w:sz w:val="20"/>
          <w:szCs w:val="20"/>
          <w:lang w:bidi="ar"/>
        </w:rPr>
        <w:t>S7</w:t>
      </w:r>
      <w:r>
        <w:rPr>
          <w:rFonts w:hint="default" w:ascii="Times New Roman" w:hAnsi="Times New Roman" w:eastAsia="宋体" w:cs="Times New Roman"/>
          <w:color w:val="auto"/>
          <w:kern w:val="0"/>
          <w:sz w:val="20"/>
          <w:szCs w:val="20"/>
          <w:lang w:bidi="ar"/>
        </w:rPr>
        <w:t xml:space="preserve"> </w:t>
      </w:r>
      <w:r>
        <w:rPr>
          <w:rFonts w:hint="default" w:ascii="Times New Roman" w:hAnsi="Times New Roman" w:cs="Times New Roman"/>
          <w:color w:val="auto"/>
        </w:rPr>
        <w:t>Results of the Local Inconsistency Test</w:t>
      </w:r>
    </w:p>
    <w:tbl>
      <w:tblPr>
        <w:tblStyle w:val="6"/>
        <w:tblW w:w="10695" w:type="dxa"/>
        <w:tblInd w:w="0" w:type="dxa"/>
        <w:tblLayout w:type="autofit"/>
        <w:tblCellMar>
          <w:top w:w="0" w:type="dxa"/>
          <w:left w:w="108" w:type="dxa"/>
          <w:bottom w:w="0" w:type="dxa"/>
          <w:right w:w="108" w:type="dxa"/>
        </w:tblCellMar>
      </w:tblPr>
      <w:tblGrid>
        <w:gridCol w:w="1670"/>
        <w:gridCol w:w="1305"/>
        <w:gridCol w:w="1266"/>
        <w:gridCol w:w="1302"/>
        <w:gridCol w:w="1266"/>
        <w:gridCol w:w="1302"/>
        <w:gridCol w:w="1342"/>
        <w:gridCol w:w="1242"/>
      </w:tblGrid>
      <w:tr w14:paraId="4BCE17E8">
        <w:tblPrEx>
          <w:tblCellMar>
            <w:top w:w="0" w:type="dxa"/>
            <w:left w:w="108" w:type="dxa"/>
            <w:bottom w:w="0" w:type="dxa"/>
            <w:right w:w="108" w:type="dxa"/>
          </w:tblCellMar>
        </w:tblPrEx>
        <w:trPr>
          <w:trHeight w:val="374" w:hRule="atLeast"/>
        </w:trPr>
        <w:tc>
          <w:tcPr>
            <w:tcW w:w="1670" w:type="dxa"/>
            <w:tcBorders>
              <w:top w:val="single" w:color="auto" w:sz="12" w:space="0"/>
              <w:bottom w:val="single" w:color="auto" w:sz="6" w:space="0"/>
            </w:tcBorders>
            <w:vAlign w:val="center"/>
          </w:tcPr>
          <w:p w14:paraId="347B99DA">
            <w:pPr>
              <w:widowControl/>
              <w:spacing w:line="360" w:lineRule="exact"/>
              <w:jc w:val="center"/>
              <w:textAlignment w:val="center"/>
              <w:rPr>
                <w:rFonts w:hint="default" w:ascii="Times New Roman" w:hAnsi="Times New Roman" w:eastAsia="等线" w:cs="Times New Roman"/>
                <w:b/>
                <w:bCs/>
                <w:color w:val="auto"/>
                <w:szCs w:val="21"/>
              </w:rPr>
            </w:pPr>
            <w:r>
              <w:rPr>
                <w:rFonts w:hint="default" w:ascii="Times New Roman" w:hAnsi="Times New Roman" w:eastAsia="等线" w:cs="Times New Roman"/>
                <w:b/>
                <w:bCs/>
                <w:color w:val="auto"/>
                <w:kern w:val="0"/>
                <w:szCs w:val="21"/>
                <w:lang w:bidi="ar"/>
              </w:rPr>
              <w:t>Side</w:t>
            </w:r>
          </w:p>
        </w:tc>
        <w:tc>
          <w:tcPr>
            <w:tcW w:w="1305" w:type="dxa"/>
            <w:tcBorders>
              <w:top w:val="single" w:color="auto" w:sz="12" w:space="0"/>
              <w:bottom w:val="single" w:color="auto" w:sz="6" w:space="0"/>
            </w:tcBorders>
            <w:vAlign w:val="center"/>
          </w:tcPr>
          <w:p w14:paraId="04CA0EB9">
            <w:pPr>
              <w:widowControl/>
              <w:spacing w:line="360" w:lineRule="exact"/>
              <w:jc w:val="center"/>
              <w:textAlignment w:val="center"/>
              <w:rPr>
                <w:rFonts w:hint="default" w:ascii="Times New Roman" w:hAnsi="Times New Roman" w:eastAsia="等线" w:cs="Times New Roman"/>
                <w:b/>
                <w:bCs/>
                <w:color w:val="auto"/>
                <w:szCs w:val="21"/>
              </w:rPr>
            </w:pPr>
            <w:r>
              <w:rPr>
                <w:rFonts w:hint="default" w:ascii="Times New Roman" w:hAnsi="Times New Roman" w:eastAsia="等线" w:cs="Times New Roman"/>
                <w:b/>
                <w:bCs/>
                <w:color w:val="auto"/>
                <w:kern w:val="0"/>
                <w:szCs w:val="21"/>
                <w:lang w:bidi="ar"/>
              </w:rPr>
              <w:t>Direct</w:t>
            </w:r>
          </w:p>
        </w:tc>
        <w:tc>
          <w:tcPr>
            <w:tcW w:w="1266" w:type="dxa"/>
            <w:tcBorders>
              <w:top w:val="single" w:color="auto" w:sz="12" w:space="0"/>
              <w:bottom w:val="single" w:color="auto" w:sz="6" w:space="0"/>
            </w:tcBorders>
            <w:noWrap/>
            <w:vAlign w:val="center"/>
          </w:tcPr>
          <w:p w14:paraId="56A39078">
            <w:pPr>
              <w:spacing w:line="360" w:lineRule="exact"/>
              <w:jc w:val="center"/>
              <w:rPr>
                <w:rFonts w:hint="default" w:ascii="Times New Roman" w:hAnsi="Times New Roman" w:eastAsia="等线" w:cs="Times New Roman"/>
                <w:b/>
                <w:bCs/>
                <w:color w:val="auto"/>
                <w:szCs w:val="21"/>
              </w:rPr>
            </w:pPr>
          </w:p>
        </w:tc>
        <w:tc>
          <w:tcPr>
            <w:tcW w:w="1302" w:type="dxa"/>
            <w:tcBorders>
              <w:top w:val="single" w:color="auto" w:sz="12" w:space="0"/>
              <w:bottom w:val="single" w:color="auto" w:sz="6" w:space="0"/>
            </w:tcBorders>
            <w:vAlign w:val="center"/>
          </w:tcPr>
          <w:p w14:paraId="5BEA2D73">
            <w:pPr>
              <w:widowControl/>
              <w:spacing w:line="360" w:lineRule="exact"/>
              <w:jc w:val="center"/>
              <w:textAlignment w:val="center"/>
              <w:rPr>
                <w:rFonts w:hint="default" w:ascii="Times New Roman" w:hAnsi="Times New Roman" w:eastAsia="等线" w:cs="Times New Roman"/>
                <w:b/>
                <w:bCs/>
                <w:color w:val="auto"/>
                <w:szCs w:val="21"/>
              </w:rPr>
            </w:pPr>
            <w:r>
              <w:rPr>
                <w:rFonts w:hint="default" w:ascii="Times New Roman" w:hAnsi="Times New Roman" w:eastAsia="等线" w:cs="Times New Roman"/>
                <w:b/>
                <w:bCs/>
                <w:color w:val="auto"/>
                <w:kern w:val="0"/>
                <w:szCs w:val="21"/>
                <w:lang w:bidi="ar"/>
              </w:rPr>
              <w:t>Indirect</w:t>
            </w:r>
          </w:p>
        </w:tc>
        <w:tc>
          <w:tcPr>
            <w:tcW w:w="1266" w:type="dxa"/>
            <w:tcBorders>
              <w:top w:val="single" w:color="auto" w:sz="12" w:space="0"/>
              <w:bottom w:val="single" w:color="auto" w:sz="6" w:space="0"/>
            </w:tcBorders>
            <w:noWrap/>
            <w:vAlign w:val="center"/>
          </w:tcPr>
          <w:p w14:paraId="41DE7729">
            <w:pPr>
              <w:spacing w:line="360" w:lineRule="exact"/>
              <w:jc w:val="center"/>
              <w:rPr>
                <w:rFonts w:hint="default" w:ascii="Times New Roman" w:hAnsi="Times New Roman" w:eastAsia="等线" w:cs="Times New Roman"/>
                <w:b/>
                <w:bCs/>
                <w:color w:val="auto"/>
                <w:szCs w:val="21"/>
              </w:rPr>
            </w:pPr>
          </w:p>
        </w:tc>
        <w:tc>
          <w:tcPr>
            <w:tcW w:w="1302" w:type="dxa"/>
            <w:tcBorders>
              <w:top w:val="single" w:color="auto" w:sz="12" w:space="0"/>
              <w:bottom w:val="single" w:color="auto" w:sz="6" w:space="0"/>
            </w:tcBorders>
            <w:vAlign w:val="center"/>
          </w:tcPr>
          <w:p w14:paraId="0E8E2655">
            <w:pPr>
              <w:widowControl/>
              <w:spacing w:line="360" w:lineRule="exact"/>
              <w:jc w:val="center"/>
              <w:textAlignment w:val="center"/>
              <w:rPr>
                <w:rFonts w:hint="default" w:ascii="Times New Roman" w:hAnsi="Times New Roman" w:eastAsia="等线" w:cs="Times New Roman"/>
                <w:b/>
                <w:bCs/>
                <w:color w:val="auto"/>
                <w:szCs w:val="21"/>
              </w:rPr>
            </w:pPr>
            <w:r>
              <w:rPr>
                <w:rFonts w:hint="default" w:ascii="Times New Roman" w:hAnsi="Times New Roman" w:eastAsia="等线" w:cs="Times New Roman"/>
                <w:b/>
                <w:bCs/>
                <w:color w:val="auto"/>
                <w:kern w:val="0"/>
                <w:szCs w:val="21"/>
                <w:lang w:bidi="ar"/>
              </w:rPr>
              <w:t>Difference</w:t>
            </w:r>
          </w:p>
        </w:tc>
        <w:tc>
          <w:tcPr>
            <w:tcW w:w="1342" w:type="dxa"/>
            <w:tcBorders>
              <w:top w:val="single" w:color="auto" w:sz="12" w:space="0"/>
              <w:bottom w:val="single" w:color="auto" w:sz="6" w:space="0"/>
            </w:tcBorders>
            <w:noWrap/>
            <w:vAlign w:val="center"/>
          </w:tcPr>
          <w:p w14:paraId="7E613476">
            <w:pPr>
              <w:spacing w:line="360" w:lineRule="exact"/>
              <w:jc w:val="center"/>
              <w:rPr>
                <w:rFonts w:hint="default" w:ascii="Times New Roman" w:hAnsi="Times New Roman" w:eastAsia="等线" w:cs="Times New Roman"/>
                <w:color w:val="auto"/>
                <w:szCs w:val="21"/>
              </w:rPr>
            </w:pPr>
          </w:p>
        </w:tc>
        <w:tc>
          <w:tcPr>
            <w:tcW w:w="1242" w:type="dxa"/>
            <w:tcBorders>
              <w:top w:val="single" w:color="auto" w:sz="12" w:space="0"/>
              <w:bottom w:val="single" w:color="auto" w:sz="6" w:space="0"/>
            </w:tcBorders>
            <w:noWrap/>
            <w:vAlign w:val="center"/>
          </w:tcPr>
          <w:p w14:paraId="72268BCC">
            <w:pPr>
              <w:spacing w:line="360" w:lineRule="exact"/>
              <w:jc w:val="center"/>
              <w:rPr>
                <w:rFonts w:hint="default" w:ascii="Times New Roman" w:hAnsi="Times New Roman" w:eastAsia="等线" w:cs="Times New Roman"/>
                <w:color w:val="auto"/>
                <w:szCs w:val="21"/>
              </w:rPr>
            </w:pPr>
          </w:p>
        </w:tc>
      </w:tr>
      <w:tr w14:paraId="025F7860">
        <w:tblPrEx>
          <w:tblCellMar>
            <w:top w:w="0" w:type="dxa"/>
            <w:left w:w="108" w:type="dxa"/>
            <w:bottom w:w="0" w:type="dxa"/>
            <w:right w:w="108" w:type="dxa"/>
          </w:tblCellMar>
        </w:tblPrEx>
        <w:trPr>
          <w:trHeight w:val="343" w:hRule="atLeast"/>
        </w:trPr>
        <w:tc>
          <w:tcPr>
            <w:tcW w:w="1670" w:type="dxa"/>
            <w:tcBorders>
              <w:top w:val="single" w:color="auto" w:sz="6" w:space="0"/>
            </w:tcBorders>
            <w:noWrap/>
            <w:vAlign w:val="center"/>
          </w:tcPr>
          <w:p w14:paraId="3C77F06E">
            <w:pPr>
              <w:spacing w:line="360" w:lineRule="exact"/>
              <w:jc w:val="center"/>
              <w:rPr>
                <w:rFonts w:hint="default" w:ascii="Times New Roman" w:hAnsi="Times New Roman" w:eastAsia="等线" w:cs="Times New Roman"/>
                <w:color w:val="auto"/>
                <w:szCs w:val="21"/>
              </w:rPr>
            </w:pPr>
          </w:p>
        </w:tc>
        <w:tc>
          <w:tcPr>
            <w:tcW w:w="1305" w:type="dxa"/>
            <w:tcBorders>
              <w:top w:val="single" w:color="auto" w:sz="6" w:space="0"/>
            </w:tcBorders>
            <w:vAlign w:val="center"/>
          </w:tcPr>
          <w:p w14:paraId="604F7AE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Coef.</w:t>
            </w:r>
          </w:p>
        </w:tc>
        <w:tc>
          <w:tcPr>
            <w:tcW w:w="1266" w:type="dxa"/>
            <w:tcBorders>
              <w:top w:val="single" w:color="auto" w:sz="6" w:space="0"/>
            </w:tcBorders>
            <w:vAlign w:val="center"/>
          </w:tcPr>
          <w:p w14:paraId="642C0DE5">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Std. Err.</w:t>
            </w:r>
          </w:p>
        </w:tc>
        <w:tc>
          <w:tcPr>
            <w:tcW w:w="1302" w:type="dxa"/>
            <w:tcBorders>
              <w:top w:val="single" w:color="auto" w:sz="6" w:space="0"/>
            </w:tcBorders>
            <w:vAlign w:val="center"/>
          </w:tcPr>
          <w:p w14:paraId="091DF9B0">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Coef.</w:t>
            </w:r>
          </w:p>
        </w:tc>
        <w:tc>
          <w:tcPr>
            <w:tcW w:w="1266" w:type="dxa"/>
            <w:tcBorders>
              <w:top w:val="single" w:color="auto" w:sz="6" w:space="0"/>
            </w:tcBorders>
            <w:vAlign w:val="center"/>
          </w:tcPr>
          <w:p w14:paraId="5E00933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Std. Err.</w:t>
            </w:r>
          </w:p>
        </w:tc>
        <w:tc>
          <w:tcPr>
            <w:tcW w:w="1302" w:type="dxa"/>
            <w:tcBorders>
              <w:top w:val="single" w:color="auto" w:sz="6" w:space="0"/>
            </w:tcBorders>
            <w:vAlign w:val="center"/>
          </w:tcPr>
          <w:p w14:paraId="571C098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Coef.</w:t>
            </w:r>
          </w:p>
        </w:tc>
        <w:tc>
          <w:tcPr>
            <w:tcW w:w="1342" w:type="dxa"/>
            <w:tcBorders>
              <w:top w:val="single" w:color="auto" w:sz="6" w:space="0"/>
            </w:tcBorders>
            <w:vAlign w:val="center"/>
          </w:tcPr>
          <w:p w14:paraId="69A77A5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Std. Err.</w:t>
            </w:r>
          </w:p>
        </w:tc>
        <w:tc>
          <w:tcPr>
            <w:tcW w:w="1242" w:type="dxa"/>
            <w:tcBorders>
              <w:top w:val="single" w:color="auto" w:sz="6" w:space="0"/>
            </w:tcBorders>
            <w:vAlign w:val="center"/>
          </w:tcPr>
          <w:p w14:paraId="590DD2D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kern w:val="0"/>
                <w:szCs w:val="21"/>
                <w:lang w:bidi="ar"/>
              </w:rPr>
              <w:t>P&gt;z</w:t>
            </w:r>
          </w:p>
        </w:tc>
      </w:tr>
      <w:tr w14:paraId="542F48FE">
        <w:tblPrEx>
          <w:tblCellMar>
            <w:top w:w="0" w:type="dxa"/>
            <w:left w:w="108" w:type="dxa"/>
            <w:bottom w:w="0" w:type="dxa"/>
            <w:right w:w="108" w:type="dxa"/>
          </w:tblCellMar>
        </w:tblPrEx>
        <w:trPr>
          <w:trHeight w:val="313" w:hRule="atLeast"/>
        </w:trPr>
        <w:tc>
          <w:tcPr>
            <w:tcW w:w="1670" w:type="dxa"/>
            <w:vAlign w:val="center"/>
          </w:tcPr>
          <w:p w14:paraId="4AE1E2E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A B</w:t>
            </w:r>
          </w:p>
        </w:tc>
        <w:tc>
          <w:tcPr>
            <w:tcW w:w="1305" w:type="dxa"/>
            <w:vAlign w:val="center"/>
          </w:tcPr>
          <w:p w14:paraId="56CB32DA">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-0.7223239</w:t>
            </w:r>
          </w:p>
        </w:tc>
        <w:tc>
          <w:tcPr>
            <w:tcW w:w="1266" w:type="dxa"/>
            <w:vAlign w:val="center"/>
          </w:tcPr>
          <w:p w14:paraId="4C6ABB19">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0.1228422</w:t>
            </w:r>
          </w:p>
        </w:tc>
        <w:tc>
          <w:tcPr>
            <w:tcW w:w="1302" w:type="dxa"/>
            <w:vAlign w:val="center"/>
          </w:tcPr>
          <w:p w14:paraId="3598891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-0.5726075</w:t>
            </w:r>
          </w:p>
        </w:tc>
        <w:tc>
          <w:tcPr>
            <w:tcW w:w="1266" w:type="dxa"/>
            <w:vAlign w:val="center"/>
          </w:tcPr>
          <w:p w14:paraId="37D13856">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0.1958136</w:t>
            </w:r>
          </w:p>
        </w:tc>
        <w:tc>
          <w:tcPr>
            <w:tcW w:w="1302" w:type="dxa"/>
            <w:vAlign w:val="center"/>
          </w:tcPr>
          <w:p w14:paraId="706B1F6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-0.1497164</w:t>
            </w:r>
          </w:p>
        </w:tc>
        <w:tc>
          <w:tcPr>
            <w:tcW w:w="1342" w:type="dxa"/>
            <w:vAlign w:val="center"/>
          </w:tcPr>
          <w:p w14:paraId="58A1467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0.2314239</w:t>
            </w:r>
          </w:p>
        </w:tc>
        <w:tc>
          <w:tcPr>
            <w:tcW w:w="1242" w:type="dxa"/>
            <w:vAlign w:val="center"/>
          </w:tcPr>
          <w:p w14:paraId="3E18B046">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0.518</w:t>
            </w:r>
          </w:p>
        </w:tc>
      </w:tr>
      <w:tr w14:paraId="668E3265">
        <w:tblPrEx>
          <w:tblCellMar>
            <w:top w:w="0" w:type="dxa"/>
            <w:left w:w="108" w:type="dxa"/>
            <w:bottom w:w="0" w:type="dxa"/>
            <w:right w:w="108" w:type="dxa"/>
          </w:tblCellMar>
        </w:tblPrEx>
        <w:trPr>
          <w:trHeight w:val="313" w:hRule="atLeast"/>
        </w:trPr>
        <w:tc>
          <w:tcPr>
            <w:tcW w:w="1670" w:type="dxa"/>
            <w:vAlign w:val="center"/>
          </w:tcPr>
          <w:p w14:paraId="351010C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A C</w:t>
            </w:r>
          </w:p>
        </w:tc>
        <w:tc>
          <w:tcPr>
            <w:tcW w:w="1305" w:type="dxa"/>
            <w:vAlign w:val="center"/>
          </w:tcPr>
          <w:p w14:paraId="445FF689">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-0.5581772</w:t>
            </w:r>
          </w:p>
        </w:tc>
        <w:tc>
          <w:tcPr>
            <w:tcW w:w="1266" w:type="dxa"/>
            <w:vAlign w:val="center"/>
          </w:tcPr>
          <w:p w14:paraId="3081BC9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0.1691423</w:t>
            </w:r>
          </w:p>
        </w:tc>
        <w:tc>
          <w:tcPr>
            <w:tcW w:w="1302" w:type="dxa"/>
            <w:vAlign w:val="center"/>
          </w:tcPr>
          <w:p w14:paraId="7C2D9A8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-1.079938</w:t>
            </w:r>
          </w:p>
        </w:tc>
        <w:tc>
          <w:tcPr>
            <w:tcW w:w="1266" w:type="dxa"/>
            <w:vAlign w:val="center"/>
          </w:tcPr>
          <w:p w14:paraId="7C8D9EBA">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0.2329719</w:t>
            </w:r>
          </w:p>
        </w:tc>
        <w:tc>
          <w:tcPr>
            <w:tcW w:w="1302" w:type="dxa"/>
            <w:vAlign w:val="center"/>
          </w:tcPr>
          <w:p w14:paraId="600F519C">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0.5217604</w:t>
            </w:r>
          </w:p>
        </w:tc>
        <w:tc>
          <w:tcPr>
            <w:tcW w:w="1342" w:type="dxa"/>
            <w:vAlign w:val="center"/>
          </w:tcPr>
          <w:p w14:paraId="46BABA3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0.2873016</w:t>
            </w:r>
          </w:p>
        </w:tc>
        <w:tc>
          <w:tcPr>
            <w:tcW w:w="1242" w:type="dxa"/>
            <w:vAlign w:val="center"/>
          </w:tcPr>
          <w:p w14:paraId="0487BDE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0.069</w:t>
            </w:r>
          </w:p>
        </w:tc>
      </w:tr>
      <w:tr w14:paraId="075C7EAB">
        <w:tblPrEx>
          <w:tblCellMar>
            <w:top w:w="0" w:type="dxa"/>
            <w:left w:w="108" w:type="dxa"/>
            <w:bottom w:w="0" w:type="dxa"/>
            <w:right w:w="108" w:type="dxa"/>
          </w:tblCellMar>
        </w:tblPrEx>
        <w:trPr>
          <w:trHeight w:val="313" w:hRule="atLeast"/>
        </w:trPr>
        <w:tc>
          <w:tcPr>
            <w:tcW w:w="1670" w:type="dxa"/>
            <w:vAlign w:val="center"/>
          </w:tcPr>
          <w:p w14:paraId="78302BD9">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A D</w:t>
            </w:r>
          </w:p>
        </w:tc>
        <w:tc>
          <w:tcPr>
            <w:tcW w:w="1305" w:type="dxa"/>
            <w:vAlign w:val="center"/>
          </w:tcPr>
          <w:p w14:paraId="6B0F17E5">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-0.7991803</w:t>
            </w:r>
          </w:p>
        </w:tc>
        <w:tc>
          <w:tcPr>
            <w:tcW w:w="1266" w:type="dxa"/>
            <w:vAlign w:val="center"/>
          </w:tcPr>
          <w:p w14:paraId="3D1493F8">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0.1755607</w:t>
            </w:r>
          </w:p>
        </w:tc>
        <w:tc>
          <w:tcPr>
            <w:tcW w:w="1302" w:type="dxa"/>
            <w:vAlign w:val="center"/>
          </w:tcPr>
          <w:p w14:paraId="597D5A99">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-0.5461799</w:t>
            </w:r>
          </w:p>
        </w:tc>
        <w:tc>
          <w:tcPr>
            <w:tcW w:w="1266" w:type="dxa"/>
            <w:vAlign w:val="center"/>
          </w:tcPr>
          <w:p w14:paraId="390980B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0.2672322</w:t>
            </w:r>
          </w:p>
        </w:tc>
        <w:tc>
          <w:tcPr>
            <w:tcW w:w="1302" w:type="dxa"/>
            <w:vAlign w:val="center"/>
          </w:tcPr>
          <w:p w14:paraId="3C9AC95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-0.2530004</w:t>
            </w:r>
          </w:p>
        </w:tc>
        <w:tc>
          <w:tcPr>
            <w:tcW w:w="1342" w:type="dxa"/>
            <w:vAlign w:val="center"/>
          </w:tcPr>
          <w:p w14:paraId="192BBE1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0.3197572</w:t>
            </w:r>
          </w:p>
        </w:tc>
        <w:tc>
          <w:tcPr>
            <w:tcW w:w="1242" w:type="dxa"/>
            <w:vAlign w:val="center"/>
          </w:tcPr>
          <w:p w14:paraId="3E275E6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0.429</w:t>
            </w:r>
          </w:p>
        </w:tc>
      </w:tr>
      <w:tr w14:paraId="38D759B6">
        <w:tblPrEx>
          <w:tblCellMar>
            <w:top w:w="0" w:type="dxa"/>
            <w:left w:w="108" w:type="dxa"/>
            <w:bottom w:w="0" w:type="dxa"/>
            <w:right w:w="108" w:type="dxa"/>
          </w:tblCellMar>
        </w:tblPrEx>
        <w:trPr>
          <w:trHeight w:val="313" w:hRule="atLeast"/>
        </w:trPr>
        <w:tc>
          <w:tcPr>
            <w:tcW w:w="1670" w:type="dxa"/>
            <w:vAlign w:val="center"/>
          </w:tcPr>
          <w:p w14:paraId="027407E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A E</w:t>
            </w:r>
          </w:p>
        </w:tc>
        <w:tc>
          <w:tcPr>
            <w:tcW w:w="1305" w:type="dxa"/>
            <w:vAlign w:val="center"/>
          </w:tcPr>
          <w:p w14:paraId="386072C7">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-0.665005</w:t>
            </w:r>
          </w:p>
        </w:tc>
        <w:tc>
          <w:tcPr>
            <w:tcW w:w="1266" w:type="dxa"/>
            <w:vAlign w:val="center"/>
          </w:tcPr>
          <w:p w14:paraId="671FFCC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0.2115744</w:t>
            </w:r>
          </w:p>
        </w:tc>
        <w:tc>
          <w:tcPr>
            <w:tcW w:w="1302" w:type="dxa"/>
            <w:vAlign w:val="center"/>
          </w:tcPr>
          <w:p w14:paraId="51326AB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-0.5393259</w:t>
            </w:r>
          </w:p>
        </w:tc>
        <w:tc>
          <w:tcPr>
            <w:tcW w:w="1266" w:type="dxa"/>
            <w:vAlign w:val="center"/>
          </w:tcPr>
          <w:p w14:paraId="1635B0D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0.3013121</w:t>
            </w:r>
          </w:p>
        </w:tc>
        <w:tc>
          <w:tcPr>
            <w:tcW w:w="1302" w:type="dxa"/>
            <w:vAlign w:val="center"/>
          </w:tcPr>
          <w:p w14:paraId="24CD522A">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-0.125679</w:t>
            </w:r>
          </w:p>
        </w:tc>
        <w:tc>
          <w:tcPr>
            <w:tcW w:w="1342" w:type="dxa"/>
            <w:vAlign w:val="center"/>
          </w:tcPr>
          <w:p w14:paraId="73D5E1F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0.3679051</w:t>
            </w:r>
          </w:p>
        </w:tc>
        <w:tc>
          <w:tcPr>
            <w:tcW w:w="1242" w:type="dxa"/>
            <w:vAlign w:val="center"/>
          </w:tcPr>
          <w:p w14:paraId="6F4B5A62">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0.733</w:t>
            </w:r>
          </w:p>
        </w:tc>
      </w:tr>
      <w:tr w14:paraId="6C079561">
        <w:tblPrEx>
          <w:tblCellMar>
            <w:top w:w="0" w:type="dxa"/>
            <w:left w:w="108" w:type="dxa"/>
            <w:bottom w:w="0" w:type="dxa"/>
            <w:right w:w="108" w:type="dxa"/>
          </w:tblCellMar>
        </w:tblPrEx>
        <w:trPr>
          <w:trHeight w:val="313" w:hRule="atLeast"/>
        </w:trPr>
        <w:tc>
          <w:tcPr>
            <w:tcW w:w="1670" w:type="dxa"/>
            <w:vAlign w:val="center"/>
          </w:tcPr>
          <w:p w14:paraId="38997B8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B C</w:t>
            </w:r>
          </w:p>
        </w:tc>
        <w:tc>
          <w:tcPr>
            <w:tcW w:w="1305" w:type="dxa"/>
            <w:vAlign w:val="center"/>
          </w:tcPr>
          <w:p w14:paraId="7325A14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-0.3401065</w:t>
            </w:r>
          </w:p>
        </w:tc>
        <w:tc>
          <w:tcPr>
            <w:tcW w:w="1266" w:type="dxa"/>
            <w:vAlign w:val="center"/>
          </w:tcPr>
          <w:p w14:paraId="05A9A89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0.2233791</w:t>
            </w:r>
          </w:p>
        </w:tc>
        <w:tc>
          <w:tcPr>
            <w:tcW w:w="1302" w:type="dxa"/>
            <w:vAlign w:val="center"/>
          </w:tcPr>
          <w:p w14:paraId="58B67E4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0.1600351</w:t>
            </w:r>
          </w:p>
        </w:tc>
        <w:tc>
          <w:tcPr>
            <w:tcW w:w="1266" w:type="dxa"/>
            <w:vAlign w:val="center"/>
          </w:tcPr>
          <w:p w14:paraId="6C18460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0.1967559</w:t>
            </w:r>
          </w:p>
        </w:tc>
        <w:tc>
          <w:tcPr>
            <w:tcW w:w="1302" w:type="dxa"/>
            <w:vAlign w:val="center"/>
          </w:tcPr>
          <w:p w14:paraId="7A44917A">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-0.5001417</w:t>
            </w:r>
          </w:p>
        </w:tc>
        <w:tc>
          <w:tcPr>
            <w:tcW w:w="1342" w:type="dxa"/>
            <w:vAlign w:val="center"/>
          </w:tcPr>
          <w:p w14:paraId="338DE20B">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0.2973291</w:t>
            </w:r>
          </w:p>
        </w:tc>
        <w:tc>
          <w:tcPr>
            <w:tcW w:w="1242" w:type="dxa"/>
            <w:vAlign w:val="center"/>
          </w:tcPr>
          <w:p w14:paraId="6525890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0.093</w:t>
            </w:r>
          </w:p>
        </w:tc>
      </w:tr>
      <w:tr w14:paraId="545C1150">
        <w:tblPrEx>
          <w:tblCellMar>
            <w:top w:w="0" w:type="dxa"/>
            <w:left w:w="108" w:type="dxa"/>
            <w:bottom w:w="0" w:type="dxa"/>
            <w:right w:w="108" w:type="dxa"/>
          </w:tblCellMar>
        </w:tblPrEx>
        <w:trPr>
          <w:trHeight w:val="313" w:hRule="atLeast"/>
        </w:trPr>
        <w:tc>
          <w:tcPr>
            <w:tcW w:w="1670" w:type="dxa"/>
            <w:vAlign w:val="center"/>
          </w:tcPr>
          <w:p w14:paraId="79FAAC6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B D</w:t>
            </w:r>
          </w:p>
        </w:tc>
        <w:tc>
          <w:tcPr>
            <w:tcW w:w="1305" w:type="dxa"/>
            <w:vAlign w:val="center"/>
          </w:tcPr>
          <w:p w14:paraId="20B43F70">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0.2689289</w:t>
            </w:r>
          </w:p>
        </w:tc>
        <w:tc>
          <w:tcPr>
            <w:tcW w:w="1266" w:type="dxa"/>
            <w:vAlign w:val="center"/>
          </w:tcPr>
          <w:p w14:paraId="3DF26DB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0.3165386</w:t>
            </w:r>
          </w:p>
        </w:tc>
        <w:tc>
          <w:tcPr>
            <w:tcW w:w="1302" w:type="dxa"/>
            <w:vAlign w:val="center"/>
          </w:tcPr>
          <w:p w14:paraId="186746D8">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-0.1556523</w:t>
            </w:r>
          </w:p>
        </w:tc>
        <w:tc>
          <w:tcPr>
            <w:tcW w:w="1266" w:type="dxa"/>
            <w:vAlign w:val="center"/>
          </w:tcPr>
          <w:p w14:paraId="4D1585A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0.1905002</w:t>
            </w:r>
          </w:p>
        </w:tc>
        <w:tc>
          <w:tcPr>
            <w:tcW w:w="1302" w:type="dxa"/>
            <w:vAlign w:val="center"/>
          </w:tcPr>
          <w:p w14:paraId="4DB4AEC2">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0.4245811</w:t>
            </w:r>
          </w:p>
        </w:tc>
        <w:tc>
          <w:tcPr>
            <w:tcW w:w="1342" w:type="dxa"/>
            <w:vAlign w:val="center"/>
          </w:tcPr>
          <w:p w14:paraId="27A11B9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0.3694506</w:t>
            </w:r>
          </w:p>
        </w:tc>
        <w:tc>
          <w:tcPr>
            <w:tcW w:w="1242" w:type="dxa"/>
            <w:vAlign w:val="center"/>
          </w:tcPr>
          <w:p w14:paraId="6AAB9ABC">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0.25</w:t>
            </w:r>
          </w:p>
        </w:tc>
      </w:tr>
      <w:tr w14:paraId="16C12DBC">
        <w:tblPrEx>
          <w:tblCellMar>
            <w:top w:w="0" w:type="dxa"/>
            <w:left w:w="108" w:type="dxa"/>
            <w:bottom w:w="0" w:type="dxa"/>
            <w:right w:w="108" w:type="dxa"/>
          </w:tblCellMar>
        </w:tblPrEx>
        <w:trPr>
          <w:trHeight w:val="313" w:hRule="atLeast"/>
        </w:trPr>
        <w:tc>
          <w:tcPr>
            <w:tcW w:w="1670" w:type="dxa"/>
            <w:vAlign w:val="center"/>
          </w:tcPr>
          <w:p w14:paraId="6B10FCE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B E</w:t>
            </w:r>
          </w:p>
        </w:tc>
        <w:tc>
          <w:tcPr>
            <w:tcW w:w="1305" w:type="dxa"/>
            <w:vAlign w:val="center"/>
          </w:tcPr>
          <w:p w14:paraId="05C4329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0.0277079</w:t>
            </w:r>
          </w:p>
        </w:tc>
        <w:tc>
          <w:tcPr>
            <w:tcW w:w="1266" w:type="dxa"/>
            <w:vAlign w:val="center"/>
          </w:tcPr>
          <w:p w14:paraId="52D6B07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0.3380416</w:t>
            </w:r>
          </w:p>
        </w:tc>
        <w:tc>
          <w:tcPr>
            <w:tcW w:w="1302" w:type="dxa"/>
            <w:vAlign w:val="center"/>
          </w:tcPr>
          <w:p w14:paraId="113D842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0.0688078</w:t>
            </w:r>
          </w:p>
        </w:tc>
        <w:tc>
          <w:tcPr>
            <w:tcW w:w="1266" w:type="dxa"/>
            <w:vAlign w:val="center"/>
          </w:tcPr>
          <w:p w14:paraId="00029BD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0.2238983</w:t>
            </w:r>
          </w:p>
        </w:tc>
        <w:tc>
          <w:tcPr>
            <w:tcW w:w="1302" w:type="dxa"/>
            <w:vAlign w:val="center"/>
          </w:tcPr>
          <w:p w14:paraId="7F2237C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-0.0410999</w:t>
            </w:r>
          </w:p>
        </w:tc>
        <w:tc>
          <w:tcPr>
            <w:tcW w:w="1342" w:type="dxa"/>
            <w:vAlign w:val="center"/>
          </w:tcPr>
          <w:p w14:paraId="5EC222C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0.4051803</w:t>
            </w:r>
          </w:p>
        </w:tc>
        <w:tc>
          <w:tcPr>
            <w:tcW w:w="1242" w:type="dxa"/>
            <w:vAlign w:val="center"/>
          </w:tcPr>
          <w:p w14:paraId="58BE4746">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0.919</w:t>
            </w:r>
          </w:p>
        </w:tc>
      </w:tr>
      <w:tr w14:paraId="6ED93D1A">
        <w:tblPrEx>
          <w:tblCellMar>
            <w:top w:w="0" w:type="dxa"/>
            <w:left w:w="108" w:type="dxa"/>
            <w:bottom w:w="0" w:type="dxa"/>
            <w:right w:w="108" w:type="dxa"/>
          </w:tblCellMar>
        </w:tblPrEx>
        <w:trPr>
          <w:trHeight w:val="313" w:hRule="atLeast"/>
        </w:trPr>
        <w:tc>
          <w:tcPr>
            <w:tcW w:w="1670" w:type="dxa"/>
            <w:vAlign w:val="center"/>
          </w:tcPr>
          <w:p w14:paraId="0C044EF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C D</w:t>
            </w:r>
          </w:p>
        </w:tc>
        <w:tc>
          <w:tcPr>
            <w:tcW w:w="1305" w:type="dxa"/>
            <w:vAlign w:val="center"/>
          </w:tcPr>
          <w:p w14:paraId="1C55AF53">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0.2588882</w:t>
            </w:r>
          </w:p>
        </w:tc>
        <w:tc>
          <w:tcPr>
            <w:tcW w:w="1266" w:type="dxa"/>
            <w:vAlign w:val="center"/>
          </w:tcPr>
          <w:p w14:paraId="1E33BDF9">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0.6322585</w:t>
            </w:r>
          </w:p>
        </w:tc>
        <w:tc>
          <w:tcPr>
            <w:tcW w:w="1302" w:type="dxa"/>
            <w:vAlign w:val="center"/>
          </w:tcPr>
          <w:p w14:paraId="420BC37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-0.0061405</w:t>
            </w:r>
          </w:p>
        </w:tc>
        <w:tc>
          <w:tcPr>
            <w:tcW w:w="1266" w:type="dxa"/>
            <w:vAlign w:val="center"/>
          </w:tcPr>
          <w:p w14:paraId="5857579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0.2025552</w:t>
            </w:r>
          </w:p>
        </w:tc>
        <w:tc>
          <w:tcPr>
            <w:tcW w:w="1302" w:type="dxa"/>
            <w:vAlign w:val="center"/>
          </w:tcPr>
          <w:p w14:paraId="29C7489E">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0.2650287</w:t>
            </w:r>
          </w:p>
        </w:tc>
        <w:tc>
          <w:tcPr>
            <w:tcW w:w="1342" w:type="dxa"/>
            <w:vAlign w:val="center"/>
          </w:tcPr>
          <w:p w14:paraId="5D39A14D">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0.6639122</w:t>
            </w:r>
          </w:p>
        </w:tc>
        <w:tc>
          <w:tcPr>
            <w:tcW w:w="1242" w:type="dxa"/>
            <w:vAlign w:val="center"/>
          </w:tcPr>
          <w:p w14:paraId="06EDE0E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0.69</w:t>
            </w:r>
          </w:p>
        </w:tc>
      </w:tr>
      <w:tr w14:paraId="696CA300">
        <w:tblPrEx>
          <w:tblCellMar>
            <w:top w:w="0" w:type="dxa"/>
            <w:left w:w="108" w:type="dxa"/>
            <w:bottom w:w="0" w:type="dxa"/>
            <w:right w:w="108" w:type="dxa"/>
          </w:tblCellMar>
        </w:tblPrEx>
        <w:trPr>
          <w:trHeight w:val="313" w:hRule="atLeast"/>
        </w:trPr>
        <w:tc>
          <w:tcPr>
            <w:tcW w:w="1670" w:type="dxa"/>
            <w:tcBorders>
              <w:bottom w:val="single" w:color="auto" w:sz="12" w:space="0"/>
            </w:tcBorders>
            <w:vAlign w:val="center"/>
          </w:tcPr>
          <w:p w14:paraId="1F0A0A1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D E</w:t>
            </w:r>
          </w:p>
        </w:tc>
        <w:tc>
          <w:tcPr>
            <w:tcW w:w="1305" w:type="dxa"/>
            <w:tcBorders>
              <w:bottom w:val="single" w:color="auto" w:sz="12" w:space="0"/>
            </w:tcBorders>
            <w:vAlign w:val="center"/>
          </w:tcPr>
          <w:p w14:paraId="5F317004">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0.4403623</w:t>
            </w:r>
          </w:p>
        </w:tc>
        <w:tc>
          <w:tcPr>
            <w:tcW w:w="1266" w:type="dxa"/>
            <w:tcBorders>
              <w:bottom w:val="single" w:color="auto" w:sz="12" w:space="0"/>
            </w:tcBorders>
            <w:vAlign w:val="center"/>
          </w:tcPr>
          <w:p w14:paraId="06A31FA0">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0.5363059</w:t>
            </w:r>
          </w:p>
        </w:tc>
        <w:tc>
          <w:tcPr>
            <w:tcW w:w="1302" w:type="dxa"/>
            <w:tcBorders>
              <w:bottom w:val="single" w:color="auto" w:sz="12" w:space="0"/>
            </w:tcBorders>
            <w:vAlign w:val="center"/>
          </w:tcPr>
          <w:p w14:paraId="3B00EC4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0.0350431</w:t>
            </w:r>
          </w:p>
        </w:tc>
        <w:tc>
          <w:tcPr>
            <w:tcW w:w="1266" w:type="dxa"/>
            <w:tcBorders>
              <w:bottom w:val="single" w:color="auto" w:sz="12" w:space="0"/>
            </w:tcBorders>
            <w:vAlign w:val="center"/>
          </w:tcPr>
          <w:p w14:paraId="2D745D1F">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0.2337022</w:t>
            </w:r>
          </w:p>
        </w:tc>
        <w:tc>
          <w:tcPr>
            <w:tcW w:w="1302" w:type="dxa"/>
            <w:tcBorders>
              <w:bottom w:val="single" w:color="auto" w:sz="12" w:space="0"/>
            </w:tcBorders>
            <w:vAlign w:val="center"/>
          </w:tcPr>
          <w:p w14:paraId="64252A21">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0.4053192</w:t>
            </w:r>
          </w:p>
        </w:tc>
        <w:tc>
          <w:tcPr>
            <w:tcW w:w="1342" w:type="dxa"/>
            <w:tcBorders>
              <w:bottom w:val="single" w:color="auto" w:sz="12" w:space="0"/>
            </w:tcBorders>
            <w:vAlign w:val="center"/>
          </w:tcPr>
          <w:p w14:paraId="00CE12DA">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0.5850135</w:t>
            </w:r>
          </w:p>
        </w:tc>
        <w:tc>
          <w:tcPr>
            <w:tcW w:w="1242" w:type="dxa"/>
            <w:tcBorders>
              <w:bottom w:val="single" w:color="auto" w:sz="12" w:space="0"/>
            </w:tcBorders>
            <w:vAlign w:val="center"/>
          </w:tcPr>
          <w:p w14:paraId="7CB5E705">
            <w:pPr>
              <w:widowControl/>
              <w:spacing w:line="360" w:lineRule="exact"/>
              <w:jc w:val="center"/>
              <w:textAlignment w:val="center"/>
              <w:rPr>
                <w:rFonts w:hint="default" w:ascii="Times New Roman" w:hAnsi="Times New Roman" w:eastAsia="等线" w:cs="Times New Roman"/>
                <w:color w:val="auto"/>
                <w:szCs w:val="21"/>
              </w:rPr>
            </w:pPr>
            <w:r>
              <w:rPr>
                <w:rFonts w:hint="default" w:ascii="Times New Roman" w:hAnsi="Times New Roman" w:eastAsia="等线" w:cs="Times New Roman"/>
                <w:color w:val="auto"/>
                <w:szCs w:val="21"/>
              </w:rPr>
              <w:t>0.488</w:t>
            </w:r>
          </w:p>
        </w:tc>
      </w:tr>
    </w:tbl>
    <w:p w14:paraId="09F6FEC2">
      <w:pPr>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 Control, B: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 C:</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High-intensity interval training, D: 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E: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p>
    <w:p w14:paraId="65EB12DC">
      <w:pPr>
        <w:widowControl/>
        <w:spacing w:line="360" w:lineRule="exact"/>
        <w:jc w:val="left"/>
        <w:rPr>
          <w:rFonts w:hint="default" w:ascii="Times New Roman" w:hAnsi="Times New Roman" w:cs="Times New Roman"/>
          <w:b/>
          <w:bCs/>
          <w:color w:val="auto"/>
        </w:rPr>
      </w:pPr>
    </w:p>
    <w:p w14:paraId="063F5D0A">
      <w:pPr>
        <w:widowControl/>
        <w:spacing w:line="360" w:lineRule="exact"/>
        <w:jc w:val="left"/>
        <w:rPr>
          <w:rFonts w:hint="default" w:ascii="Times New Roman" w:hAnsi="Times New Roman" w:cs="Times New Roman"/>
          <w:b/>
          <w:bCs/>
          <w:color w:val="auto"/>
        </w:rPr>
      </w:pPr>
    </w:p>
    <w:p w14:paraId="47E0F750">
      <w:pPr>
        <w:widowControl/>
        <w:spacing w:line="360" w:lineRule="exact"/>
        <w:jc w:val="left"/>
        <w:rPr>
          <w:rFonts w:hint="default" w:ascii="Times New Roman" w:hAnsi="Times New Roman" w:cs="Times New Roman"/>
          <w:b/>
          <w:bCs/>
          <w:color w:val="auto"/>
        </w:rPr>
      </w:pPr>
    </w:p>
    <w:p w14:paraId="1C7C9820">
      <w:pPr>
        <w:widowControl/>
        <w:spacing w:line="360" w:lineRule="exact"/>
        <w:jc w:val="left"/>
        <w:rPr>
          <w:rFonts w:hint="default" w:ascii="Times New Roman" w:hAnsi="Times New Roman" w:cs="Times New Roman"/>
          <w:b/>
          <w:bCs/>
          <w:color w:val="auto"/>
        </w:rPr>
      </w:pPr>
    </w:p>
    <w:p w14:paraId="72E4B1DA">
      <w:pPr>
        <w:widowControl/>
        <w:spacing w:line="360" w:lineRule="exact"/>
        <w:jc w:val="left"/>
        <w:rPr>
          <w:rFonts w:hint="default" w:ascii="Times New Roman" w:hAnsi="Times New Roman" w:cs="Times New Roman"/>
          <w:b/>
          <w:bCs/>
          <w:color w:val="auto"/>
        </w:rPr>
      </w:pPr>
    </w:p>
    <w:p w14:paraId="4A87FB2B">
      <w:pPr>
        <w:widowControl/>
        <w:spacing w:line="360" w:lineRule="exact"/>
        <w:jc w:val="left"/>
        <w:rPr>
          <w:rFonts w:hint="default" w:ascii="Times New Roman" w:hAnsi="Times New Roman" w:cs="Times New Roman"/>
          <w:b/>
          <w:bCs/>
          <w:color w:val="auto"/>
        </w:rPr>
      </w:pPr>
    </w:p>
    <w:p w14:paraId="5DBB8DF1">
      <w:pPr>
        <w:widowControl/>
        <w:spacing w:line="360" w:lineRule="exact"/>
        <w:jc w:val="left"/>
        <w:rPr>
          <w:rFonts w:hint="default" w:ascii="Times New Roman" w:hAnsi="Times New Roman" w:cs="Times New Roman"/>
          <w:b/>
          <w:bCs/>
          <w:color w:val="auto"/>
        </w:rPr>
      </w:pPr>
    </w:p>
    <w:p w14:paraId="7F4130E9">
      <w:pPr>
        <w:widowControl/>
        <w:spacing w:line="360" w:lineRule="exact"/>
        <w:jc w:val="left"/>
        <w:rPr>
          <w:rFonts w:hint="default" w:ascii="Times New Roman" w:hAnsi="Times New Roman" w:cs="Times New Roman"/>
          <w:b/>
          <w:bCs/>
          <w:color w:val="auto"/>
        </w:rPr>
      </w:pPr>
    </w:p>
    <w:p w14:paraId="02FE5D19">
      <w:pPr>
        <w:widowControl/>
        <w:spacing w:line="360" w:lineRule="exact"/>
        <w:jc w:val="left"/>
        <w:rPr>
          <w:rFonts w:hint="default" w:ascii="Times New Roman" w:hAnsi="Times New Roman" w:cs="Times New Roman"/>
          <w:b/>
          <w:bCs/>
          <w:color w:val="auto"/>
        </w:rPr>
      </w:pPr>
    </w:p>
    <w:p w14:paraId="7C794272">
      <w:pPr>
        <w:widowControl/>
        <w:jc w:val="left"/>
        <w:rPr>
          <w:rFonts w:hint="default" w:ascii="Times New Roman" w:hAnsi="Times New Roman" w:cs="Times New Roman"/>
          <w:b/>
          <w:bCs/>
          <w:color w:val="auto"/>
        </w:rPr>
      </w:pPr>
      <w:r>
        <w:rPr>
          <w:rFonts w:hint="default" w:ascii="Times New Roman" w:hAnsi="Times New Roman" w:cs="Times New Roman"/>
          <w:b/>
          <w:bCs/>
          <w:color w:val="auto"/>
        </w:rPr>
        <w:br w:type="page"/>
      </w:r>
    </w:p>
    <w:p w14:paraId="55FC1D51">
      <w:pPr>
        <w:widowControl/>
        <w:spacing w:line="360" w:lineRule="exact"/>
        <w:jc w:val="left"/>
        <w:outlineLvl w:val="0"/>
        <w:rPr>
          <w:rFonts w:hint="default" w:ascii="Times New Roman" w:hAnsi="Times New Roman" w:cs="Times New Roman"/>
          <w:color w:val="auto"/>
        </w:rPr>
      </w:pPr>
      <w:r>
        <w:rPr>
          <w:rFonts w:hint="default" w:ascii="Times New Roman" w:hAnsi="Times New Roman" w:cs="Times New Roman"/>
          <w:color w:val="auto"/>
        </w:rPr>
        <w:drawing>
          <wp:anchor distT="0" distB="0" distL="114300" distR="114300" simplePos="0" relativeHeight="251660288" behindDoc="0" locked="0" layoutInCell="1" allowOverlap="1">
            <wp:simplePos x="0" y="0"/>
            <wp:positionH relativeFrom="column">
              <wp:posOffset>654685</wp:posOffset>
            </wp:positionH>
            <wp:positionV relativeFrom="paragraph">
              <wp:posOffset>274320</wp:posOffset>
            </wp:positionV>
            <wp:extent cx="5332730" cy="3771900"/>
            <wp:effectExtent l="0" t="0" r="1270" b="0"/>
            <wp:wrapTopAndBottom/>
            <wp:docPr id="59210319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103195" name="图片 4"/>
                    <pic:cNvPicPr>
                      <a:picLocks noChangeAspect="1"/>
                    </pic:cNvPicPr>
                  </pic:nvPicPr>
                  <pic:blipFill>
                    <a:blip r:embed="rId7"/>
                    <a:srcRect l="2576" t="3333" r="1667" b="3542"/>
                    <a:stretch>
                      <a:fillRect/>
                    </a:stretch>
                  </pic:blipFill>
                  <pic:spPr>
                    <a:xfrm>
                      <a:off x="0" y="0"/>
                      <a:ext cx="5332730" cy="3771900"/>
                    </a:xfrm>
                    <a:prstGeom prst="rect">
                      <a:avLst/>
                    </a:prstGeom>
                    <a:ln>
                      <a:noFill/>
                    </a:ln>
                  </pic:spPr>
                </pic:pic>
              </a:graphicData>
            </a:graphic>
          </wp:anchor>
        </w:drawing>
      </w:r>
      <w:r>
        <w:rPr>
          <w:rFonts w:hint="default" w:ascii="Times New Roman" w:hAnsi="Times New Roman" w:cs="Times New Roman"/>
          <w:b/>
          <w:bCs/>
          <w:color w:val="auto"/>
        </w:rPr>
        <w:t>Appendix</w:t>
      </w:r>
      <w:r>
        <w:rPr>
          <w:rFonts w:hint="default" w:ascii="Times New Roman" w:hAnsi="Times New Roman" w:cs="Times New Roman"/>
          <w:b/>
          <w:bCs/>
          <w:color w:val="auto"/>
        </w:rPr>
        <w:t xml:space="preserve"> 7 </w:t>
      </w:r>
      <w:r>
        <w:rPr>
          <w:rFonts w:hint="default" w:ascii="Times New Roman" w:hAnsi="Times New Roman" w:cs="Times New Roman"/>
          <w:color w:val="auto"/>
        </w:rPr>
        <w:t>Results of Pairwise Comparison</w:t>
      </w:r>
    </w:p>
    <w:p w14:paraId="1BAEFF4F">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CON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69D6D938">
      <w:pPr>
        <w:widowControl/>
        <w:spacing w:line="360" w:lineRule="exact"/>
        <w:jc w:val="left"/>
        <w:rPr>
          <w:rFonts w:hint="default" w:ascii="Times New Roman" w:hAnsi="Times New Roman" w:cs="Times New Roman"/>
          <w:b/>
          <w:bCs/>
          <w:color w:val="auto"/>
        </w:rPr>
      </w:pPr>
    </w:p>
    <w:p w14:paraId="20BCFDE4">
      <w:pPr>
        <w:widowControl/>
        <w:jc w:val="left"/>
        <w:rPr>
          <w:rFonts w:hint="default" w:ascii="Times New Roman" w:hAnsi="Times New Roman" w:cs="Times New Roman"/>
          <w:b/>
          <w:bCs/>
          <w:color w:val="auto"/>
        </w:rPr>
      </w:pPr>
      <w:r>
        <w:rPr>
          <w:rFonts w:hint="default" w:ascii="Times New Roman" w:hAnsi="Times New Roman" w:cs="Times New Roman"/>
          <w:b/>
          <w:bCs/>
          <w:color w:val="auto"/>
        </w:rPr>
        <w:br w:type="page"/>
      </w:r>
    </w:p>
    <w:p w14:paraId="3C3A1741">
      <w:pPr>
        <w:widowControl/>
        <w:spacing w:line="360" w:lineRule="exact"/>
        <w:jc w:val="left"/>
        <w:outlineLvl w:val="0"/>
        <w:rPr>
          <w:rFonts w:hint="default" w:ascii="Times New Roman" w:hAnsi="Times New Roman" w:cs="Times New Roman"/>
          <w:color w:val="auto"/>
        </w:rPr>
      </w:pPr>
      <w:r>
        <w:rPr>
          <w:rFonts w:hint="default" w:ascii="Times New Roman" w:hAnsi="Times New Roman" w:cs="Times New Roman"/>
          <w:b/>
          <w:bCs/>
          <w:color w:val="auto"/>
        </w:rPr>
        <w:t xml:space="preserve">Appendix </w:t>
      </w:r>
      <w:r>
        <w:rPr>
          <w:rFonts w:hint="default" w:ascii="Times New Roman" w:hAnsi="Times New Roman" w:cs="Times New Roman"/>
          <w:b/>
          <w:bCs/>
          <w:color w:val="auto"/>
        </w:rPr>
        <w:t xml:space="preserve">8 </w:t>
      </w:r>
      <w:r>
        <w:rPr>
          <w:rFonts w:hint="default" w:ascii="Times New Roman" w:hAnsi="Times New Roman" w:cs="Times New Roman"/>
          <w:color w:val="auto"/>
        </w:rPr>
        <w:t>Results of the GRADE Assessment of the Quality of Evidence</w:t>
      </w:r>
    </w:p>
    <w:p w14:paraId="3857BE93">
      <w:pPr>
        <w:widowControl/>
        <w:spacing w:line="360" w:lineRule="exact"/>
        <w:jc w:val="left"/>
        <w:outlineLvl w:val="0"/>
        <w:rPr>
          <w:rFonts w:hint="default" w:ascii="Times New Roman" w:hAnsi="Times New Roman" w:cs="Times New Roman"/>
          <w:color w:val="auto"/>
        </w:rPr>
      </w:pPr>
      <w:r>
        <w:rPr>
          <w:rFonts w:hint="default" w:ascii="Times New Roman" w:hAnsi="Times New Roman" w:eastAsia="宋体" w:cs="Times New Roman"/>
          <w:b/>
          <w:bCs/>
          <w:color w:val="auto"/>
          <w:szCs w:val="21"/>
        </w:rPr>
        <w:t>Figure</w:t>
      </w:r>
      <w:r>
        <w:rPr>
          <w:rFonts w:hint="default" w:ascii="Times New Roman" w:hAnsi="Times New Roman" w:eastAsia="宋体" w:cs="Times New Roman"/>
          <w:b/>
          <w:bCs/>
          <w:color w:val="auto"/>
          <w:szCs w:val="21"/>
        </w:rPr>
        <w:t xml:space="preserve"> S1 </w:t>
      </w:r>
      <w:r>
        <w:rPr>
          <w:rFonts w:hint="default" w:ascii="Times New Roman" w:hAnsi="Times New Roman" w:cs="Times New Roman"/>
          <w:color w:val="auto"/>
        </w:rPr>
        <w:t>Overview of Limitations in the Studies</w:t>
      </w:r>
    </w:p>
    <w:p w14:paraId="68919B5E">
      <w:pPr>
        <w:spacing w:line="360" w:lineRule="exact"/>
        <w:ind w:firstLine="422" w:firstLineChars="200"/>
        <w:jc w:val="left"/>
        <w:rPr>
          <w:rFonts w:hint="default" w:ascii="Times New Roman" w:hAnsi="Times New Roman" w:eastAsia="宋体" w:cs="Times New Roman"/>
          <w:color w:val="auto"/>
          <w:kern w:val="0"/>
          <w:sz w:val="20"/>
          <w:szCs w:val="20"/>
          <w:lang w:bidi="ar"/>
        </w:rPr>
      </w:pPr>
      <w:r>
        <w:rPr>
          <w:rFonts w:hint="default" w:ascii="Times New Roman" w:hAnsi="Times New Roman" w:eastAsia="宋体" w:cs="Times New Roman"/>
          <w:b/>
          <w:bCs/>
          <w:color w:val="auto"/>
          <w:szCs w:val="21"/>
        </w:rPr>
        <w:drawing>
          <wp:anchor distT="0" distB="0" distL="114300" distR="114300" simplePos="0" relativeHeight="251661312" behindDoc="0" locked="0" layoutInCell="1" allowOverlap="1">
            <wp:simplePos x="0" y="0"/>
            <wp:positionH relativeFrom="column">
              <wp:posOffset>1478280</wp:posOffset>
            </wp:positionH>
            <wp:positionV relativeFrom="paragraph">
              <wp:posOffset>754380</wp:posOffset>
            </wp:positionV>
            <wp:extent cx="3679825" cy="3284220"/>
            <wp:effectExtent l="0" t="0" r="0" b="0"/>
            <wp:wrapTopAndBottom/>
            <wp:docPr id="20083502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50244" name="图片 5"/>
                    <pic:cNvPicPr>
                      <a:picLocks noChangeAspect="1"/>
                    </pic:cNvPicPr>
                  </pic:nvPicPr>
                  <pic:blipFill>
                    <a:blip r:embed="rId8"/>
                    <a:srcRect l="20909" t="8126" r="11516" b="8958"/>
                    <a:stretch>
                      <a:fillRect/>
                    </a:stretch>
                  </pic:blipFill>
                  <pic:spPr>
                    <a:xfrm>
                      <a:off x="0" y="0"/>
                      <a:ext cx="3679825" cy="3284220"/>
                    </a:xfrm>
                    <a:prstGeom prst="rect">
                      <a:avLst/>
                    </a:prstGeom>
                    <a:ln>
                      <a:noFill/>
                    </a:ln>
                  </pic:spPr>
                </pic:pic>
              </a:graphicData>
            </a:graphic>
          </wp:anchor>
        </w:drawing>
      </w:r>
      <w:r>
        <w:rPr>
          <w:rFonts w:hint="default" w:ascii="Times New Roman" w:hAnsi="Times New Roman" w:cs="Times New Roman"/>
          <w:color w:val="auto"/>
        </w:rPr>
        <w:t xml:space="preserve">The color of the lines represents the overall risk-of-bias judgement for the comparison between the corresponding interventions, derived from the </w:t>
      </w:r>
      <w:r>
        <w:rPr>
          <w:rFonts w:hint="default" w:ascii="Times New Roman" w:hAnsi="Times New Roman" w:cs="Times New Roman"/>
          <w:color w:val="auto"/>
        </w:rPr>
        <w:t xml:space="preserve">RoB </w:t>
      </w:r>
      <w:r>
        <w:rPr>
          <w:rFonts w:hint="default" w:ascii="Times New Roman" w:hAnsi="Times New Roman" w:cs="Times New Roman"/>
          <w:color w:val="auto"/>
          <w:lang w:val="en-US" w:eastAsia="zh-CN"/>
        </w:rPr>
        <w:t>2</w:t>
      </w:r>
      <w:r>
        <w:rPr>
          <w:rFonts w:hint="default" w:ascii="Times New Roman" w:hAnsi="Times New Roman" w:cs="Times New Roman"/>
          <w:color w:val="auto"/>
        </w:rPr>
        <w:t>.0</w:t>
      </w:r>
      <w:r>
        <w:rPr>
          <w:rFonts w:hint="default" w:ascii="Times New Roman" w:hAnsi="Times New Roman" w:cs="Times New Roman"/>
          <w:color w:val="auto"/>
        </w:rPr>
        <w:t xml:space="preserve"> assessments of the included studies: green = low risk of bias; </w:t>
      </w:r>
      <w:r>
        <w:rPr>
          <w:rFonts w:hint="default" w:ascii="Times New Roman" w:hAnsi="Times New Roman" w:cs="Times New Roman"/>
          <w:color w:val="auto"/>
        </w:rPr>
        <w:t xml:space="preserve">yellow = </w:t>
      </w:r>
      <w:r>
        <w:rPr>
          <w:rFonts w:hint="default" w:ascii="Times New Roman" w:hAnsi="Times New Roman" w:cs="Times New Roman"/>
          <w:color w:val="auto"/>
        </w:rPr>
        <w:t>some concerns</w:t>
      </w:r>
      <w:r>
        <w:rPr>
          <w:rFonts w:hint="default" w:ascii="Times New Roman" w:hAnsi="Times New Roman" w:cs="Times New Roman"/>
          <w:color w:val="auto"/>
        </w:rPr>
        <w:t>; red = high risk of bias.</w:t>
      </w:r>
    </w:p>
    <w:p w14:paraId="7B0BC0DD">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CON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35025B9C">
      <w:pPr>
        <w:spacing w:line="360" w:lineRule="exact"/>
        <w:rPr>
          <w:rFonts w:hint="default" w:ascii="Times New Roman" w:hAnsi="Times New Roman" w:eastAsia="宋体" w:cs="Times New Roman"/>
          <w:b/>
          <w:bCs/>
          <w:color w:val="auto"/>
          <w:szCs w:val="21"/>
        </w:rPr>
      </w:pPr>
    </w:p>
    <w:p w14:paraId="040BAD37">
      <w:pPr>
        <w:spacing w:line="360" w:lineRule="exact"/>
        <w:outlineLvl w:val="0"/>
        <w:rPr>
          <w:rFonts w:hint="default" w:ascii="Times New Roman" w:hAnsi="Times New Roman" w:cs="Times New Roman"/>
          <w:color w:val="auto"/>
        </w:rPr>
      </w:pPr>
      <w:r>
        <w:rPr>
          <w:rFonts w:hint="default" w:ascii="Times New Roman" w:hAnsi="Times New Roman" w:eastAsia="宋体" w:cs="Times New Roman"/>
          <w:color w:val="auto"/>
          <w:kern w:val="0"/>
          <w:sz w:val="18"/>
          <w:szCs w:val="18"/>
          <w:lang w:bidi="ar"/>
        </w:rPr>
        <w:drawing>
          <wp:anchor distT="0" distB="0" distL="114300" distR="114300" simplePos="0" relativeHeight="251663360" behindDoc="0" locked="0" layoutInCell="1" allowOverlap="1">
            <wp:simplePos x="0" y="0"/>
            <wp:positionH relativeFrom="column">
              <wp:posOffset>708660</wp:posOffset>
            </wp:positionH>
            <wp:positionV relativeFrom="paragraph">
              <wp:posOffset>263525</wp:posOffset>
            </wp:positionV>
            <wp:extent cx="5196840" cy="3421380"/>
            <wp:effectExtent l="0" t="0" r="3810" b="7620"/>
            <wp:wrapTopAndBottom/>
            <wp:docPr id="19217289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2890" name="图片 6"/>
                    <pic:cNvPicPr>
                      <a:picLocks noChangeAspect="1"/>
                    </pic:cNvPicPr>
                  </pic:nvPicPr>
                  <pic:blipFill>
                    <a:blip r:embed="rId9"/>
                    <a:srcRect l="2650" t="2686" r="2231" b="3723"/>
                    <a:stretch>
                      <a:fillRect/>
                    </a:stretch>
                  </pic:blipFill>
                  <pic:spPr>
                    <a:xfrm>
                      <a:off x="0" y="0"/>
                      <a:ext cx="5196840" cy="3421380"/>
                    </a:xfrm>
                    <a:prstGeom prst="rect">
                      <a:avLst/>
                    </a:prstGeom>
                    <a:ln>
                      <a:noFill/>
                    </a:ln>
                  </pic:spPr>
                </pic:pic>
              </a:graphicData>
            </a:graphic>
          </wp:anchor>
        </w:drawing>
      </w:r>
      <w:r>
        <w:rPr>
          <w:rFonts w:hint="default" w:ascii="Times New Roman" w:hAnsi="Times New Roman" w:cs="Times New Roman"/>
          <w:b/>
          <w:bCs/>
          <w:color w:val="auto"/>
        </w:rPr>
        <w:t>Figure S2</w:t>
      </w:r>
      <w:r>
        <w:rPr>
          <w:rStyle w:val="9"/>
          <w:rFonts w:hint="default" w:ascii="Times New Roman" w:hAnsi="Times New Roman" w:eastAsia="宋体" w:cs="Times New Roman"/>
          <w:color w:val="auto"/>
          <w:sz w:val="24"/>
        </w:rPr>
        <w:t xml:space="preserve"> </w:t>
      </w:r>
      <w:r>
        <w:rPr>
          <w:rFonts w:hint="default" w:ascii="Times New Roman" w:hAnsi="Times New Roman" w:cs="Times New Roman"/>
          <w:color w:val="auto"/>
        </w:rPr>
        <w:t xml:space="preserve">Contribution of </w:t>
      </w:r>
      <w:r>
        <w:rPr>
          <w:rFonts w:hint="default" w:ascii="Times New Roman" w:hAnsi="Times New Roman" w:cs="Times New Roman"/>
          <w:color w:val="auto"/>
        </w:rPr>
        <w:t>R</w:t>
      </w:r>
      <w:r>
        <w:rPr>
          <w:rFonts w:hint="default" w:ascii="Times New Roman" w:hAnsi="Times New Roman" w:cs="Times New Roman"/>
          <w:color w:val="auto"/>
        </w:rPr>
        <w:t>isk-of-</w:t>
      </w:r>
      <w:r>
        <w:rPr>
          <w:rFonts w:hint="default" w:ascii="Times New Roman" w:hAnsi="Times New Roman" w:cs="Times New Roman"/>
          <w:color w:val="auto"/>
        </w:rPr>
        <w:t>B</w:t>
      </w:r>
      <w:r>
        <w:rPr>
          <w:rFonts w:hint="default" w:ascii="Times New Roman" w:hAnsi="Times New Roman" w:cs="Times New Roman"/>
          <w:color w:val="auto"/>
        </w:rPr>
        <w:t xml:space="preserve">ias </w:t>
      </w:r>
      <w:r>
        <w:rPr>
          <w:rFonts w:hint="default" w:ascii="Times New Roman" w:hAnsi="Times New Roman" w:cs="Times New Roman"/>
          <w:color w:val="auto"/>
        </w:rPr>
        <w:t>J</w:t>
      </w:r>
      <w:r>
        <w:rPr>
          <w:rFonts w:hint="default" w:ascii="Times New Roman" w:hAnsi="Times New Roman" w:cs="Times New Roman"/>
          <w:color w:val="auto"/>
        </w:rPr>
        <w:t>udgements</w:t>
      </w:r>
      <w:r>
        <w:rPr>
          <w:rFonts w:hint="default" w:ascii="Times New Roman" w:hAnsi="Times New Roman" w:cs="Times New Roman"/>
          <w:color w:val="auto"/>
        </w:rPr>
        <w:t xml:space="preserve"> (RoB </w:t>
      </w:r>
      <w:r>
        <w:rPr>
          <w:rFonts w:hint="default" w:ascii="Times New Roman" w:hAnsi="Times New Roman" w:cs="Times New Roman"/>
          <w:color w:val="auto"/>
          <w:lang w:val="en-US" w:eastAsia="zh-CN"/>
        </w:rPr>
        <w:t>2</w:t>
      </w:r>
      <w:r>
        <w:rPr>
          <w:rFonts w:hint="default" w:ascii="Times New Roman" w:hAnsi="Times New Roman" w:cs="Times New Roman"/>
          <w:color w:val="auto"/>
        </w:rPr>
        <w:t>.0</w:t>
      </w:r>
      <w:r>
        <w:rPr>
          <w:rFonts w:hint="default" w:ascii="Times New Roman" w:hAnsi="Times New Roman" w:cs="Times New Roman"/>
          <w:color w:val="auto"/>
        </w:rPr>
        <w:t>)</w:t>
      </w:r>
      <w:r>
        <w:rPr>
          <w:rFonts w:hint="default" w:ascii="Times New Roman" w:hAnsi="Times New Roman" w:cs="Times New Roman"/>
          <w:color w:val="auto"/>
        </w:rPr>
        <w:t xml:space="preserve"> to </w:t>
      </w:r>
      <w:r>
        <w:rPr>
          <w:rFonts w:hint="default" w:ascii="Times New Roman" w:hAnsi="Times New Roman" w:cs="Times New Roman"/>
          <w:color w:val="auto"/>
        </w:rPr>
        <w:t>E</w:t>
      </w:r>
      <w:r>
        <w:rPr>
          <w:rFonts w:hint="default" w:ascii="Times New Roman" w:hAnsi="Times New Roman" w:cs="Times New Roman"/>
          <w:color w:val="auto"/>
        </w:rPr>
        <w:t xml:space="preserve">ach </w:t>
      </w:r>
      <w:r>
        <w:rPr>
          <w:rFonts w:hint="default" w:ascii="Times New Roman" w:hAnsi="Times New Roman" w:cs="Times New Roman"/>
          <w:color w:val="auto"/>
        </w:rPr>
        <w:t>N</w:t>
      </w:r>
      <w:r>
        <w:rPr>
          <w:rFonts w:hint="default" w:ascii="Times New Roman" w:hAnsi="Times New Roman" w:cs="Times New Roman"/>
          <w:color w:val="auto"/>
        </w:rPr>
        <w:t xml:space="preserve">etwork </w:t>
      </w:r>
      <w:r>
        <w:rPr>
          <w:rFonts w:hint="default" w:ascii="Times New Roman" w:hAnsi="Times New Roman" w:cs="Times New Roman"/>
          <w:color w:val="auto"/>
        </w:rPr>
        <w:t>E</w:t>
      </w:r>
      <w:r>
        <w:rPr>
          <w:rFonts w:hint="default" w:ascii="Times New Roman" w:hAnsi="Times New Roman" w:cs="Times New Roman"/>
          <w:color w:val="auto"/>
        </w:rPr>
        <w:t>stimate</w:t>
      </w:r>
    </w:p>
    <w:p w14:paraId="66F0812A">
      <w:pPr>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 Control, B: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 C:</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High-intensity interval training, D: 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E: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w:t>
      </w:r>
      <w:r>
        <w:rPr>
          <w:rFonts w:hint="default" w:ascii="Times New Roman" w:hAnsi="Times New Roman" w:eastAsia="宋体" w:cs="Times New Roman"/>
          <w:color w:val="auto"/>
          <w:kern w:val="0"/>
          <w:sz w:val="18"/>
          <w:szCs w:val="18"/>
          <w:lang w:bidi="ar"/>
        </w:rPr>
        <w:t xml:space="preserve"> green</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low risk</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yellow</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val="en-US" w:eastAsia="zh-CN" w:bidi="ar"/>
        </w:rPr>
        <w:t>some concerns</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red</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high risk</w:t>
      </w:r>
    </w:p>
    <w:p w14:paraId="1C05973E">
      <w:pPr>
        <w:spacing w:line="360" w:lineRule="exact"/>
        <w:outlineLvl w:val="0"/>
        <w:rPr>
          <w:rFonts w:hint="default" w:ascii="Times New Roman" w:hAnsi="Times New Roman" w:cs="Times New Roman"/>
          <w:color w:val="auto"/>
        </w:rPr>
      </w:pPr>
      <w:r>
        <w:rPr>
          <w:rFonts w:hint="default" w:ascii="Times New Roman" w:hAnsi="Times New Roman" w:cs="Times New Roman"/>
          <w:b/>
          <w:bCs/>
          <w:color w:val="auto"/>
        </w:rPr>
        <w:t>Table</w:t>
      </w:r>
      <w:r>
        <w:rPr>
          <w:rFonts w:hint="default" w:ascii="Times New Roman" w:hAnsi="Times New Roman" w:cs="Times New Roman"/>
          <w:b/>
          <w:bCs/>
          <w:color w:val="auto"/>
        </w:rPr>
        <w:t xml:space="preserve"> S</w:t>
      </w:r>
      <w:r>
        <w:rPr>
          <w:rFonts w:hint="default" w:ascii="Times New Roman" w:hAnsi="Times New Roman" w:cs="Times New Roman"/>
          <w:b/>
          <w:bCs/>
          <w:color w:val="auto"/>
        </w:rPr>
        <w:t>8</w:t>
      </w:r>
      <w:r>
        <w:rPr>
          <w:rFonts w:hint="default" w:ascii="Times New Roman" w:hAnsi="Times New Roman" w:cs="Times New Roman"/>
          <w:color w:val="auto"/>
        </w:rPr>
        <w:t xml:space="preserve"> Reasons for Downgrading in the GRADE Assessment of the Quality of Evidence </w:t>
      </w:r>
    </w:p>
    <w:p w14:paraId="2C3FE77D">
      <w:pPr>
        <w:spacing w:line="360" w:lineRule="exact"/>
        <w:outlineLvl w:val="1"/>
        <w:rPr>
          <w:rFonts w:hint="default" w:ascii="Times New Roman" w:hAnsi="Times New Roman" w:cs="Times New Roman"/>
          <w:color w:val="auto"/>
        </w:rPr>
      </w:pPr>
      <w:r>
        <w:rPr>
          <w:rFonts w:hint="default" w:ascii="Times New Roman" w:hAnsi="Times New Roman" w:cs="Times New Roman"/>
          <w:color w:val="auto"/>
        </w:rPr>
        <w:t>(1)</w:t>
      </w:r>
      <w:r>
        <w:rPr>
          <w:rFonts w:hint="default" w:ascii="Times New Roman" w:hAnsi="Times New Roman" w:cs="Times New Roman"/>
          <w:color w:val="auto"/>
        </w:rPr>
        <w:t xml:space="preserve"> </w:t>
      </w:r>
      <w:r>
        <w:rPr>
          <w:rFonts w:hint="default" w:ascii="Times New Roman" w:hAnsi="Times New Roman" w:cs="Times New Roman"/>
          <w:color w:val="auto"/>
        </w:rPr>
        <w:t xml:space="preserve">Study </w:t>
      </w:r>
      <w:r>
        <w:rPr>
          <w:rFonts w:hint="default" w:ascii="Times New Roman" w:hAnsi="Times New Roman" w:cs="Times New Roman"/>
          <w:color w:val="auto"/>
        </w:rPr>
        <w:t>L</w:t>
      </w:r>
      <w:r>
        <w:rPr>
          <w:rFonts w:hint="default" w:ascii="Times New Roman" w:hAnsi="Times New Roman" w:cs="Times New Roman"/>
          <w:color w:val="auto"/>
        </w:rPr>
        <w:t>imitations</w:t>
      </w:r>
    </w:p>
    <w:p w14:paraId="72BFD3FC">
      <w:pPr>
        <w:spacing w:line="360" w:lineRule="exact"/>
        <w:ind w:firstLine="420" w:firstLineChars="200"/>
        <w:outlineLvl w:val="9"/>
        <w:rPr>
          <w:rFonts w:hint="default" w:ascii="Times New Roman" w:hAnsi="Times New Roman" w:cs="Times New Roman"/>
          <w:color w:val="auto"/>
        </w:rPr>
      </w:pPr>
      <w:r>
        <w:rPr>
          <w:rFonts w:hint="default" w:ascii="Times New Roman" w:hAnsi="Times New Roman" w:cs="Times New Roman"/>
          <w:color w:val="auto"/>
        </w:rPr>
        <w:t>Each network estimate was rated according to the Grading of Recommendations, Assessment, Development, and Evaluation (GRADE) framework. Study limitations were assessed based on the risk-of-bias</w:t>
      </w:r>
      <w:r>
        <w:rPr>
          <w:rFonts w:hint="default" w:ascii="Times New Roman" w:hAnsi="Times New Roman" w:cs="Times New Roman"/>
          <w:color w:val="auto"/>
        </w:rPr>
        <w:t xml:space="preserve"> (RoB </w:t>
      </w:r>
      <w:r>
        <w:rPr>
          <w:rFonts w:hint="default" w:ascii="Times New Roman" w:hAnsi="Times New Roman" w:cs="Times New Roman"/>
          <w:color w:val="auto"/>
          <w:lang w:val="en-US" w:eastAsia="zh-CN"/>
        </w:rPr>
        <w:t>2</w:t>
      </w:r>
      <w:r>
        <w:rPr>
          <w:rFonts w:hint="default" w:ascii="Times New Roman" w:hAnsi="Times New Roman" w:cs="Times New Roman"/>
          <w:color w:val="auto"/>
        </w:rPr>
        <w:t>.0)</w:t>
      </w:r>
      <w:r>
        <w:rPr>
          <w:rFonts w:hint="default" w:ascii="Times New Roman" w:hAnsi="Times New Roman" w:cs="Times New Roman"/>
          <w:color w:val="auto"/>
        </w:rPr>
        <w:t xml:space="preserve"> judgments for each direct comparison, with the following scoring: low risk (green) = 0; </w:t>
      </w:r>
      <w:r>
        <w:rPr>
          <w:rFonts w:hint="default" w:ascii="Times New Roman" w:hAnsi="Times New Roman" w:cs="Times New Roman"/>
          <w:color w:val="auto"/>
        </w:rPr>
        <w:t>some concerns</w:t>
      </w:r>
      <w:r>
        <w:rPr>
          <w:rFonts w:hint="default" w:ascii="Times New Roman" w:hAnsi="Times New Roman" w:cs="Times New Roman"/>
          <w:color w:val="auto"/>
        </w:rPr>
        <w:t xml:space="preserve"> (yellow) = −1</w:t>
      </w:r>
      <w:r>
        <w:rPr>
          <w:rFonts w:hint="default" w:ascii="Times New Roman" w:hAnsi="Times New Roman" w:cs="Times New Roman"/>
          <w:color w:val="auto"/>
        </w:rPr>
        <w:t>; high risk (red) = −2. Based on these ratings, we calculated a weighted risk score for each comparison and the surface under the cumulative ranking curve (SUCRA) rankings, reflecting the impact of</w:t>
      </w:r>
      <w:r>
        <w:rPr>
          <w:rFonts w:hint="default" w:ascii="Times New Roman" w:hAnsi="Times New Roman" w:cs="Times New Roman"/>
          <w:color w:val="auto"/>
        </w:rPr>
        <w:t xml:space="preserve"> RoB </w:t>
      </w:r>
      <w:r>
        <w:rPr>
          <w:rFonts w:hint="default" w:ascii="Times New Roman" w:hAnsi="Times New Roman" w:cs="Times New Roman"/>
          <w:color w:val="auto"/>
          <w:lang w:val="en-US" w:eastAsia="zh-CN"/>
        </w:rPr>
        <w:t>2</w:t>
      </w:r>
      <w:r>
        <w:rPr>
          <w:rFonts w:hint="default" w:ascii="Times New Roman" w:hAnsi="Times New Roman" w:cs="Times New Roman"/>
          <w:color w:val="auto"/>
        </w:rPr>
        <w:t xml:space="preserve">.0 </w:t>
      </w:r>
      <w:r>
        <w:rPr>
          <w:rFonts w:hint="default" w:ascii="Times New Roman" w:hAnsi="Times New Roman" w:cs="Times New Roman"/>
          <w:color w:val="auto"/>
        </w:rPr>
        <w:t xml:space="preserve">scores in direct comparisons on the corresponding network estimate. If the risk score was between −1.5 and −0.6, the certainty was downgraded by one level, labeled as "Study limitations"; if the risk score was less than −1.6, it was downgraded by two levels, labeled as "Study limitations²". </w:t>
      </w:r>
    </w:p>
    <w:p w14:paraId="697373C8">
      <w:pPr>
        <w:spacing w:line="360" w:lineRule="exact"/>
        <w:outlineLvl w:val="1"/>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rPr>
        <w:t xml:space="preserve"> </w:t>
      </w:r>
      <w:r>
        <w:rPr>
          <w:rFonts w:hint="default" w:ascii="Times New Roman" w:hAnsi="Times New Roman" w:cs="Times New Roman"/>
          <w:color w:val="auto"/>
        </w:rPr>
        <w:t>Indirectness</w:t>
      </w:r>
    </w:p>
    <w:p w14:paraId="5AF9E867">
      <w:pPr>
        <w:spacing w:line="360" w:lineRule="exact"/>
        <w:ind w:firstLine="420" w:firstLineChars="200"/>
        <w:outlineLvl w:val="9"/>
        <w:rPr>
          <w:rFonts w:hint="default" w:ascii="Times New Roman" w:hAnsi="Times New Roman" w:cs="Times New Roman"/>
          <w:color w:val="auto"/>
        </w:rPr>
      </w:pPr>
      <w:r>
        <w:rPr>
          <w:rFonts w:hint="default" w:ascii="Times New Roman" w:hAnsi="Times New Roman" w:cs="Times New Roman"/>
          <w:color w:val="auto"/>
        </w:rPr>
        <w:t xml:space="preserve">Downgrading for indirectness was determined by evaluating whether the contribution plot (Appendix </w:t>
      </w:r>
      <w:r>
        <w:rPr>
          <w:rFonts w:hint="default" w:ascii="Times New Roman" w:hAnsi="Times New Roman" w:cs="Times New Roman"/>
          <w:color w:val="auto"/>
        </w:rPr>
        <w:t>5</w:t>
      </w:r>
      <w:r>
        <w:rPr>
          <w:rFonts w:hint="default" w:ascii="Times New Roman" w:hAnsi="Times New Roman" w:cs="Times New Roman"/>
          <w:color w:val="auto"/>
        </w:rPr>
        <w:t xml:space="preserve">) was informed solely by indirect evidence. </w:t>
      </w:r>
    </w:p>
    <w:p w14:paraId="2F376BD2">
      <w:pPr>
        <w:spacing w:line="360" w:lineRule="exact"/>
        <w:outlineLvl w:val="1"/>
        <w:rPr>
          <w:rFonts w:hint="default" w:ascii="Times New Roman" w:hAnsi="Times New Roman" w:cs="Times New Roman"/>
          <w:color w:val="auto"/>
        </w:rPr>
      </w:pPr>
      <w:r>
        <w:rPr>
          <w:rFonts w:hint="default" w:ascii="Times New Roman" w:hAnsi="Times New Roman" w:cs="Times New Roman"/>
          <w:color w:val="auto"/>
        </w:rPr>
        <w:t>(3)</w:t>
      </w:r>
      <w:r>
        <w:rPr>
          <w:rFonts w:hint="default" w:ascii="Times New Roman" w:hAnsi="Times New Roman" w:cs="Times New Roman"/>
          <w:color w:val="auto"/>
        </w:rPr>
        <w:t xml:space="preserve"> </w:t>
      </w:r>
      <w:r>
        <w:rPr>
          <w:rFonts w:hint="default" w:ascii="Times New Roman" w:hAnsi="Times New Roman" w:cs="Times New Roman"/>
          <w:color w:val="auto"/>
        </w:rPr>
        <w:t>Heterogeneity</w:t>
      </w:r>
      <w:r>
        <w:rPr>
          <w:rFonts w:hint="default" w:ascii="Times New Roman" w:hAnsi="Times New Roman" w:cs="Times New Roman"/>
          <w:color w:val="auto"/>
        </w:rPr>
        <w:t xml:space="preserve"> and </w:t>
      </w:r>
      <w:r>
        <w:rPr>
          <w:rFonts w:hint="default" w:ascii="Times New Roman" w:hAnsi="Times New Roman" w:cs="Times New Roman"/>
          <w:color w:val="auto"/>
        </w:rPr>
        <w:t>Inconsistency</w:t>
      </w:r>
    </w:p>
    <w:p w14:paraId="75F018C4">
      <w:pPr>
        <w:spacing w:line="360" w:lineRule="exact"/>
        <w:ind w:firstLine="420" w:firstLineChars="200"/>
        <w:outlineLvl w:val="9"/>
        <w:rPr>
          <w:rFonts w:hint="default" w:ascii="Times New Roman" w:hAnsi="Times New Roman" w:cs="Times New Roman"/>
          <w:color w:val="auto"/>
        </w:rPr>
      </w:pPr>
      <w:r>
        <w:rPr>
          <w:rFonts w:hint="default" w:ascii="Times New Roman" w:hAnsi="Times New Roman" w:cs="Times New Roman"/>
          <w:color w:val="auto"/>
        </w:rPr>
        <w:t xml:space="preserve">For heterogeneity in direct comparisons, we determined whether the prediction intervals between interventions in the prediction interval plot (Appendix 7) crossed the line of no effect; if they did (i.e., the red solid line intersected the blue solid line), the comparison was classified as highly heterogeneous (labeled as "Heterogeneity"). Inconsistency between direct and indirect evidence was assessed using loop-specific heterogeneity estimates and node-splitting analyses (labeled as "Inconsistency"). </w:t>
      </w:r>
    </w:p>
    <w:p w14:paraId="5C13BC1D">
      <w:pPr>
        <w:spacing w:line="360" w:lineRule="exact"/>
        <w:outlineLvl w:val="1"/>
        <w:rPr>
          <w:rFonts w:hint="default" w:ascii="Times New Roman" w:hAnsi="Times New Roman" w:cs="Times New Roman"/>
          <w:color w:val="auto"/>
        </w:rPr>
      </w:pPr>
      <w:r>
        <w:rPr>
          <w:rFonts w:hint="default" w:ascii="Times New Roman" w:hAnsi="Times New Roman" w:cs="Times New Roman"/>
          <w:color w:val="auto"/>
        </w:rPr>
        <w:t>(4)</w:t>
      </w:r>
      <w:r>
        <w:rPr>
          <w:rFonts w:hint="default" w:ascii="Times New Roman" w:hAnsi="Times New Roman" w:cs="Times New Roman"/>
          <w:color w:val="auto"/>
        </w:rPr>
        <w:t xml:space="preserve"> </w:t>
      </w:r>
      <w:r>
        <w:rPr>
          <w:rFonts w:hint="default" w:ascii="Times New Roman" w:hAnsi="Times New Roman" w:cs="Times New Roman"/>
          <w:color w:val="auto"/>
        </w:rPr>
        <w:t>Imprecision</w:t>
      </w:r>
    </w:p>
    <w:p w14:paraId="20735A4A">
      <w:pPr>
        <w:spacing w:line="360" w:lineRule="exact"/>
        <w:ind w:firstLine="420" w:firstLineChars="200"/>
        <w:outlineLvl w:val="9"/>
        <w:rPr>
          <w:rFonts w:hint="default" w:ascii="Times New Roman" w:hAnsi="Times New Roman" w:cs="Times New Roman"/>
          <w:color w:val="auto"/>
        </w:rPr>
      </w:pPr>
      <w:r>
        <w:rPr>
          <w:rFonts w:hint="default" w:ascii="Times New Roman" w:hAnsi="Times New Roman" w:cs="Times New Roman"/>
          <w:color w:val="auto"/>
        </w:rPr>
        <w:t xml:space="preserve">When the total sample size is less than 400, an overall downgrade of one level is applied. Imprecision in ranking results was assessed by the magnitude of differences between interventions' SUCRA values; when the differences were small, the corresponding intervention was downgraded by one level. </w:t>
      </w:r>
    </w:p>
    <w:p w14:paraId="1F8F74DC">
      <w:pPr>
        <w:spacing w:line="360" w:lineRule="exact"/>
        <w:ind w:left="420" w:hanging="420" w:hangingChars="200"/>
        <w:outlineLvl w:val="1"/>
        <w:rPr>
          <w:rFonts w:hint="default" w:ascii="Times New Roman" w:hAnsi="Times New Roman" w:eastAsia="宋体" w:cs="Times New Roman"/>
          <w:color w:val="auto"/>
          <w:kern w:val="0"/>
          <w:sz w:val="20"/>
          <w:szCs w:val="20"/>
          <w:lang w:bidi="ar"/>
        </w:rPr>
      </w:pPr>
      <w:r>
        <w:rPr>
          <w:rFonts w:hint="default" w:ascii="Times New Roman" w:hAnsi="Times New Roman" w:cs="Times New Roman"/>
          <w:color w:val="auto"/>
        </w:rPr>
        <w:t xml:space="preserve">(5) Publication </w:t>
      </w:r>
      <w:r>
        <w:rPr>
          <w:rFonts w:hint="default" w:ascii="Times New Roman" w:hAnsi="Times New Roman" w:cs="Times New Roman"/>
          <w:color w:val="auto"/>
        </w:rPr>
        <w:t>B</w:t>
      </w:r>
      <w:r>
        <w:rPr>
          <w:rFonts w:hint="default" w:ascii="Times New Roman" w:hAnsi="Times New Roman" w:cs="Times New Roman"/>
          <w:color w:val="auto"/>
        </w:rPr>
        <w:t>ias</w:t>
      </w:r>
      <w:r>
        <w:rPr>
          <w:rFonts w:hint="default" w:ascii="Times New Roman" w:hAnsi="Times New Roman" w:cs="Times New Roman"/>
          <w:color w:val="auto"/>
        </w:rPr>
        <w:br w:type="textWrapping"/>
      </w:r>
      <w:r>
        <w:rPr>
          <w:rFonts w:hint="default" w:ascii="Times New Roman" w:hAnsi="Times New Roman" w:cs="Times New Roman"/>
          <w:color w:val="auto"/>
        </w:rPr>
        <w:t xml:space="preserve">Assessed for downgrading by analyzing the funnel plot (Figure </w:t>
      </w:r>
      <w:r>
        <w:rPr>
          <w:rFonts w:hint="default" w:ascii="Times New Roman" w:hAnsi="Times New Roman" w:cs="Times New Roman"/>
          <w:color w:val="auto"/>
          <w:highlight w:val="none"/>
        </w:rPr>
        <w:t>5</w:t>
      </w:r>
      <w:r>
        <w:rPr>
          <w:rFonts w:hint="default" w:ascii="Times New Roman" w:hAnsi="Times New Roman" w:cs="Times New Roman"/>
          <w:color w:val="auto"/>
        </w:rPr>
        <w:t xml:space="preserve"> in the main text).</w:t>
      </w:r>
    </w:p>
    <w:tbl>
      <w:tblPr>
        <w:tblStyle w:val="6"/>
        <w:tblW w:w="10496" w:type="dxa"/>
        <w:tblInd w:w="0" w:type="dxa"/>
        <w:tblLayout w:type="autofit"/>
        <w:tblCellMar>
          <w:top w:w="0" w:type="dxa"/>
          <w:left w:w="0" w:type="dxa"/>
          <w:bottom w:w="0" w:type="dxa"/>
          <w:right w:w="0" w:type="dxa"/>
        </w:tblCellMar>
      </w:tblPr>
      <w:tblGrid>
        <w:gridCol w:w="2709"/>
        <w:gridCol w:w="2149"/>
        <w:gridCol w:w="1820"/>
        <w:gridCol w:w="3818"/>
      </w:tblGrid>
      <w:tr w14:paraId="390DEF5F">
        <w:tblPrEx>
          <w:tblCellMar>
            <w:top w:w="0" w:type="dxa"/>
            <w:left w:w="0" w:type="dxa"/>
            <w:bottom w:w="0" w:type="dxa"/>
            <w:right w:w="0" w:type="dxa"/>
          </w:tblCellMar>
        </w:tblPrEx>
        <w:trPr>
          <w:trHeight w:val="454" w:hRule="atLeast"/>
        </w:trPr>
        <w:tc>
          <w:tcPr>
            <w:tcW w:w="2709" w:type="dxa"/>
            <w:tcBorders>
              <w:top w:val="single" w:color="000000" w:sz="12" w:space="0"/>
              <w:left w:val="nil"/>
              <w:bottom w:val="single" w:color="000000" w:sz="4" w:space="0"/>
              <w:right w:val="nil"/>
            </w:tcBorders>
            <w:noWrap/>
            <w:tcMar>
              <w:top w:w="15" w:type="dxa"/>
              <w:left w:w="15" w:type="dxa"/>
              <w:bottom w:w="0" w:type="dxa"/>
              <w:right w:w="15" w:type="dxa"/>
            </w:tcMar>
            <w:vAlign w:val="center"/>
          </w:tcPr>
          <w:p w14:paraId="532CA0BB">
            <w:pPr>
              <w:widowControl/>
              <w:jc w:val="center"/>
              <w:rPr>
                <w:rFonts w:hint="default" w:ascii="Times New Roman" w:hAnsi="Times New Roman" w:eastAsia="宋体" w:cs="Times New Roman"/>
                <w:b/>
                <w:bCs/>
                <w:color w:val="auto"/>
                <w:kern w:val="0"/>
                <w:szCs w:val="21"/>
              </w:rPr>
            </w:pPr>
            <w:r>
              <w:rPr>
                <w:rFonts w:hint="default" w:ascii="Times New Roman" w:hAnsi="Times New Roman" w:cs="Times New Roman"/>
                <w:b/>
                <w:bCs/>
                <w:color w:val="auto"/>
                <w:szCs w:val="21"/>
              </w:rPr>
              <w:t>Comparison</w:t>
            </w:r>
          </w:p>
        </w:tc>
        <w:tc>
          <w:tcPr>
            <w:tcW w:w="2149" w:type="dxa"/>
            <w:tcBorders>
              <w:top w:val="single" w:color="000000" w:sz="12" w:space="0"/>
              <w:left w:val="nil"/>
              <w:bottom w:val="single" w:color="000000" w:sz="4" w:space="0"/>
              <w:right w:val="nil"/>
            </w:tcBorders>
            <w:tcMar>
              <w:top w:w="15" w:type="dxa"/>
              <w:left w:w="15" w:type="dxa"/>
              <w:bottom w:w="0" w:type="dxa"/>
              <w:right w:w="15" w:type="dxa"/>
            </w:tcMar>
            <w:vAlign w:val="center"/>
          </w:tcPr>
          <w:p w14:paraId="721F0D68">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Nature of the evidence</w:t>
            </w:r>
          </w:p>
        </w:tc>
        <w:tc>
          <w:tcPr>
            <w:tcW w:w="1820" w:type="dxa"/>
            <w:tcBorders>
              <w:top w:val="single" w:color="000000" w:sz="12" w:space="0"/>
              <w:left w:val="nil"/>
              <w:bottom w:val="single" w:color="000000" w:sz="4" w:space="0"/>
              <w:right w:val="nil"/>
            </w:tcBorders>
            <w:noWrap/>
            <w:tcMar>
              <w:top w:w="15" w:type="dxa"/>
              <w:left w:w="15" w:type="dxa"/>
              <w:bottom w:w="0" w:type="dxa"/>
              <w:right w:w="15" w:type="dxa"/>
            </w:tcMar>
            <w:vAlign w:val="center"/>
          </w:tcPr>
          <w:p w14:paraId="2C524911">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Confidence</w:t>
            </w:r>
          </w:p>
        </w:tc>
        <w:tc>
          <w:tcPr>
            <w:tcW w:w="3818" w:type="dxa"/>
            <w:tcBorders>
              <w:top w:val="single" w:color="000000" w:sz="12" w:space="0"/>
              <w:left w:val="nil"/>
              <w:bottom w:val="single" w:color="000000" w:sz="4" w:space="0"/>
              <w:right w:val="nil"/>
            </w:tcBorders>
            <w:noWrap/>
            <w:tcMar>
              <w:top w:w="15" w:type="dxa"/>
              <w:left w:w="15" w:type="dxa"/>
              <w:bottom w:w="0" w:type="dxa"/>
              <w:right w:w="15" w:type="dxa"/>
            </w:tcMar>
            <w:vAlign w:val="center"/>
          </w:tcPr>
          <w:p w14:paraId="6BC9D56F">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Downgrading due to</w:t>
            </w:r>
          </w:p>
        </w:tc>
      </w:tr>
      <w:tr w14:paraId="207BBDE5">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66A4E6A7">
            <w:pPr>
              <w:jc w:val="center"/>
              <w:rPr>
                <w:rFonts w:hint="default" w:ascii="Times New Roman" w:hAnsi="Times New Roman" w:cs="Times New Roman"/>
                <w:color w:val="auto"/>
                <w:szCs w:val="21"/>
              </w:rPr>
            </w:pPr>
            <w:r>
              <w:rPr>
                <w:rFonts w:hint="default" w:ascii="Times New Roman" w:hAnsi="Times New Roman" w:cs="Times New Roman"/>
                <w:color w:val="auto"/>
                <w:szCs w:val="21"/>
              </w:rPr>
              <w:t>AvsB</w:t>
            </w:r>
          </w:p>
        </w:tc>
        <w:tc>
          <w:tcPr>
            <w:tcW w:w="2149" w:type="dxa"/>
            <w:vMerge w:val="restart"/>
            <w:tcBorders>
              <w:top w:val="nil"/>
              <w:left w:val="nil"/>
              <w:bottom w:val="dashed" w:color="000000" w:sz="8" w:space="0"/>
              <w:right w:val="nil"/>
            </w:tcBorders>
            <w:noWrap/>
            <w:tcMar>
              <w:top w:w="15" w:type="dxa"/>
              <w:left w:w="15" w:type="dxa"/>
              <w:bottom w:w="0" w:type="dxa"/>
              <w:right w:w="15" w:type="dxa"/>
            </w:tcMar>
            <w:vAlign w:val="center"/>
          </w:tcPr>
          <w:p w14:paraId="5F317805">
            <w:pPr>
              <w:jc w:val="center"/>
              <w:rPr>
                <w:rFonts w:hint="default" w:ascii="Times New Roman" w:hAnsi="Times New Roman" w:cs="Times New Roman"/>
                <w:color w:val="auto"/>
                <w:szCs w:val="21"/>
              </w:rPr>
            </w:pPr>
            <w:r>
              <w:rPr>
                <w:rFonts w:hint="default" w:ascii="Times New Roman" w:hAnsi="Times New Roman" w:cs="Times New Roman"/>
                <w:color w:val="auto"/>
                <w:szCs w:val="21"/>
              </w:rPr>
              <w:t>Mixed</w:t>
            </w:r>
          </w:p>
        </w:tc>
        <w:tc>
          <w:tcPr>
            <w:tcW w:w="1820" w:type="dxa"/>
            <w:tcBorders>
              <w:top w:val="nil"/>
              <w:left w:val="nil"/>
              <w:bottom w:val="nil"/>
              <w:right w:val="nil"/>
            </w:tcBorders>
            <w:noWrap/>
            <w:tcMar>
              <w:top w:w="15" w:type="dxa"/>
              <w:left w:w="15" w:type="dxa"/>
              <w:bottom w:w="0" w:type="dxa"/>
              <w:right w:w="15" w:type="dxa"/>
            </w:tcMar>
            <w:vAlign w:val="center"/>
          </w:tcPr>
          <w:p w14:paraId="07D6527A">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4426D30F">
            <w:pPr>
              <w:jc w:val="center"/>
              <w:rPr>
                <w:rFonts w:hint="default" w:ascii="Times New Roman" w:hAnsi="Times New Roman" w:cs="Times New Roman"/>
                <w:color w:val="auto"/>
                <w:szCs w:val="21"/>
              </w:rPr>
            </w:pPr>
            <w:r>
              <w:rPr>
                <w:rFonts w:hint="default" w:ascii="Times New Roman" w:hAnsi="Times New Roman" w:cs="Times New Roman"/>
                <w:color w:val="auto"/>
                <w:szCs w:val="21"/>
              </w:rPr>
              <w:t>Heterogeneity</w:t>
            </w:r>
          </w:p>
        </w:tc>
      </w:tr>
      <w:tr w14:paraId="40A6F482">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4630ACB1">
            <w:pPr>
              <w:jc w:val="center"/>
              <w:rPr>
                <w:rFonts w:hint="default" w:ascii="Times New Roman" w:hAnsi="Times New Roman" w:cs="Times New Roman"/>
                <w:color w:val="auto"/>
                <w:szCs w:val="21"/>
              </w:rPr>
            </w:pPr>
            <w:r>
              <w:rPr>
                <w:rFonts w:hint="default" w:ascii="Times New Roman" w:hAnsi="Times New Roman" w:cs="Times New Roman"/>
                <w:color w:val="auto"/>
                <w:szCs w:val="21"/>
              </w:rPr>
              <w:t>AvsC</w:t>
            </w:r>
          </w:p>
        </w:tc>
        <w:tc>
          <w:tcPr>
            <w:tcW w:w="2149" w:type="dxa"/>
            <w:vMerge w:val="continue"/>
            <w:tcBorders>
              <w:top w:val="nil"/>
              <w:left w:val="nil"/>
              <w:bottom w:val="dashed" w:color="000000" w:sz="8" w:space="0"/>
              <w:right w:val="nil"/>
            </w:tcBorders>
            <w:vAlign w:val="center"/>
          </w:tcPr>
          <w:p w14:paraId="545DEC79">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3245C68F">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39DF254E">
            <w:pPr>
              <w:jc w:val="center"/>
              <w:rPr>
                <w:rFonts w:hint="default" w:ascii="Times New Roman" w:hAnsi="Times New Roman" w:cs="Times New Roman"/>
                <w:color w:val="auto"/>
                <w:szCs w:val="21"/>
              </w:rPr>
            </w:pPr>
            <w:r>
              <w:rPr>
                <w:rFonts w:hint="default" w:ascii="Times New Roman" w:hAnsi="Times New Roman" w:cs="Times New Roman"/>
                <w:color w:val="auto"/>
                <w:szCs w:val="21"/>
              </w:rPr>
              <w:t>Heterogeneity</w:t>
            </w:r>
          </w:p>
        </w:tc>
      </w:tr>
      <w:tr w14:paraId="527046FE">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5FFEEA87">
            <w:pPr>
              <w:jc w:val="center"/>
              <w:rPr>
                <w:rFonts w:hint="default" w:ascii="Times New Roman" w:hAnsi="Times New Roman" w:cs="Times New Roman"/>
                <w:color w:val="auto"/>
                <w:szCs w:val="21"/>
              </w:rPr>
            </w:pPr>
            <w:r>
              <w:rPr>
                <w:rFonts w:hint="default" w:ascii="Times New Roman" w:hAnsi="Times New Roman" w:cs="Times New Roman"/>
                <w:color w:val="auto"/>
                <w:szCs w:val="21"/>
              </w:rPr>
              <w:t>AvsD</w:t>
            </w:r>
          </w:p>
        </w:tc>
        <w:tc>
          <w:tcPr>
            <w:tcW w:w="2149" w:type="dxa"/>
            <w:vMerge w:val="continue"/>
            <w:tcBorders>
              <w:top w:val="nil"/>
              <w:left w:val="nil"/>
              <w:bottom w:val="dashed" w:color="000000" w:sz="8" w:space="0"/>
              <w:right w:val="nil"/>
            </w:tcBorders>
            <w:vAlign w:val="center"/>
          </w:tcPr>
          <w:p w14:paraId="51782BF0">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0A3A6970">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Low</w:t>
            </w:r>
          </w:p>
        </w:tc>
        <w:tc>
          <w:tcPr>
            <w:tcW w:w="3818" w:type="dxa"/>
            <w:tcBorders>
              <w:top w:val="nil"/>
              <w:left w:val="nil"/>
              <w:bottom w:val="nil"/>
              <w:right w:val="nil"/>
            </w:tcBorders>
            <w:noWrap/>
            <w:tcMar>
              <w:top w:w="15" w:type="dxa"/>
              <w:left w:w="15" w:type="dxa"/>
              <w:bottom w:w="0" w:type="dxa"/>
              <w:right w:w="15" w:type="dxa"/>
            </w:tcMar>
            <w:vAlign w:val="center"/>
          </w:tcPr>
          <w:p w14:paraId="7DEB9998">
            <w:pPr>
              <w:jc w:val="center"/>
              <w:rPr>
                <w:rFonts w:hint="default" w:ascii="Times New Roman" w:hAnsi="Times New Roman" w:cs="Times New Roman"/>
                <w:color w:val="auto"/>
                <w:szCs w:val="21"/>
              </w:rPr>
            </w:pPr>
            <w:r>
              <w:rPr>
                <w:rFonts w:hint="default" w:ascii="Times New Roman" w:hAnsi="Times New Roman" w:cs="Times New Roman"/>
                <w:color w:val="auto"/>
                <w:szCs w:val="21"/>
              </w:rPr>
              <w:t>Study limitations, Heterogeneity</w:t>
            </w:r>
          </w:p>
        </w:tc>
      </w:tr>
      <w:tr w14:paraId="150AED1E">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386051F8">
            <w:pPr>
              <w:jc w:val="center"/>
              <w:rPr>
                <w:rFonts w:hint="default" w:ascii="Times New Roman" w:hAnsi="Times New Roman" w:cs="Times New Roman"/>
                <w:color w:val="auto"/>
                <w:szCs w:val="21"/>
              </w:rPr>
            </w:pPr>
            <w:r>
              <w:rPr>
                <w:rFonts w:hint="default" w:ascii="Times New Roman" w:hAnsi="Times New Roman" w:cs="Times New Roman"/>
                <w:color w:val="auto"/>
                <w:szCs w:val="21"/>
              </w:rPr>
              <w:t>AvsE</w:t>
            </w:r>
          </w:p>
        </w:tc>
        <w:tc>
          <w:tcPr>
            <w:tcW w:w="2149" w:type="dxa"/>
            <w:vMerge w:val="continue"/>
            <w:tcBorders>
              <w:top w:val="nil"/>
              <w:left w:val="nil"/>
              <w:bottom w:val="dashed" w:color="000000" w:sz="8" w:space="0"/>
              <w:right w:val="nil"/>
            </w:tcBorders>
            <w:vAlign w:val="center"/>
          </w:tcPr>
          <w:p w14:paraId="62356CCF">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369C399C">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Low</w:t>
            </w:r>
          </w:p>
        </w:tc>
        <w:tc>
          <w:tcPr>
            <w:tcW w:w="3818" w:type="dxa"/>
            <w:tcBorders>
              <w:top w:val="nil"/>
              <w:left w:val="nil"/>
              <w:bottom w:val="nil"/>
              <w:right w:val="nil"/>
            </w:tcBorders>
            <w:noWrap/>
            <w:tcMar>
              <w:top w:w="15" w:type="dxa"/>
              <w:left w:w="15" w:type="dxa"/>
              <w:bottom w:w="0" w:type="dxa"/>
              <w:right w:w="15" w:type="dxa"/>
            </w:tcMar>
            <w:vAlign w:val="center"/>
          </w:tcPr>
          <w:p w14:paraId="225AEB8B">
            <w:pPr>
              <w:jc w:val="center"/>
              <w:rPr>
                <w:rFonts w:hint="default" w:ascii="Times New Roman" w:hAnsi="Times New Roman" w:cs="Times New Roman"/>
                <w:color w:val="auto"/>
                <w:szCs w:val="21"/>
              </w:rPr>
            </w:pPr>
            <w:r>
              <w:rPr>
                <w:rFonts w:hint="default" w:ascii="Times New Roman" w:hAnsi="Times New Roman" w:cs="Times New Roman"/>
                <w:color w:val="auto"/>
                <w:szCs w:val="21"/>
              </w:rPr>
              <w:t>Study limitations,</w:t>
            </w:r>
            <w:r>
              <w:rPr>
                <w:rFonts w:hint="default" w:ascii="Times New Roman" w:hAnsi="Times New Roman" w:cs="Times New Roman"/>
                <w:color w:val="auto"/>
                <w:szCs w:val="21"/>
              </w:rPr>
              <w:t xml:space="preserve"> </w:t>
            </w:r>
            <w:r>
              <w:rPr>
                <w:rFonts w:hint="default" w:ascii="Times New Roman" w:hAnsi="Times New Roman" w:cs="Times New Roman"/>
                <w:color w:val="auto"/>
                <w:szCs w:val="21"/>
              </w:rPr>
              <w:t>Heterogeneity</w:t>
            </w:r>
          </w:p>
        </w:tc>
      </w:tr>
      <w:tr w14:paraId="4117D398">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5F376586">
            <w:pPr>
              <w:jc w:val="center"/>
              <w:rPr>
                <w:rFonts w:hint="default" w:ascii="Times New Roman" w:hAnsi="Times New Roman" w:cs="Times New Roman"/>
                <w:color w:val="auto"/>
                <w:szCs w:val="21"/>
              </w:rPr>
            </w:pPr>
            <w:r>
              <w:rPr>
                <w:rFonts w:hint="default" w:ascii="Times New Roman" w:hAnsi="Times New Roman" w:cs="Times New Roman"/>
                <w:color w:val="auto"/>
                <w:szCs w:val="21"/>
              </w:rPr>
              <w:t>BvsC</w:t>
            </w:r>
          </w:p>
        </w:tc>
        <w:tc>
          <w:tcPr>
            <w:tcW w:w="2149" w:type="dxa"/>
            <w:vMerge w:val="continue"/>
            <w:tcBorders>
              <w:top w:val="nil"/>
              <w:left w:val="nil"/>
              <w:bottom w:val="dashed" w:color="000000" w:sz="8" w:space="0"/>
              <w:right w:val="nil"/>
            </w:tcBorders>
            <w:vAlign w:val="center"/>
          </w:tcPr>
          <w:p w14:paraId="6B3EA669">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5D82F717">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044E0B65">
            <w:pPr>
              <w:jc w:val="center"/>
              <w:rPr>
                <w:rFonts w:hint="default" w:ascii="Times New Roman" w:hAnsi="Times New Roman" w:cs="Times New Roman"/>
                <w:color w:val="auto"/>
                <w:szCs w:val="21"/>
              </w:rPr>
            </w:pPr>
            <w:r>
              <w:rPr>
                <w:rFonts w:hint="default" w:ascii="Times New Roman" w:hAnsi="Times New Roman" w:cs="Times New Roman"/>
                <w:color w:val="auto"/>
                <w:szCs w:val="21"/>
              </w:rPr>
              <w:t>Publication bias</w:t>
            </w:r>
          </w:p>
        </w:tc>
      </w:tr>
      <w:tr w14:paraId="7ECE64C6">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4A1D4702">
            <w:pPr>
              <w:jc w:val="center"/>
              <w:rPr>
                <w:rFonts w:hint="default" w:ascii="Times New Roman" w:hAnsi="Times New Roman" w:cs="Times New Roman"/>
                <w:color w:val="auto"/>
                <w:szCs w:val="21"/>
              </w:rPr>
            </w:pPr>
            <w:r>
              <w:rPr>
                <w:rFonts w:hint="default" w:ascii="Times New Roman" w:hAnsi="Times New Roman" w:cs="Times New Roman"/>
                <w:color w:val="auto"/>
                <w:szCs w:val="21"/>
              </w:rPr>
              <w:t>BvsD</w:t>
            </w:r>
          </w:p>
        </w:tc>
        <w:tc>
          <w:tcPr>
            <w:tcW w:w="2149" w:type="dxa"/>
            <w:vMerge w:val="continue"/>
            <w:tcBorders>
              <w:top w:val="nil"/>
              <w:left w:val="nil"/>
              <w:bottom w:val="dashed" w:color="000000" w:sz="8" w:space="0"/>
              <w:right w:val="nil"/>
            </w:tcBorders>
            <w:vAlign w:val="center"/>
          </w:tcPr>
          <w:p w14:paraId="6039FAEE">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2B5C692F">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133BF90F">
            <w:pPr>
              <w:jc w:val="center"/>
              <w:rPr>
                <w:rFonts w:hint="default" w:ascii="Times New Roman" w:hAnsi="Times New Roman" w:cs="Times New Roman"/>
                <w:color w:val="auto"/>
                <w:szCs w:val="21"/>
              </w:rPr>
            </w:pPr>
            <w:r>
              <w:rPr>
                <w:rFonts w:hint="default" w:ascii="Times New Roman" w:hAnsi="Times New Roman" w:cs="Times New Roman"/>
                <w:color w:val="auto"/>
                <w:szCs w:val="21"/>
              </w:rPr>
              <w:t>Study limitations</w:t>
            </w:r>
          </w:p>
        </w:tc>
      </w:tr>
      <w:tr w14:paraId="46133D58">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4EFD0633">
            <w:pPr>
              <w:jc w:val="center"/>
              <w:rPr>
                <w:rFonts w:hint="default" w:ascii="Times New Roman" w:hAnsi="Times New Roman" w:cs="Times New Roman"/>
                <w:color w:val="auto"/>
                <w:szCs w:val="21"/>
              </w:rPr>
            </w:pPr>
            <w:r>
              <w:rPr>
                <w:rFonts w:hint="default" w:ascii="Times New Roman" w:hAnsi="Times New Roman" w:cs="Times New Roman"/>
                <w:color w:val="auto"/>
                <w:szCs w:val="21"/>
              </w:rPr>
              <w:t>BvsE</w:t>
            </w:r>
          </w:p>
        </w:tc>
        <w:tc>
          <w:tcPr>
            <w:tcW w:w="2149" w:type="dxa"/>
            <w:vMerge w:val="continue"/>
            <w:tcBorders>
              <w:top w:val="nil"/>
              <w:left w:val="nil"/>
              <w:bottom w:val="dashed" w:color="000000" w:sz="8" w:space="0"/>
              <w:right w:val="nil"/>
            </w:tcBorders>
            <w:vAlign w:val="center"/>
          </w:tcPr>
          <w:p w14:paraId="5BE3BF8C">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4B3842B6">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48642CB0">
            <w:pPr>
              <w:jc w:val="center"/>
              <w:rPr>
                <w:rFonts w:hint="default" w:ascii="Times New Roman" w:hAnsi="Times New Roman" w:cs="Times New Roman"/>
                <w:color w:val="auto"/>
                <w:szCs w:val="21"/>
              </w:rPr>
            </w:pPr>
            <w:r>
              <w:rPr>
                <w:rFonts w:hint="default" w:ascii="Times New Roman" w:hAnsi="Times New Roman" w:cs="Times New Roman"/>
                <w:color w:val="auto"/>
                <w:szCs w:val="21"/>
              </w:rPr>
              <w:t>Study limitations</w:t>
            </w:r>
          </w:p>
        </w:tc>
      </w:tr>
      <w:tr w14:paraId="59CA1B91">
        <w:tblPrEx>
          <w:tblCellMar>
            <w:top w:w="0" w:type="dxa"/>
            <w:left w:w="0" w:type="dxa"/>
            <w:bottom w:w="0" w:type="dxa"/>
            <w:right w:w="0" w:type="dxa"/>
          </w:tblCellMar>
        </w:tblPrEx>
        <w:trPr>
          <w:trHeight w:val="454" w:hRule="atLeast"/>
        </w:trPr>
        <w:tc>
          <w:tcPr>
            <w:tcW w:w="2709" w:type="dxa"/>
            <w:tcBorders>
              <w:top w:val="nil"/>
              <w:left w:val="nil"/>
              <w:bottom w:val="nil"/>
              <w:right w:val="nil"/>
            </w:tcBorders>
            <w:noWrap/>
            <w:tcMar>
              <w:top w:w="15" w:type="dxa"/>
              <w:left w:w="15" w:type="dxa"/>
              <w:bottom w:w="0" w:type="dxa"/>
              <w:right w:w="15" w:type="dxa"/>
            </w:tcMar>
            <w:vAlign w:val="center"/>
          </w:tcPr>
          <w:p w14:paraId="6B2537E7">
            <w:pPr>
              <w:jc w:val="center"/>
              <w:rPr>
                <w:rFonts w:hint="default" w:ascii="Times New Roman" w:hAnsi="Times New Roman" w:cs="Times New Roman"/>
                <w:color w:val="auto"/>
                <w:szCs w:val="21"/>
              </w:rPr>
            </w:pPr>
            <w:r>
              <w:rPr>
                <w:rFonts w:hint="default" w:ascii="Times New Roman" w:hAnsi="Times New Roman" w:cs="Times New Roman"/>
                <w:color w:val="auto"/>
                <w:szCs w:val="21"/>
              </w:rPr>
              <w:t>CvsD</w:t>
            </w:r>
          </w:p>
        </w:tc>
        <w:tc>
          <w:tcPr>
            <w:tcW w:w="2149" w:type="dxa"/>
            <w:vMerge w:val="continue"/>
            <w:tcBorders>
              <w:top w:val="nil"/>
              <w:left w:val="nil"/>
              <w:bottom w:val="dashed" w:color="000000" w:sz="8" w:space="0"/>
              <w:right w:val="nil"/>
            </w:tcBorders>
            <w:vAlign w:val="center"/>
          </w:tcPr>
          <w:p w14:paraId="0DDE7815">
            <w:pPr>
              <w:rPr>
                <w:rFonts w:hint="default" w:ascii="Times New Roman" w:hAnsi="Times New Roman" w:eastAsia="宋体" w:cs="Times New Roman"/>
                <w:color w:val="auto"/>
                <w:szCs w:val="21"/>
              </w:rPr>
            </w:pPr>
          </w:p>
        </w:tc>
        <w:tc>
          <w:tcPr>
            <w:tcW w:w="1820" w:type="dxa"/>
            <w:tcBorders>
              <w:top w:val="nil"/>
              <w:left w:val="nil"/>
              <w:bottom w:val="nil"/>
              <w:right w:val="nil"/>
            </w:tcBorders>
            <w:noWrap/>
            <w:tcMar>
              <w:top w:w="15" w:type="dxa"/>
              <w:left w:w="15" w:type="dxa"/>
              <w:bottom w:w="0" w:type="dxa"/>
              <w:right w:w="15" w:type="dxa"/>
            </w:tcMar>
            <w:vAlign w:val="center"/>
          </w:tcPr>
          <w:p w14:paraId="2AB1651E">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nil"/>
              <w:right w:val="nil"/>
            </w:tcBorders>
            <w:noWrap/>
            <w:tcMar>
              <w:top w:w="15" w:type="dxa"/>
              <w:left w:w="15" w:type="dxa"/>
              <w:bottom w:w="0" w:type="dxa"/>
              <w:right w:w="15" w:type="dxa"/>
            </w:tcMar>
            <w:vAlign w:val="center"/>
          </w:tcPr>
          <w:p w14:paraId="7280FF2B">
            <w:pPr>
              <w:jc w:val="center"/>
              <w:rPr>
                <w:rFonts w:hint="default" w:ascii="Times New Roman" w:hAnsi="Times New Roman" w:cs="Times New Roman"/>
                <w:color w:val="auto"/>
                <w:szCs w:val="21"/>
              </w:rPr>
            </w:pPr>
            <w:r>
              <w:rPr>
                <w:rFonts w:hint="default" w:ascii="Times New Roman" w:hAnsi="Times New Roman" w:cs="Times New Roman"/>
                <w:color w:val="auto"/>
                <w:szCs w:val="21"/>
              </w:rPr>
              <w:t>Imprecision</w:t>
            </w:r>
          </w:p>
        </w:tc>
      </w:tr>
      <w:tr w14:paraId="19BD6D2B">
        <w:tblPrEx>
          <w:tblCellMar>
            <w:top w:w="0" w:type="dxa"/>
            <w:left w:w="0" w:type="dxa"/>
            <w:bottom w:w="0" w:type="dxa"/>
            <w:right w:w="0" w:type="dxa"/>
          </w:tblCellMar>
        </w:tblPrEx>
        <w:trPr>
          <w:trHeight w:val="454" w:hRule="atLeast"/>
        </w:trPr>
        <w:tc>
          <w:tcPr>
            <w:tcW w:w="2709" w:type="dxa"/>
            <w:tcBorders>
              <w:top w:val="nil"/>
              <w:left w:val="nil"/>
              <w:bottom w:val="dashed" w:color="000000" w:sz="8" w:space="0"/>
              <w:right w:val="nil"/>
            </w:tcBorders>
            <w:noWrap/>
            <w:tcMar>
              <w:top w:w="15" w:type="dxa"/>
              <w:left w:w="15" w:type="dxa"/>
              <w:bottom w:w="0" w:type="dxa"/>
              <w:right w:w="15" w:type="dxa"/>
            </w:tcMar>
            <w:vAlign w:val="center"/>
          </w:tcPr>
          <w:p w14:paraId="399068C3">
            <w:pPr>
              <w:jc w:val="center"/>
              <w:rPr>
                <w:rFonts w:hint="default" w:ascii="Times New Roman" w:hAnsi="Times New Roman" w:cs="Times New Roman"/>
                <w:color w:val="auto"/>
                <w:szCs w:val="21"/>
              </w:rPr>
            </w:pPr>
            <w:r>
              <w:rPr>
                <w:rFonts w:hint="default" w:ascii="Times New Roman" w:hAnsi="Times New Roman" w:cs="Times New Roman"/>
                <w:color w:val="auto"/>
                <w:szCs w:val="21"/>
              </w:rPr>
              <w:t>DvsE</w:t>
            </w:r>
          </w:p>
        </w:tc>
        <w:tc>
          <w:tcPr>
            <w:tcW w:w="2149" w:type="dxa"/>
            <w:vMerge w:val="continue"/>
            <w:tcBorders>
              <w:top w:val="nil"/>
              <w:left w:val="nil"/>
              <w:bottom w:val="dashed" w:color="000000" w:sz="8" w:space="0"/>
              <w:right w:val="nil"/>
            </w:tcBorders>
            <w:vAlign w:val="center"/>
          </w:tcPr>
          <w:p w14:paraId="740FC792">
            <w:pPr>
              <w:rPr>
                <w:rFonts w:hint="default" w:ascii="Times New Roman" w:hAnsi="Times New Roman" w:eastAsia="宋体" w:cs="Times New Roman"/>
                <w:color w:val="auto"/>
                <w:szCs w:val="21"/>
              </w:rPr>
            </w:pPr>
          </w:p>
        </w:tc>
        <w:tc>
          <w:tcPr>
            <w:tcW w:w="1820" w:type="dxa"/>
            <w:tcBorders>
              <w:top w:val="nil"/>
              <w:left w:val="nil"/>
              <w:bottom w:val="dashed" w:color="000000" w:sz="8" w:space="0"/>
              <w:right w:val="nil"/>
            </w:tcBorders>
            <w:noWrap/>
            <w:tcMar>
              <w:top w:w="15" w:type="dxa"/>
              <w:left w:w="15" w:type="dxa"/>
              <w:bottom w:w="0" w:type="dxa"/>
              <w:right w:w="15" w:type="dxa"/>
            </w:tcMar>
            <w:vAlign w:val="center"/>
          </w:tcPr>
          <w:p w14:paraId="1C6817DD">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dashed" w:color="000000" w:sz="8" w:space="0"/>
              <w:right w:val="nil"/>
            </w:tcBorders>
            <w:noWrap/>
            <w:tcMar>
              <w:top w:w="15" w:type="dxa"/>
              <w:left w:w="15" w:type="dxa"/>
              <w:bottom w:w="0" w:type="dxa"/>
              <w:right w:w="15" w:type="dxa"/>
            </w:tcMar>
            <w:vAlign w:val="center"/>
          </w:tcPr>
          <w:p w14:paraId="60683B72">
            <w:pPr>
              <w:jc w:val="center"/>
              <w:rPr>
                <w:rFonts w:hint="default" w:ascii="Times New Roman" w:hAnsi="Times New Roman" w:cs="Times New Roman"/>
                <w:color w:val="auto"/>
                <w:szCs w:val="21"/>
              </w:rPr>
            </w:pPr>
            <w:r>
              <w:rPr>
                <w:rFonts w:hint="default" w:ascii="Times New Roman" w:hAnsi="Times New Roman" w:cs="Times New Roman"/>
                <w:color w:val="auto"/>
                <w:szCs w:val="21"/>
              </w:rPr>
              <w:t>Study limitations</w:t>
            </w:r>
          </w:p>
        </w:tc>
      </w:tr>
      <w:tr w14:paraId="1B8FF591">
        <w:tblPrEx>
          <w:tblCellMar>
            <w:top w:w="0" w:type="dxa"/>
            <w:left w:w="0" w:type="dxa"/>
            <w:bottom w:w="0" w:type="dxa"/>
            <w:right w:w="0" w:type="dxa"/>
          </w:tblCellMar>
        </w:tblPrEx>
        <w:trPr>
          <w:trHeight w:val="454" w:hRule="atLeast"/>
        </w:trPr>
        <w:tc>
          <w:tcPr>
            <w:tcW w:w="2709" w:type="dxa"/>
            <w:tcBorders>
              <w:top w:val="nil"/>
              <w:left w:val="nil"/>
              <w:bottom w:val="single" w:color="000000" w:sz="6" w:space="0"/>
              <w:right w:val="nil"/>
            </w:tcBorders>
            <w:noWrap/>
            <w:tcMar>
              <w:top w:w="15" w:type="dxa"/>
              <w:left w:w="15" w:type="dxa"/>
              <w:bottom w:w="0" w:type="dxa"/>
              <w:right w:w="15" w:type="dxa"/>
            </w:tcMar>
            <w:vAlign w:val="center"/>
          </w:tcPr>
          <w:p w14:paraId="1311BB8D">
            <w:pPr>
              <w:jc w:val="center"/>
              <w:rPr>
                <w:rFonts w:hint="default" w:ascii="Times New Roman" w:hAnsi="Times New Roman" w:cs="Times New Roman"/>
                <w:color w:val="auto"/>
                <w:szCs w:val="21"/>
              </w:rPr>
            </w:pPr>
            <w:r>
              <w:rPr>
                <w:rFonts w:hint="default" w:ascii="Times New Roman" w:hAnsi="Times New Roman" w:cs="Times New Roman"/>
                <w:color w:val="auto"/>
                <w:szCs w:val="21"/>
              </w:rPr>
              <w:t>CvsE</w:t>
            </w:r>
          </w:p>
        </w:tc>
        <w:tc>
          <w:tcPr>
            <w:tcW w:w="2149" w:type="dxa"/>
            <w:tcBorders>
              <w:top w:val="nil"/>
              <w:left w:val="nil"/>
              <w:bottom w:val="single" w:color="000000" w:sz="6" w:space="0"/>
              <w:right w:val="nil"/>
            </w:tcBorders>
            <w:noWrap/>
            <w:tcMar>
              <w:top w:w="15" w:type="dxa"/>
              <w:left w:w="15" w:type="dxa"/>
              <w:bottom w:w="0" w:type="dxa"/>
              <w:right w:w="15" w:type="dxa"/>
            </w:tcMar>
            <w:vAlign w:val="center"/>
          </w:tcPr>
          <w:p w14:paraId="2A54DB27">
            <w:pPr>
              <w:jc w:val="center"/>
              <w:rPr>
                <w:rFonts w:hint="default" w:ascii="Times New Roman" w:hAnsi="Times New Roman" w:cs="Times New Roman"/>
                <w:color w:val="auto"/>
                <w:szCs w:val="21"/>
              </w:rPr>
            </w:pPr>
            <w:r>
              <w:rPr>
                <w:rFonts w:hint="default" w:ascii="Times New Roman" w:hAnsi="Times New Roman" w:cs="Times New Roman"/>
                <w:color w:val="auto"/>
                <w:szCs w:val="21"/>
              </w:rPr>
              <w:t>Indirect</w:t>
            </w:r>
          </w:p>
        </w:tc>
        <w:tc>
          <w:tcPr>
            <w:tcW w:w="1820" w:type="dxa"/>
            <w:tcBorders>
              <w:top w:val="nil"/>
              <w:left w:val="nil"/>
              <w:bottom w:val="single" w:color="000000" w:sz="6" w:space="0"/>
              <w:right w:val="nil"/>
            </w:tcBorders>
            <w:noWrap/>
            <w:tcMar>
              <w:top w:w="15" w:type="dxa"/>
              <w:left w:w="15" w:type="dxa"/>
              <w:bottom w:w="0" w:type="dxa"/>
              <w:right w:w="15" w:type="dxa"/>
            </w:tcMar>
            <w:vAlign w:val="center"/>
          </w:tcPr>
          <w:p w14:paraId="14683339">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Moderate</w:t>
            </w:r>
          </w:p>
        </w:tc>
        <w:tc>
          <w:tcPr>
            <w:tcW w:w="3818" w:type="dxa"/>
            <w:tcBorders>
              <w:top w:val="nil"/>
              <w:left w:val="nil"/>
              <w:bottom w:val="single" w:color="000000" w:sz="6" w:space="0"/>
              <w:right w:val="nil"/>
            </w:tcBorders>
            <w:noWrap/>
            <w:tcMar>
              <w:top w:w="15" w:type="dxa"/>
              <w:left w:w="15" w:type="dxa"/>
              <w:bottom w:w="0" w:type="dxa"/>
              <w:right w:w="15" w:type="dxa"/>
            </w:tcMar>
            <w:vAlign w:val="center"/>
          </w:tcPr>
          <w:p w14:paraId="7C81D331">
            <w:pPr>
              <w:jc w:val="center"/>
              <w:rPr>
                <w:rFonts w:hint="default" w:ascii="Times New Roman" w:hAnsi="Times New Roman" w:cs="Times New Roman"/>
                <w:color w:val="auto"/>
                <w:szCs w:val="21"/>
              </w:rPr>
            </w:pPr>
            <w:r>
              <w:rPr>
                <w:rFonts w:hint="default" w:ascii="Times New Roman" w:hAnsi="Times New Roman" w:cs="Times New Roman"/>
                <w:color w:val="auto"/>
                <w:szCs w:val="21"/>
              </w:rPr>
              <w:t>Indirectness</w:t>
            </w:r>
          </w:p>
        </w:tc>
      </w:tr>
      <w:tr w14:paraId="18E9AE17">
        <w:tblPrEx>
          <w:tblCellMar>
            <w:top w:w="0" w:type="dxa"/>
            <w:left w:w="0" w:type="dxa"/>
            <w:bottom w:w="0" w:type="dxa"/>
            <w:right w:w="0" w:type="dxa"/>
          </w:tblCellMar>
        </w:tblPrEx>
        <w:trPr>
          <w:trHeight w:val="454" w:hRule="atLeast"/>
        </w:trPr>
        <w:tc>
          <w:tcPr>
            <w:tcW w:w="2709" w:type="dxa"/>
            <w:tcBorders>
              <w:top w:val="single" w:color="000000" w:sz="6" w:space="0"/>
              <w:left w:val="nil"/>
              <w:bottom w:val="single" w:color="000000" w:sz="12" w:space="0"/>
              <w:right w:val="nil"/>
            </w:tcBorders>
            <w:tcMar>
              <w:top w:w="15" w:type="dxa"/>
              <w:left w:w="15" w:type="dxa"/>
              <w:bottom w:w="0" w:type="dxa"/>
              <w:right w:w="15" w:type="dxa"/>
            </w:tcMar>
            <w:vAlign w:val="center"/>
          </w:tcPr>
          <w:p w14:paraId="7CCC6B67">
            <w:pPr>
              <w:jc w:val="center"/>
              <w:rPr>
                <w:rFonts w:hint="default" w:ascii="Times New Roman" w:hAnsi="Times New Roman" w:cs="Times New Roman"/>
                <w:b/>
                <w:bCs/>
                <w:color w:val="auto"/>
                <w:szCs w:val="21"/>
              </w:rPr>
            </w:pPr>
            <w:r>
              <w:rPr>
                <w:rFonts w:hint="default" w:ascii="Times New Roman" w:hAnsi="Times New Roman" w:cs="Times New Roman"/>
                <w:b/>
                <w:bCs/>
                <w:color w:val="auto"/>
                <w:szCs w:val="21"/>
              </w:rPr>
              <w:t>Ranking of treatments</w:t>
            </w:r>
          </w:p>
        </w:tc>
        <w:tc>
          <w:tcPr>
            <w:tcW w:w="2149" w:type="dxa"/>
            <w:tcBorders>
              <w:top w:val="single" w:color="000000" w:sz="6" w:space="0"/>
              <w:left w:val="nil"/>
              <w:bottom w:val="single" w:color="000000" w:sz="12" w:space="0"/>
              <w:right w:val="nil"/>
            </w:tcBorders>
            <w:noWrap/>
            <w:tcMar>
              <w:top w:w="15" w:type="dxa"/>
              <w:left w:w="15" w:type="dxa"/>
              <w:bottom w:w="0" w:type="dxa"/>
              <w:right w:w="15" w:type="dxa"/>
            </w:tcMar>
            <w:vAlign w:val="center"/>
          </w:tcPr>
          <w:p w14:paraId="4941434E">
            <w:pPr>
              <w:jc w:val="center"/>
              <w:rPr>
                <w:rFonts w:hint="default" w:ascii="Times New Roman" w:hAnsi="Times New Roman" w:cs="Times New Roman"/>
                <w:b/>
                <w:bCs/>
                <w:color w:val="auto"/>
                <w:szCs w:val="21"/>
              </w:rPr>
            </w:pPr>
          </w:p>
        </w:tc>
        <w:tc>
          <w:tcPr>
            <w:tcW w:w="1820" w:type="dxa"/>
            <w:tcBorders>
              <w:top w:val="single" w:color="000000" w:sz="6" w:space="0"/>
              <w:left w:val="nil"/>
              <w:bottom w:val="single" w:color="000000" w:sz="12" w:space="0"/>
              <w:right w:val="nil"/>
            </w:tcBorders>
            <w:noWrap/>
            <w:tcMar>
              <w:top w:w="15" w:type="dxa"/>
              <w:left w:w="15" w:type="dxa"/>
              <w:bottom w:w="0" w:type="dxa"/>
              <w:right w:w="15" w:type="dxa"/>
            </w:tcMar>
            <w:vAlign w:val="center"/>
          </w:tcPr>
          <w:p w14:paraId="67BFEEF6">
            <w:pPr>
              <w:jc w:val="center"/>
              <w:rPr>
                <w:rFonts w:hint="default" w:ascii="Times New Roman" w:hAnsi="Times New Roman" w:eastAsia="宋体" w:cs="Times New Roman"/>
                <w:b/>
                <w:bCs/>
                <w:color w:val="auto"/>
                <w:szCs w:val="21"/>
              </w:rPr>
            </w:pPr>
            <w:r>
              <w:rPr>
                <w:rFonts w:hint="default" w:ascii="Times New Roman" w:hAnsi="Times New Roman" w:cs="Times New Roman"/>
                <w:b/>
                <w:bCs/>
                <w:color w:val="auto"/>
                <w:szCs w:val="21"/>
              </w:rPr>
              <w:t>Moderate</w:t>
            </w:r>
          </w:p>
        </w:tc>
        <w:tc>
          <w:tcPr>
            <w:tcW w:w="3818" w:type="dxa"/>
            <w:tcBorders>
              <w:top w:val="single" w:color="000000" w:sz="6" w:space="0"/>
              <w:left w:val="nil"/>
              <w:bottom w:val="single" w:color="000000" w:sz="12" w:space="0"/>
              <w:right w:val="nil"/>
            </w:tcBorders>
            <w:noWrap/>
            <w:tcMar>
              <w:top w:w="15" w:type="dxa"/>
              <w:left w:w="15" w:type="dxa"/>
              <w:bottom w:w="0" w:type="dxa"/>
              <w:right w:w="15" w:type="dxa"/>
            </w:tcMar>
            <w:vAlign w:val="center"/>
          </w:tcPr>
          <w:p w14:paraId="493F3539">
            <w:pPr>
              <w:jc w:val="center"/>
              <w:rPr>
                <w:rFonts w:hint="default" w:ascii="Times New Roman" w:hAnsi="Times New Roman" w:cs="Times New Roman"/>
                <w:color w:val="auto"/>
                <w:szCs w:val="21"/>
              </w:rPr>
            </w:pPr>
            <w:r>
              <w:rPr>
                <w:rFonts w:hint="default" w:ascii="Times New Roman" w:hAnsi="Times New Roman" w:cs="Times New Roman"/>
                <w:color w:val="auto"/>
                <w:szCs w:val="21"/>
              </w:rPr>
              <w:t>Publication Bias</w:t>
            </w:r>
          </w:p>
        </w:tc>
      </w:tr>
    </w:tbl>
    <w:p w14:paraId="5A5A09A9">
      <w:pPr>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 Control, B: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 C:</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High-intensity interval training, D: 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E: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p>
    <w:p w14:paraId="3BEA78F9">
      <w:pPr>
        <w:widowControl/>
        <w:spacing w:line="360" w:lineRule="exact"/>
        <w:jc w:val="left"/>
        <w:outlineLvl w:val="0"/>
        <w:rPr>
          <w:rFonts w:hint="default" w:ascii="Times New Roman" w:hAnsi="Times New Roman" w:cs="Times New Roman"/>
          <w:color w:val="auto"/>
        </w:rPr>
      </w:pPr>
      <w:r>
        <w:rPr>
          <w:rFonts w:hint="default" w:ascii="Times New Roman" w:hAnsi="Times New Roman" w:cs="Times New Roman"/>
          <w:b/>
          <w:bCs/>
          <w:color w:val="auto"/>
        </w:rPr>
        <w:t>Appendix</w:t>
      </w:r>
      <w:r>
        <w:rPr>
          <w:rFonts w:hint="default" w:ascii="Times New Roman" w:hAnsi="Times New Roman" w:eastAsia="宋体" w:cs="Times New Roman"/>
          <w:b/>
          <w:bCs/>
          <w:color w:val="auto"/>
        </w:rPr>
        <w:t xml:space="preserve"> 9</w:t>
      </w:r>
      <w:r>
        <w:rPr>
          <w:rFonts w:hint="default" w:ascii="Times New Roman" w:hAnsi="Times New Roman" w:cs="Times New Roman"/>
          <w:b/>
          <w:bCs/>
          <w:color w:val="auto"/>
        </w:rPr>
        <w:t xml:space="preserve"> </w:t>
      </w:r>
      <w:r>
        <w:rPr>
          <w:rFonts w:hint="default" w:ascii="Times New Roman" w:hAnsi="Times New Roman" w:cs="Times New Roman"/>
          <w:color w:val="auto"/>
        </w:rPr>
        <w:t xml:space="preserve">Key Assumptions of Bayesian </w:t>
      </w:r>
      <w:r>
        <w:rPr>
          <w:rFonts w:hint="default" w:ascii="Times New Roman" w:hAnsi="Times New Roman" w:cs="Times New Roman"/>
          <w:color w:val="auto"/>
          <w:lang w:eastAsia="zh-CN"/>
        </w:rPr>
        <w:t>Dose-Response</w:t>
      </w:r>
      <w:r>
        <w:rPr>
          <w:rFonts w:hint="default" w:ascii="Times New Roman" w:hAnsi="Times New Roman" w:cs="Times New Roman"/>
          <w:color w:val="auto"/>
        </w:rPr>
        <w:t xml:space="preserve"> Analysis</w:t>
      </w:r>
    </w:p>
    <w:p w14:paraId="7D6B4331">
      <w:pPr>
        <w:widowControl/>
        <w:spacing w:line="360" w:lineRule="exact"/>
        <w:jc w:val="left"/>
        <w:outlineLvl w:val="1"/>
        <w:rPr>
          <w:rFonts w:hint="default" w:ascii="Times New Roman" w:hAnsi="Times New Roman" w:cs="Times New Roman"/>
          <w:color w:val="auto"/>
        </w:rPr>
      </w:pPr>
      <w:bookmarkStart w:id="2" w:name="_heading=h.35nkun2" w:colFirst="0" w:colLast="0"/>
      <w:bookmarkEnd w:id="2"/>
      <w:r>
        <w:rPr>
          <w:rFonts w:hint="default" w:ascii="Times New Roman" w:hAnsi="Times New Roman" w:cs="Times New Roman"/>
          <w:color w:val="auto"/>
        </w:rPr>
        <w:t xml:space="preserve">(1) </w:t>
      </w:r>
      <w:r>
        <w:rPr>
          <w:rFonts w:hint="default" w:ascii="Times New Roman" w:hAnsi="Times New Roman" w:cs="Times New Roman"/>
          <w:color w:val="auto"/>
        </w:rPr>
        <w:t>Connectivity</w:t>
      </w:r>
    </w:p>
    <w:p w14:paraId="3FD066BB">
      <w:pPr>
        <w:spacing w:line="360" w:lineRule="exact"/>
        <w:ind w:firstLine="442" w:firstLineChars="200"/>
        <w:rPr>
          <w:rFonts w:hint="default" w:ascii="Times New Roman" w:hAnsi="Times New Roman" w:cs="Times New Roman"/>
          <w:color w:val="auto"/>
          <w:szCs w:val="21"/>
        </w:rPr>
      </w:pPr>
      <w:bookmarkStart w:id="3" w:name="_heading=h.1ksv4uv" w:colFirst="0" w:colLast="0"/>
      <w:bookmarkEnd w:id="3"/>
      <w:r>
        <w:rPr>
          <w:rFonts w:hint="default" w:ascii="Times New Roman" w:hAnsi="Times New Roman" w:eastAsia="宋体" w:cs="Times New Roman"/>
          <w:b/>
          <w:bCs/>
          <w:color w:val="auto"/>
          <w:sz w:val="22"/>
          <w:szCs w:val="22"/>
        </w:rPr>
        <w:drawing>
          <wp:anchor distT="0" distB="0" distL="114300" distR="114300" simplePos="0" relativeHeight="251664384" behindDoc="0" locked="0" layoutInCell="1" allowOverlap="1">
            <wp:simplePos x="0" y="0"/>
            <wp:positionH relativeFrom="column">
              <wp:posOffset>1264920</wp:posOffset>
            </wp:positionH>
            <wp:positionV relativeFrom="paragraph">
              <wp:posOffset>1158240</wp:posOffset>
            </wp:positionV>
            <wp:extent cx="4411980" cy="3147060"/>
            <wp:effectExtent l="0" t="0" r="7620" b="0"/>
            <wp:wrapTopAndBottom/>
            <wp:docPr id="1258497732"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97732" name="图形 7"/>
                    <pic:cNvPicPr>
                      <a:picLocks noChangeAspect="1"/>
                    </pic:cNvPicPr>
                  </pic:nvPicPr>
                  <pic:blipFill>
                    <a:blip r:embed="rId10">
                      <a:extLst>
                        <a:ext uri="{96DAC541-7B7A-43D3-8B79-37D633B846F1}">
                          <asvg:svgBlip xmlns:asvg="http://schemas.microsoft.com/office/drawing/2016/SVG/main" r:embed="rId11"/>
                        </a:ext>
                      </a:extLst>
                    </a:blip>
                    <a:srcRect l="10870" t="8462" r="5218" b="12115"/>
                    <a:stretch>
                      <a:fillRect/>
                    </a:stretch>
                  </pic:blipFill>
                  <pic:spPr>
                    <a:xfrm>
                      <a:off x="0" y="0"/>
                      <a:ext cx="4411980" cy="3147060"/>
                    </a:xfrm>
                    <a:prstGeom prst="rect">
                      <a:avLst/>
                    </a:prstGeom>
                  </pic:spPr>
                </pic:pic>
              </a:graphicData>
            </a:graphic>
          </wp:anchor>
        </w:drawing>
      </w:r>
      <w:r>
        <w:rPr>
          <w:rFonts w:hint="default" w:ascii="Times New Roman" w:hAnsi="Times New Roman" w:cs="Times New Roman"/>
          <w:color w:val="auto"/>
          <w:szCs w:val="21"/>
        </w:rPr>
        <w:t>Within the theoretical framework of network meta-analysis (NMA), network connectivity is a fundamental prerequisite for valid comparisons. Insufficient connectivity may not only reduce statistical power but also increase the risk of bias, thereby raising the likelihood of erroneous conclusions. In this study, we systematically assessed network connectivity at two levels: exercise modality and exercise dose. The results (Figure S</w:t>
      </w:r>
      <w:r>
        <w:rPr>
          <w:rFonts w:hint="default" w:ascii="Times New Roman" w:hAnsi="Times New Roman" w:cs="Times New Roman"/>
          <w:color w:val="auto"/>
          <w:szCs w:val="21"/>
        </w:rPr>
        <w:t>3</w:t>
      </w:r>
      <w:r>
        <w:rPr>
          <w:rFonts w:hint="default" w:ascii="Times New Roman" w:hAnsi="Times New Roman" w:cs="Times New Roman"/>
          <w:color w:val="auto"/>
          <w:szCs w:val="21"/>
        </w:rPr>
        <w:t>) showed no evidence of network disconnection, indicating that the network structure remained overall connected.</w:t>
      </w:r>
    </w:p>
    <w:p w14:paraId="1D8CF6DF">
      <w:pPr>
        <w:spacing w:line="360" w:lineRule="exact"/>
        <w:jc w:val="center"/>
        <w:rPr>
          <w:rFonts w:hint="default" w:ascii="Times New Roman" w:hAnsi="Times New Roman" w:eastAsia="Times New Roman" w:cs="Times New Roman"/>
          <w:color w:val="auto"/>
          <w:sz w:val="22"/>
          <w:szCs w:val="22"/>
        </w:rPr>
      </w:pPr>
      <w:r>
        <w:rPr>
          <w:rFonts w:hint="default" w:ascii="Times New Roman" w:hAnsi="Times New Roman" w:eastAsia="宋体" w:cs="Times New Roman"/>
          <w:color w:val="auto"/>
          <w:szCs w:val="21"/>
        </w:rPr>
        <w:drawing>
          <wp:anchor distT="0" distB="0" distL="114300" distR="114300" simplePos="0" relativeHeight="251665408" behindDoc="0" locked="0" layoutInCell="1" allowOverlap="1">
            <wp:simplePos x="0" y="0"/>
            <wp:positionH relativeFrom="column">
              <wp:posOffset>1150620</wp:posOffset>
            </wp:positionH>
            <wp:positionV relativeFrom="paragraph">
              <wp:posOffset>3429000</wp:posOffset>
            </wp:positionV>
            <wp:extent cx="4343400" cy="2918460"/>
            <wp:effectExtent l="0" t="0" r="0" b="0"/>
            <wp:wrapTopAndBottom/>
            <wp:docPr id="188817651" name="图形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7651" name="图形 8"/>
                    <pic:cNvPicPr>
                      <a:picLocks noChangeAspect="1"/>
                    </pic:cNvPicPr>
                  </pic:nvPicPr>
                  <pic:blipFill>
                    <a:blip r:embed="rId12">
                      <a:extLst>
                        <a:ext uri="{96DAC541-7B7A-43D3-8B79-37D633B846F1}">
                          <asvg:svgBlip xmlns:asvg="http://schemas.microsoft.com/office/drawing/2016/SVG/main" r:embed="rId13"/>
                        </a:ext>
                      </a:extLst>
                    </a:blip>
                    <a:srcRect l="10289" t="9809" r="7101" b="16538"/>
                    <a:stretch>
                      <a:fillRect/>
                    </a:stretch>
                  </pic:blipFill>
                  <pic:spPr>
                    <a:xfrm>
                      <a:off x="0" y="0"/>
                      <a:ext cx="4343400" cy="2918460"/>
                    </a:xfrm>
                    <a:prstGeom prst="rect">
                      <a:avLst/>
                    </a:prstGeom>
                  </pic:spPr>
                </pic:pic>
              </a:graphicData>
            </a:graphic>
          </wp:anchor>
        </w:drawing>
      </w:r>
      <w:r>
        <w:rPr>
          <w:rFonts w:hint="default" w:ascii="Times New Roman" w:hAnsi="Times New Roman" w:eastAsia="宋体" w:cs="Times New Roman"/>
          <w:b/>
          <w:bCs/>
          <w:color w:val="auto"/>
          <w:sz w:val="22"/>
          <w:szCs w:val="22"/>
        </w:rPr>
        <w:t>Figure S</w:t>
      </w:r>
      <w:r>
        <w:rPr>
          <w:rFonts w:hint="default" w:ascii="Times New Roman" w:hAnsi="Times New Roman" w:eastAsia="宋体" w:cs="Times New Roman"/>
          <w:b/>
          <w:bCs/>
          <w:color w:val="auto"/>
          <w:sz w:val="22"/>
          <w:szCs w:val="22"/>
        </w:rPr>
        <w:t>3</w:t>
      </w:r>
      <w:r>
        <w:rPr>
          <w:rFonts w:hint="default" w:ascii="Times New Roman" w:hAnsi="Times New Roman" w:eastAsia="宋体" w:cs="Times New Roman"/>
          <w:b/>
          <w:bCs/>
          <w:color w:val="auto"/>
          <w:sz w:val="22"/>
          <w:szCs w:val="22"/>
        </w:rPr>
        <w:t xml:space="preserve"> </w:t>
      </w:r>
      <w:r>
        <w:rPr>
          <w:rFonts w:hint="default" w:ascii="Times New Roman" w:hAnsi="Times New Roman" w:eastAsia="Times New Roman" w:cs="Times New Roman"/>
          <w:color w:val="auto"/>
          <w:sz w:val="22"/>
          <w:szCs w:val="22"/>
        </w:rPr>
        <w:t>Treatment-level network</w:t>
      </w:r>
    </w:p>
    <w:p w14:paraId="2600D228">
      <w:pPr>
        <w:spacing w:line="360" w:lineRule="exact"/>
        <w:jc w:val="center"/>
        <w:rPr>
          <w:rFonts w:hint="default" w:ascii="Times New Roman" w:hAnsi="Times New Roman" w:cs="Times New Roman"/>
          <w:color w:val="auto"/>
        </w:rPr>
      </w:pPr>
      <w:bookmarkStart w:id="4" w:name="_heading=h.44sinio" w:colFirst="0" w:colLast="0"/>
      <w:bookmarkEnd w:id="4"/>
      <w:r>
        <w:rPr>
          <w:rFonts w:hint="default" w:ascii="Times New Roman" w:hAnsi="Times New Roman" w:cs="Times New Roman"/>
          <w:b/>
          <w:bCs/>
          <w:color w:val="auto"/>
        </w:rPr>
        <w:t>Figure S</w:t>
      </w:r>
      <w:r>
        <w:rPr>
          <w:rFonts w:hint="default" w:ascii="Times New Roman" w:hAnsi="Times New Roman" w:eastAsia="宋体" w:cs="Times New Roman"/>
          <w:b/>
          <w:bCs/>
          <w:color w:val="auto"/>
        </w:rPr>
        <w:t>4</w:t>
      </w:r>
      <w:r>
        <w:rPr>
          <w:rFonts w:hint="default" w:ascii="Times New Roman" w:hAnsi="Times New Roman" w:eastAsia="Times New Roman" w:cs="Times New Roman"/>
          <w:color w:val="auto"/>
          <w:sz w:val="20"/>
          <w:szCs w:val="20"/>
        </w:rPr>
        <w:t xml:space="preserve"> </w:t>
      </w:r>
      <w:r>
        <w:rPr>
          <w:rFonts w:hint="default" w:ascii="Times New Roman" w:hAnsi="Times New Roman" w:eastAsia="Times New Roman" w:cs="Times New Roman"/>
          <w:color w:val="auto"/>
          <w:sz w:val="22"/>
          <w:szCs w:val="22"/>
        </w:rPr>
        <w:t>Agent-level network</w:t>
      </w:r>
      <w:bookmarkStart w:id="5" w:name="_heading=h.2jxsxqh" w:colFirst="0" w:colLast="0"/>
      <w:bookmarkEnd w:id="5"/>
    </w:p>
    <w:p w14:paraId="7D29C24E">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r>
        <w:rPr>
          <w:rFonts w:hint="default" w:ascii="Times New Roman" w:hAnsi="Times New Roman" w:eastAsia="宋体" w:cs="Times New Roman"/>
          <w:color w:val="auto"/>
          <w:kern w:val="0"/>
          <w:sz w:val="18"/>
          <w:szCs w:val="18"/>
          <w:lang w:bidi="ar"/>
        </w:rPr>
        <w:t>, Placebo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p>
    <w:p w14:paraId="04A475D2">
      <w:pPr>
        <w:widowControl/>
        <w:spacing w:line="360" w:lineRule="exact"/>
        <w:jc w:val="left"/>
        <w:rPr>
          <w:rFonts w:hint="default" w:ascii="Times New Roman" w:hAnsi="Times New Roman" w:cs="Times New Roman"/>
          <w:color w:val="auto"/>
        </w:rPr>
      </w:pPr>
    </w:p>
    <w:p w14:paraId="039E3B4A">
      <w:pPr>
        <w:widowControl/>
        <w:spacing w:line="360" w:lineRule="exact"/>
        <w:jc w:val="left"/>
        <w:outlineLvl w:val="9"/>
        <w:rPr>
          <w:rFonts w:hint="default" w:ascii="Times New Roman" w:hAnsi="Times New Roman" w:cs="Times New Roman"/>
          <w:color w:val="auto"/>
        </w:rPr>
      </w:pPr>
    </w:p>
    <w:p w14:paraId="28107566">
      <w:pPr>
        <w:widowControl/>
        <w:spacing w:line="360" w:lineRule="exact"/>
        <w:jc w:val="left"/>
        <w:outlineLvl w:val="9"/>
        <w:rPr>
          <w:rFonts w:hint="default" w:ascii="Times New Roman" w:hAnsi="Times New Roman" w:cs="Times New Roman"/>
          <w:color w:val="auto"/>
        </w:rPr>
      </w:pPr>
    </w:p>
    <w:p w14:paraId="3448AB91">
      <w:pPr>
        <w:widowControl/>
        <w:spacing w:line="360" w:lineRule="exact"/>
        <w:jc w:val="left"/>
        <w:outlineLvl w:val="1"/>
        <w:rPr>
          <w:rFonts w:hint="default" w:ascii="Times New Roman" w:hAnsi="Times New Roman" w:cs="Times New Roman"/>
          <w:color w:val="auto"/>
        </w:rPr>
      </w:pPr>
      <w:r>
        <w:rPr>
          <w:rFonts w:hint="default" w:ascii="Times New Roman" w:hAnsi="Times New Roman" w:cs="Times New Roman"/>
          <w:color w:val="auto"/>
        </w:rPr>
        <w:t xml:space="preserve">(2) </w:t>
      </w:r>
      <w:r>
        <w:rPr>
          <w:rFonts w:hint="default" w:ascii="Times New Roman" w:hAnsi="Times New Roman" w:cs="Times New Roman"/>
          <w:color w:val="auto"/>
        </w:rPr>
        <w:t xml:space="preserve">Consistency </w:t>
      </w:r>
    </w:p>
    <w:p w14:paraId="4A9E88AA">
      <w:pPr>
        <w:widowControl/>
        <w:spacing w:line="360" w:lineRule="exact"/>
        <w:ind w:firstLine="420" w:firstLineChars="200"/>
        <w:rPr>
          <w:rFonts w:hint="default" w:ascii="Times New Roman" w:hAnsi="Times New Roman" w:cs="Times New Roman"/>
          <w:color w:val="auto"/>
        </w:rPr>
      </w:pPr>
      <w:bookmarkStart w:id="6" w:name="_heading=h.z337ya" w:colFirst="0" w:colLast="0"/>
      <w:bookmarkEnd w:id="6"/>
      <w:r>
        <w:rPr>
          <w:rFonts w:hint="default" w:ascii="Times New Roman" w:hAnsi="Times New Roman" w:cs="Times New Roman"/>
          <w:color w:val="auto"/>
        </w:rPr>
        <w:t>Data consistency was assessed by comparing the results from the network consistency model with those from an unrelated mean effects model. In this study, we compared the deviance values, the number of estimated parameters in the network, and the deviance information criterion (DIC) between the two models to evaluate model fit, as shown in Table S</w:t>
      </w:r>
      <w:r>
        <w:rPr>
          <w:rFonts w:hint="default" w:ascii="Times New Roman" w:hAnsi="Times New Roman" w:cs="Times New Roman"/>
          <w:color w:val="auto"/>
        </w:rPr>
        <w:t>9</w:t>
      </w:r>
      <w:r>
        <w:rPr>
          <w:rFonts w:hint="default" w:ascii="Times New Roman" w:hAnsi="Times New Roman" w:cs="Times New Roman"/>
          <w:color w:val="auto"/>
        </w:rPr>
        <w:t>.</w:t>
      </w:r>
    </w:p>
    <w:p w14:paraId="60464883">
      <w:pPr>
        <w:widowControl/>
        <w:spacing w:line="360" w:lineRule="exact"/>
        <w:jc w:val="center"/>
        <w:rPr>
          <w:rFonts w:hint="default" w:ascii="Times New Roman" w:hAnsi="Times New Roman" w:cs="Times New Roman"/>
          <w:color w:val="auto"/>
        </w:rPr>
      </w:pPr>
      <w:r>
        <w:rPr>
          <w:rFonts w:hint="default" w:ascii="Times New Roman" w:hAnsi="Times New Roman" w:cs="Times New Roman"/>
          <w:b/>
          <w:bCs/>
          <w:color w:val="auto"/>
        </w:rPr>
        <w:t>Table S9</w:t>
      </w:r>
      <w:r>
        <w:rPr>
          <w:rFonts w:hint="default" w:ascii="Times New Roman" w:hAnsi="Times New Roman" w:cs="Times New Roman"/>
          <w:color w:val="auto"/>
        </w:rPr>
        <w:t xml:space="preserve"> Comparison of fit between the consistency and UME models</w:t>
      </w:r>
    </w:p>
    <w:tbl>
      <w:tblPr>
        <w:tblStyle w:val="18"/>
        <w:tblW w:w="10400" w:type="dxa"/>
        <w:jc w:val="center"/>
        <w:tblLayout w:type="fixed"/>
        <w:tblCellMar>
          <w:top w:w="100" w:type="dxa"/>
          <w:left w:w="100" w:type="dxa"/>
          <w:bottom w:w="100" w:type="dxa"/>
          <w:right w:w="100" w:type="dxa"/>
        </w:tblCellMar>
      </w:tblPr>
      <w:tblGrid>
        <w:gridCol w:w="1992"/>
        <w:gridCol w:w="2170"/>
        <w:gridCol w:w="2457"/>
        <w:gridCol w:w="2137"/>
        <w:gridCol w:w="1644"/>
      </w:tblGrid>
      <w:tr w14:paraId="446742B5">
        <w:tblPrEx>
          <w:tblCellMar>
            <w:top w:w="100" w:type="dxa"/>
            <w:left w:w="100" w:type="dxa"/>
            <w:bottom w:w="100" w:type="dxa"/>
            <w:right w:w="100" w:type="dxa"/>
          </w:tblCellMar>
        </w:tblPrEx>
        <w:trPr>
          <w:trHeight w:val="510" w:hRule="exact"/>
          <w:jc w:val="center"/>
        </w:trPr>
        <w:tc>
          <w:tcPr>
            <w:tcW w:w="1992" w:type="dxa"/>
            <w:tcBorders>
              <w:top w:val="single" w:color="000000" w:sz="12" w:space="0"/>
              <w:bottom w:val="single" w:color="000000" w:sz="4" w:space="0"/>
            </w:tcBorders>
            <w:vAlign w:val="center"/>
          </w:tcPr>
          <w:p w14:paraId="0358B830">
            <w:pPr>
              <w:jc w:val="center"/>
              <w:rPr>
                <w:rFonts w:hint="default" w:ascii="Times New Roman" w:hAnsi="Times New Roman" w:cs="Times New Roman"/>
                <w:b/>
                <w:bCs/>
                <w:color w:val="auto"/>
              </w:rPr>
            </w:pPr>
            <w:r>
              <w:rPr>
                <w:rFonts w:hint="default" w:ascii="Times New Roman" w:hAnsi="Times New Roman" w:cs="Times New Roman"/>
                <w:b/>
                <w:bCs/>
                <w:color w:val="auto"/>
              </w:rPr>
              <w:t>Model</w:t>
            </w:r>
          </w:p>
        </w:tc>
        <w:tc>
          <w:tcPr>
            <w:tcW w:w="2170" w:type="dxa"/>
            <w:tcBorders>
              <w:top w:val="single" w:color="000000" w:sz="12" w:space="0"/>
              <w:bottom w:val="single" w:color="000000" w:sz="4" w:space="0"/>
            </w:tcBorders>
            <w:vAlign w:val="center"/>
          </w:tcPr>
          <w:p w14:paraId="7D9EC0CE">
            <w:pPr>
              <w:jc w:val="center"/>
              <w:rPr>
                <w:rFonts w:hint="default" w:ascii="Times New Roman" w:hAnsi="Times New Roman" w:cs="Times New Roman"/>
                <w:b/>
                <w:bCs/>
                <w:color w:val="auto"/>
              </w:rPr>
            </w:pPr>
            <w:r>
              <w:rPr>
                <w:rFonts w:hint="default" w:ascii="Times New Roman" w:hAnsi="Times New Roman" w:cs="Times New Roman"/>
                <w:b/>
                <w:bCs/>
                <w:color w:val="auto"/>
              </w:rPr>
              <w:t>pV</w:t>
            </w:r>
          </w:p>
        </w:tc>
        <w:tc>
          <w:tcPr>
            <w:tcW w:w="2457" w:type="dxa"/>
            <w:tcBorders>
              <w:top w:val="single" w:color="000000" w:sz="12" w:space="0"/>
              <w:bottom w:val="single" w:color="000000" w:sz="4" w:space="0"/>
            </w:tcBorders>
            <w:vAlign w:val="center"/>
          </w:tcPr>
          <w:p w14:paraId="4E57A7F4">
            <w:pPr>
              <w:jc w:val="center"/>
              <w:rPr>
                <w:rFonts w:hint="default" w:ascii="Times New Roman" w:hAnsi="Times New Roman" w:cs="Times New Roman"/>
                <w:b/>
                <w:bCs/>
                <w:color w:val="auto"/>
              </w:rPr>
            </w:pPr>
            <w:r>
              <w:rPr>
                <w:rFonts w:hint="default" w:ascii="Times New Roman" w:hAnsi="Times New Roman" w:cs="Times New Roman"/>
                <w:b/>
                <w:bCs/>
                <w:color w:val="auto"/>
              </w:rPr>
              <w:t>Residual deviance</w:t>
            </w:r>
          </w:p>
        </w:tc>
        <w:tc>
          <w:tcPr>
            <w:tcW w:w="2137" w:type="dxa"/>
            <w:tcBorders>
              <w:top w:val="single" w:color="000000" w:sz="12" w:space="0"/>
              <w:bottom w:val="single" w:color="000000" w:sz="4" w:space="0"/>
            </w:tcBorders>
            <w:vAlign w:val="center"/>
          </w:tcPr>
          <w:p w14:paraId="13D32511">
            <w:pPr>
              <w:jc w:val="center"/>
              <w:rPr>
                <w:rFonts w:hint="default" w:ascii="Times New Roman" w:hAnsi="Times New Roman" w:cs="Times New Roman"/>
                <w:b/>
                <w:bCs/>
                <w:color w:val="auto"/>
              </w:rPr>
            </w:pPr>
            <w:r>
              <w:rPr>
                <w:rFonts w:hint="default" w:ascii="Times New Roman" w:hAnsi="Times New Roman" w:cs="Times New Roman"/>
                <w:b/>
                <w:bCs/>
                <w:color w:val="auto"/>
              </w:rPr>
              <w:t>DIC</w:t>
            </w:r>
          </w:p>
        </w:tc>
        <w:tc>
          <w:tcPr>
            <w:tcW w:w="1644" w:type="dxa"/>
            <w:tcBorders>
              <w:top w:val="single" w:color="000000" w:sz="12" w:space="0"/>
              <w:bottom w:val="single" w:color="000000" w:sz="4" w:space="0"/>
            </w:tcBorders>
            <w:vAlign w:val="center"/>
          </w:tcPr>
          <w:p w14:paraId="2641C675">
            <w:pPr>
              <w:jc w:val="center"/>
              <w:rPr>
                <w:rFonts w:hint="default" w:ascii="Times New Roman" w:hAnsi="Times New Roman" w:cs="Times New Roman"/>
                <w:b/>
                <w:bCs/>
                <w:color w:val="auto"/>
              </w:rPr>
            </w:pPr>
            <w:r>
              <w:rPr>
                <w:rFonts w:hint="default" w:ascii="Times New Roman" w:hAnsi="Times New Roman" w:cs="Times New Roman"/>
                <w:b/>
                <w:bCs/>
                <w:color w:val="auto"/>
              </w:rPr>
              <w:t>SD</w:t>
            </w:r>
          </w:p>
        </w:tc>
      </w:tr>
      <w:tr w14:paraId="2828C4BB">
        <w:tblPrEx>
          <w:tblCellMar>
            <w:top w:w="100" w:type="dxa"/>
            <w:left w:w="100" w:type="dxa"/>
            <w:bottom w:w="100" w:type="dxa"/>
            <w:right w:w="100" w:type="dxa"/>
          </w:tblCellMar>
        </w:tblPrEx>
        <w:trPr>
          <w:trHeight w:val="510" w:hRule="exact"/>
          <w:jc w:val="center"/>
        </w:trPr>
        <w:tc>
          <w:tcPr>
            <w:tcW w:w="1992" w:type="dxa"/>
            <w:tcBorders>
              <w:top w:val="single" w:color="000000" w:sz="4" w:space="0"/>
            </w:tcBorders>
            <w:vAlign w:val="center"/>
          </w:tcPr>
          <w:p w14:paraId="4876E92D">
            <w:pPr>
              <w:jc w:val="center"/>
              <w:rPr>
                <w:rFonts w:hint="default" w:ascii="Times New Roman" w:hAnsi="Times New Roman" w:cs="Times New Roman"/>
                <w:color w:val="auto"/>
              </w:rPr>
            </w:pPr>
            <w:r>
              <w:rPr>
                <w:rFonts w:hint="default" w:ascii="Times New Roman" w:hAnsi="Times New Roman" w:cs="Times New Roman"/>
                <w:color w:val="auto"/>
              </w:rPr>
              <w:t>Consistent</w:t>
            </w:r>
          </w:p>
        </w:tc>
        <w:tc>
          <w:tcPr>
            <w:tcW w:w="2170" w:type="dxa"/>
            <w:tcBorders>
              <w:top w:val="single" w:color="000000" w:sz="4" w:space="0"/>
            </w:tcBorders>
            <w:vAlign w:val="center"/>
          </w:tcPr>
          <w:p w14:paraId="14DC51DF">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155.5</w:t>
            </w:r>
          </w:p>
        </w:tc>
        <w:tc>
          <w:tcPr>
            <w:tcW w:w="2457" w:type="dxa"/>
            <w:tcBorders>
              <w:top w:val="single" w:color="000000" w:sz="4" w:space="0"/>
            </w:tcBorders>
            <w:vAlign w:val="center"/>
          </w:tcPr>
          <w:p w14:paraId="633D886A">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153.387</w:t>
            </w:r>
          </w:p>
        </w:tc>
        <w:tc>
          <w:tcPr>
            <w:tcW w:w="2137" w:type="dxa"/>
            <w:tcBorders>
              <w:top w:val="single" w:color="000000" w:sz="4" w:space="0"/>
            </w:tcBorders>
            <w:vAlign w:val="center"/>
          </w:tcPr>
          <w:p w14:paraId="4AA73162">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891.5</w:t>
            </w:r>
          </w:p>
        </w:tc>
        <w:tc>
          <w:tcPr>
            <w:tcW w:w="1644" w:type="dxa"/>
            <w:tcBorders>
              <w:top w:val="single" w:color="000000" w:sz="4" w:space="0"/>
            </w:tcBorders>
            <w:vAlign w:val="center"/>
          </w:tcPr>
          <w:p w14:paraId="0B1E6581">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0.583</w:t>
            </w:r>
          </w:p>
        </w:tc>
      </w:tr>
      <w:tr w14:paraId="60E8E938">
        <w:tblPrEx>
          <w:tblCellMar>
            <w:top w:w="100" w:type="dxa"/>
            <w:left w:w="100" w:type="dxa"/>
            <w:bottom w:w="100" w:type="dxa"/>
            <w:right w:w="100" w:type="dxa"/>
          </w:tblCellMar>
        </w:tblPrEx>
        <w:trPr>
          <w:trHeight w:val="510" w:hRule="exact"/>
          <w:jc w:val="center"/>
        </w:trPr>
        <w:tc>
          <w:tcPr>
            <w:tcW w:w="1992" w:type="dxa"/>
            <w:tcBorders>
              <w:bottom w:val="single" w:color="000000" w:sz="12" w:space="0"/>
            </w:tcBorders>
            <w:vAlign w:val="center"/>
          </w:tcPr>
          <w:p w14:paraId="3F0FFC9F">
            <w:pPr>
              <w:jc w:val="center"/>
              <w:rPr>
                <w:rFonts w:hint="default" w:ascii="Times New Roman" w:hAnsi="Times New Roman" w:cs="Times New Roman"/>
                <w:color w:val="auto"/>
              </w:rPr>
            </w:pPr>
            <w:r>
              <w:rPr>
                <w:rFonts w:hint="default" w:ascii="Times New Roman" w:hAnsi="Times New Roman" w:cs="Times New Roman"/>
                <w:color w:val="auto"/>
              </w:rPr>
              <w:t>UME</w:t>
            </w:r>
          </w:p>
        </w:tc>
        <w:tc>
          <w:tcPr>
            <w:tcW w:w="2170" w:type="dxa"/>
            <w:tcBorders>
              <w:bottom w:val="single" w:color="000000" w:sz="12" w:space="0"/>
            </w:tcBorders>
            <w:vAlign w:val="center"/>
          </w:tcPr>
          <w:p w14:paraId="635B2C90">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150.1</w:t>
            </w:r>
          </w:p>
        </w:tc>
        <w:tc>
          <w:tcPr>
            <w:tcW w:w="2457" w:type="dxa"/>
            <w:tcBorders>
              <w:bottom w:val="single" w:color="000000" w:sz="12" w:space="0"/>
            </w:tcBorders>
            <w:vAlign w:val="center"/>
          </w:tcPr>
          <w:p w14:paraId="3BC9711F">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152.682</w:t>
            </w:r>
          </w:p>
        </w:tc>
        <w:tc>
          <w:tcPr>
            <w:tcW w:w="2137" w:type="dxa"/>
            <w:tcBorders>
              <w:bottom w:val="single" w:color="000000" w:sz="12" w:space="0"/>
            </w:tcBorders>
            <w:vAlign w:val="center"/>
          </w:tcPr>
          <w:p w14:paraId="3A057FD0">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887.4</w:t>
            </w:r>
          </w:p>
        </w:tc>
        <w:tc>
          <w:tcPr>
            <w:tcW w:w="1644" w:type="dxa"/>
            <w:tcBorders>
              <w:bottom w:val="single" w:color="000000" w:sz="12" w:space="0"/>
            </w:tcBorders>
            <w:vAlign w:val="center"/>
          </w:tcPr>
          <w:p w14:paraId="00052855">
            <w:pPr>
              <w:pStyle w:val="4"/>
              <w:widowControl/>
              <w:shd w:val="clear" w:color="auto" w:fill="FFFFFF"/>
              <w:wordWrap w:val="0"/>
              <w:spacing w:line="240" w:lineRule="atLeast"/>
              <w:jc w:val="center"/>
              <w:rPr>
                <w:rFonts w:hint="default" w:ascii="Times New Roman" w:hAnsi="Times New Roman" w:cs="Times New Roman"/>
                <w:color w:val="auto"/>
                <w:sz w:val="21"/>
                <w:szCs w:val="21"/>
              </w:rPr>
            </w:pPr>
            <w:r>
              <w:rPr>
                <w:rStyle w:val="39"/>
                <w:rFonts w:hint="default" w:ascii="Times New Roman" w:hAnsi="Times New Roman" w:cs="Times New Roman"/>
                <w:color w:val="auto"/>
                <w:sz w:val="21"/>
                <w:szCs w:val="21"/>
                <w:shd w:val="clear" w:color="auto" w:fill="FFFFFF"/>
              </w:rPr>
              <w:t>0.711</w:t>
            </w:r>
          </w:p>
        </w:tc>
      </w:tr>
    </w:tbl>
    <w:p w14:paraId="6CF500DC">
      <w:pPr>
        <w:spacing w:line="360" w:lineRule="exact"/>
        <w:jc w:val="center"/>
        <w:rPr>
          <w:rFonts w:hint="default" w:ascii="Times New Roman" w:hAnsi="Times New Roman" w:cs="Times New Roman"/>
          <w:color w:val="auto"/>
          <w:sz w:val="20"/>
          <w:szCs w:val="20"/>
        </w:rPr>
      </w:pPr>
      <w:r>
        <w:rPr>
          <w:rFonts w:hint="default" w:ascii="Times New Roman" w:hAnsi="Times New Roman" w:eastAsia="Times New Roman" w:cs="Times New Roman"/>
          <w:color w:val="auto"/>
          <w:sz w:val="20"/>
          <w:szCs w:val="20"/>
        </w:rPr>
        <w:t>UME</w:t>
      </w:r>
      <w:r>
        <w:rPr>
          <w:rFonts w:hint="default" w:ascii="Times New Roman" w:hAnsi="Times New Roman" w:eastAsia="Times New Roman" w:cs="Times New Roman"/>
          <w:color w:val="auto"/>
          <w:sz w:val="18"/>
          <w:szCs w:val="18"/>
        </w:rPr>
        <w:t xml:space="preserve"> = </w:t>
      </w:r>
      <w:r>
        <w:rPr>
          <w:rFonts w:hint="default" w:ascii="Times New Roman" w:hAnsi="Times New Roman" w:eastAsia="Times New Roman" w:cs="Times New Roman"/>
          <w:color w:val="auto"/>
          <w:sz w:val="20"/>
          <w:szCs w:val="20"/>
        </w:rPr>
        <w:t>Unrelated Mean Effects</w:t>
      </w:r>
      <w:bookmarkStart w:id="7" w:name="_heading=h.3j2qqm3" w:colFirst="0" w:colLast="0"/>
      <w:bookmarkEnd w:id="7"/>
      <w:r>
        <w:rPr>
          <w:rFonts w:hint="default" w:ascii="Times New Roman" w:hAnsi="Times New Roman" w:eastAsia="宋体" w:cs="Times New Roman"/>
          <w:color w:val="auto"/>
          <w:sz w:val="20"/>
          <w:szCs w:val="20"/>
        </w:rPr>
        <w:t>,</w:t>
      </w:r>
      <w:r>
        <w:rPr>
          <w:rFonts w:hint="default" w:ascii="Times New Roman" w:hAnsi="Times New Roman" w:eastAsia="Times New Roman" w:cs="Times New Roman"/>
          <w:color w:val="auto"/>
          <w:sz w:val="20"/>
          <w:szCs w:val="20"/>
        </w:rPr>
        <w:t xml:space="preserve"> </w:t>
      </w:r>
      <w:r>
        <w:rPr>
          <w:rFonts w:hint="default" w:ascii="Times New Roman" w:hAnsi="Times New Roman" w:eastAsia="宋体" w:cs="Times New Roman"/>
          <w:color w:val="auto"/>
          <w:sz w:val="20"/>
          <w:szCs w:val="20"/>
          <w:lang w:val="en-US" w:eastAsia="zh-CN"/>
        </w:rPr>
        <w:t>pV</w:t>
      </w:r>
      <w:r>
        <w:rPr>
          <w:rFonts w:hint="default" w:ascii="Times New Roman" w:hAnsi="Times New Roman" w:eastAsia="Times New Roman" w:cs="Times New Roman"/>
          <w:color w:val="auto"/>
          <w:sz w:val="18"/>
          <w:szCs w:val="18"/>
        </w:rPr>
        <w:t xml:space="preserve"> = </w:t>
      </w:r>
      <w:r>
        <w:rPr>
          <w:rFonts w:hint="default" w:ascii="Times New Roman" w:hAnsi="Times New Roman" w:eastAsia="Times New Roman" w:cs="Times New Roman"/>
          <w:color w:val="auto"/>
          <w:sz w:val="20"/>
          <w:szCs w:val="20"/>
        </w:rPr>
        <w:t>Number of estimated parameters</w:t>
      </w:r>
      <w:r>
        <w:rPr>
          <w:rFonts w:hint="default" w:ascii="Times New Roman" w:hAnsi="Times New Roman" w:eastAsia="宋体" w:cs="Times New Roman"/>
          <w:color w:val="auto"/>
          <w:sz w:val="20"/>
          <w:szCs w:val="20"/>
        </w:rPr>
        <w:t>,</w:t>
      </w:r>
      <w:r>
        <w:rPr>
          <w:rFonts w:hint="default" w:ascii="Times New Roman" w:hAnsi="Times New Roman" w:eastAsia="Times New Roman" w:cs="Times New Roman"/>
          <w:color w:val="auto"/>
          <w:sz w:val="20"/>
          <w:szCs w:val="20"/>
        </w:rPr>
        <w:t xml:space="preserve"> DIC = Deviance Information Criterion</w:t>
      </w:r>
      <w:r>
        <w:rPr>
          <w:rFonts w:hint="default" w:ascii="Times New Roman" w:hAnsi="Times New Roman" w:eastAsia="Times New Roman" w:cs="Times New Roman"/>
          <w:color w:val="auto"/>
          <w:sz w:val="20"/>
          <w:szCs w:val="20"/>
        </w:rPr>
        <w:t>,</w:t>
      </w:r>
      <w:r>
        <w:rPr>
          <w:rFonts w:hint="default" w:ascii="Times New Roman" w:hAnsi="Times New Roman" w:eastAsia="Times New Roman" w:cs="Times New Roman"/>
          <w:color w:val="auto"/>
          <w:sz w:val="20"/>
          <w:szCs w:val="20"/>
        </w:rPr>
        <w:t xml:space="preserve"> SD</w:t>
      </w:r>
      <w:r>
        <w:rPr>
          <w:rFonts w:hint="default" w:ascii="Times New Roman" w:hAnsi="Times New Roman" w:eastAsia="Times New Roman" w:cs="Times New Roman"/>
          <w:color w:val="auto"/>
          <w:sz w:val="18"/>
          <w:szCs w:val="18"/>
        </w:rPr>
        <w:t xml:space="preserve"> = </w:t>
      </w:r>
      <w:r>
        <w:rPr>
          <w:rFonts w:hint="default" w:ascii="Times New Roman" w:hAnsi="Times New Roman" w:eastAsia="Times New Roman" w:cs="Times New Roman"/>
          <w:color w:val="auto"/>
          <w:sz w:val="20"/>
          <w:szCs w:val="20"/>
        </w:rPr>
        <w:t>Standard Deviation</w:t>
      </w:r>
    </w:p>
    <w:p w14:paraId="1B9EAC7F">
      <w:pPr>
        <w:widowControl/>
        <w:spacing w:line="360" w:lineRule="exact"/>
        <w:jc w:val="left"/>
        <w:outlineLvl w:val="1"/>
        <w:rPr>
          <w:rFonts w:hint="default" w:ascii="Times New Roman" w:hAnsi="Times New Roman" w:cs="Times New Roman"/>
          <w:color w:val="auto"/>
        </w:rPr>
      </w:pPr>
      <w:r>
        <w:rPr>
          <w:rFonts w:hint="default" w:ascii="Times New Roman" w:hAnsi="Times New Roman" w:cs="Times New Roman"/>
          <w:color w:val="auto"/>
        </w:rPr>
        <w:t xml:space="preserve">(3) </w:t>
      </w:r>
      <w:r>
        <w:rPr>
          <w:rFonts w:hint="default" w:ascii="Times New Roman" w:hAnsi="Times New Roman" w:cs="Times New Roman"/>
          <w:color w:val="auto"/>
        </w:rPr>
        <w:t xml:space="preserve">Transitivity </w:t>
      </w:r>
    </w:p>
    <w:p w14:paraId="72714C8E">
      <w:pPr>
        <w:widowControl/>
        <w:spacing w:line="360" w:lineRule="exact"/>
        <w:ind w:firstLine="420" w:firstLineChars="200"/>
        <w:rPr>
          <w:rFonts w:hint="default" w:ascii="Times New Roman" w:hAnsi="Times New Roman" w:cs="Times New Roman"/>
          <w:color w:val="auto"/>
        </w:rPr>
      </w:pPr>
      <w:r>
        <w:rPr>
          <w:rFonts w:hint="default" w:ascii="Times New Roman" w:hAnsi="Times New Roman" w:cs="Times New Roman"/>
          <w:color w:val="auto"/>
        </w:rPr>
        <w:t>In this study, we applied a node-splitting approach within a multivariate network meta-analysis (MBNMA) framework to assess consistency by partitioning the contribution of a given treatment contrast into direct and indirect components and comparing the corresponding estimates; when the two estimates were similar, the evidence was considered consistent, as shown in Table S10 and Figure S5.</w:t>
      </w:r>
    </w:p>
    <w:p w14:paraId="55BEBF88">
      <w:pPr>
        <w:widowControl/>
        <w:spacing w:line="360" w:lineRule="exact"/>
        <w:jc w:val="center"/>
        <w:rPr>
          <w:rFonts w:hint="default" w:ascii="Times New Roman" w:hAnsi="Times New Roman" w:cs="Times New Roman"/>
          <w:color w:val="auto"/>
        </w:rPr>
      </w:pPr>
      <w:r>
        <w:rPr>
          <w:rFonts w:hint="default" w:ascii="Times New Roman" w:hAnsi="Times New Roman" w:cs="Times New Roman"/>
          <w:b/>
          <w:bCs/>
          <w:color w:val="auto"/>
        </w:rPr>
        <w:t>Table S10</w:t>
      </w:r>
      <w:r>
        <w:rPr>
          <w:rFonts w:hint="default" w:ascii="Times New Roman" w:hAnsi="Times New Roman" w:cs="Times New Roman"/>
          <w:color w:val="auto"/>
        </w:rPr>
        <w:t xml:space="preserve"> </w:t>
      </w:r>
      <w:r>
        <w:rPr>
          <w:rFonts w:hint="default" w:ascii="Times New Roman" w:hAnsi="Times New Roman" w:cs="Times New Roman"/>
          <w:color w:val="auto"/>
        </w:rPr>
        <w:t>Node-splitting analysis</w:t>
      </w:r>
      <w:r>
        <w:rPr>
          <w:rFonts w:hint="default" w:ascii="Times New Roman" w:hAnsi="Times New Roman" w:cs="Times New Roman"/>
          <w:color w:val="auto"/>
        </w:rPr>
        <w:t xml:space="preserve"> </w:t>
      </w:r>
      <w:r>
        <w:rPr>
          <w:rFonts w:hint="default" w:ascii="Times New Roman" w:hAnsi="Times New Roman" w:cs="Times New Roman"/>
          <w:color w:val="auto"/>
        </w:rPr>
        <w:t>of inconsistency</w:t>
      </w:r>
    </w:p>
    <w:tbl>
      <w:tblPr>
        <w:tblStyle w:val="6"/>
        <w:tblW w:w="10332" w:type="dxa"/>
        <w:jc w:val="center"/>
        <w:tblLayout w:type="autofit"/>
        <w:tblCellMar>
          <w:top w:w="0" w:type="dxa"/>
          <w:left w:w="108" w:type="dxa"/>
          <w:bottom w:w="0" w:type="dxa"/>
          <w:right w:w="108" w:type="dxa"/>
        </w:tblCellMar>
      </w:tblPr>
      <w:tblGrid>
        <w:gridCol w:w="3444"/>
        <w:gridCol w:w="1927"/>
        <w:gridCol w:w="1927"/>
        <w:gridCol w:w="1927"/>
        <w:gridCol w:w="1107"/>
      </w:tblGrid>
      <w:tr w14:paraId="378ECA8B">
        <w:tblPrEx>
          <w:tblCellMar>
            <w:top w:w="0" w:type="dxa"/>
            <w:left w:w="108" w:type="dxa"/>
            <w:bottom w:w="0" w:type="dxa"/>
            <w:right w:w="108" w:type="dxa"/>
          </w:tblCellMar>
        </w:tblPrEx>
        <w:trPr>
          <w:trHeight w:val="275" w:hRule="atLeast"/>
          <w:jc w:val="center"/>
        </w:trPr>
        <w:tc>
          <w:tcPr>
            <w:tcW w:w="3444" w:type="dxa"/>
            <w:tcBorders>
              <w:top w:val="single" w:color="auto" w:sz="12" w:space="0"/>
              <w:left w:val="nil"/>
              <w:bottom w:val="single" w:color="auto" w:sz="6" w:space="0"/>
              <w:right w:val="nil"/>
            </w:tcBorders>
            <w:noWrap/>
            <w:vAlign w:val="center"/>
          </w:tcPr>
          <w:p w14:paraId="4681585B">
            <w:pPr>
              <w:widowControl/>
              <w:jc w:val="center"/>
              <w:rPr>
                <w:rFonts w:hint="default" w:ascii="Times New Roman" w:hAnsi="Times New Roman" w:eastAsia="宋体" w:cs="Times New Roman"/>
                <w:color w:val="auto"/>
                <w:kern w:val="0"/>
                <w:sz w:val="22"/>
                <w:szCs w:val="22"/>
              </w:rPr>
            </w:pPr>
            <w:bookmarkStart w:id="8" w:name="_heading=h.1y810tw" w:colFirst="0" w:colLast="0"/>
            <w:bookmarkEnd w:id="8"/>
            <w:r>
              <w:rPr>
                <w:rFonts w:hint="default" w:ascii="Times New Roman" w:hAnsi="Times New Roman" w:eastAsia="宋体" w:cs="Times New Roman"/>
                <w:color w:val="auto"/>
                <w:kern w:val="0"/>
                <w:sz w:val="22"/>
                <w:szCs w:val="22"/>
              </w:rPr>
              <w:t>Comparison</w:t>
            </w:r>
          </w:p>
        </w:tc>
        <w:tc>
          <w:tcPr>
            <w:tcW w:w="1927" w:type="dxa"/>
            <w:tcBorders>
              <w:top w:val="single" w:color="auto" w:sz="12" w:space="0"/>
              <w:left w:val="nil"/>
              <w:bottom w:val="single" w:color="auto" w:sz="6" w:space="0"/>
              <w:right w:val="nil"/>
            </w:tcBorders>
            <w:noWrap/>
            <w:vAlign w:val="center"/>
          </w:tcPr>
          <w:p w14:paraId="6B2771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p-value</w:t>
            </w:r>
          </w:p>
        </w:tc>
        <w:tc>
          <w:tcPr>
            <w:tcW w:w="1927" w:type="dxa"/>
            <w:tcBorders>
              <w:top w:val="single" w:color="auto" w:sz="12" w:space="0"/>
              <w:left w:val="nil"/>
              <w:bottom w:val="single" w:color="auto" w:sz="6" w:space="0"/>
              <w:right w:val="nil"/>
            </w:tcBorders>
            <w:noWrap/>
            <w:vAlign w:val="center"/>
          </w:tcPr>
          <w:p w14:paraId="6329D3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Median</w:t>
            </w:r>
          </w:p>
        </w:tc>
        <w:tc>
          <w:tcPr>
            <w:tcW w:w="1927" w:type="dxa"/>
            <w:tcBorders>
              <w:top w:val="single" w:color="auto" w:sz="12" w:space="0"/>
              <w:left w:val="nil"/>
              <w:bottom w:val="single" w:color="auto" w:sz="6" w:space="0"/>
              <w:right w:val="nil"/>
            </w:tcBorders>
            <w:noWrap/>
            <w:vAlign w:val="center"/>
          </w:tcPr>
          <w:p w14:paraId="56B00B1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2.50%</w:t>
            </w:r>
          </w:p>
        </w:tc>
        <w:tc>
          <w:tcPr>
            <w:tcW w:w="1107" w:type="dxa"/>
            <w:tcBorders>
              <w:top w:val="single" w:color="auto" w:sz="12" w:space="0"/>
              <w:left w:val="nil"/>
              <w:bottom w:val="single" w:color="auto" w:sz="6" w:space="0"/>
              <w:right w:val="nil"/>
            </w:tcBorders>
            <w:noWrap/>
            <w:vAlign w:val="center"/>
          </w:tcPr>
          <w:p w14:paraId="3AA7199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97.50%</w:t>
            </w:r>
          </w:p>
        </w:tc>
      </w:tr>
      <w:tr w14:paraId="62CCC999">
        <w:tblPrEx>
          <w:tblCellMar>
            <w:top w:w="0" w:type="dxa"/>
            <w:left w:w="108" w:type="dxa"/>
            <w:bottom w:w="0" w:type="dxa"/>
            <w:right w:w="108" w:type="dxa"/>
          </w:tblCellMar>
        </w:tblPrEx>
        <w:trPr>
          <w:trHeight w:val="275" w:hRule="atLeast"/>
          <w:jc w:val="center"/>
        </w:trPr>
        <w:tc>
          <w:tcPr>
            <w:tcW w:w="3444" w:type="dxa"/>
            <w:tcBorders>
              <w:top w:val="single" w:color="auto" w:sz="6" w:space="0"/>
              <w:left w:val="nil"/>
              <w:bottom w:val="nil"/>
              <w:right w:val="nil"/>
            </w:tcBorders>
            <w:noWrap/>
            <w:vAlign w:val="center"/>
          </w:tcPr>
          <w:p w14:paraId="7BFD11E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RT_500 vs COM_1000</w:t>
            </w:r>
          </w:p>
        </w:tc>
        <w:tc>
          <w:tcPr>
            <w:tcW w:w="1927" w:type="dxa"/>
            <w:tcBorders>
              <w:top w:val="single" w:color="auto" w:sz="6" w:space="0"/>
              <w:left w:val="nil"/>
              <w:bottom w:val="nil"/>
              <w:right w:val="nil"/>
            </w:tcBorders>
            <w:noWrap/>
            <w:vAlign w:val="center"/>
          </w:tcPr>
          <w:p w14:paraId="36A4E23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0.575</w:t>
            </w:r>
          </w:p>
        </w:tc>
        <w:tc>
          <w:tcPr>
            <w:tcW w:w="1927" w:type="dxa"/>
            <w:tcBorders>
              <w:top w:val="single" w:color="auto" w:sz="6" w:space="0"/>
              <w:left w:val="nil"/>
              <w:bottom w:val="nil"/>
              <w:right w:val="nil"/>
            </w:tcBorders>
            <w:noWrap/>
            <w:vAlign w:val="center"/>
          </w:tcPr>
          <w:p w14:paraId="6E868E2C">
            <w:pPr>
              <w:widowControl/>
              <w:jc w:val="center"/>
              <w:rPr>
                <w:rFonts w:hint="default" w:ascii="Times New Roman" w:hAnsi="Times New Roman" w:eastAsia="宋体" w:cs="Times New Roman"/>
                <w:color w:val="auto"/>
                <w:kern w:val="0"/>
                <w:sz w:val="22"/>
                <w:szCs w:val="22"/>
              </w:rPr>
            </w:pPr>
          </w:p>
        </w:tc>
        <w:tc>
          <w:tcPr>
            <w:tcW w:w="1927" w:type="dxa"/>
            <w:tcBorders>
              <w:top w:val="single" w:color="auto" w:sz="6" w:space="0"/>
              <w:left w:val="nil"/>
              <w:bottom w:val="nil"/>
              <w:right w:val="nil"/>
            </w:tcBorders>
            <w:noWrap/>
            <w:vAlign w:val="center"/>
          </w:tcPr>
          <w:p w14:paraId="3B093169">
            <w:pPr>
              <w:widowControl/>
              <w:jc w:val="center"/>
              <w:rPr>
                <w:rFonts w:hint="default" w:ascii="Times New Roman" w:hAnsi="Times New Roman" w:eastAsia="Times New Roman" w:cs="Times New Roman"/>
                <w:color w:val="auto"/>
                <w:kern w:val="0"/>
                <w:sz w:val="20"/>
                <w:szCs w:val="20"/>
              </w:rPr>
            </w:pPr>
          </w:p>
        </w:tc>
        <w:tc>
          <w:tcPr>
            <w:tcW w:w="1107" w:type="dxa"/>
            <w:tcBorders>
              <w:top w:val="single" w:color="auto" w:sz="6" w:space="0"/>
              <w:left w:val="nil"/>
              <w:bottom w:val="nil"/>
              <w:right w:val="nil"/>
            </w:tcBorders>
            <w:noWrap/>
            <w:vAlign w:val="center"/>
          </w:tcPr>
          <w:p w14:paraId="6AB953B2">
            <w:pPr>
              <w:widowControl/>
              <w:jc w:val="center"/>
              <w:rPr>
                <w:rFonts w:hint="default" w:ascii="Times New Roman" w:hAnsi="Times New Roman" w:eastAsia="Times New Roman" w:cs="Times New Roman"/>
                <w:color w:val="auto"/>
                <w:kern w:val="0"/>
                <w:sz w:val="20"/>
                <w:szCs w:val="20"/>
              </w:rPr>
            </w:pPr>
          </w:p>
        </w:tc>
      </w:tr>
      <w:tr w14:paraId="5A3343C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55EEF0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0605212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DD5E32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0.451</w:t>
            </w:r>
          </w:p>
        </w:tc>
        <w:tc>
          <w:tcPr>
            <w:tcW w:w="1927" w:type="dxa"/>
            <w:tcBorders>
              <w:top w:val="nil"/>
              <w:left w:val="nil"/>
              <w:bottom w:val="nil"/>
              <w:right w:val="nil"/>
            </w:tcBorders>
            <w:noWrap/>
            <w:vAlign w:val="center"/>
          </w:tcPr>
          <w:p w14:paraId="617857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-0.953</w:t>
            </w:r>
          </w:p>
        </w:tc>
        <w:tc>
          <w:tcPr>
            <w:tcW w:w="1107" w:type="dxa"/>
            <w:tcBorders>
              <w:top w:val="nil"/>
              <w:left w:val="nil"/>
              <w:bottom w:val="nil"/>
              <w:right w:val="nil"/>
            </w:tcBorders>
            <w:noWrap/>
            <w:vAlign w:val="center"/>
          </w:tcPr>
          <w:p w14:paraId="60BD535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1.902</w:t>
            </w:r>
          </w:p>
        </w:tc>
      </w:tr>
      <w:tr w14:paraId="0C2083F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BBB862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641658BD">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8572B1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0.244</w:t>
            </w:r>
          </w:p>
        </w:tc>
        <w:tc>
          <w:tcPr>
            <w:tcW w:w="1927" w:type="dxa"/>
            <w:tcBorders>
              <w:top w:val="nil"/>
              <w:left w:val="nil"/>
              <w:bottom w:val="nil"/>
              <w:right w:val="nil"/>
            </w:tcBorders>
            <w:noWrap/>
            <w:vAlign w:val="center"/>
          </w:tcPr>
          <w:p w14:paraId="531D08C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-0.356</w:t>
            </w:r>
          </w:p>
        </w:tc>
        <w:tc>
          <w:tcPr>
            <w:tcW w:w="1107" w:type="dxa"/>
            <w:tcBorders>
              <w:top w:val="nil"/>
              <w:left w:val="nil"/>
              <w:bottom w:val="nil"/>
              <w:right w:val="nil"/>
            </w:tcBorders>
            <w:noWrap/>
            <w:vAlign w:val="center"/>
          </w:tcPr>
          <w:p w14:paraId="1BE71BC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0.818</w:t>
            </w:r>
          </w:p>
        </w:tc>
      </w:tr>
      <w:tr w14:paraId="03657104">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672A3A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06FDBF4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F9FA65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0.27</w:t>
            </w:r>
          </w:p>
        </w:tc>
        <w:tc>
          <w:tcPr>
            <w:tcW w:w="1927" w:type="dxa"/>
            <w:tcBorders>
              <w:top w:val="nil"/>
              <w:left w:val="nil"/>
              <w:bottom w:val="nil"/>
              <w:right w:val="nil"/>
            </w:tcBorders>
            <w:noWrap/>
            <w:vAlign w:val="center"/>
          </w:tcPr>
          <w:p w14:paraId="3ABD1D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-0.258</w:t>
            </w:r>
          </w:p>
        </w:tc>
        <w:tc>
          <w:tcPr>
            <w:tcW w:w="1107" w:type="dxa"/>
            <w:tcBorders>
              <w:top w:val="nil"/>
              <w:left w:val="nil"/>
              <w:bottom w:val="nil"/>
              <w:right w:val="nil"/>
            </w:tcBorders>
            <w:noWrap/>
            <w:vAlign w:val="center"/>
          </w:tcPr>
          <w:p w14:paraId="0413B7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0.814</w:t>
            </w:r>
          </w:p>
        </w:tc>
      </w:tr>
      <w:tr w14:paraId="3509C9E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5AD5BE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HIIT_750 vs COM_1000</w:t>
            </w:r>
          </w:p>
        </w:tc>
        <w:tc>
          <w:tcPr>
            <w:tcW w:w="1927" w:type="dxa"/>
            <w:tcBorders>
              <w:top w:val="nil"/>
              <w:left w:val="nil"/>
              <w:bottom w:val="nil"/>
              <w:right w:val="nil"/>
            </w:tcBorders>
            <w:noWrap/>
            <w:vAlign w:val="center"/>
          </w:tcPr>
          <w:p w14:paraId="46AA8DC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0.545</w:t>
            </w:r>
          </w:p>
        </w:tc>
        <w:tc>
          <w:tcPr>
            <w:tcW w:w="1927" w:type="dxa"/>
            <w:tcBorders>
              <w:top w:val="nil"/>
              <w:left w:val="nil"/>
              <w:bottom w:val="nil"/>
              <w:right w:val="nil"/>
            </w:tcBorders>
            <w:noWrap/>
            <w:vAlign w:val="center"/>
          </w:tcPr>
          <w:p w14:paraId="180D9FE7">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DBC1285">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131F5B99">
            <w:pPr>
              <w:widowControl/>
              <w:jc w:val="center"/>
              <w:rPr>
                <w:rFonts w:hint="default" w:ascii="Times New Roman" w:hAnsi="Times New Roman" w:eastAsia="Times New Roman" w:cs="Times New Roman"/>
                <w:color w:val="auto"/>
                <w:kern w:val="0"/>
                <w:sz w:val="20"/>
                <w:szCs w:val="20"/>
              </w:rPr>
            </w:pPr>
          </w:p>
        </w:tc>
      </w:tr>
      <w:tr w14:paraId="03935F01">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393B48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64808FEE">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31E79D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-0.272</w:t>
            </w:r>
          </w:p>
        </w:tc>
        <w:tc>
          <w:tcPr>
            <w:tcW w:w="1927" w:type="dxa"/>
            <w:tcBorders>
              <w:top w:val="nil"/>
              <w:left w:val="nil"/>
              <w:bottom w:val="nil"/>
              <w:right w:val="nil"/>
            </w:tcBorders>
            <w:noWrap/>
            <w:vAlign w:val="center"/>
          </w:tcPr>
          <w:p w14:paraId="3335524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-1.897</w:t>
            </w:r>
          </w:p>
        </w:tc>
        <w:tc>
          <w:tcPr>
            <w:tcW w:w="1107" w:type="dxa"/>
            <w:tcBorders>
              <w:top w:val="nil"/>
              <w:left w:val="nil"/>
              <w:bottom w:val="nil"/>
              <w:right w:val="nil"/>
            </w:tcBorders>
            <w:noWrap/>
            <w:vAlign w:val="center"/>
          </w:tcPr>
          <w:p w14:paraId="1FA1219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1.394</w:t>
            </w:r>
          </w:p>
        </w:tc>
      </w:tr>
      <w:tr w14:paraId="3D147570">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7B04A1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5117D61C">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A7DC40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0.005</w:t>
            </w:r>
          </w:p>
        </w:tc>
        <w:tc>
          <w:tcPr>
            <w:tcW w:w="1927" w:type="dxa"/>
            <w:tcBorders>
              <w:top w:val="nil"/>
              <w:left w:val="nil"/>
              <w:bottom w:val="nil"/>
              <w:right w:val="nil"/>
            </w:tcBorders>
            <w:noWrap/>
            <w:vAlign w:val="center"/>
          </w:tcPr>
          <w:p w14:paraId="65D5B11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-0.612</w:t>
            </w:r>
          </w:p>
        </w:tc>
        <w:tc>
          <w:tcPr>
            <w:tcW w:w="1107" w:type="dxa"/>
            <w:tcBorders>
              <w:top w:val="nil"/>
              <w:left w:val="nil"/>
              <w:bottom w:val="nil"/>
              <w:right w:val="nil"/>
            </w:tcBorders>
            <w:noWrap/>
            <w:vAlign w:val="center"/>
          </w:tcPr>
          <w:p w14:paraId="51F848F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0.578</w:t>
            </w:r>
          </w:p>
        </w:tc>
      </w:tr>
      <w:tr w14:paraId="742CDA1B">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4EA22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353F454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751262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-0.021</w:t>
            </w:r>
          </w:p>
        </w:tc>
        <w:tc>
          <w:tcPr>
            <w:tcW w:w="1927" w:type="dxa"/>
            <w:tcBorders>
              <w:top w:val="nil"/>
              <w:left w:val="nil"/>
              <w:bottom w:val="nil"/>
              <w:right w:val="nil"/>
            </w:tcBorders>
            <w:noWrap/>
            <w:vAlign w:val="center"/>
          </w:tcPr>
          <w:p w14:paraId="5F32A2C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-0.593</w:t>
            </w:r>
          </w:p>
        </w:tc>
        <w:tc>
          <w:tcPr>
            <w:tcW w:w="1107" w:type="dxa"/>
            <w:tcBorders>
              <w:top w:val="nil"/>
              <w:left w:val="nil"/>
              <w:bottom w:val="nil"/>
              <w:right w:val="nil"/>
            </w:tcBorders>
            <w:noWrap/>
            <w:vAlign w:val="center"/>
          </w:tcPr>
          <w:p w14:paraId="349C887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0.52</w:t>
            </w:r>
          </w:p>
        </w:tc>
      </w:tr>
      <w:tr w14:paraId="1F6E2C64">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7B82E9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COM_750 vs AE_1000</w:t>
            </w:r>
          </w:p>
        </w:tc>
        <w:tc>
          <w:tcPr>
            <w:tcW w:w="1927" w:type="dxa"/>
            <w:tcBorders>
              <w:top w:val="nil"/>
              <w:left w:val="nil"/>
              <w:bottom w:val="nil"/>
              <w:right w:val="nil"/>
            </w:tcBorders>
            <w:noWrap/>
            <w:vAlign w:val="center"/>
          </w:tcPr>
          <w:p w14:paraId="6FDFA57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0.446</w:t>
            </w:r>
          </w:p>
        </w:tc>
        <w:tc>
          <w:tcPr>
            <w:tcW w:w="1927" w:type="dxa"/>
            <w:tcBorders>
              <w:top w:val="nil"/>
              <w:left w:val="nil"/>
              <w:bottom w:val="nil"/>
              <w:right w:val="nil"/>
            </w:tcBorders>
            <w:noWrap/>
            <w:vAlign w:val="center"/>
          </w:tcPr>
          <w:p w14:paraId="71DC1EB2">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49289BA">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4BA702D">
            <w:pPr>
              <w:widowControl/>
              <w:jc w:val="center"/>
              <w:rPr>
                <w:rFonts w:hint="default" w:ascii="Times New Roman" w:hAnsi="Times New Roman" w:eastAsia="Times New Roman" w:cs="Times New Roman"/>
                <w:color w:val="auto"/>
                <w:kern w:val="0"/>
                <w:sz w:val="20"/>
                <w:szCs w:val="20"/>
              </w:rPr>
            </w:pPr>
          </w:p>
        </w:tc>
      </w:tr>
      <w:tr w14:paraId="3A1C9BA1">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0A9BB1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6A7B351F">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3B1E95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0.33</w:t>
            </w:r>
          </w:p>
        </w:tc>
        <w:tc>
          <w:tcPr>
            <w:tcW w:w="1927" w:type="dxa"/>
            <w:tcBorders>
              <w:top w:val="nil"/>
              <w:left w:val="nil"/>
              <w:bottom w:val="nil"/>
              <w:right w:val="nil"/>
            </w:tcBorders>
            <w:noWrap/>
            <w:vAlign w:val="center"/>
          </w:tcPr>
          <w:p w14:paraId="2B506F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-0.747</w:t>
            </w:r>
          </w:p>
        </w:tc>
        <w:tc>
          <w:tcPr>
            <w:tcW w:w="1107" w:type="dxa"/>
            <w:tcBorders>
              <w:top w:val="nil"/>
              <w:left w:val="nil"/>
              <w:bottom w:val="nil"/>
              <w:right w:val="nil"/>
            </w:tcBorders>
            <w:noWrap/>
            <w:vAlign w:val="center"/>
          </w:tcPr>
          <w:p w14:paraId="47E513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1.417</w:t>
            </w:r>
          </w:p>
        </w:tc>
      </w:tr>
      <w:tr w14:paraId="7ED59E96">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68B4ED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595DA39E">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785ABFB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-0.097</w:t>
            </w:r>
          </w:p>
        </w:tc>
        <w:tc>
          <w:tcPr>
            <w:tcW w:w="1927" w:type="dxa"/>
            <w:tcBorders>
              <w:top w:val="nil"/>
              <w:left w:val="nil"/>
              <w:bottom w:val="nil"/>
              <w:right w:val="nil"/>
            </w:tcBorders>
            <w:noWrap/>
            <w:vAlign w:val="center"/>
          </w:tcPr>
          <w:p w14:paraId="4C7A793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-0.528</w:t>
            </w:r>
          </w:p>
        </w:tc>
        <w:tc>
          <w:tcPr>
            <w:tcW w:w="1107" w:type="dxa"/>
            <w:tcBorders>
              <w:top w:val="nil"/>
              <w:left w:val="nil"/>
              <w:bottom w:val="nil"/>
              <w:right w:val="nil"/>
            </w:tcBorders>
            <w:noWrap/>
            <w:vAlign w:val="center"/>
          </w:tcPr>
          <w:p w14:paraId="118A39B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0.32</w:t>
            </w:r>
          </w:p>
        </w:tc>
      </w:tr>
      <w:tr w14:paraId="2CAC9B56">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431D0A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661EBA1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3D5BDE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-0.135</w:t>
            </w:r>
          </w:p>
        </w:tc>
        <w:tc>
          <w:tcPr>
            <w:tcW w:w="1927" w:type="dxa"/>
            <w:tcBorders>
              <w:top w:val="nil"/>
              <w:left w:val="nil"/>
              <w:bottom w:val="nil"/>
              <w:right w:val="nil"/>
            </w:tcBorders>
            <w:noWrap/>
            <w:vAlign w:val="center"/>
          </w:tcPr>
          <w:p w14:paraId="79E30D9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-0.53</w:t>
            </w:r>
          </w:p>
        </w:tc>
        <w:tc>
          <w:tcPr>
            <w:tcW w:w="1107" w:type="dxa"/>
            <w:tcBorders>
              <w:top w:val="nil"/>
              <w:left w:val="nil"/>
              <w:bottom w:val="nil"/>
              <w:right w:val="nil"/>
            </w:tcBorders>
            <w:noWrap/>
            <w:vAlign w:val="center"/>
          </w:tcPr>
          <w:p w14:paraId="168CA54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0.264</w:t>
            </w:r>
          </w:p>
        </w:tc>
      </w:tr>
      <w:tr w14:paraId="378812B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4CFFB3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RT_500 vs AE_750</w:t>
            </w:r>
          </w:p>
        </w:tc>
        <w:tc>
          <w:tcPr>
            <w:tcW w:w="1927" w:type="dxa"/>
            <w:tcBorders>
              <w:top w:val="nil"/>
              <w:left w:val="nil"/>
              <w:bottom w:val="nil"/>
              <w:right w:val="nil"/>
            </w:tcBorders>
            <w:noWrap/>
            <w:vAlign w:val="center"/>
          </w:tcPr>
          <w:p w14:paraId="69E5906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0.442</w:t>
            </w:r>
          </w:p>
        </w:tc>
        <w:tc>
          <w:tcPr>
            <w:tcW w:w="1927" w:type="dxa"/>
            <w:tcBorders>
              <w:top w:val="nil"/>
              <w:left w:val="nil"/>
              <w:bottom w:val="nil"/>
              <w:right w:val="nil"/>
            </w:tcBorders>
            <w:noWrap/>
            <w:vAlign w:val="center"/>
          </w:tcPr>
          <w:p w14:paraId="26E1790A">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2ED4242">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5313BEB5">
            <w:pPr>
              <w:widowControl/>
              <w:jc w:val="center"/>
              <w:rPr>
                <w:rFonts w:hint="default" w:ascii="Times New Roman" w:hAnsi="Times New Roman" w:eastAsia="Times New Roman" w:cs="Times New Roman"/>
                <w:color w:val="auto"/>
                <w:kern w:val="0"/>
                <w:sz w:val="20"/>
                <w:szCs w:val="20"/>
              </w:rPr>
            </w:pPr>
          </w:p>
        </w:tc>
      </w:tr>
      <w:tr w14:paraId="1B69E57A">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A423AE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59DAED5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ECFDD4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0.235</w:t>
            </w:r>
          </w:p>
        </w:tc>
        <w:tc>
          <w:tcPr>
            <w:tcW w:w="1927" w:type="dxa"/>
            <w:tcBorders>
              <w:top w:val="nil"/>
              <w:left w:val="nil"/>
              <w:bottom w:val="nil"/>
              <w:right w:val="nil"/>
            </w:tcBorders>
            <w:noWrap/>
            <w:vAlign w:val="center"/>
          </w:tcPr>
          <w:p w14:paraId="4768A8E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-1.435</w:t>
            </w:r>
          </w:p>
        </w:tc>
        <w:tc>
          <w:tcPr>
            <w:tcW w:w="1107" w:type="dxa"/>
            <w:tcBorders>
              <w:top w:val="nil"/>
              <w:left w:val="nil"/>
              <w:bottom w:val="nil"/>
              <w:right w:val="nil"/>
            </w:tcBorders>
            <w:noWrap/>
            <w:vAlign w:val="center"/>
          </w:tcPr>
          <w:p w14:paraId="1523D9D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1.803</w:t>
            </w:r>
          </w:p>
        </w:tc>
      </w:tr>
      <w:tr w14:paraId="22CA029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8954C4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229BA977">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8C10F2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0.036</w:t>
            </w:r>
          </w:p>
        </w:tc>
        <w:tc>
          <w:tcPr>
            <w:tcW w:w="1927" w:type="dxa"/>
            <w:tcBorders>
              <w:top w:val="nil"/>
              <w:left w:val="nil"/>
              <w:bottom w:val="nil"/>
              <w:right w:val="nil"/>
            </w:tcBorders>
            <w:noWrap/>
            <w:vAlign w:val="center"/>
          </w:tcPr>
          <w:p w14:paraId="316E10B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-0.408</w:t>
            </w:r>
          </w:p>
        </w:tc>
        <w:tc>
          <w:tcPr>
            <w:tcW w:w="1107" w:type="dxa"/>
            <w:tcBorders>
              <w:top w:val="nil"/>
              <w:left w:val="nil"/>
              <w:bottom w:val="nil"/>
              <w:right w:val="nil"/>
            </w:tcBorders>
            <w:noWrap/>
            <w:vAlign w:val="center"/>
          </w:tcPr>
          <w:p w14:paraId="66854C3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0.478</w:t>
            </w:r>
          </w:p>
        </w:tc>
      </w:tr>
      <w:tr w14:paraId="05EB1A2B">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AD1690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0EB781D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0FD13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0.051</w:t>
            </w:r>
          </w:p>
        </w:tc>
        <w:tc>
          <w:tcPr>
            <w:tcW w:w="1927" w:type="dxa"/>
            <w:tcBorders>
              <w:top w:val="nil"/>
              <w:left w:val="nil"/>
              <w:bottom w:val="nil"/>
              <w:right w:val="nil"/>
            </w:tcBorders>
            <w:noWrap/>
            <w:vAlign w:val="center"/>
          </w:tcPr>
          <w:p w14:paraId="77EDCBF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-0.372</w:t>
            </w:r>
          </w:p>
        </w:tc>
        <w:tc>
          <w:tcPr>
            <w:tcW w:w="1107" w:type="dxa"/>
            <w:tcBorders>
              <w:top w:val="nil"/>
              <w:left w:val="nil"/>
              <w:bottom w:val="nil"/>
              <w:right w:val="nil"/>
            </w:tcBorders>
            <w:noWrap/>
            <w:vAlign w:val="center"/>
          </w:tcPr>
          <w:p w14:paraId="78B6551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0.466</w:t>
            </w:r>
          </w:p>
        </w:tc>
      </w:tr>
      <w:tr w14:paraId="51526D9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75789C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HIIT_500 vs AE_750</w:t>
            </w:r>
          </w:p>
        </w:tc>
        <w:tc>
          <w:tcPr>
            <w:tcW w:w="1927" w:type="dxa"/>
            <w:tcBorders>
              <w:top w:val="nil"/>
              <w:left w:val="nil"/>
              <w:bottom w:val="nil"/>
              <w:right w:val="nil"/>
            </w:tcBorders>
            <w:noWrap/>
            <w:vAlign w:val="center"/>
          </w:tcPr>
          <w:p w14:paraId="644CC2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0.107</w:t>
            </w:r>
          </w:p>
        </w:tc>
        <w:tc>
          <w:tcPr>
            <w:tcW w:w="1927" w:type="dxa"/>
            <w:tcBorders>
              <w:top w:val="nil"/>
              <w:left w:val="nil"/>
              <w:bottom w:val="nil"/>
              <w:right w:val="nil"/>
            </w:tcBorders>
            <w:noWrap/>
            <w:vAlign w:val="center"/>
          </w:tcPr>
          <w:p w14:paraId="6FD903F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7379F2FE">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86BF994">
            <w:pPr>
              <w:widowControl/>
              <w:jc w:val="center"/>
              <w:rPr>
                <w:rFonts w:hint="default" w:ascii="Times New Roman" w:hAnsi="Times New Roman" w:eastAsia="Times New Roman" w:cs="Times New Roman"/>
                <w:color w:val="auto"/>
                <w:kern w:val="0"/>
                <w:sz w:val="20"/>
                <w:szCs w:val="20"/>
              </w:rPr>
            </w:pPr>
          </w:p>
        </w:tc>
      </w:tr>
      <w:tr w14:paraId="3A7004A4">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24431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6D39177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2451A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-0.679</w:t>
            </w:r>
          </w:p>
        </w:tc>
        <w:tc>
          <w:tcPr>
            <w:tcW w:w="1927" w:type="dxa"/>
            <w:tcBorders>
              <w:top w:val="nil"/>
              <w:left w:val="nil"/>
              <w:bottom w:val="nil"/>
              <w:right w:val="nil"/>
            </w:tcBorders>
            <w:noWrap/>
            <w:vAlign w:val="center"/>
          </w:tcPr>
          <w:p w14:paraId="7006247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-1.387</w:t>
            </w:r>
          </w:p>
        </w:tc>
        <w:tc>
          <w:tcPr>
            <w:tcW w:w="1107" w:type="dxa"/>
            <w:tcBorders>
              <w:top w:val="nil"/>
              <w:left w:val="nil"/>
              <w:bottom w:val="nil"/>
              <w:right w:val="nil"/>
            </w:tcBorders>
            <w:noWrap/>
            <w:vAlign w:val="center"/>
          </w:tcPr>
          <w:p w14:paraId="36B0DF3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0.003</w:t>
            </w:r>
          </w:p>
        </w:tc>
      </w:tr>
      <w:tr w14:paraId="70F8693C">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66EE23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16EA362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22B15C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0.158</w:t>
            </w:r>
          </w:p>
        </w:tc>
        <w:tc>
          <w:tcPr>
            <w:tcW w:w="1927" w:type="dxa"/>
            <w:tcBorders>
              <w:top w:val="nil"/>
              <w:left w:val="nil"/>
              <w:bottom w:val="nil"/>
              <w:right w:val="nil"/>
            </w:tcBorders>
            <w:noWrap/>
            <w:vAlign w:val="center"/>
          </w:tcPr>
          <w:p w14:paraId="39EE8CC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-0.178</w:t>
            </w:r>
          </w:p>
        </w:tc>
        <w:tc>
          <w:tcPr>
            <w:tcW w:w="1107" w:type="dxa"/>
            <w:tcBorders>
              <w:top w:val="nil"/>
              <w:left w:val="nil"/>
              <w:bottom w:val="nil"/>
              <w:right w:val="nil"/>
            </w:tcBorders>
            <w:noWrap/>
            <w:vAlign w:val="center"/>
          </w:tcPr>
          <w:p w14:paraId="0F9C0F0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0.503</w:t>
            </w:r>
          </w:p>
        </w:tc>
      </w:tr>
      <w:tr w14:paraId="708D8B26">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04EA14C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232B6152">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24150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0.005</w:t>
            </w:r>
          </w:p>
        </w:tc>
        <w:tc>
          <w:tcPr>
            <w:tcW w:w="1927" w:type="dxa"/>
            <w:tcBorders>
              <w:top w:val="nil"/>
              <w:left w:val="nil"/>
              <w:bottom w:val="nil"/>
              <w:right w:val="nil"/>
            </w:tcBorders>
            <w:noWrap/>
            <w:vAlign w:val="center"/>
          </w:tcPr>
          <w:p w14:paraId="2EBACDF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-0.308</w:t>
            </w:r>
          </w:p>
        </w:tc>
        <w:tc>
          <w:tcPr>
            <w:tcW w:w="1107" w:type="dxa"/>
            <w:tcBorders>
              <w:top w:val="nil"/>
              <w:left w:val="nil"/>
              <w:bottom w:val="nil"/>
              <w:right w:val="nil"/>
            </w:tcBorders>
            <w:noWrap/>
            <w:vAlign w:val="center"/>
          </w:tcPr>
          <w:p w14:paraId="4F7C59C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0.339</w:t>
            </w:r>
          </w:p>
        </w:tc>
      </w:tr>
      <w:tr w14:paraId="6C976A16">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012018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COM_1000 vs AE_750</w:t>
            </w:r>
          </w:p>
        </w:tc>
        <w:tc>
          <w:tcPr>
            <w:tcW w:w="1927" w:type="dxa"/>
            <w:tcBorders>
              <w:top w:val="nil"/>
              <w:left w:val="nil"/>
              <w:bottom w:val="nil"/>
              <w:right w:val="nil"/>
            </w:tcBorders>
            <w:noWrap/>
            <w:vAlign w:val="center"/>
          </w:tcPr>
          <w:p w14:paraId="4764752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0.503</w:t>
            </w:r>
          </w:p>
        </w:tc>
        <w:tc>
          <w:tcPr>
            <w:tcW w:w="1927" w:type="dxa"/>
            <w:tcBorders>
              <w:top w:val="nil"/>
              <w:left w:val="nil"/>
              <w:bottom w:val="nil"/>
              <w:right w:val="nil"/>
            </w:tcBorders>
            <w:noWrap/>
            <w:vAlign w:val="center"/>
          </w:tcPr>
          <w:p w14:paraId="73EFE6C2">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5749A9C">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755C2F81">
            <w:pPr>
              <w:widowControl/>
              <w:jc w:val="center"/>
              <w:rPr>
                <w:rFonts w:hint="default" w:ascii="Times New Roman" w:hAnsi="Times New Roman" w:eastAsia="Times New Roman" w:cs="Times New Roman"/>
                <w:color w:val="auto"/>
                <w:kern w:val="0"/>
                <w:sz w:val="20"/>
                <w:szCs w:val="20"/>
              </w:rPr>
            </w:pPr>
          </w:p>
        </w:tc>
      </w:tr>
      <w:tr w14:paraId="57297730">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07CDC28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7BABBA1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60EB51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0.166</w:t>
            </w:r>
          </w:p>
        </w:tc>
        <w:tc>
          <w:tcPr>
            <w:tcW w:w="1927" w:type="dxa"/>
            <w:tcBorders>
              <w:top w:val="nil"/>
              <w:left w:val="nil"/>
              <w:bottom w:val="nil"/>
              <w:right w:val="nil"/>
            </w:tcBorders>
            <w:noWrap/>
            <w:vAlign w:val="center"/>
          </w:tcPr>
          <w:p w14:paraId="7D44DCF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-1.406</w:t>
            </w:r>
          </w:p>
        </w:tc>
        <w:tc>
          <w:tcPr>
            <w:tcW w:w="1107" w:type="dxa"/>
            <w:tcBorders>
              <w:top w:val="nil"/>
              <w:left w:val="nil"/>
              <w:bottom w:val="nil"/>
              <w:right w:val="nil"/>
            </w:tcBorders>
            <w:noWrap/>
            <w:vAlign w:val="center"/>
          </w:tcPr>
          <w:p w14:paraId="55DE95E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1.688</w:t>
            </w:r>
          </w:p>
        </w:tc>
      </w:tr>
      <w:tr w14:paraId="0EC69E3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CCE561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42C9682D">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3AE6C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0.263</w:t>
            </w:r>
          </w:p>
        </w:tc>
        <w:tc>
          <w:tcPr>
            <w:tcW w:w="1927" w:type="dxa"/>
            <w:tcBorders>
              <w:top w:val="nil"/>
              <w:left w:val="nil"/>
              <w:bottom w:val="nil"/>
              <w:right w:val="nil"/>
            </w:tcBorders>
            <w:noWrap/>
            <w:vAlign w:val="center"/>
          </w:tcPr>
          <w:p w14:paraId="158A0DA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-0.219</w:t>
            </w:r>
          </w:p>
        </w:tc>
        <w:tc>
          <w:tcPr>
            <w:tcW w:w="1107" w:type="dxa"/>
            <w:tcBorders>
              <w:top w:val="nil"/>
              <w:left w:val="nil"/>
              <w:bottom w:val="nil"/>
              <w:right w:val="nil"/>
            </w:tcBorders>
            <w:noWrap/>
            <w:vAlign w:val="center"/>
          </w:tcPr>
          <w:p w14:paraId="6C3A2C6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0.736</w:t>
            </w:r>
          </w:p>
        </w:tc>
      </w:tr>
      <w:tr w14:paraId="115B8941">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4AFCD4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176363A8">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AF2DA8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0.22</w:t>
            </w:r>
          </w:p>
        </w:tc>
        <w:tc>
          <w:tcPr>
            <w:tcW w:w="1927" w:type="dxa"/>
            <w:tcBorders>
              <w:top w:val="nil"/>
              <w:left w:val="nil"/>
              <w:bottom w:val="nil"/>
              <w:right w:val="nil"/>
            </w:tcBorders>
            <w:noWrap/>
            <w:vAlign w:val="center"/>
          </w:tcPr>
          <w:p w14:paraId="31B562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-0.224</w:t>
            </w:r>
          </w:p>
        </w:tc>
        <w:tc>
          <w:tcPr>
            <w:tcW w:w="1107" w:type="dxa"/>
            <w:tcBorders>
              <w:top w:val="nil"/>
              <w:left w:val="nil"/>
              <w:bottom w:val="nil"/>
              <w:right w:val="nil"/>
            </w:tcBorders>
            <w:noWrap/>
            <w:vAlign w:val="center"/>
          </w:tcPr>
          <w:p w14:paraId="1699479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0.681</w:t>
            </w:r>
          </w:p>
        </w:tc>
      </w:tr>
      <w:tr w14:paraId="3DAD529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FAD349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RT_250 vs AE_500</w:t>
            </w:r>
          </w:p>
        </w:tc>
        <w:tc>
          <w:tcPr>
            <w:tcW w:w="1927" w:type="dxa"/>
            <w:tcBorders>
              <w:top w:val="nil"/>
              <w:left w:val="nil"/>
              <w:bottom w:val="nil"/>
              <w:right w:val="nil"/>
            </w:tcBorders>
            <w:noWrap/>
            <w:vAlign w:val="center"/>
          </w:tcPr>
          <w:p w14:paraId="32C7649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0.189</w:t>
            </w:r>
          </w:p>
        </w:tc>
        <w:tc>
          <w:tcPr>
            <w:tcW w:w="1927" w:type="dxa"/>
            <w:tcBorders>
              <w:top w:val="nil"/>
              <w:left w:val="nil"/>
              <w:bottom w:val="nil"/>
              <w:right w:val="nil"/>
            </w:tcBorders>
            <w:noWrap/>
            <w:vAlign w:val="center"/>
          </w:tcPr>
          <w:p w14:paraId="266BBA4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DD5BDBD">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5BDCB8E0">
            <w:pPr>
              <w:widowControl/>
              <w:jc w:val="center"/>
              <w:rPr>
                <w:rFonts w:hint="default" w:ascii="Times New Roman" w:hAnsi="Times New Roman" w:eastAsia="Times New Roman" w:cs="Times New Roman"/>
                <w:color w:val="auto"/>
                <w:kern w:val="0"/>
                <w:sz w:val="20"/>
                <w:szCs w:val="20"/>
              </w:rPr>
            </w:pPr>
          </w:p>
        </w:tc>
      </w:tr>
      <w:tr w14:paraId="478C2848">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D45AC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34E9B9A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583BD3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-0.612</w:t>
            </w:r>
          </w:p>
        </w:tc>
        <w:tc>
          <w:tcPr>
            <w:tcW w:w="1927" w:type="dxa"/>
            <w:tcBorders>
              <w:top w:val="nil"/>
              <w:left w:val="nil"/>
              <w:bottom w:val="nil"/>
              <w:right w:val="nil"/>
            </w:tcBorders>
            <w:noWrap/>
            <w:vAlign w:val="center"/>
          </w:tcPr>
          <w:p w14:paraId="29FFC63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-2.251</w:t>
            </w:r>
          </w:p>
        </w:tc>
        <w:tc>
          <w:tcPr>
            <w:tcW w:w="1107" w:type="dxa"/>
            <w:tcBorders>
              <w:top w:val="nil"/>
              <w:left w:val="nil"/>
              <w:bottom w:val="nil"/>
              <w:right w:val="nil"/>
            </w:tcBorders>
            <w:noWrap/>
            <w:vAlign w:val="center"/>
          </w:tcPr>
          <w:p w14:paraId="546526B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0.918</w:t>
            </w:r>
          </w:p>
        </w:tc>
      </w:tr>
      <w:tr w14:paraId="395666E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6F223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723B7691">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6E408B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0.12</w:t>
            </w:r>
          </w:p>
        </w:tc>
        <w:tc>
          <w:tcPr>
            <w:tcW w:w="1927" w:type="dxa"/>
            <w:tcBorders>
              <w:top w:val="nil"/>
              <w:left w:val="nil"/>
              <w:bottom w:val="nil"/>
              <w:right w:val="nil"/>
            </w:tcBorders>
            <w:noWrap/>
            <w:vAlign w:val="center"/>
          </w:tcPr>
          <w:p w14:paraId="3D4757B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-0.108</w:t>
            </w:r>
          </w:p>
        </w:tc>
        <w:tc>
          <w:tcPr>
            <w:tcW w:w="1107" w:type="dxa"/>
            <w:tcBorders>
              <w:top w:val="nil"/>
              <w:left w:val="nil"/>
              <w:bottom w:val="nil"/>
              <w:right w:val="nil"/>
            </w:tcBorders>
            <w:noWrap/>
            <w:vAlign w:val="center"/>
          </w:tcPr>
          <w:p w14:paraId="74FD6D4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0.342</w:t>
            </w:r>
          </w:p>
        </w:tc>
      </w:tr>
      <w:tr w14:paraId="0E65494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2B5AC2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4E9AACB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EE099B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0.111</w:t>
            </w:r>
          </w:p>
        </w:tc>
        <w:tc>
          <w:tcPr>
            <w:tcW w:w="1927" w:type="dxa"/>
            <w:tcBorders>
              <w:top w:val="nil"/>
              <w:left w:val="nil"/>
              <w:bottom w:val="nil"/>
              <w:right w:val="nil"/>
            </w:tcBorders>
            <w:noWrap/>
            <w:vAlign w:val="center"/>
          </w:tcPr>
          <w:p w14:paraId="29759B8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-0.114</w:t>
            </w:r>
          </w:p>
        </w:tc>
        <w:tc>
          <w:tcPr>
            <w:tcW w:w="1107" w:type="dxa"/>
            <w:tcBorders>
              <w:top w:val="nil"/>
              <w:left w:val="nil"/>
              <w:bottom w:val="nil"/>
              <w:right w:val="nil"/>
            </w:tcBorders>
            <w:noWrap/>
            <w:vAlign w:val="center"/>
          </w:tcPr>
          <w:p w14:paraId="1FDD78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0.337</w:t>
            </w:r>
          </w:p>
        </w:tc>
      </w:tr>
      <w:tr w14:paraId="22E8FD0B">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EB9F7A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HIIT_750 vs AE_500</w:t>
            </w:r>
          </w:p>
        </w:tc>
        <w:tc>
          <w:tcPr>
            <w:tcW w:w="1927" w:type="dxa"/>
            <w:tcBorders>
              <w:top w:val="nil"/>
              <w:left w:val="nil"/>
              <w:bottom w:val="nil"/>
              <w:right w:val="nil"/>
            </w:tcBorders>
            <w:noWrap/>
            <w:vAlign w:val="center"/>
          </w:tcPr>
          <w:p w14:paraId="1F5E6BA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0.27</w:t>
            </w:r>
          </w:p>
        </w:tc>
        <w:tc>
          <w:tcPr>
            <w:tcW w:w="1927" w:type="dxa"/>
            <w:tcBorders>
              <w:top w:val="nil"/>
              <w:left w:val="nil"/>
              <w:bottom w:val="nil"/>
              <w:right w:val="nil"/>
            </w:tcBorders>
            <w:noWrap/>
            <w:vAlign w:val="center"/>
          </w:tcPr>
          <w:p w14:paraId="0453CE8B">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E274FD0">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652DA392">
            <w:pPr>
              <w:widowControl/>
              <w:jc w:val="center"/>
              <w:rPr>
                <w:rFonts w:hint="default" w:ascii="Times New Roman" w:hAnsi="Times New Roman" w:eastAsia="Times New Roman" w:cs="Times New Roman"/>
                <w:color w:val="auto"/>
                <w:kern w:val="0"/>
                <w:sz w:val="20"/>
                <w:szCs w:val="20"/>
              </w:rPr>
            </w:pPr>
          </w:p>
        </w:tc>
      </w:tr>
      <w:tr w14:paraId="72124E4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F4063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4428353E">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58F6B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0.387</w:t>
            </w:r>
          </w:p>
        </w:tc>
        <w:tc>
          <w:tcPr>
            <w:tcW w:w="1927" w:type="dxa"/>
            <w:tcBorders>
              <w:top w:val="nil"/>
              <w:left w:val="nil"/>
              <w:bottom w:val="nil"/>
              <w:right w:val="nil"/>
            </w:tcBorders>
            <w:noWrap/>
            <w:vAlign w:val="center"/>
          </w:tcPr>
          <w:p w14:paraId="7A10A85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-1.064</w:t>
            </w:r>
          </w:p>
        </w:tc>
        <w:tc>
          <w:tcPr>
            <w:tcW w:w="1107" w:type="dxa"/>
            <w:tcBorders>
              <w:top w:val="nil"/>
              <w:left w:val="nil"/>
              <w:bottom w:val="nil"/>
              <w:right w:val="nil"/>
            </w:tcBorders>
            <w:noWrap/>
            <w:vAlign w:val="center"/>
          </w:tcPr>
          <w:p w14:paraId="6C180F5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1.831</w:t>
            </w:r>
          </w:p>
        </w:tc>
      </w:tr>
      <w:tr w14:paraId="6625329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352F9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6134C4A4">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068A45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-0.503</w:t>
            </w:r>
          </w:p>
        </w:tc>
        <w:tc>
          <w:tcPr>
            <w:tcW w:w="1927" w:type="dxa"/>
            <w:tcBorders>
              <w:top w:val="nil"/>
              <w:left w:val="nil"/>
              <w:bottom w:val="nil"/>
              <w:right w:val="nil"/>
            </w:tcBorders>
            <w:noWrap/>
            <w:vAlign w:val="center"/>
          </w:tcPr>
          <w:p w14:paraId="0975728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-0.934</w:t>
            </w:r>
          </w:p>
        </w:tc>
        <w:tc>
          <w:tcPr>
            <w:tcW w:w="1107" w:type="dxa"/>
            <w:tcBorders>
              <w:top w:val="nil"/>
              <w:left w:val="nil"/>
              <w:bottom w:val="nil"/>
              <w:right w:val="nil"/>
            </w:tcBorders>
            <w:noWrap/>
            <w:vAlign w:val="center"/>
          </w:tcPr>
          <w:p w14:paraId="79B66A9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-0.06</w:t>
            </w:r>
          </w:p>
        </w:tc>
      </w:tr>
      <w:tr w14:paraId="52C8175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C12F3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3E150A4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8386B9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-0.418</w:t>
            </w:r>
          </w:p>
        </w:tc>
        <w:tc>
          <w:tcPr>
            <w:tcW w:w="1927" w:type="dxa"/>
            <w:tcBorders>
              <w:top w:val="nil"/>
              <w:left w:val="nil"/>
              <w:bottom w:val="nil"/>
              <w:right w:val="nil"/>
            </w:tcBorders>
            <w:noWrap/>
            <w:vAlign w:val="center"/>
          </w:tcPr>
          <w:p w14:paraId="378518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-0.833</w:t>
            </w:r>
          </w:p>
        </w:tc>
        <w:tc>
          <w:tcPr>
            <w:tcW w:w="1107" w:type="dxa"/>
            <w:tcBorders>
              <w:top w:val="nil"/>
              <w:left w:val="nil"/>
              <w:bottom w:val="nil"/>
              <w:right w:val="nil"/>
            </w:tcBorders>
            <w:noWrap/>
            <w:vAlign w:val="center"/>
          </w:tcPr>
          <w:p w14:paraId="08056A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-0.004</w:t>
            </w:r>
          </w:p>
        </w:tc>
      </w:tr>
      <w:tr w14:paraId="745FE0D7">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135601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HIIT_250 vs AE_500</w:t>
            </w:r>
          </w:p>
        </w:tc>
        <w:tc>
          <w:tcPr>
            <w:tcW w:w="1927" w:type="dxa"/>
            <w:tcBorders>
              <w:top w:val="nil"/>
              <w:left w:val="nil"/>
              <w:bottom w:val="nil"/>
              <w:right w:val="nil"/>
            </w:tcBorders>
            <w:noWrap/>
            <w:vAlign w:val="center"/>
          </w:tcPr>
          <w:p w14:paraId="57B5391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0.166</w:t>
            </w:r>
          </w:p>
        </w:tc>
        <w:tc>
          <w:tcPr>
            <w:tcW w:w="1927" w:type="dxa"/>
            <w:tcBorders>
              <w:top w:val="nil"/>
              <w:left w:val="nil"/>
              <w:bottom w:val="nil"/>
              <w:right w:val="nil"/>
            </w:tcBorders>
            <w:noWrap/>
            <w:vAlign w:val="center"/>
          </w:tcPr>
          <w:p w14:paraId="5E5CDBAF">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B64B3B9">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514F904E">
            <w:pPr>
              <w:widowControl/>
              <w:jc w:val="center"/>
              <w:rPr>
                <w:rFonts w:hint="default" w:ascii="Times New Roman" w:hAnsi="Times New Roman" w:eastAsia="Times New Roman" w:cs="Times New Roman"/>
                <w:color w:val="auto"/>
                <w:kern w:val="0"/>
                <w:sz w:val="20"/>
                <w:szCs w:val="20"/>
              </w:rPr>
            </w:pPr>
          </w:p>
        </w:tc>
      </w:tr>
      <w:tr w14:paraId="4D395F8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1D4196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7837E38C">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321686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-0.61</w:t>
            </w:r>
          </w:p>
        </w:tc>
        <w:tc>
          <w:tcPr>
            <w:tcW w:w="1927" w:type="dxa"/>
            <w:tcBorders>
              <w:top w:val="nil"/>
              <w:left w:val="nil"/>
              <w:bottom w:val="nil"/>
              <w:right w:val="nil"/>
            </w:tcBorders>
            <w:noWrap/>
            <w:vAlign w:val="center"/>
          </w:tcPr>
          <w:p w14:paraId="03AED25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-1.764</w:t>
            </w:r>
          </w:p>
        </w:tc>
        <w:tc>
          <w:tcPr>
            <w:tcW w:w="1107" w:type="dxa"/>
            <w:tcBorders>
              <w:top w:val="nil"/>
              <w:left w:val="nil"/>
              <w:bottom w:val="nil"/>
              <w:right w:val="nil"/>
            </w:tcBorders>
            <w:noWrap/>
            <w:vAlign w:val="center"/>
          </w:tcPr>
          <w:p w14:paraId="64C74F4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0.547</w:t>
            </w:r>
          </w:p>
        </w:tc>
      </w:tr>
      <w:tr w14:paraId="02D448C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D12F79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4BB045A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46BDDB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0.105</w:t>
            </w:r>
          </w:p>
        </w:tc>
        <w:tc>
          <w:tcPr>
            <w:tcW w:w="1927" w:type="dxa"/>
            <w:tcBorders>
              <w:top w:val="nil"/>
              <w:left w:val="nil"/>
              <w:bottom w:val="nil"/>
              <w:right w:val="nil"/>
            </w:tcBorders>
            <w:noWrap/>
            <w:vAlign w:val="center"/>
          </w:tcPr>
          <w:p w14:paraId="7924D5F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-0.078</w:t>
            </w:r>
          </w:p>
        </w:tc>
        <w:tc>
          <w:tcPr>
            <w:tcW w:w="1107" w:type="dxa"/>
            <w:tcBorders>
              <w:top w:val="nil"/>
              <w:left w:val="nil"/>
              <w:bottom w:val="nil"/>
              <w:right w:val="nil"/>
            </w:tcBorders>
            <w:noWrap/>
            <w:vAlign w:val="center"/>
          </w:tcPr>
          <w:p w14:paraId="15308E6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0.28</w:t>
            </w:r>
          </w:p>
        </w:tc>
      </w:tr>
      <w:tr w14:paraId="13D87D6B">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4F8028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5986F7C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9DB5C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0.088</w:t>
            </w:r>
          </w:p>
        </w:tc>
        <w:tc>
          <w:tcPr>
            <w:tcW w:w="1927" w:type="dxa"/>
            <w:tcBorders>
              <w:top w:val="nil"/>
              <w:left w:val="nil"/>
              <w:bottom w:val="nil"/>
              <w:right w:val="nil"/>
            </w:tcBorders>
            <w:noWrap/>
            <w:vAlign w:val="center"/>
          </w:tcPr>
          <w:p w14:paraId="5F74216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-0.09</w:t>
            </w:r>
          </w:p>
        </w:tc>
        <w:tc>
          <w:tcPr>
            <w:tcW w:w="1107" w:type="dxa"/>
            <w:tcBorders>
              <w:top w:val="nil"/>
              <w:left w:val="nil"/>
              <w:bottom w:val="nil"/>
              <w:right w:val="nil"/>
            </w:tcBorders>
            <w:noWrap/>
            <w:vAlign w:val="center"/>
          </w:tcPr>
          <w:p w14:paraId="053315D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0.28</w:t>
            </w:r>
          </w:p>
        </w:tc>
      </w:tr>
      <w:tr w14:paraId="33F4044C">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35035D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RT_500 vs AE_250</w:t>
            </w:r>
          </w:p>
        </w:tc>
        <w:tc>
          <w:tcPr>
            <w:tcW w:w="1927" w:type="dxa"/>
            <w:tcBorders>
              <w:top w:val="nil"/>
              <w:left w:val="nil"/>
              <w:bottom w:val="nil"/>
              <w:right w:val="nil"/>
            </w:tcBorders>
            <w:noWrap/>
            <w:vAlign w:val="center"/>
          </w:tcPr>
          <w:p w14:paraId="672DFC8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0.298</w:t>
            </w:r>
          </w:p>
        </w:tc>
        <w:tc>
          <w:tcPr>
            <w:tcW w:w="1927" w:type="dxa"/>
            <w:tcBorders>
              <w:top w:val="nil"/>
              <w:left w:val="nil"/>
              <w:bottom w:val="nil"/>
              <w:right w:val="nil"/>
            </w:tcBorders>
            <w:noWrap/>
            <w:vAlign w:val="center"/>
          </w:tcPr>
          <w:p w14:paraId="6A3E94D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7DE12AAF">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422F8452">
            <w:pPr>
              <w:widowControl/>
              <w:jc w:val="center"/>
              <w:rPr>
                <w:rFonts w:hint="default" w:ascii="Times New Roman" w:hAnsi="Times New Roman" w:eastAsia="Times New Roman" w:cs="Times New Roman"/>
                <w:color w:val="auto"/>
                <w:kern w:val="0"/>
                <w:sz w:val="20"/>
                <w:szCs w:val="20"/>
              </w:rPr>
            </w:pPr>
          </w:p>
        </w:tc>
      </w:tr>
      <w:tr w14:paraId="7624530C">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355AE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79153F7D">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F31A5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0.36</w:t>
            </w:r>
          </w:p>
        </w:tc>
        <w:tc>
          <w:tcPr>
            <w:tcW w:w="1927" w:type="dxa"/>
            <w:tcBorders>
              <w:top w:val="nil"/>
              <w:left w:val="nil"/>
              <w:bottom w:val="nil"/>
              <w:right w:val="nil"/>
            </w:tcBorders>
            <w:noWrap/>
            <w:vAlign w:val="center"/>
          </w:tcPr>
          <w:p w14:paraId="6EA4531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-1.139</w:t>
            </w:r>
          </w:p>
        </w:tc>
        <w:tc>
          <w:tcPr>
            <w:tcW w:w="1107" w:type="dxa"/>
            <w:tcBorders>
              <w:top w:val="nil"/>
              <w:left w:val="nil"/>
              <w:bottom w:val="nil"/>
              <w:right w:val="nil"/>
            </w:tcBorders>
            <w:noWrap/>
            <w:vAlign w:val="center"/>
          </w:tcPr>
          <w:p w14:paraId="311462F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1.818</w:t>
            </w:r>
          </w:p>
        </w:tc>
      </w:tr>
      <w:tr w14:paraId="2E4BA93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A92E6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20A56383">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3E749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-0.357</w:t>
            </w:r>
          </w:p>
        </w:tc>
        <w:tc>
          <w:tcPr>
            <w:tcW w:w="1927" w:type="dxa"/>
            <w:tcBorders>
              <w:top w:val="nil"/>
              <w:left w:val="nil"/>
              <w:bottom w:val="nil"/>
              <w:right w:val="nil"/>
            </w:tcBorders>
            <w:noWrap/>
            <w:vAlign w:val="center"/>
          </w:tcPr>
          <w:p w14:paraId="5AFF1E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-0.753</w:t>
            </w:r>
          </w:p>
        </w:tc>
        <w:tc>
          <w:tcPr>
            <w:tcW w:w="1107" w:type="dxa"/>
            <w:tcBorders>
              <w:top w:val="nil"/>
              <w:left w:val="nil"/>
              <w:bottom w:val="nil"/>
              <w:right w:val="nil"/>
            </w:tcBorders>
            <w:noWrap/>
            <w:vAlign w:val="center"/>
          </w:tcPr>
          <w:p w14:paraId="08332CD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0.027</w:t>
            </w:r>
          </w:p>
        </w:tc>
      </w:tr>
      <w:tr w14:paraId="665E354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7A87C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05B93CD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E5F80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-0.294</w:t>
            </w:r>
          </w:p>
        </w:tc>
        <w:tc>
          <w:tcPr>
            <w:tcW w:w="1927" w:type="dxa"/>
            <w:tcBorders>
              <w:top w:val="nil"/>
              <w:left w:val="nil"/>
              <w:bottom w:val="nil"/>
              <w:right w:val="nil"/>
            </w:tcBorders>
            <w:noWrap/>
            <w:vAlign w:val="center"/>
          </w:tcPr>
          <w:p w14:paraId="20DD5F5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-0.672</w:t>
            </w:r>
          </w:p>
        </w:tc>
        <w:tc>
          <w:tcPr>
            <w:tcW w:w="1107" w:type="dxa"/>
            <w:tcBorders>
              <w:top w:val="nil"/>
              <w:left w:val="nil"/>
              <w:bottom w:val="nil"/>
              <w:right w:val="nil"/>
            </w:tcBorders>
            <w:noWrap/>
            <w:vAlign w:val="center"/>
          </w:tcPr>
          <w:p w14:paraId="679F53C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0.089</w:t>
            </w:r>
          </w:p>
        </w:tc>
      </w:tr>
      <w:tr w14:paraId="5FEE64B0">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72F279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RT_1000 vs Placebo_0</w:t>
            </w:r>
          </w:p>
        </w:tc>
        <w:tc>
          <w:tcPr>
            <w:tcW w:w="1927" w:type="dxa"/>
            <w:tcBorders>
              <w:top w:val="nil"/>
              <w:left w:val="nil"/>
              <w:bottom w:val="nil"/>
              <w:right w:val="nil"/>
            </w:tcBorders>
            <w:noWrap/>
            <w:vAlign w:val="center"/>
          </w:tcPr>
          <w:p w14:paraId="770F495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0.622</w:t>
            </w:r>
          </w:p>
        </w:tc>
        <w:tc>
          <w:tcPr>
            <w:tcW w:w="1927" w:type="dxa"/>
            <w:tcBorders>
              <w:top w:val="nil"/>
              <w:left w:val="nil"/>
              <w:bottom w:val="nil"/>
              <w:right w:val="nil"/>
            </w:tcBorders>
            <w:noWrap/>
            <w:vAlign w:val="center"/>
          </w:tcPr>
          <w:p w14:paraId="207D54E4">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32E70FE">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7B182A9">
            <w:pPr>
              <w:widowControl/>
              <w:jc w:val="center"/>
              <w:rPr>
                <w:rFonts w:hint="default" w:ascii="Times New Roman" w:hAnsi="Times New Roman" w:eastAsia="Times New Roman" w:cs="Times New Roman"/>
                <w:color w:val="auto"/>
                <w:kern w:val="0"/>
                <w:sz w:val="20"/>
                <w:szCs w:val="20"/>
              </w:rPr>
            </w:pPr>
          </w:p>
        </w:tc>
      </w:tr>
      <w:tr w14:paraId="2A08942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79995D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3A174F0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B3E755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-1.311</w:t>
            </w:r>
          </w:p>
        </w:tc>
        <w:tc>
          <w:tcPr>
            <w:tcW w:w="1927" w:type="dxa"/>
            <w:tcBorders>
              <w:top w:val="nil"/>
              <w:left w:val="nil"/>
              <w:bottom w:val="nil"/>
              <w:right w:val="nil"/>
            </w:tcBorders>
            <w:noWrap/>
            <w:vAlign w:val="center"/>
          </w:tcPr>
          <w:p w14:paraId="16274E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-2.77</w:t>
            </w:r>
          </w:p>
        </w:tc>
        <w:tc>
          <w:tcPr>
            <w:tcW w:w="1107" w:type="dxa"/>
            <w:tcBorders>
              <w:top w:val="nil"/>
              <w:left w:val="nil"/>
              <w:bottom w:val="nil"/>
              <w:right w:val="nil"/>
            </w:tcBorders>
            <w:noWrap/>
            <w:vAlign w:val="center"/>
          </w:tcPr>
          <w:p w14:paraId="7CF6FB0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0.271</w:t>
            </w:r>
          </w:p>
        </w:tc>
      </w:tr>
      <w:tr w14:paraId="11F97A3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627A1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596BEB2A">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C299C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-0.833</w:t>
            </w:r>
          </w:p>
        </w:tc>
        <w:tc>
          <w:tcPr>
            <w:tcW w:w="1927" w:type="dxa"/>
            <w:tcBorders>
              <w:top w:val="nil"/>
              <w:left w:val="nil"/>
              <w:bottom w:val="nil"/>
              <w:right w:val="nil"/>
            </w:tcBorders>
            <w:noWrap/>
            <w:vAlign w:val="center"/>
          </w:tcPr>
          <w:p w14:paraId="03669A9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-1.706</w:t>
            </w:r>
          </w:p>
        </w:tc>
        <w:tc>
          <w:tcPr>
            <w:tcW w:w="1107" w:type="dxa"/>
            <w:tcBorders>
              <w:top w:val="nil"/>
              <w:left w:val="nil"/>
              <w:bottom w:val="nil"/>
              <w:right w:val="nil"/>
            </w:tcBorders>
            <w:noWrap/>
            <w:vAlign w:val="center"/>
          </w:tcPr>
          <w:p w14:paraId="124591D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0.019</w:t>
            </w:r>
          </w:p>
        </w:tc>
      </w:tr>
      <w:tr w14:paraId="0F91CF9C">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AD178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4104CFA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709EF10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-0.934</w:t>
            </w:r>
          </w:p>
        </w:tc>
        <w:tc>
          <w:tcPr>
            <w:tcW w:w="1927" w:type="dxa"/>
            <w:tcBorders>
              <w:top w:val="nil"/>
              <w:left w:val="nil"/>
              <w:bottom w:val="nil"/>
              <w:right w:val="nil"/>
            </w:tcBorders>
            <w:noWrap/>
            <w:vAlign w:val="center"/>
          </w:tcPr>
          <w:p w14:paraId="1C91EF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-1.705</w:t>
            </w:r>
          </w:p>
        </w:tc>
        <w:tc>
          <w:tcPr>
            <w:tcW w:w="1107" w:type="dxa"/>
            <w:tcBorders>
              <w:top w:val="nil"/>
              <w:left w:val="nil"/>
              <w:bottom w:val="nil"/>
              <w:right w:val="nil"/>
            </w:tcBorders>
            <w:noWrap/>
            <w:vAlign w:val="center"/>
          </w:tcPr>
          <w:p w14:paraId="2599926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-0.157</w:t>
            </w:r>
          </w:p>
        </w:tc>
      </w:tr>
      <w:tr w14:paraId="30A1FA6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7D65FD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RT_750 vs Placebo_0</w:t>
            </w:r>
          </w:p>
        </w:tc>
        <w:tc>
          <w:tcPr>
            <w:tcW w:w="1927" w:type="dxa"/>
            <w:tcBorders>
              <w:top w:val="nil"/>
              <w:left w:val="nil"/>
              <w:bottom w:val="nil"/>
              <w:right w:val="nil"/>
            </w:tcBorders>
            <w:noWrap/>
            <w:vAlign w:val="center"/>
          </w:tcPr>
          <w:p w14:paraId="2628E3C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0.445</w:t>
            </w:r>
          </w:p>
        </w:tc>
        <w:tc>
          <w:tcPr>
            <w:tcW w:w="1927" w:type="dxa"/>
            <w:tcBorders>
              <w:top w:val="nil"/>
              <w:left w:val="nil"/>
              <w:bottom w:val="nil"/>
              <w:right w:val="nil"/>
            </w:tcBorders>
            <w:noWrap/>
            <w:vAlign w:val="center"/>
          </w:tcPr>
          <w:p w14:paraId="09B7F7A2">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71A3B241">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FFA4E7E">
            <w:pPr>
              <w:widowControl/>
              <w:jc w:val="center"/>
              <w:rPr>
                <w:rFonts w:hint="default" w:ascii="Times New Roman" w:hAnsi="Times New Roman" w:eastAsia="Times New Roman" w:cs="Times New Roman"/>
                <w:color w:val="auto"/>
                <w:kern w:val="0"/>
                <w:sz w:val="20"/>
                <w:szCs w:val="20"/>
              </w:rPr>
            </w:pPr>
          </w:p>
        </w:tc>
      </w:tr>
      <w:tr w14:paraId="5166A0B2">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10F6DC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57F4100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9181CC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-0.194</w:t>
            </w:r>
          </w:p>
        </w:tc>
        <w:tc>
          <w:tcPr>
            <w:tcW w:w="1927" w:type="dxa"/>
            <w:tcBorders>
              <w:top w:val="nil"/>
              <w:left w:val="nil"/>
              <w:bottom w:val="nil"/>
              <w:right w:val="nil"/>
            </w:tcBorders>
            <w:noWrap/>
            <w:vAlign w:val="center"/>
          </w:tcPr>
          <w:p w14:paraId="3D160E7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-1.364</w:t>
            </w:r>
          </w:p>
        </w:tc>
        <w:tc>
          <w:tcPr>
            <w:tcW w:w="1107" w:type="dxa"/>
            <w:tcBorders>
              <w:top w:val="nil"/>
              <w:left w:val="nil"/>
              <w:bottom w:val="nil"/>
              <w:right w:val="nil"/>
            </w:tcBorders>
            <w:noWrap/>
            <w:vAlign w:val="center"/>
          </w:tcPr>
          <w:p w14:paraId="12368A5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0.976</w:t>
            </w:r>
          </w:p>
        </w:tc>
      </w:tr>
      <w:tr w14:paraId="5F63706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92FAC1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64EB0AD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280B8AF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-0.866</w:t>
            </w:r>
          </w:p>
        </w:tc>
        <w:tc>
          <w:tcPr>
            <w:tcW w:w="1927" w:type="dxa"/>
            <w:tcBorders>
              <w:top w:val="nil"/>
              <w:left w:val="nil"/>
              <w:bottom w:val="nil"/>
              <w:right w:val="nil"/>
            </w:tcBorders>
            <w:noWrap/>
            <w:vAlign w:val="center"/>
          </w:tcPr>
          <w:p w14:paraId="5DDEC35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-1.539</w:t>
            </w:r>
          </w:p>
        </w:tc>
        <w:tc>
          <w:tcPr>
            <w:tcW w:w="1107" w:type="dxa"/>
            <w:tcBorders>
              <w:top w:val="nil"/>
              <w:left w:val="nil"/>
              <w:bottom w:val="nil"/>
              <w:right w:val="nil"/>
            </w:tcBorders>
            <w:noWrap/>
            <w:vAlign w:val="center"/>
          </w:tcPr>
          <w:p w14:paraId="45F83DB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-0.211</w:t>
            </w:r>
          </w:p>
        </w:tc>
      </w:tr>
      <w:tr w14:paraId="22EFD9AA">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04DC66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16524E3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6E8FA6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-0.701</w:t>
            </w:r>
          </w:p>
        </w:tc>
        <w:tc>
          <w:tcPr>
            <w:tcW w:w="1927" w:type="dxa"/>
            <w:tcBorders>
              <w:top w:val="nil"/>
              <w:left w:val="nil"/>
              <w:bottom w:val="nil"/>
              <w:right w:val="nil"/>
            </w:tcBorders>
            <w:noWrap/>
            <w:vAlign w:val="center"/>
          </w:tcPr>
          <w:p w14:paraId="17EF215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-1.278</w:t>
            </w:r>
          </w:p>
        </w:tc>
        <w:tc>
          <w:tcPr>
            <w:tcW w:w="1107" w:type="dxa"/>
            <w:tcBorders>
              <w:top w:val="nil"/>
              <w:left w:val="nil"/>
              <w:bottom w:val="nil"/>
              <w:right w:val="nil"/>
            </w:tcBorders>
            <w:noWrap/>
            <w:vAlign w:val="center"/>
          </w:tcPr>
          <w:p w14:paraId="4BDE1C4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-0.118</w:t>
            </w:r>
          </w:p>
        </w:tc>
      </w:tr>
      <w:tr w14:paraId="372D5C1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667E0A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HIIT_1000 vs Placebo_0</w:t>
            </w:r>
          </w:p>
        </w:tc>
        <w:tc>
          <w:tcPr>
            <w:tcW w:w="1927" w:type="dxa"/>
            <w:tcBorders>
              <w:top w:val="nil"/>
              <w:left w:val="nil"/>
              <w:bottom w:val="nil"/>
              <w:right w:val="nil"/>
            </w:tcBorders>
            <w:noWrap/>
            <w:vAlign w:val="center"/>
          </w:tcPr>
          <w:p w14:paraId="0C6A7A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0.582</w:t>
            </w:r>
          </w:p>
        </w:tc>
        <w:tc>
          <w:tcPr>
            <w:tcW w:w="1927" w:type="dxa"/>
            <w:tcBorders>
              <w:top w:val="nil"/>
              <w:left w:val="nil"/>
              <w:bottom w:val="nil"/>
              <w:right w:val="nil"/>
            </w:tcBorders>
            <w:noWrap/>
            <w:vAlign w:val="center"/>
          </w:tcPr>
          <w:p w14:paraId="6BFCEDBC">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61393D7B">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6BF87F02">
            <w:pPr>
              <w:widowControl/>
              <w:jc w:val="center"/>
              <w:rPr>
                <w:rFonts w:hint="default" w:ascii="Times New Roman" w:hAnsi="Times New Roman" w:eastAsia="Times New Roman" w:cs="Times New Roman"/>
                <w:color w:val="auto"/>
                <w:kern w:val="0"/>
                <w:sz w:val="20"/>
                <w:szCs w:val="20"/>
              </w:rPr>
            </w:pPr>
          </w:p>
        </w:tc>
      </w:tr>
      <w:tr w14:paraId="712BF35E">
        <w:trPr>
          <w:trHeight w:val="275" w:hRule="atLeast"/>
          <w:jc w:val="center"/>
        </w:trPr>
        <w:tc>
          <w:tcPr>
            <w:tcW w:w="3444" w:type="dxa"/>
            <w:tcBorders>
              <w:top w:val="nil"/>
              <w:left w:val="nil"/>
              <w:bottom w:val="nil"/>
              <w:right w:val="nil"/>
            </w:tcBorders>
            <w:noWrap/>
            <w:vAlign w:val="center"/>
          </w:tcPr>
          <w:p w14:paraId="6232118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35D8477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53A294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-0.691</w:t>
            </w:r>
          </w:p>
        </w:tc>
        <w:tc>
          <w:tcPr>
            <w:tcW w:w="1927" w:type="dxa"/>
            <w:tcBorders>
              <w:top w:val="nil"/>
              <w:left w:val="nil"/>
              <w:bottom w:val="nil"/>
              <w:right w:val="nil"/>
            </w:tcBorders>
            <w:noWrap/>
            <w:vAlign w:val="center"/>
          </w:tcPr>
          <w:p w14:paraId="634F219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-1.772</w:t>
            </w:r>
          </w:p>
        </w:tc>
        <w:tc>
          <w:tcPr>
            <w:tcW w:w="1107" w:type="dxa"/>
            <w:tcBorders>
              <w:top w:val="nil"/>
              <w:left w:val="nil"/>
              <w:bottom w:val="nil"/>
              <w:right w:val="nil"/>
            </w:tcBorders>
            <w:noWrap/>
            <w:vAlign w:val="center"/>
          </w:tcPr>
          <w:p w14:paraId="6DC9C8D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0.442</w:t>
            </w:r>
          </w:p>
        </w:tc>
      </w:tr>
      <w:tr w14:paraId="1A4AF428">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E244DC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11C83258">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84021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-1.128</w:t>
            </w:r>
          </w:p>
        </w:tc>
        <w:tc>
          <w:tcPr>
            <w:tcW w:w="1927" w:type="dxa"/>
            <w:tcBorders>
              <w:top w:val="nil"/>
              <w:left w:val="nil"/>
              <w:bottom w:val="nil"/>
              <w:right w:val="nil"/>
            </w:tcBorders>
            <w:noWrap/>
            <w:vAlign w:val="center"/>
          </w:tcPr>
          <w:p w14:paraId="5F449E1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-1.746</w:t>
            </w:r>
          </w:p>
        </w:tc>
        <w:tc>
          <w:tcPr>
            <w:tcW w:w="1107" w:type="dxa"/>
            <w:tcBorders>
              <w:top w:val="nil"/>
              <w:left w:val="nil"/>
              <w:bottom w:val="nil"/>
              <w:right w:val="nil"/>
            </w:tcBorders>
            <w:noWrap/>
            <w:vAlign w:val="center"/>
          </w:tcPr>
          <w:p w14:paraId="66710E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-0.492</w:t>
            </w:r>
          </w:p>
        </w:tc>
      </w:tr>
      <w:tr w14:paraId="5F95A65F">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88568D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4112DBF0">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0B8C610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-1.016</w:t>
            </w:r>
          </w:p>
        </w:tc>
        <w:tc>
          <w:tcPr>
            <w:tcW w:w="1927" w:type="dxa"/>
            <w:tcBorders>
              <w:top w:val="nil"/>
              <w:left w:val="nil"/>
              <w:bottom w:val="nil"/>
              <w:right w:val="nil"/>
            </w:tcBorders>
            <w:noWrap/>
            <w:vAlign w:val="center"/>
          </w:tcPr>
          <w:p w14:paraId="23721C8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-1.567</w:t>
            </w:r>
          </w:p>
        </w:tc>
        <w:tc>
          <w:tcPr>
            <w:tcW w:w="1107" w:type="dxa"/>
            <w:tcBorders>
              <w:top w:val="nil"/>
              <w:left w:val="nil"/>
              <w:bottom w:val="nil"/>
              <w:right w:val="nil"/>
            </w:tcBorders>
            <w:noWrap/>
            <w:vAlign w:val="center"/>
          </w:tcPr>
          <w:p w14:paraId="6BBD7DF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-0.473</w:t>
            </w:r>
          </w:p>
        </w:tc>
      </w:tr>
      <w:tr w14:paraId="79CA10A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0B1C754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COM_500 vs Placebo_0</w:t>
            </w:r>
          </w:p>
        </w:tc>
        <w:tc>
          <w:tcPr>
            <w:tcW w:w="1927" w:type="dxa"/>
            <w:tcBorders>
              <w:top w:val="nil"/>
              <w:left w:val="nil"/>
              <w:bottom w:val="nil"/>
              <w:right w:val="nil"/>
            </w:tcBorders>
            <w:noWrap/>
            <w:vAlign w:val="center"/>
          </w:tcPr>
          <w:p w14:paraId="5DCC45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0.009</w:t>
            </w:r>
          </w:p>
        </w:tc>
        <w:tc>
          <w:tcPr>
            <w:tcW w:w="1927" w:type="dxa"/>
            <w:tcBorders>
              <w:top w:val="nil"/>
              <w:left w:val="nil"/>
              <w:bottom w:val="nil"/>
              <w:right w:val="nil"/>
            </w:tcBorders>
            <w:noWrap/>
            <w:vAlign w:val="center"/>
          </w:tcPr>
          <w:p w14:paraId="008544D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3AE4F30">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1209392">
            <w:pPr>
              <w:widowControl/>
              <w:jc w:val="center"/>
              <w:rPr>
                <w:rFonts w:hint="default" w:ascii="Times New Roman" w:hAnsi="Times New Roman" w:eastAsia="Times New Roman" w:cs="Times New Roman"/>
                <w:color w:val="auto"/>
                <w:kern w:val="0"/>
                <w:sz w:val="20"/>
                <w:szCs w:val="20"/>
              </w:rPr>
            </w:pPr>
          </w:p>
        </w:tc>
      </w:tr>
      <w:tr w14:paraId="66FB0DFE">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57EED41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004B55BE">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6525164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-1.924</w:t>
            </w:r>
          </w:p>
        </w:tc>
        <w:tc>
          <w:tcPr>
            <w:tcW w:w="1927" w:type="dxa"/>
            <w:tcBorders>
              <w:top w:val="nil"/>
              <w:left w:val="nil"/>
              <w:bottom w:val="nil"/>
              <w:right w:val="nil"/>
            </w:tcBorders>
            <w:noWrap/>
            <w:vAlign w:val="center"/>
          </w:tcPr>
          <w:p w14:paraId="5AD40A0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-2.891</w:t>
            </w:r>
          </w:p>
        </w:tc>
        <w:tc>
          <w:tcPr>
            <w:tcW w:w="1107" w:type="dxa"/>
            <w:tcBorders>
              <w:top w:val="nil"/>
              <w:left w:val="nil"/>
              <w:bottom w:val="nil"/>
              <w:right w:val="nil"/>
            </w:tcBorders>
            <w:noWrap/>
            <w:vAlign w:val="center"/>
          </w:tcPr>
          <w:p w14:paraId="139219F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-0.874</w:t>
            </w:r>
          </w:p>
        </w:tc>
      </w:tr>
      <w:tr w14:paraId="517CE4F7">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4854AD6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738C2F7D">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6406B2A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-0.311</w:t>
            </w:r>
          </w:p>
        </w:tc>
        <w:tc>
          <w:tcPr>
            <w:tcW w:w="1927" w:type="dxa"/>
            <w:tcBorders>
              <w:top w:val="nil"/>
              <w:left w:val="nil"/>
              <w:bottom w:val="nil"/>
              <w:right w:val="nil"/>
            </w:tcBorders>
            <w:noWrap/>
            <w:vAlign w:val="center"/>
          </w:tcPr>
          <w:p w14:paraId="7000FF1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-0.511</w:t>
            </w:r>
          </w:p>
        </w:tc>
        <w:tc>
          <w:tcPr>
            <w:tcW w:w="1107" w:type="dxa"/>
            <w:tcBorders>
              <w:top w:val="nil"/>
              <w:left w:val="nil"/>
              <w:bottom w:val="nil"/>
              <w:right w:val="nil"/>
            </w:tcBorders>
            <w:noWrap/>
            <w:vAlign w:val="center"/>
          </w:tcPr>
          <w:p w14:paraId="714725A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-0.102</w:t>
            </w:r>
          </w:p>
        </w:tc>
      </w:tr>
      <w:tr w14:paraId="0BA610D3">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F68BB7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2FEC6EA4">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C5D5C1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-0.366</w:t>
            </w:r>
          </w:p>
        </w:tc>
        <w:tc>
          <w:tcPr>
            <w:tcW w:w="1927" w:type="dxa"/>
            <w:tcBorders>
              <w:top w:val="nil"/>
              <w:left w:val="nil"/>
              <w:bottom w:val="nil"/>
              <w:right w:val="nil"/>
            </w:tcBorders>
            <w:noWrap/>
            <w:vAlign w:val="center"/>
          </w:tcPr>
          <w:p w14:paraId="44A21E3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-0.582</w:t>
            </w:r>
          </w:p>
        </w:tc>
        <w:tc>
          <w:tcPr>
            <w:tcW w:w="1107" w:type="dxa"/>
            <w:tcBorders>
              <w:top w:val="nil"/>
              <w:left w:val="nil"/>
              <w:bottom w:val="nil"/>
              <w:right w:val="nil"/>
            </w:tcBorders>
            <w:noWrap/>
            <w:vAlign w:val="center"/>
          </w:tcPr>
          <w:p w14:paraId="1A6E119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-0.159</w:t>
            </w:r>
          </w:p>
        </w:tc>
      </w:tr>
      <w:tr w14:paraId="69742154">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CE013E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AE_1500 vs Placebo_0</w:t>
            </w:r>
          </w:p>
        </w:tc>
        <w:tc>
          <w:tcPr>
            <w:tcW w:w="1927" w:type="dxa"/>
            <w:tcBorders>
              <w:top w:val="nil"/>
              <w:left w:val="nil"/>
              <w:bottom w:val="nil"/>
              <w:right w:val="nil"/>
            </w:tcBorders>
            <w:noWrap/>
            <w:vAlign w:val="center"/>
          </w:tcPr>
          <w:p w14:paraId="3B67F63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0.822</w:t>
            </w:r>
          </w:p>
        </w:tc>
        <w:tc>
          <w:tcPr>
            <w:tcW w:w="1927" w:type="dxa"/>
            <w:tcBorders>
              <w:top w:val="nil"/>
              <w:left w:val="nil"/>
              <w:bottom w:val="nil"/>
              <w:right w:val="nil"/>
            </w:tcBorders>
            <w:noWrap/>
            <w:vAlign w:val="center"/>
          </w:tcPr>
          <w:p w14:paraId="1E5E1E8F">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BC727B9">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424B9A88">
            <w:pPr>
              <w:widowControl/>
              <w:jc w:val="center"/>
              <w:rPr>
                <w:rFonts w:hint="default" w:ascii="Times New Roman" w:hAnsi="Times New Roman" w:eastAsia="Times New Roman" w:cs="Times New Roman"/>
                <w:color w:val="auto"/>
                <w:kern w:val="0"/>
                <w:sz w:val="20"/>
                <w:szCs w:val="20"/>
              </w:rPr>
            </w:pPr>
          </w:p>
        </w:tc>
      </w:tr>
      <w:tr w14:paraId="20C64AD7">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272F902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66B8D1B9">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B52859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-1.003</w:t>
            </w:r>
          </w:p>
        </w:tc>
        <w:tc>
          <w:tcPr>
            <w:tcW w:w="1927" w:type="dxa"/>
            <w:tcBorders>
              <w:top w:val="nil"/>
              <w:left w:val="nil"/>
              <w:bottom w:val="nil"/>
              <w:right w:val="nil"/>
            </w:tcBorders>
            <w:noWrap/>
            <w:vAlign w:val="center"/>
          </w:tcPr>
          <w:p w14:paraId="07DBD47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-1.777</w:t>
            </w:r>
          </w:p>
        </w:tc>
        <w:tc>
          <w:tcPr>
            <w:tcW w:w="1107" w:type="dxa"/>
            <w:tcBorders>
              <w:top w:val="nil"/>
              <w:left w:val="nil"/>
              <w:bottom w:val="nil"/>
              <w:right w:val="nil"/>
            </w:tcBorders>
            <w:noWrap/>
            <w:vAlign w:val="center"/>
          </w:tcPr>
          <w:p w14:paraId="17728E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-0.263</w:t>
            </w:r>
          </w:p>
        </w:tc>
      </w:tr>
      <w:tr w14:paraId="5632E214">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231EDC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bottom w:val="nil"/>
              <w:right w:val="nil"/>
            </w:tcBorders>
            <w:noWrap/>
            <w:vAlign w:val="center"/>
          </w:tcPr>
          <w:p w14:paraId="007CA732">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4926D4D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-1.052</w:t>
            </w:r>
          </w:p>
        </w:tc>
        <w:tc>
          <w:tcPr>
            <w:tcW w:w="1927" w:type="dxa"/>
            <w:tcBorders>
              <w:top w:val="nil"/>
              <w:left w:val="nil"/>
              <w:bottom w:val="nil"/>
              <w:right w:val="nil"/>
            </w:tcBorders>
            <w:noWrap/>
            <w:vAlign w:val="center"/>
          </w:tcPr>
          <w:p w14:paraId="71C05EB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-1.559</w:t>
            </w:r>
          </w:p>
        </w:tc>
        <w:tc>
          <w:tcPr>
            <w:tcW w:w="1107" w:type="dxa"/>
            <w:tcBorders>
              <w:top w:val="nil"/>
              <w:left w:val="nil"/>
              <w:bottom w:val="nil"/>
              <w:right w:val="nil"/>
            </w:tcBorders>
            <w:noWrap/>
            <w:vAlign w:val="center"/>
          </w:tcPr>
          <w:p w14:paraId="7BFDE47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-0.51</w:t>
            </w:r>
          </w:p>
        </w:tc>
      </w:tr>
      <w:tr w14:paraId="03611C2C">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7917F74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nil"/>
              <w:right w:val="nil"/>
            </w:tcBorders>
            <w:noWrap/>
            <w:vAlign w:val="center"/>
          </w:tcPr>
          <w:p w14:paraId="27771D3D">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1FA9861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-1.029</w:t>
            </w:r>
          </w:p>
        </w:tc>
        <w:tc>
          <w:tcPr>
            <w:tcW w:w="1927" w:type="dxa"/>
            <w:tcBorders>
              <w:top w:val="nil"/>
              <w:left w:val="nil"/>
              <w:bottom w:val="nil"/>
              <w:right w:val="nil"/>
            </w:tcBorders>
            <w:noWrap/>
            <w:vAlign w:val="center"/>
          </w:tcPr>
          <w:p w14:paraId="458A5E3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-1.441</w:t>
            </w:r>
          </w:p>
        </w:tc>
        <w:tc>
          <w:tcPr>
            <w:tcW w:w="1107" w:type="dxa"/>
            <w:tcBorders>
              <w:top w:val="nil"/>
              <w:left w:val="nil"/>
              <w:bottom w:val="nil"/>
              <w:right w:val="nil"/>
            </w:tcBorders>
            <w:noWrap/>
            <w:vAlign w:val="center"/>
          </w:tcPr>
          <w:p w14:paraId="684D952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-0.624</w:t>
            </w:r>
          </w:p>
        </w:tc>
      </w:tr>
      <w:tr w14:paraId="2ABFA9F9">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3F826D4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AE_1250 vs Placebo_0</w:t>
            </w:r>
          </w:p>
        </w:tc>
        <w:tc>
          <w:tcPr>
            <w:tcW w:w="1927" w:type="dxa"/>
            <w:tcBorders>
              <w:top w:val="nil"/>
              <w:left w:val="nil"/>
              <w:bottom w:val="nil"/>
              <w:right w:val="nil"/>
            </w:tcBorders>
            <w:noWrap/>
            <w:vAlign w:val="center"/>
          </w:tcPr>
          <w:p w14:paraId="09A6CD2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0.623</w:t>
            </w:r>
          </w:p>
        </w:tc>
        <w:tc>
          <w:tcPr>
            <w:tcW w:w="1927" w:type="dxa"/>
            <w:tcBorders>
              <w:top w:val="nil"/>
              <w:left w:val="nil"/>
              <w:bottom w:val="nil"/>
              <w:right w:val="nil"/>
            </w:tcBorders>
            <w:noWrap/>
            <w:vAlign w:val="center"/>
          </w:tcPr>
          <w:p w14:paraId="5F183564">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3EC52554">
            <w:pPr>
              <w:widowControl/>
              <w:jc w:val="center"/>
              <w:rPr>
                <w:rFonts w:hint="default" w:ascii="Times New Roman" w:hAnsi="Times New Roman" w:eastAsia="Times New Roman" w:cs="Times New Roman"/>
                <w:color w:val="auto"/>
                <w:kern w:val="0"/>
                <w:sz w:val="20"/>
                <w:szCs w:val="20"/>
              </w:rPr>
            </w:pPr>
          </w:p>
        </w:tc>
        <w:tc>
          <w:tcPr>
            <w:tcW w:w="1107" w:type="dxa"/>
            <w:tcBorders>
              <w:top w:val="nil"/>
              <w:left w:val="nil"/>
              <w:bottom w:val="nil"/>
              <w:right w:val="nil"/>
            </w:tcBorders>
            <w:noWrap/>
            <w:vAlign w:val="center"/>
          </w:tcPr>
          <w:p w14:paraId="2C35E5DA">
            <w:pPr>
              <w:widowControl/>
              <w:jc w:val="center"/>
              <w:rPr>
                <w:rFonts w:hint="default" w:ascii="Times New Roman" w:hAnsi="Times New Roman" w:eastAsia="Times New Roman" w:cs="Times New Roman"/>
                <w:color w:val="auto"/>
                <w:kern w:val="0"/>
                <w:sz w:val="20"/>
                <w:szCs w:val="20"/>
              </w:rPr>
            </w:pPr>
          </w:p>
        </w:tc>
      </w:tr>
      <w:tr w14:paraId="73134641">
        <w:tblPrEx>
          <w:tblCellMar>
            <w:top w:w="0" w:type="dxa"/>
            <w:left w:w="108" w:type="dxa"/>
            <w:bottom w:w="0" w:type="dxa"/>
            <w:right w:w="108" w:type="dxa"/>
          </w:tblCellMar>
        </w:tblPrEx>
        <w:trPr>
          <w:trHeight w:val="275" w:hRule="atLeast"/>
          <w:jc w:val="center"/>
        </w:trPr>
        <w:tc>
          <w:tcPr>
            <w:tcW w:w="3444" w:type="dxa"/>
            <w:tcBorders>
              <w:top w:val="nil"/>
              <w:left w:val="nil"/>
              <w:bottom w:val="nil"/>
              <w:right w:val="nil"/>
            </w:tcBorders>
            <w:noWrap/>
            <w:vAlign w:val="center"/>
          </w:tcPr>
          <w:p w14:paraId="15E87DC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direct</w:t>
            </w:r>
          </w:p>
        </w:tc>
        <w:tc>
          <w:tcPr>
            <w:tcW w:w="1927" w:type="dxa"/>
            <w:tcBorders>
              <w:top w:val="nil"/>
              <w:left w:val="nil"/>
              <w:bottom w:val="nil"/>
              <w:right w:val="nil"/>
            </w:tcBorders>
            <w:noWrap/>
            <w:vAlign w:val="center"/>
          </w:tcPr>
          <w:p w14:paraId="132D868C">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nil"/>
              <w:right w:val="nil"/>
            </w:tcBorders>
            <w:noWrap/>
            <w:vAlign w:val="center"/>
          </w:tcPr>
          <w:p w14:paraId="548F61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-0.888</w:t>
            </w:r>
          </w:p>
        </w:tc>
        <w:tc>
          <w:tcPr>
            <w:tcW w:w="1927" w:type="dxa"/>
            <w:tcBorders>
              <w:top w:val="nil"/>
              <w:left w:val="nil"/>
              <w:bottom w:val="nil"/>
              <w:right w:val="nil"/>
            </w:tcBorders>
            <w:noWrap/>
            <w:vAlign w:val="center"/>
          </w:tcPr>
          <w:p w14:paraId="1B8E18A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-1.743</w:t>
            </w:r>
          </w:p>
        </w:tc>
        <w:tc>
          <w:tcPr>
            <w:tcW w:w="1107" w:type="dxa"/>
            <w:tcBorders>
              <w:top w:val="nil"/>
              <w:left w:val="nil"/>
              <w:bottom w:val="nil"/>
              <w:right w:val="nil"/>
            </w:tcBorders>
            <w:noWrap/>
            <w:vAlign w:val="center"/>
          </w:tcPr>
          <w:p w14:paraId="355403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-0.045</w:t>
            </w:r>
          </w:p>
        </w:tc>
      </w:tr>
      <w:tr w14:paraId="72B77076">
        <w:tblPrEx>
          <w:tblCellMar>
            <w:top w:w="0" w:type="dxa"/>
            <w:left w:w="108" w:type="dxa"/>
            <w:bottom w:w="0" w:type="dxa"/>
            <w:right w:w="108" w:type="dxa"/>
          </w:tblCellMar>
        </w:tblPrEx>
        <w:trPr>
          <w:trHeight w:val="275" w:hRule="atLeast"/>
          <w:jc w:val="center"/>
        </w:trPr>
        <w:tc>
          <w:tcPr>
            <w:tcW w:w="3444" w:type="dxa"/>
            <w:tcBorders>
              <w:top w:val="nil"/>
              <w:left w:val="nil"/>
              <w:right w:val="nil"/>
            </w:tcBorders>
            <w:noWrap/>
            <w:vAlign w:val="center"/>
          </w:tcPr>
          <w:p w14:paraId="457B228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indirect</w:t>
            </w:r>
          </w:p>
        </w:tc>
        <w:tc>
          <w:tcPr>
            <w:tcW w:w="1927" w:type="dxa"/>
            <w:tcBorders>
              <w:top w:val="nil"/>
              <w:left w:val="nil"/>
              <w:right w:val="nil"/>
            </w:tcBorders>
            <w:noWrap/>
            <w:vAlign w:val="center"/>
          </w:tcPr>
          <w:p w14:paraId="1FE852B6">
            <w:pPr>
              <w:widowControl/>
              <w:jc w:val="center"/>
              <w:rPr>
                <w:rFonts w:hint="default" w:ascii="Times New Roman" w:hAnsi="Times New Roman" w:eastAsia="宋体" w:cs="Times New Roman"/>
                <w:color w:val="auto"/>
                <w:kern w:val="0"/>
                <w:sz w:val="22"/>
                <w:szCs w:val="22"/>
              </w:rPr>
            </w:pPr>
          </w:p>
        </w:tc>
        <w:tc>
          <w:tcPr>
            <w:tcW w:w="1927" w:type="dxa"/>
            <w:tcBorders>
              <w:top w:val="nil"/>
              <w:left w:val="nil"/>
              <w:right w:val="nil"/>
            </w:tcBorders>
            <w:noWrap/>
            <w:vAlign w:val="center"/>
          </w:tcPr>
          <w:p w14:paraId="2EB9D6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-0.847</w:t>
            </w:r>
          </w:p>
        </w:tc>
        <w:tc>
          <w:tcPr>
            <w:tcW w:w="1927" w:type="dxa"/>
            <w:tcBorders>
              <w:top w:val="nil"/>
              <w:left w:val="nil"/>
              <w:right w:val="nil"/>
            </w:tcBorders>
            <w:noWrap/>
            <w:vAlign w:val="center"/>
          </w:tcPr>
          <w:p w14:paraId="2A62EF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-1.239</w:t>
            </w:r>
          </w:p>
        </w:tc>
        <w:tc>
          <w:tcPr>
            <w:tcW w:w="1107" w:type="dxa"/>
            <w:tcBorders>
              <w:top w:val="nil"/>
              <w:left w:val="nil"/>
              <w:right w:val="nil"/>
            </w:tcBorders>
            <w:noWrap/>
            <w:vAlign w:val="center"/>
          </w:tcPr>
          <w:p w14:paraId="308829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-0.456</w:t>
            </w:r>
          </w:p>
        </w:tc>
      </w:tr>
      <w:tr w14:paraId="30B13C65">
        <w:tblPrEx>
          <w:tblCellMar>
            <w:top w:w="0" w:type="dxa"/>
            <w:left w:w="108" w:type="dxa"/>
            <w:bottom w:w="0" w:type="dxa"/>
            <w:right w:w="108" w:type="dxa"/>
          </w:tblCellMar>
        </w:tblPrEx>
        <w:trPr>
          <w:trHeight w:val="275" w:hRule="atLeast"/>
          <w:jc w:val="center"/>
        </w:trPr>
        <w:tc>
          <w:tcPr>
            <w:tcW w:w="3444" w:type="dxa"/>
            <w:tcBorders>
              <w:top w:val="nil"/>
              <w:left w:val="nil"/>
              <w:bottom w:val="single" w:color="auto" w:sz="12" w:space="0"/>
              <w:right w:val="nil"/>
            </w:tcBorders>
            <w:noWrap/>
            <w:vAlign w:val="center"/>
          </w:tcPr>
          <w:p w14:paraId="02624F6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-&gt; MBNMA</w:t>
            </w:r>
          </w:p>
        </w:tc>
        <w:tc>
          <w:tcPr>
            <w:tcW w:w="1927" w:type="dxa"/>
            <w:tcBorders>
              <w:top w:val="nil"/>
              <w:left w:val="nil"/>
              <w:bottom w:val="single" w:color="auto" w:sz="12" w:space="0"/>
              <w:right w:val="nil"/>
            </w:tcBorders>
            <w:noWrap/>
            <w:vAlign w:val="center"/>
          </w:tcPr>
          <w:p w14:paraId="108D4265">
            <w:pPr>
              <w:widowControl/>
              <w:jc w:val="center"/>
              <w:rPr>
                <w:rFonts w:hint="default" w:ascii="Times New Roman" w:hAnsi="Times New Roman" w:eastAsia="宋体" w:cs="Times New Roman"/>
                <w:color w:val="auto"/>
                <w:kern w:val="0"/>
                <w:sz w:val="22"/>
                <w:szCs w:val="22"/>
              </w:rPr>
            </w:pPr>
          </w:p>
        </w:tc>
        <w:tc>
          <w:tcPr>
            <w:tcW w:w="1927" w:type="dxa"/>
            <w:tcBorders>
              <w:top w:val="nil"/>
              <w:left w:val="nil"/>
              <w:bottom w:val="single" w:color="auto" w:sz="12" w:space="0"/>
              <w:right w:val="nil"/>
            </w:tcBorders>
            <w:noWrap/>
            <w:vAlign w:val="center"/>
          </w:tcPr>
          <w:p w14:paraId="1638C89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-0.857</w:t>
            </w:r>
          </w:p>
        </w:tc>
        <w:tc>
          <w:tcPr>
            <w:tcW w:w="1927" w:type="dxa"/>
            <w:tcBorders>
              <w:top w:val="nil"/>
              <w:left w:val="nil"/>
              <w:bottom w:val="single" w:color="auto" w:sz="12" w:space="0"/>
              <w:right w:val="nil"/>
            </w:tcBorders>
            <w:noWrap/>
            <w:vAlign w:val="center"/>
          </w:tcPr>
          <w:p w14:paraId="1B74975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-1.201</w:t>
            </w:r>
          </w:p>
        </w:tc>
        <w:tc>
          <w:tcPr>
            <w:tcW w:w="1107" w:type="dxa"/>
            <w:tcBorders>
              <w:top w:val="nil"/>
              <w:left w:val="nil"/>
              <w:bottom w:val="single" w:color="auto" w:sz="12" w:space="0"/>
              <w:right w:val="nil"/>
            </w:tcBorders>
            <w:noWrap/>
            <w:vAlign w:val="center"/>
          </w:tcPr>
          <w:p w14:paraId="62DF6EF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-0.52</w:t>
            </w:r>
          </w:p>
        </w:tc>
      </w:tr>
    </w:tbl>
    <w:p w14:paraId="0A4B6D82">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r>
        <w:rPr>
          <w:rFonts w:hint="default" w:ascii="Times New Roman" w:hAnsi="Times New Roman" w:eastAsia="宋体" w:cs="Times New Roman"/>
          <w:color w:val="auto"/>
          <w:kern w:val="0"/>
          <w:sz w:val="18"/>
          <w:szCs w:val="18"/>
          <w:lang w:bidi="ar"/>
        </w:rPr>
        <w:t>, Placebo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p>
    <w:p w14:paraId="12199721">
      <w:pPr>
        <w:widowControl/>
        <w:spacing w:line="360" w:lineRule="exact"/>
        <w:jc w:val="center"/>
        <w:rPr>
          <w:rFonts w:hint="default" w:ascii="Times New Roman" w:hAnsi="Times New Roman" w:eastAsia="Times New Roman" w:cs="Times New Roman"/>
          <w:color w:val="auto"/>
          <w:sz w:val="22"/>
          <w:szCs w:val="22"/>
          <w:highlight w:val="white"/>
        </w:rPr>
      </w:pPr>
      <w:r>
        <w:rPr>
          <w:rFonts w:hint="default" w:ascii="Times New Roman" w:hAnsi="Times New Roman" w:eastAsia="Times New Roman" w:cs="Times New Roman"/>
          <w:b/>
          <w:color w:val="auto"/>
          <w:sz w:val="22"/>
          <w:szCs w:val="22"/>
        </w:rPr>
        <w:drawing>
          <wp:anchor distT="0" distB="0" distL="114300" distR="114300" simplePos="0" relativeHeight="251666432" behindDoc="0" locked="0" layoutInCell="1" allowOverlap="1">
            <wp:simplePos x="0" y="0"/>
            <wp:positionH relativeFrom="column">
              <wp:posOffset>695325</wp:posOffset>
            </wp:positionH>
            <wp:positionV relativeFrom="paragraph">
              <wp:posOffset>0</wp:posOffset>
            </wp:positionV>
            <wp:extent cx="5257800" cy="3952875"/>
            <wp:effectExtent l="0" t="0" r="0" b="9525"/>
            <wp:wrapTopAndBottom/>
            <wp:docPr id="1747261074"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261074" name="图形 9"/>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5257800" cy="3952875"/>
                    </a:xfrm>
                    <a:prstGeom prst="rect">
                      <a:avLst/>
                    </a:prstGeom>
                  </pic:spPr>
                </pic:pic>
              </a:graphicData>
            </a:graphic>
          </wp:anchor>
        </w:drawing>
      </w:r>
      <w:r>
        <w:rPr>
          <w:rFonts w:hint="default" w:ascii="Times New Roman" w:hAnsi="Times New Roman" w:eastAsia="Times New Roman" w:cs="Times New Roman"/>
          <w:b/>
          <w:color w:val="auto"/>
          <w:sz w:val="22"/>
          <w:szCs w:val="22"/>
          <w:highlight w:val="white"/>
        </w:rPr>
        <w:t xml:space="preserve">Figure </w:t>
      </w:r>
      <w:r>
        <w:rPr>
          <w:rFonts w:hint="default" w:ascii="Times New Roman" w:hAnsi="Times New Roman" w:eastAsia="宋体" w:cs="Times New Roman"/>
          <w:b/>
          <w:color w:val="auto"/>
          <w:sz w:val="22"/>
          <w:szCs w:val="22"/>
          <w:highlight w:val="white"/>
        </w:rPr>
        <w:t>S5</w:t>
      </w:r>
      <w:r>
        <w:rPr>
          <w:rFonts w:hint="default" w:ascii="Times New Roman" w:hAnsi="Times New Roman" w:eastAsia="Times New Roman" w:cs="Times New Roman"/>
          <w:color w:val="auto"/>
          <w:sz w:val="22"/>
          <w:szCs w:val="22"/>
          <w:highlight w:val="white"/>
        </w:rPr>
        <w:t xml:space="preserve"> Node-splitting analysis</w:t>
      </w:r>
    </w:p>
    <w:p w14:paraId="0AB4D318">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r>
        <w:rPr>
          <w:rFonts w:hint="default" w:ascii="Times New Roman" w:hAnsi="Times New Roman" w:eastAsia="宋体" w:cs="Times New Roman"/>
          <w:color w:val="auto"/>
          <w:kern w:val="0"/>
          <w:sz w:val="18"/>
          <w:szCs w:val="18"/>
          <w:lang w:bidi="ar"/>
        </w:rPr>
        <w:t>, Placebo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p>
    <w:p w14:paraId="48D54295">
      <w:pPr>
        <w:widowControl/>
        <w:jc w:val="left"/>
        <w:rPr>
          <w:rFonts w:hint="default" w:ascii="Times New Roman" w:hAnsi="Times New Roman" w:cs="Times New Roman"/>
          <w:b/>
          <w:bCs/>
          <w:color w:val="auto"/>
        </w:rPr>
      </w:pPr>
      <w:r>
        <w:rPr>
          <w:rFonts w:hint="default" w:ascii="Times New Roman" w:hAnsi="Times New Roman" w:cs="Times New Roman"/>
          <w:b/>
          <w:bCs/>
          <w:color w:val="auto"/>
        </w:rPr>
        <w:br w:type="page"/>
      </w:r>
    </w:p>
    <w:p w14:paraId="52D0C0BA">
      <w:pPr>
        <w:spacing w:line="360" w:lineRule="exact"/>
        <w:outlineLvl w:val="0"/>
        <w:rPr>
          <w:rFonts w:hint="default" w:ascii="Times New Roman" w:hAnsi="Times New Roman" w:cs="Times New Roman"/>
          <w:color w:val="auto"/>
          <w:sz w:val="22"/>
          <w:szCs w:val="22"/>
          <w:highlight w:val="white"/>
        </w:rPr>
      </w:pPr>
      <w:r>
        <w:rPr>
          <w:rFonts w:hint="default" w:ascii="Times New Roman" w:hAnsi="Times New Roman" w:cs="Times New Roman"/>
          <w:b/>
          <w:bCs/>
          <w:color w:val="auto"/>
        </w:rPr>
        <w:t>Appendix</w:t>
      </w:r>
      <w:r>
        <w:rPr>
          <w:rFonts w:hint="default" w:ascii="Times New Roman" w:hAnsi="Times New Roman" w:eastAsia="宋体" w:cs="Times New Roman"/>
          <w:b/>
          <w:bCs/>
          <w:color w:val="auto"/>
        </w:rPr>
        <w:t xml:space="preserve"> 10</w:t>
      </w:r>
      <w:r>
        <w:rPr>
          <w:rFonts w:hint="default" w:ascii="Times New Roman" w:hAnsi="Times New Roman" w:cs="Times New Roman"/>
          <w:b/>
          <w:bCs/>
          <w:color w:val="auto"/>
          <w:szCs w:val="21"/>
          <w:shd w:val="clear" w:color="auto" w:fill="FFFFFF"/>
        </w:rPr>
        <w:t xml:space="preserve"> </w:t>
      </w:r>
      <w:r>
        <w:rPr>
          <w:rFonts w:hint="default" w:ascii="Times New Roman" w:hAnsi="Times New Roman" w:eastAsia="Times New Roman" w:cs="Times New Roman"/>
          <w:color w:val="auto"/>
          <w:sz w:val="22"/>
          <w:szCs w:val="22"/>
        </w:rPr>
        <w:t xml:space="preserve">Model Selection in Bayesian </w:t>
      </w:r>
      <w:r>
        <w:rPr>
          <w:rFonts w:hint="default" w:ascii="Times New Roman" w:hAnsi="Times New Roman" w:eastAsia="宋体" w:cs="Times New Roman"/>
          <w:color w:val="auto"/>
          <w:sz w:val="22"/>
          <w:szCs w:val="22"/>
          <w:lang w:eastAsia="zh-CN"/>
        </w:rPr>
        <w:t>Dose-Response</w:t>
      </w:r>
      <w:r>
        <w:rPr>
          <w:rFonts w:hint="default" w:ascii="Times New Roman" w:hAnsi="Times New Roman" w:eastAsia="Times New Roman" w:cs="Times New Roman"/>
          <w:color w:val="auto"/>
          <w:sz w:val="22"/>
          <w:szCs w:val="22"/>
        </w:rPr>
        <w:t xml:space="preserve"> Analysis</w:t>
      </w:r>
      <w:r>
        <w:rPr>
          <w:rFonts w:hint="default" w:ascii="Times New Roman" w:hAnsi="Times New Roman" w:eastAsia="Times New Roman" w:cs="Times New Roman"/>
          <w:color w:val="auto"/>
          <w:sz w:val="22"/>
          <w:szCs w:val="22"/>
          <w:highlight w:val="white"/>
        </w:rPr>
        <w:t xml:space="preserve"> </w:t>
      </w:r>
    </w:p>
    <w:p w14:paraId="58CBE951">
      <w:pPr>
        <w:spacing w:line="360" w:lineRule="exact"/>
        <w:outlineLvl w:val="1"/>
        <w:rPr>
          <w:rFonts w:hint="default" w:ascii="Times New Roman" w:hAnsi="Times New Roman" w:cs="Times New Roman"/>
          <w:color w:val="auto"/>
          <w:sz w:val="22"/>
          <w:szCs w:val="22"/>
          <w:highlight w:val="white"/>
        </w:rPr>
      </w:pPr>
      <w:r>
        <w:rPr>
          <w:rFonts w:hint="default" w:ascii="Times New Roman" w:hAnsi="Times New Roman" w:eastAsia="宋体" w:cs="Times New Roman"/>
          <w:b/>
          <w:bCs/>
          <w:color w:val="auto"/>
          <w:kern w:val="0"/>
          <w:sz w:val="22"/>
          <w:szCs w:val="22"/>
          <w:lang w:bidi="ar"/>
        </w:rPr>
        <w:drawing>
          <wp:anchor distT="0" distB="0" distL="114300" distR="114300" simplePos="0" relativeHeight="251667456" behindDoc="0" locked="0" layoutInCell="1" allowOverlap="1">
            <wp:simplePos x="0" y="0"/>
            <wp:positionH relativeFrom="column">
              <wp:posOffset>695325</wp:posOffset>
            </wp:positionH>
            <wp:positionV relativeFrom="paragraph">
              <wp:posOffset>257175</wp:posOffset>
            </wp:positionV>
            <wp:extent cx="5257800" cy="3952875"/>
            <wp:effectExtent l="0" t="0" r="0" b="9525"/>
            <wp:wrapTopAndBottom/>
            <wp:docPr id="2108023632" name="图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023632" name="图形 10"/>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0"/>
                      <a:ext cx="5257800" cy="3952875"/>
                    </a:xfrm>
                    <a:prstGeom prst="rect">
                      <a:avLst/>
                    </a:prstGeom>
                  </pic:spPr>
                </pic:pic>
              </a:graphicData>
            </a:graphic>
          </wp:anchor>
        </w:drawing>
      </w:r>
      <w:r>
        <w:rPr>
          <w:rFonts w:hint="default" w:ascii="Times New Roman" w:hAnsi="Times New Roman" w:eastAsia="Times New Roman" w:cs="Times New Roman"/>
          <w:color w:val="auto"/>
          <w:kern w:val="0"/>
          <w:sz w:val="22"/>
          <w:szCs w:val="22"/>
          <w:highlight w:val="white"/>
        </w:rPr>
        <w:t xml:space="preserve">(1) </w:t>
      </w:r>
      <w:r>
        <w:rPr>
          <w:rFonts w:hint="default" w:ascii="Times New Roman" w:hAnsi="Times New Roman" w:eastAsia="Times New Roman" w:cs="Times New Roman"/>
          <w:color w:val="auto"/>
          <w:kern w:val="0"/>
          <w:sz w:val="22"/>
          <w:szCs w:val="22"/>
          <w:highlight w:val="white"/>
          <w:lang w:eastAsia="en-GB"/>
        </w:rPr>
        <w:t>Comparison of Nonlinear Functions and Model Fit</w:t>
      </w:r>
      <w:bookmarkStart w:id="9" w:name="_heading=h.2xcytpi" w:colFirst="0" w:colLast="0"/>
      <w:bookmarkEnd w:id="9"/>
    </w:p>
    <w:p w14:paraId="21C2A09E">
      <w:pPr>
        <w:spacing w:line="360" w:lineRule="exact"/>
        <w:jc w:val="center"/>
        <w:rPr>
          <w:rFonts w:hint="default" w:ascii="Times New Roman" w:hAnsi="Times New Roman" w:eastAsia="宋体" w:cs="Times New Roman"/>
          <w:color w:val="auto"/>
          <w:kern w:val="0"/>
          <w:sz w:val="18"/>
          <w:szCs w:val="18"/>
          <w:lang w:bidi="ar"/>
        </w:rPr>
      </w:pPr>
      <w:r>
        <w:rPr>
          <w:rFonts w:hint="default" w:ascii="Times New Roman" w:hAnsi="Times New Roman" w:eastAsia="宋体" w:cs="Times New Roman"/>
          <w:b/>
          <w:bCs/>
          <w:color w:val="auto"/>
          <w:kern w:val="0"/>
          <w:sz w:val="22"/>
          <w:szCs w:val="22"/>
          <w:lang w:bidi="ar"/>
        </w:rPr>
        <w:drawing>
          <wp:anchor distT="0" distB="0" distL="114300" distR="114300" simplePos="0" relativeHeight="251668480" behindDoc="0" locked="0" layoutInCell="1" allowOverlap="1">
            <wp:simplePos x="0" y="0"/>
            <wp:positionH relativeFrom="column">
              <wp:posOffset>742315</wp:posOffset>
            </wp:positionH>
            <wp:positionV relativeFrom="paragraph">
              <wp:posOffset>4286250</wp:posOffset>
            </wp:positionV>
            <wp:extent cx="5210175" cy="3926205"/>
            <wp:effectExtent l="0" t="0" r="9525" b="0"/>
            <wp:wrapTopAndBottom/>
            <wp:docPr id="1042119456" name="图形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119456" name="图形 11"/>
                    <pic:cNvPicPr>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0" y="0"/>
                      <a:ext cx="5210175" cy="3926205"/>
                    </a:xfrm>
                    <a:prstGeom prst="rect">
                      <a:avLst/>
                    </a:prstGeom>
                  </pic:spPr>
                </pic:pic>
              </a:graphicData>
            </a:graphic>
          </wp:anchor>
        </w:drawing>
      </w: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S6</w:t>
      </w:r>
      <w:r>
        <w:rPr>
          <w:rFonts w:hint="default" w:ascii="Times New Roman" w:hAnsi="Times New Roman" w:eastAsia="宋体" w:cs="Times New Roman"/>
          <w:color w:val="auto"/>
          <w:kern w:val="0"/>
          <w:sz w:val="22"/>
          <w:szCs w:val="22"/>
          <w:lang w:bidi="ar"/>
        </w:rPr>
        <w:t xml:space="preserve"> “Split” NMA of overall exercise</w:t>
      </w:r>
    </w:p>
    <w:p w14:paraId="42989F38">
      <w:pPr>
        <w:spacing w:line="360" w:lineRule="exact"/>
        <w:jc w:val="center"/>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S7</w:t>
      </w:r>
      <w:r>
        <w:rPr>
          <w:rFonts w:hint="default" w:ascii="Times New Roman" w:hAnsi="Times New Roman" w:eastAsia="宋体" w:cs="Times New Roman"/>
          <w:color w:val="auto"/>
          <w:kern w:val="0"/>
          <w:sz w:val="22"/>
          <w:szCs w:val="22"/>
          <w:lang w:bidi="ar"/>
        </w:rPr>
        <w:t xml:space="preserve"> </w:t>
      </w:r>
      <w:r>
        <w:rPr>
          <w:rFonts w:hint="default" w:ascii="Times New Roman" w:hAnsi="Times New Roman" w:eastAsia="宋体" w:cs="Times New Roman"/>
          <w:color w:val="auto"/>
          <w:kern w:val="0"/>
          <w:sz w:val="22"/>
          <w:szCs w:val="22"/>
          <w:lang w:bidi="ar"/>
        </w:rPr>
        <w:t>“Split” NMA of different exercise agents</w:t>
      </w:r>
    </w:p>
    <w:p w14:paraId="2B12B78A">
      <w:pPr>
        <w:widowControl/>
        <w:spacing w:line="360" w:lineRule="exact"/>
        <w:jc w:val="center"/>
        <w:rPr>
          <w:rFonts w:hint="default" w:ascii="Times New Roman" w:hAnsi="Times New Roman" w:cs="Times New Roman"/>
          <w:b/>
          <w:bCs/>
          <w:color w:val="auto"/>
        </w:rPr>
      </w:pPr>
      <w:bookmarkStart w:id="10" w:name="_heading=h.3whwml4" w:colFirst="0" w:colLast="0"/>
      <w:bookmarkEnd w:id="10"/>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42A6A9B2">
      <w:pPr>
        <w:widowControl/>
        <w:spacing w:line="360" w:lineRule="exact"/>
        <w:outlineLvl w:val="9"/>
        <w:rPr>
          <w:rFonts w:hint="default" w:ascii="Times New Roman" w:hAnsi="Times New Roman" w:cs="Times New Roman"/>
          <w:color w:val="auto"/>
        </w:rPr>
      </w:pPr>
    </w:p>
    <w:p w14:paraId="333CA278">
      <w:pPr>
        <w:widowControl/>
        <w:spacing w:line="360" w:lineRule="exact"/>
        <w:outlineLvl w:val="1"/>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t>)</w:t>
      </w:r>
      <w:r>
        <w:rPr>
          <w:rFonts w:hint="default" w:ascii="Times New Roman" w:hAnsi="Times New Roman" w:cs="Times New Roman"/>
          <w:color w:val="auto"/>
          <w:highlight w:val="none"/>
        </w:rPr>
        <w:t xml:space="preserve"> Model Selection</w:t>
      </w:r>
    </w:p>
    <w:p w14:paraId="483A3D15">
      <w:pPr>
        <w:widowControl/>
        <w:spacing w:line="360" w:lineRule="exact"/>
        <w:jc w:val="center"/>
        <w:rPr>
          <w:rFonts w:hint="default" w:ascii="Times New Roman" w:hAnsi="Times New Roman" w:eastAsia="Times New Roman" w:cs="Times New Roman"/>
          <w:color w:val="auto"/>
          <w:sz w:val="22"/>
          <w:szCs w:val="22"/>
        </w:rPr>
      </w:pPr>
      <w:r>
        <w:rPr>
          <w:rFonts w:hint="default" w:ascii="Times New Roman" w:hAnsi="Times New Roman" w:eastAsia="Times New Roman" w:cs="Times New Roman"/>
          <w:b/>
          <w:color w:val="auto"/>
          <w:sz w:val="22"/>
          <w:szCs w:val="22"/>
        </w:rPr>
        <w:t xml:space="preserve">Table </w:t>
      </w:r>
      <w:r>
        <w:rPr>
          <w:rFonts w:hint="default" w:ascii="Times New Roman" w:hAnsi="Times New Roman" w:eastAsia="宋体" w:cs="Times New Roman"/>
          <w:b/>
          <w:color w:val="auto"/>
          <w:sz w:val="22"/>
          <w:szCs w:val="22"/>
        </w:rPr>
        <w:t xml:space="preserve">S11 </w:t>
      </w:r>
      <w:r>
        <w:rPr>
          <w:rFonts w:hint="default" w:ascii="Times New Roman" w:hAnsi="Times New Roman" w:eastAsia="Times New Roman" w:cs="Times New Roman"/>
          <w:color w:val="auto"/>
          <w:sz w:val="22"/>
          <w:szCs w:val="22"/>
        </w:rPr>
        <w:t>Model fit comparison</w:t>
      </w:r>
    </w:p>
    <w:tbl>
      <w:tblPr>
        <w:tblStyle w:val="19"/>
        <w:tblW w:w="10537" w:type="dxa"/>
        <w:jc w:val="center"/>
        <w:tblLayout w:type="fixed"/>
        <w:tblCellMar>
          <w:top w:w="100" w:type="dxa"/>
          <w:left w:w="100" w:type="dxa"/>
          <w:bottom w:w="100" w:type="dxa"/>
          <w:right w:w="100" w:type="dxa"/>
        </w:tblCellMar>
      </w:tblPr>
      <w:tblGrid>
        <w:gridCol w:w="3891"/>
        <w:gridCol w:w="1152"/>
        <w:gridCol w:w="1049"/>
        <w:gridCol w:w="1191"/>
        <w:gridCol w:w="2020"/>
        <w:gridCol w:w="1234"/>
      </w:tblGrid>
      <w:tr w14:paraId="31205622">
        <w:tblPrEx>
          <w:tblCellMar>
            <w:top w:w="100" w:type="dxa"/>
            <w:left w:w="100" w:type="dxa"/>
            <w:bottom w:w="100" w:type="dxa"/>
            <w:right w:w="100" w:type="dxa"/>
          </w:tblCellMar>
        </w:tblPrEx>
        <w:trPr>
          <w:trHeight w:val="624" w:hRule="atLeast"/>
          <w:jc w:val="center"/>
        </w:trPr>
        <w:tc>
          <w:tcPr>
            <w:tcW w:w="3891" w:type="dxa"/>
            <w:tcBorders>
              <w:top w:val="single" w:color="000000" w:sz="12" w:space="0"/>
              <w:bottom w:val="single" w:color="000000" w:sz="4" w:space="0"/>
            </w:tcBorders>
            <w:vAlign w:val="center"/>
          </w:tcPr>
          <w:p w14:paraId="7D46205F">
            <w:pPr>
              <w:spacing w:line="360" w:lineRule="exact"/>
              <w:jc w:val="center"/>
              <w:rPr>
                <w:rFonts w:hint="default" w:ascii="Times New Roman" w:hAnsi="Times New Roman" w:eastAsia="Times New Roman" w:cs="Times New Roman"/>
                <w:b/>
                <w:color w:val="auto"/>
                <w:szCs w:val="21"/>
              </w:rPr>
            </w:pPr>
            <w:r>
              <w:rPr>
                <w:rFonts w:hint="default" w:ascii="Times New Roman" w:hAnsi="Times New Roman" w:eastAsia="Times New Roman" w:cs="Times New Roman"/>
                <w:b/>
                <w:color w:val="auto"/>
                <w:szCs w:val="21"/>
              </w:rPr>
              <w:t>Model</w:t>
            </w:r>
          </w:p>
        </w:tc>
        <w:tc>
          <w:tcPr>
            <w:tcW w:w="1152" w:type="dxa"/>
            <w:tcBorders>
              <w:top w:val="single" w:color="000000" w:sz="12" w:space="0"/>
              <w:bottom w:val="single" w:color="000000" w:sz="4" w:space="0"/>
            </w:tcBorders>
            <w:vAlign w:val="center"/>
          </w:tcPr>
          <w:p w14:paraId="0654E33D">
            <w:pPr>
              <w:spacing w:line="360" w:lineRule="exact"/>
              <w:jc w:val="center"/>
              <w:rPr>
                <w:rFonts w:hint="default" w:ascii="Times New Roman" w:hAnsi="Times New Roman" w:eastAsia="Times New Roman" w:cs="Times New Roman"/>
                <w:b/>
                <w:color w:val="auto"/>
                <w:szCs w:val="21"/>
              </w:rPr>
            </w:pPr>
            <w:r>
              <w:rPr>
                <w:rFonts w:hint="default" w:ascii="Times New Roman" w:hAnsi="Times New Roman" w:eastAsia="Times New Roman" w:cs="Times New Roman"/>
                <w:b/>
                <w:color w:val="auto"/>
                <w:szCs w:val="21"/>
              </w:rPr>
              <w:t>DIC</w:t>
            </w:r>
          </w:p>
        </w:tc>
        <w:tc>
          <w:tcPr>
            <w:tcW w:w="1049" w:type="dxa"/>
            <w:tcBorders>
              <w:top w:val="single" w:color="000000" w:sz="12" w:space="0"/>
              <w:bottom w:val="single" w:color="000000" w:sz="4" w:space="0"/>
            </w:tcBorders>
            <w:vAlign w:val="center"/>
          </w:tcPr>
          <w:p w14:paraId="019E3F0E">
            <w:pPr>
              <w:spacing w:line="360" w:lineRule="exact"/>
              <w:jc w:val="center"/>
              <w:rPr>
                <w:rFonts w:hint="default" w:ascii="Times New Roman" w:hAnsi="Times New Roman" w:eastAsia="Times New Roman" w:cs="Times New Roman"/>
                <w:b/>
                <w:color w:val="auto"/>
                <w:szCs w:val="21"/>
              </w:rPr>
            </w:pPr>
            <w:r>
              <w:rPr>
                <w:rFonts w:hint="default" w:ascii="Times New Roman" w:hAnsi="Times New Roman" w:eastAsia="Times New Roman" w:cs="Times New Roman"/>
                <w:b/>
                <w:color w:val="auto"/>
                <w:szCs w:val="21"/>
              </w:rPr>
              <w:t>SD</w:t>
            </w:r>
          </w:p>
        </w:tc>
        <w:tc>
          <w:tcPr>
            <w:tcW w:w="1191" w:type="dxa"/>
            <w:tcBorders>
              <w:top w:val="single" w:color="000000" w:sz="12" w:space="0"/>
              <w:bottom w:val="single" w:color="000000" w:sz="4" w:space="0"/>
            </w:tcBorders>
            <w:vAlign w:val="center"/>
          </w:tcPr>
          <w:p w14:paraId="2EE5AFCA">
            <w:pPr>
              <w:spacing w:line="360" w:lineRule="exact"/>
              <w:jc w:val="center"/>
              <w:rPr>
                <w:rFonts w:hint="default" w:ascii="Times New Roman" w:hAnsi="Times New Roman" w:eastAsia="Times New Roman" w:cs="Times New Roman"/>
                <w:b/>
                <w:color w:val="auto"/>
                <w:szCs w:val="21"/>
              </w:rPr>
            </w:pPr>
            <w:r>
              <w:rPr>
                <w:rFonts w:hint="default" w:ascii="Times New Roman" w:hAnsi="Times New Roman" w:eastAsia="Times New Roman" w:cs="Times New Roman"/>
                <w:b/>
                <w:color w:val="auto"/>
                <w:szCs w:val="21"/>
              </w:rPr>
              <w:t>Deviance</w:t>
            </w:r>
          </w:p>
        </w:tc>
        <w:tc>
          <w:tcPr>
            <w:tcW w:w="2020" w:type="dxa"/>
            <w:tcBorders>
              <w:top w:val="single" w:color="000000" w:sz="12" w:space="0"/>
              <w:bottom w:val="single" w:color="000000" w:sz="4" w:space="0"/>
            </w:tcBorders>
            <w:vAlign w:val="center"/>
          </w:tcPr>
          <w:p w14:paraId="3C959899">
            <w:pPr>
              <w:spacing w:line="360" w:lineRule="exact"/>
              <w:jc w:val="center"/>
              <w:rPr>
                <w:rFonts w:hint="default" w:ascii="Times New Roman" w:hAnsi="Times New Roman" w:eastAsia="Times New Roman" w:cs="Times New Roman"/>
                <w:b/>
                <w:color w:val="auto"/>
                <w:szCs w:val="21"/>
              </w:rPr>
            </w:pPr>
            <w:r>
              <w:rPr>
                <w:rFonts w:hint="default" w:ascii="Times New Roman" w:hAnsi="Times New Roman" w:eastAsia="Times New Roman" w:cs="Times New Roman"/>
                <w:b/>
                <w:color w:val="auto"/>
                <w:szCs w:val="21"/>
              </w:rPr>
              <w:t>Residual deviance</w:t>
            </w:r>
          </w:p>
        </w:tc>
        <w:tc>
          <w:tcPr>
            <w:tcW w:w="1234" w:type="dxa"/>
            <w:tcBorders>
              <w:top w:val="single" w:color="000000" w:sz="12" w:space="0"/>
              <w:bottom w:val="single" w:color="000000" w:sz="4" w:space="0"/>
            </w:tcBorders>
            <w:vAlign w:val="center"/>
          </w:tcPr>
          <w:p w14:paraId="520BFE1C">
            <w:pPr>
              <w:spacing w:line="360" w:lineRule="exact"/>
              <w:jc w:val="center"/>
              <w:rPr>
                <w:rFonts w:hint="default" w:ascii="Times New Roman" w:hAnsi="Times New Roman" w:eastAsia="宋体" w:cs="Times New Roman"/>
                <w:b/>
                <w:color w:val="auto"/>
                <w:szCs w:val="21"/>
              </w:rPr>
            </w:pPr>
            <w:r>
              <w:rPr>
                <w:rFonts w:hint="default" w:ascii="Times New Roman" w:hAnsi="Times New Roman" w:eastAsia="Times New Roman" w:cs="Times New Roman"/>
                <w:b/>
                <w:color w:val="auto"/>
                <w:szCs w:val="21"/>
              </w:rPr>
              <w:t>p</w:t>
            </w:r>
            <w:r>
              <w:rPr>
                <w:rFonts w:hint="default" w:ascii="Times New Roman" w:hAnsi="Times New Roman" w:eastAsia="宋体" w:cs="Times New Roman"/>
                <w:b/>
                <w:color w:val="auto"/>
                <w:szCs w:val="21"/>
              </w:rPr>
              <w:t>V</w:t>
            </w:r>
          </w:p>
        </w:tc>
      </w:tr>
      <w:tr w14:paraId="5450CF34">
        <w:tblPrEx>
          <w:tblCellMar>
            <w:top w:w="100" w:type="dxa"/>
            <w:left w:w="100" w:type="dxa"/>
            <w:bottom w:w="100" w:type="dxa"/>
            <w:right w:w="100" w:type="dxa"/>
          </w:tblCellMar>
        </w:tblPrEx>
        <w:trPr>
          <w:trHeight w:val="624" w:hRule="atLeast"/>
          <w:jc w:val="center"/>
        </w:trPr>
        <w:tc>
          <w:tcPr>
            <w:tcW w:w="3891" w:type="dxa"/>
            <w:tcBorders>
              <w:top w:val="single" w:color="000000" w:sz="4" w:space="0"/>
            </w:tcBorders>
            <w:vAlign w:val="center"/>
          </w:tcPr>
          <w:p w14:paraId="409527A6">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Emax (common treatment effects)</w:t>
            </w:r>
          </w:p>
        </w:tc>
        <w:tc>
          <w:tcPr>
            <w:tcW w:w="1152" w:type="dxa"/>
            <w:tcBorders>
              <w:top w:val="single" w:color="000000" w:sz="4" w:space="0"/>
            </w:tcBorders>
            <w:vAlign w:val="center"/>
          </w:tcPr>
          <w:p w14:paraId="5CBE087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1114.8</w:t>
            </w:r>
          </w:p>
        </w:tc>
        <w:tc>
          <w:tcPr>
            <w:tcW w:w="1049" w:type="dxa"/>
            <w:tcBorders>
              <w:top w:val="single" w:color="000000" w:sz="4" w:space="0"/>
            </w:tcBorders>
            <w:vAlign w:val="center"/>
          </w:tcPr>
          <w:p w14:paraId="7DBF68CF">
            <w:pPr>
              <w:spacing w:line="360" w:lineRule="exact"/>
              <w:jc w:val="center"/>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NA</w:t>
            </w:r>
          </w:p>
        </w:tc>
        <w:tc>
          <w:tcPr>
            <w:tcW w:w="1191" w:type="dxa"/>
            <w:tcBorders>
              <w:top w:val="single" w:color="000000" w:sz="4" w:space="0"/>
            </w:tcBorders>
            <w:vAlign w:val="center"/>
          </w:tcPr>
          <w:p w14:paraId="157E97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1034.249</w:t>
            </w:r>
          </w:p>
        </w:tc>
        <w:tc>
          <w:tcPr>
            <w:tcW w:w="2020" w:type="dxa"/>
            <w:tcBorders>
              <w:top w:val="single" w:color="000000" w:sz="4" w:space="0"/>
            </w:tcBorders>
            <w:vAlign w:val="center"/>
          </w:tcPr>
          <w:p w14:paraId="4E2F36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450.652</w:t>
            </w:r>
          </w:p>
        </w:tc>
        <w:tc>
          <w:tcPr>
            <w:tcW w:w="1234" w:type="dxa"/>
            <w:tcBorders>
              <w:top w:val="single" w:color="000000" w:sz="4" w:space="0"/>
            </w:tcBorders>
            <w:vAlign w:val="center"/>
          </w:tcPr>
          <w:p w14:paraId="56B17D9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80.5</w:t>
            </w:r>
          </w:p>
        </w:tc>
      </w:tr>
      <w:tr w14:paraId="05DAD9BB">
        <w:tblPrEx>
          <w:tblCellMar>
            <w:top w:w="100" w:type="dxa"/>
            <w:left w:w="100" w:type="dxa"/>
            <w:bottom w:w="100" w:type="dxa"/>
            <w:right w:w="100" w:type="dxa"/>
          </w:tblCellMar>
        </w:tblPrEx>
        <w:trPr>
          <w:trHeight w:val="624" w:hRule="atLeast"/>
          <w:jc w:val="center"/>
        </w:trPr>
        <w:tc>
          <w:tcPr>
            <w:tcW w:w="3891" w:type="dxa"/>
            <w:vAlign w:val="center"/>
          </w:tcPr>
          <w:p w14:paraId="3B29DF99">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Emax (random treatment effects)</w:t>
            </w:r>
          </w:p>
        </w:tc>
        <w:tc>
          <w:tcPr>
            <w:tcW w:w="1152" w:type="dxa"/>
            <w:vAlign w:val="center"/>
          </w:tcPr>
          <w:p w14:paraId="7A92809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887.8</w:t>
            </w:r>
          </w:p>
        </w:tc>
        <w:tc>
          <w:tcPr>
            <w:tcW w:w="1049" w:type="dxa"/>
            <w:vAlign w:val="center"/>
          </w:tcPr>
          <w:p w14:paraId="4FB5FC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0.648</w:t>
            </w:r>
          </w:p>
        </w:tc>
        <w:tc>
          <w:tcPr>
            <w:tcW w:w="1191" w:type="dxa"/>
            <w:vAlign w:val="center"/>
          </w:tcPr>
          <w:p w14:paraId="041D01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736.238</w:t>
            </w:r>
          </w:p>
        </w:tc>
        <w:tc>
          <w:tcPr>
            <w:tcW w:w="2020" w:type="dxa"/>
            <w:vAlign w:val="center"/>
          </w:tcPr>
          <w:p w14:paraId="1DB6D0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152.641</w:t>
            </w:r>
          </w:p>
        </w:tc>
        <w:tc>
          <w:tcPr>
            <w:tcW w:w="1234" w:type="dxa"/>
            <w:vAlign w:val="center"/>
          </w:tcPr>
          <w:p w14:paraId="6CD8093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151.5</w:t>
            </w:r>
          </w:p>
        </w:tc>
      </w:tr>
      <w:tr w14:paraId="19506E18">
        <w:tblPrEx>
          <w:tblCellMar>
            <w:top w:w="100" w:type="dxa"/>
            <w:left w:w="100" w:type="dxa"/>
            <w:bottom w:w="100" w:type="dxa"/>
            <w:right w:w="100" w:type="dxa"/>
          </w:tblCellMar>
        </w:tblPrEx>
        <w:trPr>
          <w:trHeight w:val="624" w:hRule="atLeast"/>
          <w:jc w:val="center"/>
        </w:trPr>
        <w:tc>
          <w:tcPr>
            <w:tcW w:w="3891" w:type="dxa"/>
            <w:vAlign w:val="center"/>
          </w:tcPr>
          <w:p w14:paraId="37DF81AC">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Restricted cubic spline</w:t>
            </w:r>
          </w:p>
          <w:p w14:paraId="147E79CE">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(common treatment effects; 3 knots)</w:t>
            </w:r>
          </w:p>
        </w:tc>
        <w:tc>
          <w:tcPr>
            <w:tcW w:w="1152" w:type="dxa"/>
            <w:vAlign w:val="center"/>
          </w:tcPr>
          <w:p w14:paraId="038919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1006.2</w:t>
            </w:r>
          </w:p>
        </w:tc>
        <w:tc>
          <w:tcPr>
            <w:tcW w:w="1049" w:type="dxa"/>
            <w:vAlign w:val="center"/>
          </w:tcPr>
          <w:p w14:paraId="30AAC92F">
            <w:pPr>
              <w:spacing w:line="360" w:lineRule="exact"/>
              <w:jc w:val="center"/>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NA</w:t>
            </w:r>
          </w:p>
        </w:tc>
        <w:tc>
          <w:tcPr>
            <w:tcW w:w="1191" w:type="dxa"/>
            <w:vAlign w:val="center"/>
          </w:tcPr>
          <w:p w14:paraId="24AB535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910.085</w:t>
            </w:r>
          </w:p>
        </w:tc>
        <w:tc>
          <w:tcPr>
            <w:tcW w:w="2020" w:type="dxa"/>
            <w:vAlign w:val="center"/>
          </w:tcPr>
          <w:p w14:paraId="26358B9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326.488</w:t>
            </w:r>
          </w:p>
        </w:tc>
        <w:tc>
          <w:tcPr>
            <w:tcW w:w="1234" w:type="dxa"/>
            <w:vAlign w:val="center"/>
          </w:tcPr>
          <w:p w14:paraId="74D81EC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96.1</w:t>
            </w:r>
          </w:p>
        </w:tc>
      </w:tr>
      <w:tr w14:paraId="52C6FE6F">
        <w:tblPrEx>
          <w:tblCellMar>
            <w:top w:w="100" w:type="dxa"/>
            <w:left w:w="100" w:type="dxa"/>
            <w:bottom w:w="100" w:type="dxa"/>
            <w:right w:w="100" w:type="dxa"/>
          </w:tblCellMar>
        </w:tblPrEx>
        <w:trPr>
          <w:trHeight w:val="624" w:hRule="atLeast"/>
          <w:jc w:val="center"/>
        </w:trPr>
        <w:tc>
          <w:tcPr>
            <w:tcW w:w="3891" w:type="dxa"/>
            <w:vAlign w:val="center"/>
          </w:tcPr>
          <w:p w14:paraId="3D9C52D4">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Restricted cubic spline</w:t>
            </w:r>
          </w:p>
          <w:p w14:paraId="31226D20">
            <w:pPr>
              <w:spacing w:line="360" w:lineRule="exact"/>
              <w:jc w:val="center"/>
              <w:rPr>
                <w:rFonts w:hint="default" w:ascii="Times New Roman" w:hAnsi="Times New Roman" w:eastAsia="Times New Roman" w:cs="Times New Roman"/>
                <w:color w:val="auto"/>
                <w:sz w:val="21"/>
                <w:szCs w:val="21"/>
                <w:lang w:eastAsia="en-GB"/>
              </w:rPr>
            </w:pPr>
            <w:r>
              <w:rPr>
                <w:rFonts w:hint="default" w:ascii="Times New Roman" w:hAnsi="Times New Roman" w:eastAsia="Times New Roman" w:cs="Times New Roman"/>
                <w:color w:val="auto"/>
                <w:sz w:val="21"/>
                <w:szCs w:val="21"/>
              </w:rPr>
              <w:t>(random treatment effects; 3 knots)</w:t>
            </w:r>
          </w:p>
        </w:tc>
        <w:tc>
          <w:tcPr>
            <w:tcW w:w="1152" w:type="dxa"/>
            <w:vAlign w:val="center"/>
          </w:tcPr>
          <w:p w14:paraId="794557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885.2</w:t>
            </w:r>
          </w:p>
        </w:tc>
        <w:tc>
          <w:tcPr>
            <w:tcW w:w="1049" w:type="dxa"/>
            <w:vAlign w:val="center"/>
          </w:tcPr>
          <w:p w14:paraId="680E04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0.571</w:t>
            </w:r>
          </w:p>
        </w:tc>
        <w:tc>
          <w:tcPr>
            <w:tcW w:w="1191" w:type="dxa"/>
            <w:vAlign w:val="center"/>
          </w:tcPr>
          <w:p w14:paraId="012F05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736.888</w:t>
            </w:r>
          </w:p>
        </w:tc>
        <w:tc>
          <w:tcPr>
            <w:tcW w:w="2020" w:type="dxa"/>
            <w:vAlign w:val="center"/>
          </w:tcPr>
          <w:p w14:paraId="0F32C6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153.291</w:t>
            </w:r>
          </w:p>
        </w:tc>
        <w:tc>
          <w:tcPr>
            <w:tcW w:w="1234" w:type="dxa"/>
            <w:vAlign w:val="center"/>
          </w:tcPr>
          <w:p w14:paraId="6CDB71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148.3</w:t>
            </w:r>
          </w:p>
        </w:tc>
      </w:tr>
      <w:tr w14:paraId="38185B33">
        <w:tblPrEx>
          <w:tblCellMar>
            <w:top w:w="100" w:type="dxa"/>
            <w:left w:w="100" w:type="dxa"/>
            <w:bottom w:w="100" w:type="dxa"/>
            <w:right w:w="100" w:type="dxa"/>
          </w:tblCellMar>
        </w:tblPrEx>
        <w:trPr>
          <w:trHeight w:val="624" w:hRule="atLeast"/>
          <w:jc w:val="center"/>
        </w:trPr>
        <w:tc>
          <w:tcPr>
            <w:tcW w:w="3891" w:type="dxa"/>
            <w:vAlign w:val="center"/>
          </w:tcPr>
          <w:p w14:paraId="371BDCFD">
            <w:pPr>
              <w:widowControl/>
              <w:spacing w:line="36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Quadratic</w:t>
            </w:r>
          </w:p>
          <w:p w14:paraId="42F9A8A2">
            <w:pPr>
              <w:widowControl/>
              <w:spacing w:line="360" w:lineRule="exact"/>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(2nd degree polynomial, common</w:t>
            </w:r>
          </w:p>
          <w:p w14:paraId="7EC716B4">
            <w:pPr>
              <w:widowControl/>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宋体" w:cs="Times New Roman"/>
                <w:color w:val="auto"/>
                <w:kern w:val="0"/>
                <w:sz w:val="21"/>
                <w:szCs w:val="21"/>
                <w:lang w:bidi="ar"/>
              </w:rPr>
              <w:t>treatment effects)</w:t>
            </w:r>
          </w:p>
        </w:tc>
        <w:tc>
          <w:tcPr>
            <w:tcW w:w="1152" w:type="dxa"/>
            <w:vAlign w:val="center"/>
          </w:tcPr>
          <w:p w14:paraId="6CEE01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1111.5</w:t>
            </w:r>
          </w:p>
        </w:tc>
        <w:tc>
          <w:tcPr>
            <w:tcW w:w="1049" w:type="dxa"/>
            <w:vAlign w:val="center"/>
          </w:tcPr>
          <w:p w14:paraId="5849E73C">
            <w:pPr>
              <w:spacing w:line="360" w:lineRule="exact"/>
              <w:jc w:val="center"/>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NA</w:t>
            </w:r>
          </w:p>
        </w:tc>
        <w:tc>
          <w:tcPr>
            <w:tcW w:w="1191" w:type="dxa"/>
            <w:vAlign w:val="center"/>
          </w:tcPr>
          <w:p w14:paraId="179C2F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1027.041</w:t>
            </w:r>
          </w:p>
        </w:tc>
        <w:tc>
          <w:tcPr>
            <w:tcW w:w="2020" w:type="dxa"/>
            <w:vAlign w:val="center"/>
          </w:tcPr>
          <w:p w14:paraId="385A06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443.444</w:t>
            </w:r>
          </w:p>
        </w:tc>
        <w:tc>
          <w:tcPr>
            <w:tcW w:w="1234" w:type="dxa"/>
            <w:vAlign w:val="center"/>
          </w:tcPr>
          <w:p w14:paraId="62C5E3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84.5</w:t>
            </w:r>
          </w:p>
        </w:tc>
      </w:tr>
      <w:tr w14:paraId="5842CBC6">
        <w:tblPrEx>
          <w:tblCellMar>
            <w:top w:w="100" w:type="dxa"/>
            <w:left w:w="100" w:type="dxa"/>
            <w:bottom w:w="100" w:type="dxa"/>
            <w:right w:w="100" w:type="dxa"/>
          </w:tblCellMar>
        </w:tblPrEx>
        <w:trPr>
          <w:trHeight w:val="624" w:hRule="atLeast"/>
          <w:jc w:val="center"/>
        </w:trPr>
        <w:tc>
          <w:tcPr>
            <w:tcW w:w="3891" w:type="dxa"/>
            <w:vAlign w:val="center"/>
          </w:tcPr>
          <w:p w14:paraId="196F8B32">
            <w:pPr>
              <w:widowControl/>
              <w:spacing w:line="360" w:lineRule="exact"/>
              <w:jc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Quadratic</w:t>
            </w:r>
          </w:p>
          <w:p w14:paraId="673BC492">
            <w:pPr>
              <w:widowControl/>
              <w:spacing w:line="360" w:lineRule="exact"/>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bidi="ar"/>
              </w:rPr>
              <w:t>(2nd degree polynomial, random</w:t>
            </w:r>
          </w:p>
          <w:p w14:paraId="7AF0F2D9">
            <w:pPr>
              <w:widowControl/>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宋体" w:cs="Times New Roman"/>
                <w:color w:val="auto"/>
                <w:kern w:val="0"/>
                <w:sz w:val="21"/>
                <w:szCs w:val="21"/>
                <w:lang w:bidi="ar"/>
              </w:rPr>
              <w:t>treatment effects)</w:t>
            </w:r>
          </w:p>
        </w:tc>
        <w:tc>
          <w:tcPr>
            <w:tcW w:w="1152" w:type="dxa"/>
            <w:vAlign w:val="center"/>
          </w:tcPr>
          <w:p w14:paraId="0594E6E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874.8</w:t>
            </w:r>
          </w:p>
        </w:tc>
        <w:tc>
          <w:tcPr>
            <w:tcW w:w="1049" w:type="dxa"/>
            <w:vAlign w:val="center"/>
          </w:tcPr>
          <w:p w14:paraId="216660C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0.678</w:t>
            </w:r>
          </w:p>
        </w:tc>
        <w:tc>
          <w:tcPr>
            <w:tcW w:w="1191" w:type="dxa"/>
            <w:vAlign w:val="center"/>
          </w:tcPr>
          <w:p w14:paraId="381073C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737.106</w:t>
            </w:r>
          </w:p>
        </w:tc>
        <w:tc>
          <w:tcPr>
            <w:tcW w:w="2020" w:type="dxa"/>
            <w:vAlign w:val="center"/>
          </w:tcPr>
          <w:p w14:paraId="112274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153.509</w:t>
            </w:r>
          </w:p>
        </w:tc>
        <w:tc>
          <w:tcPr>
            <w:tcW w:w="1234" w:type="dxa"/>
            <w:vAlign w:val="center"/>
          </w:tcPr>
          <w:p w14:paraId="2E18D83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137.6</w:t>
            </w:r>
          </w:p>
        </w:tc>
      </w:tr>
      <w:tr w14:paraId="3BC5DB8B">
        <w:tblPrEx>
          <w:tblCellMar>
            <w:top w:w="100" w:type="dxa"/>
            <w:left w:w="100" w:type="dxa"/>
            <w:bottom w:w="100" w:type="dxa"/>
            <w:right w:w="100" w:type="dxa"/>
          </w:tblCellMar>
        </w:tblPrEx>
        <w:trPr>
          <w:trHeight w:val="624" w:hRule="atLeast"/>
          <w:jc w:val="center"/>
        </w:trPr>
        <w:tc>
          <w:tcPr>
            <w:tcW w:w="3891" w:type="dxa"/>
            <w:tcBorders>
              <w:bottom w:val="single" w:color="000000" w:sz="12" w:space="0"/>
            </w:tcBorders>
            <w:vAlign w:val="center"/>
          </w:tcPr>
          <w:p w14:paraId="159044B2">
            <w:pPr>
              <w:spacing w:line="360" w:lineRule="exact"/>
              <w:jc w:val="center"/>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Non-parametric monotonically up (common treatment effects)</w:t>
            </w:r>
          </w:p>
        </w:tc>
        <w:tc>
          <w:tcPr>
            <w:tcW w:w="1152" w:type="dxa"/>
            <w:tcBorders>
              <w:bottom w:val="single" w:color="000000" w:sz="12" w:space="0"/>
            </w:tcBorders>
            <w:vAlign w:val="center"/>
          </w:tcPr>
          <w:p w14:paraId="15AEA6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1130.2</w:t>
            </w:r>
          </w:p>
        </w:tc>
        <w:tc>
          <w:tcPr>
            <w:tcW w:w="1049" w:type="dxa"/>
            <w:tcBorders>
              <w:bottom w:val="single" w:color="000000" w:sz="12" w:space="0"/>
            </w:tcBorders>
            <w:vAlign w:val="center"/>
          </w:tcPr>
          <w:p w14:paraId="009492AA">
            <w:pPr>
              <w:spacing w:line="360" w:lineRule="exact"/>
              <w:jc w:val="center"/>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rPr>
              <w:t>NA</w:t>
            </w:r>
          </w:p>
        </w:tc>
        <w:tc>
          <w:tcPr>
            <w:tcW w:w="1191" w:type="dxa"/>
            <w:tcBorders>
              <w:bottom w:val="single" w:color="000000" w:sz="12" w:space="0"/>
            </w:tcBorders>
            <w:vAlign w:val="center"/>
          </w:tcPr>
          <w:p w14:paraId="23C8CF4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1030.727</w:t>
            </w:r>
          </w:p>
        </w:tc>
        <w:tc>
          <w:tcPr>
            <w:tcW w:w="2020" w:type="dxa"/>
            <w:tcBorders>
              <w:bottom w:val="single" w:color="000000" w:sz="12" w:space="0"/>
            </w:tcBorders>
            <w:vAlign w:val="center"/>
          </w:tcPr>
          <w:p w14:paraId="27A8C3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447.130</w:t>
            </w:r>
          </w:p>
        </w:tc>
        <w:tc>
          <w:tcPr>
            <w:tcW w:w="1234" w:type="dxa"/>
            <w:tcBorders>
              <w:bottom w:val="single" w:color="000000" w:sz="12" w:space="0"/>
            </w:tcBorders>
            <w:vAlign w:val="center"/>
          </w:tcPr>
          <w:p w14:paraId="39D76A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192" w:lineRule="atLeast"/>
              <w:ind w:left="0" w:right="0" w:firstLine="0"/>
              <w:jc w:val="center"/>
              <w:rPr>
                <w:rFonts w:hint="default" w:ascii="Times New Roman" w:hAnsi="Times New Roman" w:eastAsia="宋体" w:cs="Times New Roman"/>
                <w:color w:val="auto"/>
                <w:sz w:val="21"/>
                <w:szCs w:val="21"/>
                <w:lang w:eastAsia="zh-CN"/>
              </w:rPr>
            </w:pPr>
            <w:r>
              <w:rPr>
                <w:rStyle w:val="40"/>
                <w:rFonts w:hint="default" w:ascii="Times New Roman" w:hAnsi="Times New Roman" w:eastAsia="Lucida Console" w:cs="Times New Roman"/>
                <w:i w:val="0"/>
                <w:iCs w:val="0"/>
                <w:caps w:val="0"/>
                <w:color w:val="auto"/>
                <w:spacing w:val="0"/>
                <w:sz w:val="21"/>
                <w:szCs w:val="21"/>
                <w:shd w:val="clear" w:fill="FFFFFF"/>
              </w:rPr>
              <w:t>99.4</w:t>
            </w:r>
          </w:p>
        </w:tc>
      </w:tr>
    </w:tbl>
    <w:p w14:paraId="308438EA">
      <w:pPr>
        <w:spacing w:line="360" w:lineRule="exact"/>
        <w:jc w:val="center"/>
        <w:rPr>
          <w:rFonts w:hint="default" w:ascii="Times New Roman" w:hAnsi="Times New Roman" w:eastAsia="宋体" w:cs="Times New Roman"/>
          <w:color w:val="auto"/>
          <w:sz w:val="18"/>
          <w:szCs w:val="18"/>
        </w:rPr>
      </w:pPr>
      <w:r>
        <w:rPr>
          <w:rFonts w:hint="default" w:ascii="Times New Roman" w:hAnsi="Times New Roman" w:eastAsia="Times New Roman" w:cs="Times New Roman"/>
          <w:color w:val="auto"/>
          <w:sz w:val="18"/>
          <w:szCs w:val="18"/>
        </w:rPr>
        <w:t>DIC = Deviance Information Criterion</w:t>
      </w:r>
      <w:r>
        <w:rPr>
          <w:rFonts w:hint="default" w:ascii="Times New Roman" w:hAnsi="Times New Roman" w:eastAsia="宋体" w:cs="Times New Roman"/>
          <w:color w:val="auto"/>
          <w:sz w:val="18"/>
          <w:szCs w:val="18"/>
        </w:rPr>
        <w:t>,</w:t>
      </w:r>
      <w:r>
        <w:rPr>
          <w:rFonts w:hint="default" w:ascii="Times New Roman" w:hAnsi="Times New Roman" w:eastAsia="Times New Roman" w:cs="Times New Roman"/>
          <w:color w:val="auto"/>
          <w:sz w:val="18"/>
          <w:szCs w:val="18"/>
        </w:rPr>
        <w:t xml:space="preserve"> SD = Between-study Standard Deviation</w:t>
      </w:r>
      <w:r>
        <w:rPr>
          <w:rFonts w:hint="default" w:ascii="Times New Roman" w:hAnsi="Times New Roman" w:eastAsia="宋体" w:cs="Times New Roman"/>
          <w:color w:val="auto"/>
          <w:sz w:val="18"/>
          <w:szCs w:val="18"/>
        </w:rPr>
        <w:t>,</w:t>
      </w:r>
      <w:r>
        <w:rPr>
          <w:rFonts w:hint="default" w:ascii="Times New Roman" w:hAnsi="Times New Roman" w:eastAsia="Times New Roman" w:cs="Times New Roman"/>
          <w:i/>
          <w:color w:val="auto"/>
          <w:sz w:val="18"/>
          <w:szCs w:val="18"/>
        </w:rPr>
        <w:t xml:space="preserve"> </w:t>
      </w:r>
      <w:r>
        <w:rPr>
          <w:rFonts w:hint="default" w:ascii="Times New Roman" w:hAnsi="Times New Roman" w:eastAsia="Times New Roman" w:cs="Times New Roman"/>
          <w:color w:val="auto"/>
          <w:sz w:val="18"/>
          <w:szCs w:val="18"/>
        </w:rPr>
        <w:t>p</w:t>
      </w:r>
      <w:r>
        <w:rPr>
          <w:rFonts w:hint="default" w:ascii="Times New Roman" w:hAnsi="Times New Roman" w:eastAsia="宋体" w:cs="Times New Roman"/>
          <w:color w:val="auto"/>
          <w:sz w:val="18"/>
          <w:szCs w:val="18"/>
        </w:rPr>
        <w:t>V</w:t>
      </w:r>
      <w:r>
        <w:rPr>
          <w:rFonts w:hint="default" w:ascii="Times New Roman" w:hAnsi="Times New Roman" w:eastAsia="Times New Roman" w:cs="Times New Roman"/>
          <w:color w:val="auto"/>
          <w:sz w:val="18"/>
          <w:szCs w:val="18"/>
        </w:rPr>
        <w:t xml:space="preserve"> = Number of estimated parameters</w:t>
      </w:r>
      <w:r>
        <w:rPr>
          <w:rFonts w:hint="default" w:ascii="Times New Roman" w:hAnsi="Times New Roman" w:eastAsia="宋体" w:cs="Times New Roman"/>
          <w:color w:val="auto"/>
          <w:sz w:val="18"/>
          <w:szCs w:val="18"/>
        </w:rPr>
        <w:t xml:space="preserve">, </w:t>
      </w:r>
    </w:p>
    <w:p w14:paraId="5B88458B">
      <w:pPr>
        <w:spacing w:line="360" w:lineRule="exact"/>
        <w:jc w:val="center"/>
        <w:rPr>
          <w:rFonts w:hint="default" w:ascii="Times New Roman" w:hAnsi="Times New Roman" w:eastAsia="Times New Roman" w:cs="Times New Roman"/>
          <w:color w:val="auto"/>
          <w:sz w:val="18"/>
          <w:szCs w:val="18"/>
        </w:rPr>
      </w:pPr>
      <w:r>
        <w:rPr>
          <w:rFonts w:hint="default" w:ascii="Times New Roman" w:hAnsi="Times New Roman" w:eastAsia="Times New Roman" w:cs="Times New Roman"/>
          <w:color w:val="auto"/>
          <w:sz w:val="18"/>
          <w:szCs w:val="18"/>
        </w:rPr>
        <w:t>NA = Not Applicable</w:t>
      </w:r>
    </w:p>
    <w:p w14:paraId="77E0B198">
      <w:pPr>
        <w:spacing w:line="360" w:lineRule="exact"/>
        <w:jc w:val="center"/>
        <w:rPr>
          <w:rFonts w:hint="default" w:ascii="Times New Roman" w:hAnsi="Times New Roman" w:eastAsia="宋体" w:cs="Times New Roman"/>
          <w:b/>
          <w:bCs/>
          <w:color w:val="auto"/>
          <w:kern w:val="0"/>
          <w:sz w:val="22"/>
          <w:szCs w:val="22"/>
          <w:lang w:bidi="ar"/>
        </w:rPr>
      </w:pPr>
    </w:p>
    <w:p w14:paraId="58901B77">
      <w:pPr>
        <w:spacing w:line="360" w:lineRule="exact"/>
        <w:jc w:val="center"/>
        <w:rPr>
          <w:rFonts w:hint="default" w:ascii="Times New Roman" w:hAnsi="Times New Roman" w:eastAsia="宋体" w:cs="Times New Roman"/>
          <w:b/>
          <w:bCs/>
          <w:color w:val="auto"/>
          <w:kern w:val="0"/>
          <w:sz w:val="22"/>
          <w:szCs w:val="22"/>
          <w:lang w:bidi="ar"/>
        </w:rPr>
      </w:pPr>
    </w:p>
    <w:p w14:paraId="161AF784">
      <w:pPr>
        <w:spacing w:line="360" w:lineRule="exact"/>
        <w:jc w:val="center"/>
        <w:rPr>
          <w:rFonts w:hint="default" w:ascii="Times New Roman" w:hAnsi="Times New Roman" w:eastAsia="宋体" w:cs="Times New Roman"/>
          <w:b/>
          <w:bCs/>
          <w:color w:val="auto"/>
          <w:kern w:val="0"/>
          <w:sz w:val="22"/>
          <w:szCs w:val="22"/>
          <w:lang w:bidi="ar"/>
        </w:rPr>
      </w:pPr>
    </w:p>
    <w:p w14:paraId="58B23D97">
      <w:pPr>
        <w:spacing w:line="360" w:lineRule="exact"/>
        <w:jc w:val="center"/>
        <w:rPr>
          <w:rFonts w:hint="default" w:ascii="Times New Roman" w:hAnsi="Times New Roman" w:eastAsia="宋体" w:cs="Times New Roman"/>
          <w:b/>
          <w:bCs/>
          <w:color w:val="auto"/>
          <w:kern w:val="0"/>
          <w:sz w:val="22"/>
          <w:szCs w:val="22"/>
          <w:lang w:bidi="ar"/>
        </w:rPr>
      </w:pPr>
    </w:p>
    <w:p w14:paraId="7D6BC3EE">
      <w:pPr>
        <w:spacing w:line="360" w:lineRule="exact"/>
        <w:jc w:val="center"/>
        <w:rPr>
          <w:rFonts w:hint="default" w:ascii="Times New Roman" w:hAnsi="Times New Roman" w:eastAsia="宋体" w:cs="Times New Roman"/>
          <w:b/>
          <w:bCs/>
          <w:color w:val="auto"/>
          <w:kern w:val="0"/>
          <w:sz w:val="22"/>
          <w:szCs w:val="22"/>
          <w:lang w:bidi="ar"/>
        </w:rPr>
      </w:pPr>
    </w:p>
    <w:p w14:paraId="3A5E2B9C">
      <w:pPr>
        <w:spacing w:line="360" w:lineRule="exact"/>
        <w:jc w:val="center"/>
        <w:rPr>
          <w:rFonts w:hint="default" w:ascii="Times New Roman" w:hAnsi="Times New Roman" w:eastAsia="宋体" w:cs="Times New Roman"/>
          <w:b/>
          <w:bCs/>
          <w:color w:val="auto"/>
          <w:kern w:val="0"/>
          <w:sz w:val="22"/>
          <w:szCs w:val="22"/>
          <w:lang w:bidi="ar"/>
        </w:rPr>
      </w:pPr>
    </w:p>
    <w:p w14:paraId="452178F2">
      <w:pPr>
        <w:spacing w:line="360" w:lineRule="exact"/>
        <w:jc w:val="center"/>
        <w:rPr>
          <w:rFonts w:hint="default" w:ascii="Times New Roman" w:hAnsi="Times New Roman" w:eastAsia="宋体" w:cs="Times New Roman"/>
          <w:b/>
          <w:bCs/>
          <w:color w:val="auto"/>
          <w:kern w:val="0"/>
          <w:sz w:val="22"/>
          <w:szCs w:val="22"/>
          <w:lang w:bidi="ar"/>
        </w:rPr>
      </w:pPr>
    </w:p>
    <w:p w14:paraId="4A4B6900">
      <w:pPr>
        <w:spacing w:line="360" w:lineRule="exact"/>
        <w:jc w:val="center"/>
        <w:rPr>
          <w:rFonts w:hint="default" w:ascii="Times New Roman" w:hAnsi="Times New Roman" w:eastAsia="宋体" w:cs="Times New Roman"/>
          <w:b/>
          <w:bCs/>
          <w:color w:val="auto"/>
          <w:kern w:val="0"/>
          <w:sz w:val="22"/>
          <w:szCs w:val="22"/>
          <w:lang w:bidi="ar"/>
        </w:rPr>
      </w:pPr>
    </w:p>
    <w:p w14:paraId="3282D05A">
      <w:pPr>
        <w:spacing w:line="360" w:lineRule="exact"/>
        <w:jc w:val="center"/>
        <w:rPr>
          <w:rFonts w:hint="default" w:ascii="Times New Roman" w:hAnsi="Times New Roman" w:eastAsia="宋体" w:cs="Times New Roman"/>
          <w:b/>
          <w:bCs/>
          <w:color w:val="auto"/>
          <w:kern w:val="0"/>
          <w:sz w:val="22"/>
          <w:szCs w:val="22"/>
          <w:lang w:bidi="ar"/>
        </w:rPr>
      </w:pPr>
    </w:p>
    <w:p w14:paraId="48124F12">
      <w:pPr>
        <w:spacing w:line="360" w:lineRule="exact"/>
        <w:jc w:val="center"/>
        <w:rPr>
          <w:rFonts w:hint="default" w:ascii="Times New Roman" w:hAnsi="Times New Roman" w:eastAsia="宋体" w:cs="Times New Roman"/>
          <w:b/>
          <w:bCs/>
          <w:color w:val="auto"/>
          <w:kern w:val="0"/>
          <w:sz w:val="22"/>
          <w:szCs w:val="22"/>
          <w:lang w:bidi="ar"/>
        </w:rPr>
      </w:pPr>
    </w:p>
    <w:p w14:paraId="4C1C4850">
      <w:pPr>
        <w:spacing w:line="360" w:lineRule="exact"/>
        <w:jc w:val="center"/>
        <w:rPr>
          <w:rFonts w:hint="default" w:ascii="Times New Roman" w:hAnsi="Times New Roman" w:eastAsia="宋体" w:cs="Times New Roman"/>
          <w:b/>
          <w:bCs/>
          <w:color w:val="auto"/>
          <w:kern w:val="0"/>
          <w:sz w:val="22"/>
          <w:szCs w:val="22"/>
          <w:lang w:bidi="ar"/>
        </w:rPr>
      </w:pPr>
    </w:p>
    <w:p w14:paraId="7E9D9DD1">
      <w:pPr>
        <w:spacing w:line="360" w:lineRule="exact"/>
        <w:jc w:val="center"/>
        <w:rPr>
          <w:rFonts w:hint="default" w:ascii="Times New Roman" w:hAnsi="Times New Roman" w:eastAsia="宋体" w:cs="Times New Roman"/>
          <w:b/>
          <w:bCs/>
          <w:color w:val="auto"/>
          <w:kern w:val="0"/>
          <w:sz w:val="22"/>
          <w:szCs w:val="22"/>
          <w:lang w:bidi="ar"/>
        </w:rPr>
      </w:pPr>
    </w:p>
    <w:p w14:paraId="788ACC86">
      <w:pPr>
        <w:spacing w:line="360" w:lineRule="exact"/>
        <w:jc w:val="center"/>
        <w:rPr>
          <w:rFonts w:hint="default" w:ascii="Times New Roman" w:hAnsi="Times New Roman" w:eastAsia="宋体" w:cs="Times New Roman"/>
          <w:b/>
          <w:bCs/>
          <w:color w:val="auto"/>
          <w:kern w:val="0"/>
          <w:sz w:val="22"/>
          <w:szCs w:val="22"/>
          <w:lang w:bidi="ar"/>
        </w:rPr>
      </w:pPr>
    </w:p>
    <w:p w14:paraId="30D81ED1">
      <w:pPr>
        <w:spacing w:line="360" w:lineRule="exact"/>
        <w:jc w:val="center"/>
        <w:rPr>
          <w:rFonts w:hint="default" w:ascii="Times New Roman" w:hAnsi="Times New Roman" w:eastAsia="宋体" w:cs="Times New Roman"/>
          <w:b/>
          <w:bCs/>
          <w:color w:val="auto"/>
          <w:kern w:val="0"/>
          <w:sz w:val="22"/>
          <w:szCs w:val="22"/>
          <w:lang w:bidi="ar"/>
        </w:rPr>
      </w:pPr>
    </w:p>
    <w:p w14:paraId="4E798B66">
      <w:pPr>
        <w:spacing w:line="360" w:lineRule="exact"/>
        <w:jc w:val="center"/>
        <w:rPr>
          <w:rFonts w:hint="default" w:ascii="Times New Roman" w:hAnsi="Times New Roman" w:eastAsia="宋体" w:cs="Times New Roman"/>
          <w:b/>
          <w:bCs/>
          <w:color w:val="auto"/>
          <w:kern w:val="0"/>
          <w:sz w:val="22"/>
          <w:szCs w:val="22"/>
          <w:lang w:bidi="ar"/>
        </w:rPr>
      </w:pPr>
    </w:p>
    <w:p w14:paraId="65DFB070">
      <w:pPr>
        <w:spacing w:line="360" w:lineRule="exact"/>
        <w:jc w:val="center"/>
        <w:rPr>
          <w:rFonts w:hint="default" w:ascii="Times New Roman" w:hAnsi="Times New Roman" w:cs="Times New Roman"/>
          <w:color w:val="auto"/>
          <w:sz w:val="20"/>
          <w:szCs w:val="20"/>
        </w:rPr>
      </w:pPr>
      <w:r>
        <w:rPr>
          <w:rFonts w:hint="default" w:ascii="Times New Roman" w:hAnsi="Times New Roman" w:eastAsia="宋体" w:cs="Times New Roman"/>
          <w:b/>
          <w:bCs/>
          <w:color w:val="auto"/>
          <w:kern w:val="0"/>
          <w:sz w:val="22"/>
          <w:szCs w:val="22"/>
          <w:lang w:bidi="ar"/>
        </w:rPr>
        <w:drawing>
          <wp:anchor distT="0" distB="0" distL="114300" distR="114300" simplePos="0" relativeHeight="251670528" behindDoc="0" locked="0" layoutInCell="1" allowOverlap="1">
            <wp:simplePos x="0" y="0"/>
            <wp:positionH relativeFrom="column">
              <wp:posOffset>695325</wp:posOffset>
            </wp:positionH>
            <wp:positionV relativeFrom="paragraph">
              <wp:posOffset>4219575</wp:posOffset>
            </wp:positionV>
            <wp:extent cx="5257800" cy="3952875"/>
            <wp:effectExtent l="0" t="0" r="0" b="9525"/>
            <wp:wrapTopAndBottom/>
            <wp:docPr id="1238770587" name="图形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70587" name="图形 15"/>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5257800" cy="3952875"/>
                    </a:xfrm>
                    <a:prstGeom prst="rect">
                      <a:avLst/>
                    </a:prstGeom>
                  </pic:spPr>
                </pic:pic>
              </a:graphicData>
            </a:graphic>
          </wp:anchor>
        </w:drawing>
      </w:r>
      <w:r>
        <w:rPr>
          <w:rFonts w:hint="default" w:ascii="Times New Roman" w:hAnsi="Times New Roman" w:eastAsia="宋体" w:cs="Times New Roman"/>
          <w:b/>
          <w:bCs/>
          <w:color w:val="auto"/>
          <w:kern w:val="0"/>
          <w:sz w:val="22"/>
          <w:szCs w:val="22"/>
          <w:lang w:bidi="ar"/>
        </w:rPr>
        <w:drawing>
          <wp:anchor distT="0" distB="0" distL="114300" distR="114300" simplePos="0" relativeHeight="251669504" behindDoc="0" locked="0" layoutInCell="1" allowOverlap="1">
            <wp:simplePos x="0" y="0"/>
            <wp:positionH relativeFrom="column">
              <wp:posOffset>695325</wp:posOffset>
            </wp:positionH>
            <wp:positionV relativeFrom="paragraph">
              <wp:posOffset>-4445</wp:posOffset>
            </wp:positionV>
            <wp:extent cx="5257800" cy="3952875"/>
            <wp:effectExtent l="0" t="0" r="0" b="9525"/>
            <wp:wrapTopAndBottom/>
            <wp:docPr id="1315782414" name="图形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782414" name="图形 14"/>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257800" cy="3952875"/>
                    </a:xfrm>
                    <a:prstGeom prst="rect">
                      <a:avLst/>
                    </a:prstGeom>
                  </pic:spPr>
                </pic:pic>
              </a:graphicData>
            </a:graphic>
          </wp:anchor>
        </w:drawing>
      </w: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S8</w:t>
      </w:r>
      <w:r>
        <w:rPr>
          <w:rFonts w:hint="default" w:ascii="Times New Roman" w:hAnsi="Times New Roman" w:eastAsia="宋体" w:cs="Times New Roman"/>
          <w:color w:val="auto"/>
          <w:kern w:val="0"/>
          <w:sz w:val="22"/>
          <w:szCs w:val="22"/>
          <w:lang w:bidi="ar"/>
        </w:rPr>
        <w:t xml:space="preserve"> Deviance plot at overall exercise</w:t>
      </w:r>
    </w:p>
    <w:p w14:paraId="6BF92250">
      <w:pPr>
        <w:widowControl/>
        <w:spacing w:line="360" w:lineRule="exact"/>
        <w:jc w:val="center"/>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S9</w:t>
      </w:r>
      <w:r>
        <w:rPr>
          <w:rFonts w:hint="default" w:ascii="Times New Roman" w:hAnsi="Times New Roman" w:eastAsia="宋体" w:cs="Times New Roman"/>
          <w:color w:val="auto"/>
          <w:kern w:val="0"/>
          <w:sz w:val="22"/>
          <w:szCs w:val="22"/>
          <w:lang w:bidi="ar"/>
        </w:rPr>
        <w:t xml:space="preserve"> Deviance plots at treatment-level</w:t>
      </w:r>
    </w:p>
    <w:p w14:paraId="5A722618">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3BB67A24">
      <w:pPr>
        <w:widowControl/>
        <w:spacing w:line="360" w:lineRule="exact"/>
        <w:jc w:val="left"/>
        <w:rPr>
          <w:rFonts w:hint="default" w:ascii="Times New Roman" w:hAnsi="Times New Roman" w:cs="Times New Roman"/>
          <w:color w:val="auto"/>
        </w:rPr>
      </w:pPr>
    </w:p>
    <w:p w14:paraId="62789C87">
      <w:pPr>
        <w:spacing w:line="360" w:lineRule="exact"/>
        <w:rPr>
          <w:rFonts w:hint="default" w:ascii="Times New Roman" w:hAnsi="Times New Roman" w:eastAsia="宋体" w:cs="Times New Roman"/>
          <w:color w:val="auto"/>
          <w:sz w:val="20"/>
          <w:szCs w:val="20"/>
        </w:rPr>
      </w:pPr>
    </w:p>
    <w:p w14:paraId="2472F171">
      <w:pPr>
        <w:spacing w:line="360" w:lineRule="exact"/>
        <w:rPr>
          <w:rFonts w:hint="default" w:ascii="Times New Roman" w:hAnsi="Times New Roman" w:eastAsia="宋体" w:cs="Times New Roman"/>
          <w:color w:val="auto"/>
          <w:sz w:val="20"/>
          <w:szCs w:val="20"/>
        </w:rPr>
      </w:pPr>
    </w:p>
    <w:p w14:paraId="4427827E">
      <w:pPr>
        <w:widowControl/>
        <w:spacing w:line="360" w:lineRule="exact"/>
        <w:jc w:val="left"/>
        <w:outlineLvl w:val="9"/>
        <w:rPr>
          <w:rFonts w:hint="default" w:ascii="Times New Roman" w:hAnsi="Times New Roman" w:eastAsia="Cambria" w:cs="Times New Roman"/>
          <w:color w:val="auto"/>
          <w:kern w:val="0"/>
          <w:sz w:val="26"/>
          <w:szCs w:val="26"/>
          <w:lang w:bidi="ar"/>
        </w:rPr>
      </w:pPr>
      <w:r>
        <w:rPr>
          <w:rFonts w:hint="default" w:ascii="Times New Roman" w:hAnsi="Times New Roman" w:cs="Times New Roman"/>
          <w:b/>
          <w:bCs/>
          <w:color w:val="auto"/>
        </w:rPr>
        <w:t>Appendix</w:t>
      </w:r>
      <w:r>
        <w:rPr>
          <w:rFonts w:hint="default" w:ascii="Times New Roman" w:hAnsi="Times New Roman" w:cs="Times New Roman"/>
          <w:b/>
          <w:bCs/>
          <w:color w:val="auto"/>
        </w:rPr>
        <w:t xml:space="preserve"> 11</w:t>
      </w:r>
      <w:r>
        <w:rPr>
          <w:rFonts w:hint="default" w:ascii="Times New Roman" w:hAnsi="Times New Roman" w:cs="Times New Roman"/>
          <w:b/>
          <w:bCs/>
          <w:color w:val="auto"/>
        </w:rPr>
        <w:t xml:space="preserve"> </w:t>
      </w:r>
      <w:r>
        <w:rPr>
          <w:rFonts w:hint="default" w:ascii="Times New Roman" w:hAnsi="Times New Roman" w:cs="Times New Roman"/>
          <w:color w:val="auto"/>
        </w:rPr>
        <w:t>Bayesian Dose-Response Relationship</w:t>
      </w:r>
    </w:p>
    <w:p w14:paraId="3AC5F504">
      <w:pPr>
        <w:widowControl/>
        <w:spacing w:line="360" w:lineRule="exact"/>
        <w:outlineLvl w:val="9"/>
        <w:rPr>
          <w:rFonts w:hint="default" w:ascii="Times New Roman" w:hAnsi="Times New Roman" w:cs="Times New Roman"/>
          <w:color w:val="auto"/>
        </w:rPr>
      </w:pPr>
      <w:r>
        <w:rPr>
          <w:rFonts w:hint="default" w:ascii="Times New Roman" w:hAnsi="Times New Roman" w:eastAsia="宋体" w:cs="Times New Roman"/>
          <w:b/>
          <w:bCs/>
          <w:color w:val="auto"/>
          <w:kern w:val="0"/>
          <w:sz w:val="22"/>
          <w:szCs w:val="22"/>
          <w:lang w:bidi="ar"/>
        </w:rPr>
        <w:drawing>
          <wp:anchor distT="0" distB="0" distL="114300" distR="114300" simplePos="0" relativeHeight="251671552" behindDoc="0" locked="0" layoutInCell="1" allowOverlap="1">
            <wp:simplePos x="0" y="0"/>
            <wp:positionH relativeFrom="column">
              <wp:posOffset>638175</wp:posOffset>
            </wp:positionH>
            <wp:positionV relativeFrom="paragraph">
              <wp:posOffset>466725</wp:posOffset>
            </wp:positionV>
            <wp:extent cx="5305425" cy="3838575"/>
            <wp:effectExtent l="0" t="0" r="9525" b="9525"/>
            <wp:wrapTopAndBottom/>
            <wp:docPr id="1376466059" name="图形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66059" name="图形 18"/>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305425" cy="3838575"/>
                    </a:xfrm>
                    <a:prstGeom prst="rect">
                      <a:avLst/>
                    </a:prstGeom>
                  </pic:spPr>
                </pic:pic>
              </a:graphicData>
            </a:graphic>
          </wp:anchor>
        </w:drawing>
      </w:r>
      <w:r>
        <w:rPr>
          <w:rFonts w:hint="default" w:ascii="Times New Roman" w:hAnsi="Times New Roman" w:eastAsia="宋体" w:cs="Times New Roman"/>
          <w:color w:val="auto"/>
          <w:kern w:val="0"/>
          <w:sz w:val="22"/>
          <w:szCs w:val="22"/>
          <w:lang w:bidi="ar"/>
        </w:rPr>
        <w:t xml:space="preserve">(1) </w:t>
      </w:r>
      <w:r>
        <w:rPr>
          <w:rFonts w:hint="default" w:ascii="Times New Roman" w:hAnsi="Times New Roman" w:cs="Times New Roman"/>
          <w:color w:val="auto"/>
        </w:rPr>
        <w:t xml:space="preserve">Bayesian </w:t>
      </w:r>
      <w:r>
        <w:rPr>
          <w:rFonts w:hint="default" w:ascii="Times New Roman" w:hAnsi="Times New Roman" w:cs="Times New Roman"/>
          <w:color w:val="auto"/>
          <w:lang w:eastAsia="zh-CN"/>
        </w:rPr>
        <w:t>Dose-Response</w:t>
      </w:r>
      <w:r>
        <w:rPr>
          <w:rFonts w:hint="default" w:ascii="Times New Roman" w:hAnsi="Times New Roman" w:cs="Times New Roman"/>
          <w:color w:val="auto"/>
        </w:rPr>
        <w:t xml:space="preserve"> Relationship Between Exercise Dose and Visceral Adipose Tissue in Adults With Overweight or Obesity</w:t>
      </w:r>
    </w:p>
    <w:p w14:paraId="46DD43EC">
      <w:pPr>
        <w:widowControl/>
        <w:spacing w:line="360" w:lineRule="exact"/>
        <w:jc w:val="center"/>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S10</w:t>
      </w:r>
      <w:r>
        <w:rPr>
          <w:rFonts w:hint="default" w:ascii="Times New Roman" w:hAnsi="Times New Roman" w:cs="Times New Roman"/>
          <w:color w:val="auto"/>
        </w:rPr>
        <w:t xml:space="preserve"> Bayesian </w:t>
      </w:r>
      <w:r>
        <w:rPr>
          <w:rFonts w:hint="default" w:ascii="Times New Roman" w:hAnsi="Times New Roman" w:cs="Times New Roman"/>
          <w:color w:val="auto"/>
          <w:lang w:eastAsia="zh-CN"/>
        </w:rPr>
        <w:t>Dose-Response</w:t>
      </w:r>
      <w:r>
        <w:rPr>
          <w:rFonts w:hint="default" w:ascii="Times New Roman" w:hAnsi="Times New Roman" w:cs="Times New Roman"/>
          <w:color w:val="auto"/>
        </w:rPr>
        <w:t xml:space="preserve"> Relationship Between Exercise Dose and Visceral Adipose Tissue</w:t>
      </w:r>
    </w:p>
    <w:p w14:paraId="2BF358A3">
      <w:pPr>
        <w:widowControl/>
        <w:jc w:val="center"/>
        <w:rPr>
          <w:rFonts w:hint="default" w:ascii="Times New Roman" w:hAnsi="Times New Roman" w:eastAsia="宋体" w:cs="Times New Roman"/>
          <w:b/>
          <w:color w:val="auto"/>
          <w:sz w:val="28"/>
          <w:szCs w:val="28"/>
        </w:rPr>
      </w:pPr>
      <w:r>
        <w:rPr>
          <w:rFonts w:hint="default" w:ascii="Times New Roman" w:hAnsi="Times New Roman" w:eastAsia="宋体" w:cs="Times New Roman"/>
          <w:b/>
          <w:color w:val="auto"/>
          <w:sz w:val="28"/>
          <w:szCs w:val="28"/>
        </w:rPr>
        <w:drawing>
          <wp:inline distT="0" distB="0" distL="0" distR="0">
            <wp:extent cx="5257800" cy="3952875"/>
            <wp:effectExtent l="0" t="0" r="0" b="9525"/>
            <wp:docPr id="651260394" name="图形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60394" name="图形 19"/>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257800" cy="3952875"/>
                    </a:xfrm>
                    <a:prstGeom prst="rect">
                      <a:avLst/>
                    </a:prstGeom>
                  </pic:spPr>
                </pic:pic>
              </a:graphicData>
            </a:graphic>
          </wp:inline>
        </w:drawing>
      </w:r>
    </w:p>
    <w:p w14:paraId="7BB443DD">
      <w:pPr>
        <w:widowControl/>
        <w:jc w:val="center"/>
        <w:rPr>
          <w:rFonts w:hint="default" w:ascii="Times New Roman" w:hAnsi="Times New Roman" w:cs="Times New Roman"/>
          <w:color w:val="auto"/>
        </w:rPr>
      </w:pP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S11</w:t>
      </w:r>
      <w:r>
        <w:rPr>
          <w:rFonts w:hint="default" w:ascii="Times New Roman" w:hAnsi="Times New Roman" w:eastAsia="宋体" w:cs="Times New Roman"/>
          <w:color w:val="auto"/>
          <w:kern w:val="0"/>
          <w:sz w:val="22"/>
          <w:szCs w:val="22"/>
          <w:lang w:bidi="ar"/>
        </w:rPr>
        <w:t xml:space="preserve"> </w:t>
      </w:r>
      <w:r>
        <w:rPr>
          <w:rFonts w:hint="default" w:ascii="Times New Roman" w:hAnsi="Times New Roman" w:cs="Times New Roman"/>
          <w:color w:val="auto"/>
        </w:rPr>
        <w:t xml:space="preserve">Bayesian </w:t>
      </w:r>
      <w:r>
        <w:rPr>
          <w:rFonts w:hint="default" w:ascii="Times New Roman" w:hAnsi="Times New Roman" w:cs="Times New Roman"/>
          <w:color w:val="auto"/>
          <w:lang w:eastAsia="zh-CN"/>
        </w:rPr>
        <w:t>Dose-Response</w:t>
      </w:r>
      <w:r>
        <w:rPr>
          <w:rFonts w:hint="default" w:ascii="Times New Roman" w:hAnsi="Times New Roman" w:cs="Times New Roman"/>
          <w:color w:val="auto"/>
        </w:rPr>
        <w:t xml:space="preserve"> Relationships for Four Exercise Modalities</w:t>
      </w:r>
    </w:p>
    <w:p w14:paraId="57E300C5">
      <w:pPr>
        <w:widowControl/>
        <w:spacing w:line="360" w:lineRule="exact"/>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p>
    <w:p w14:paraId="5AA3C5AA">
      <w:pPr>
        <w:widowControl/>
        <w:jc w:val="center"/>
        <w:rPr>
          <w:rFonts w:hint="default" w:ascii="Times New Roman" w:hAnsi="Times New Roman" w:cs="Times New Roman"/>
          <w:color w:val="auto"/>
        </w:rPr>
      </w:pPr>
    </w:p>
    <w:p w14:paraId="06990B0F">
      <w:pPr>
        <w:widowControl/>
        <w:spacing w:line="360" w:lineRule="exact"/>
        <w:jc w:val="left"/>
        <w:outlineLvl w:val="9"/>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color w:val="auto"/>
          <w:kern w:val="0"/>
          <w:sz w:val="22"/>
          <w:szCs w:val="22"/>
          <w:lang w:bidi="ar"/>
        </w:rPr>
        <w:t xml:space="preserve">(2) </w:t>
      </w:r>
      <w:r>
        <w:rPr>
          <w:rFonts w:hint="default" w:ascii="Times New Roman" w:hAnsi="Times New Roman" w:eastAsia="宋体" w:cs="Times New Roman"/>
          <w:color w:val="auto"/>
          <w:kern w:val="0"/>
          <w:sz w:val="22"/>
          <w:szCs w:val="22"/>
          <w:lang w:bidi="ar"/>
        </w:rPr>
        <w:t>Ranking of the Effectiveness of the Four Interventions</w:t>
      </w:r>
    </w:p>
    <w:p w14:paraId="3849E244">
      <w:pPr>
        <w:widowControl/>
        <w:spacing w:line="360" w:lineRule="exact"/>
        <w:ind w:firstLine="440" w:firstLineChars="200"/>
        <w:jc w:val="left"/>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color w:val="auto"/>
          <w:kern w:val="0"/>
          <w:sz w:val="22"/>
          <w:szCs w:val="22"/>
          <w:lang w:bidi="ar"/>
        </w:rPr>
        <w:drawing>
          <wp:anchor distT="0" distB="0" distL="114300" distR="114300" simplePos="0" relativeHeight="251672576" behindDoc="0" locked="0" layoutInCell="1" allowOverlap="1">
            <wp:simplePos x="0" y="0"/>
            <wp:positionH relativeFrom="column">
              <wp:posOffset>695325</wp:posOffset>
            </wp:positionH>
            <wp:positionV relativeFrom="paragraph">
              <wp:posOffset>544830</wp:posOffset>
            </wp:positionV>
            <wp:extent cx="5257800" cy="3952875"/>
            <wp:effectExtent l="0" t="0" r="0" b="9525"/>
            <wp:wrapTopAndBottom/>
            <wp:docPr id="1548010492" name="图形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010492" name="图形 20"/>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257800" cy="3952875"/>
                    </a:xfrm>
                    <a:prstGeom prst="rect">
                      <a:avLst/>
                    </a:prstGeom>
                  </pic:spPr>
                </pic:pic>
              </a:graphicData>
            </a:graphic>
          </wp:anchor>
        </w:drawing>
      </w:r>
      <w:r>
        <w:rPr>
          <w:rFonts w:hint="default" w:ascii="Times New Roman" w:hAnsi="Times New Roman" w:eastAsia="宋体" w:cs="Times New Roman"/>
          <w:color w:val="auto"/>
          <w:kern w:val="0"/>
          <w:sz w:val="22"/>
          <w:szCs w:val="22"/>
          <w:lang w:bidi="ar"/>
        </w:rPr>
        <w:t xml:space="preserve"> Figure S1</w:t>
      </w:r>
      <w:r>
        <w:rPr>
          <w:rFonts w:hint="default" w:ascii="Times New Roman" w:hAnsi="Times New Roman" w:eastAsia="宋体" w:cs="Times New Roman"/>
          <w:color w:val="auto"/>
          <w:kern w:val="0"/>
          <w:sz w:val="22"/>
          <w:szCs w:val="22"/>
          <w:lang w:val="en-US" w:eastAsia="zh-CN" w:bidi="ar"/>
        </w:rPr>
        <w:t>2</w:t>
      </w:r>
      <w:r>
        <w:rPr>
          <w:rFonts w:hint="default" w:ascii="Times New Roman" w:hAnsi="Times New Roman" w:eastAsia="宋体" w:cs="Times New Roman"/>
          <w:color w:val="auto"/>
          <w:kern w:val="0"/>
          <w:sz w:val="22"/>
          <w:szCs w:val="22"/>
          <w:lang w:bidi="ar"/>
        </w:rPr>
        <w:t xml:space="preserve"> shows the probability of the four interventions being ranked from best to worst (estimated after up to 5000 iterations).</w:t>
      </w:r>
    </w:p>
    <w:p w14:paraId="5DEDBAC9">
      <w:pPr>
        <w:widowControl/>
        <w:jc w:val="center"/>
        <w:rPr>
          <w:rFonts w:hint="default" w:ascii="Times New Roman" w:hAnsi="Times New Roman" w:eastAsia="宋体" w:cs="Times New Roman"/>
          <w:color w:val="auto"/>
          <w:kern w:val="0"/>
          <w:sz w:val="22"/>
          <w:szCs w:val="22"/>
          <w:lang w:bidi="ar"/>
        </w:rPr>
      </w:pPr>
      <w:r>
        <w:rPr>
          <w:rFonts w:hint="default" w:ascii="Times New Roman" w:hAnsi="Times New Roman" w:eastAsia="宋体" w:cs="Times New Roman"/>
          <w:b/>
          <w:bCs/>
          <w:color w:val="auto"/>
          <w:kern w:val="0"/>
          <w:sz w:val="22"/>
          <w:szCs w:val="22"/>
          <w:lang w:bidi="ar"/>
        </w:rPr>
        <w:t xml:space="preserve">Figure </w:t>
      </w:r>
      <w:r>
        <w:rPr>
          <w:rFonts w:hint="default" w:ascii="Times New Roman" w:hAnsi="Times New Roman" w:eastAsia="宋体" w:cs="Times New Roman"/>
          <w:b/>
          <w:bCs/>
          <w:color w:val="auto"/>
          <w:kern w:val="0"/>
          <w:sz w:val="22"/>
          <w:szCs w:val="22"/>
          <w:lang w:bidi="ar"/>
        </w:rPr>
        <w:t>S12</w:t>
      </w:r>
      <w:r>
        <w:rPr>
          <w:rFonts w:hint="default" w:ascii="Times New Roman" w:hAnsi="Times New Roman" w:eastAsia="宋体" w:cs="Times New Roman"/>
          <w:color w:val="auto"/>
          <w:kern w:val="0"/>
          <w:sz w:val="22"/>
          <w:szCs w:val="22"/>
          <w:lang w:bidi="ar"/>
        </w:rPr>
        <w:t xml:space="preserve"> Effectiveness Ranking of the Four Exercise Interventions</w:t>
      </w:r>
    </w:p>
    <w:p w14:paraId="64E52789">
      <w:pPr>
        <w:widowControl/>
        <w:jc w:val="center"/>
        <w:rPr>
          <w:rFonts w:hint="default" w:ascii="Times New Roman" w:hAnsi="Times New Roman" w:cs="Times New Roman"/>
          <w:b/>
          <w:bCs/>
          <w:color w:val="auto"/>
        </w:rPr>
      </w:pPr>
      <w:r>
        <w:rPr>
          <w:rFonts w:hint="default" w:ascii="Times New Roman" w:hAnsi="Times New Roman" w:eastAsia="宋体" w:cs="Times New Roman"/>
          <w:color w:val="auto"/>
          <w:kern w:val="0"/>
          <w:sz w:val="18"/>
          <w:szCs w:val="18"/>
          <w:lang w:bidi="ar"/>
        </w:rPr>
        <w:t xml:space="preserve">AE = Aerobic </w:t>
      </w:r>
      <w:r>
        <w:rPr>
          <w:rFonts w:hint="default" w:ascii="Times New Roman" w:hAnsi="Times New Roman" w:eastAsia="宋体" w:cs="Times New Roman"/>
          <w:color w:val="auto"/>
          <w:kern w:val="0"/>
          <w:sz w:val="18"/>
          <w:szCs w:val="18"/>
          <w:lang w:bidi="ar"/>
        </w:rPr>
        <w:t>e</w:t>
      </w:r>
      <w:r>
        <w:rPr>
          <w:rFonts w:hint="default" w:ascii="Times New Roman" w:hAnsi="Times New Roman" w:eastAsia="宋体" w:cs="Times New Roman"/>
          <w:color w:val="auto"/>
          <w:kern w:val="0"/>
          <w:sz w:val="18"/>
          <w:szCs w:val="18"/>
          <w:lang w:bidi="ar"/>
        </w:rPr>
        <w:t>xercise,</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 xml:space="preserve">RT = Resistance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COM = </w:t>
      </w:r>
      <w:r>
        <w:rPr>
          <w:rFonts w:hint="default" w:ascii="Times New Roman" w:hAnsi="Times New Roman" w:eastAsia="宋体" w:cs="Times New Roman"/>
          <w:color w:val="auto"/>
          <w:kern w:val="0"/>
          <w:sz w:val="18"/>
          <w:szCs w:val="18"/>
          <w:lang w:bidi="ar"/>
        </w:rPr>
        <w:t>Combined</w:t>
      </w:r>
      <w:r>
        <w:rPr>
          <w:rFonts w:hint="default" w:ascii="Times New Roman" w:hAnsi="Times New Roman" w:eastAsia="宋体" w:cs="Times New Roman"/>
          <w:color w:val="auto"/>
          <w:kern w:val="0"/>
          <w:sz w:val="18"/>
          <w:szCs w:val="18"/>
          <w:lang w:bidi="ar"/>
        </w:rPr>
        <w:t xml:space="preserve"> a</w:t>
      </w:r>
      <w:r>
        <w:rPr>
          <w:rFonts w:hint="default" w:ascii="Times New Roman" w:hAnsi="Times New Roman" w:eastAsia="宋体" w:cs="Times New Roman"/>
          <w:color w:val="auto"/>
          <w:kern w:val="0"/>
          <w:sz w:val="18"/>
          <w:szCs w:val="18"/>
          <w:lang w:bidi="ar"/>
        </w:rPr>
        <w:t xml:space="preserve">erobic and </w:t>
      </w:r>
      <w:r>
        <w:rPr>
          <w:rFonts w:hint="default" w:ascii="Times New Roman" w:hAnsi="Times New Roman" w:eastAsia="宋体" w:cs="Times New Roman"/>
          <w:color w:val="auto"/>
          <w:kern w:val="0"/>
          <w:sz w:val="18"/>
          <w:szCs w:val="18"/>
          <w:lang w:bidi="ar"/>
        </w:rPr>
        <w:t>r</w:t>
      </w:r>
      <w:r>
        <w:rPr>
          <w:rFonts w:hint="default" w:ascii="Times New Roman" w:hAnsi="Times New Roman" w:eastAsia="宋体" w:cs="Times New Roman"/>
          <w:color w:val="auto"/>
          <w:kern w:val="0"/>
          <w:sz w:val="18"/>
          <w:szCs w:val="18"/>
          <w:lang w:bidi="ar"/>
        </w:rPr>
        <w:t xml:space="preserve">esistance </w:t>
      </w:r>
      <w:r>
        <w:rPr>
          <w:rFonts w:hint="default" w:ascii="Times New Roman" w:hAnsi="Times New Roman" w:eastAsia="宋体" w:cs="Times New Roman"/>
          <w:color w:val="auto"/>
          <w:kern w:val="0"/>
          <w:sz w:val="18"/>
          <w:szCs w:val="18"/>
          <w:lang w:bidi="ar"/>
        </w:rPr>
        <w:t>t</w:t>
      </w:r>
      <w:r>
        <w:rPr>
          <w:rFonts w:hint="default" w:ascii="Times New Roman" w:hAnsi="Times New Roman" w:eastAsia="宋体" w:cs="Times New Roman"/>
          <w:color w:val="auto"/>
          <w:kern w:val="0"/>
          <w:sz w:val="18"/>
          <w:szCs w:val="18"/>
          <w:lang w:bidi="ar"/>
        </w:rPr>
        <w:t>raining,</w:t>
      </w:r>
      <w:r>
        <w:rPr>
          <w:rFonts w:hint="default" w:ascii="Times New Roman" w:hAnsi="Times New Roman" w:eastAsia="宋体" w:cs="Times New Roman"/>
          <w:color w:val="auto"/>
          <w:kern w:val="0"/>
          <w:sz w:val="18"/>
          <w:szCs w:val="18"/>
          <w:lang w:bidi="ar"/>
        </w:rPr>
        <w:t xml:space="preserve"> HIIT = </w:t>
      </w:r>
      <w:r>
        <w:rPr>
          <w:rFonts w:hint="default" w:ascii="Times New Roman" w:hAnsi="Times New Roman" w:eastAsia="宋体" w:cs="Times New Roman"/>
          <w:color w:val="auto"/>
          <w:kern w:val="0"/>
          <w:sz w:val="18"/>
          <w:szCs w:val="18"/>
          <w:lang w:bidi="ar"/>
        </w:rPr>
        <w:t>High-intensity interval training</w:t>
      </w:r>
      <w:r>
        <w:rPr>
          <w:rFonts w:hint="default" w:ascii="Times New Roman" w:hAnsi="Times New Roman" w:eastAsia="宋体" w:cs="Times New Roman"/>
          <w:color w:val="auto"/>
          <w:kern w:val="0"/>
          <w:sz w:val="18"/>
          <w:szCs w:val="18"/>
          <w:lang w:bidi="ar"/>
        </w:rPr>
        <w:t>, Placebo =</w:t>
      </w:r>
      <w:r>
        <w:rPr>
          <w:rFonts w:hint="default" w:ascii="Times New Roman" w:hAnsi="Times New Roman" w:eastAsia="宋体" w:cs="Times New Roman"/>
          <w:color w:val="auto"/>
          <w:kern w:val="0"/>
          <w:sz w:val="18"/>
          <w:szCs w:val="18"/>
          <w:lang w:bidi="ar"/>
        </w:rPr>
        <w:t xml:space="preserve"> </w:t>
      </w:r>
      <w:r>
        <w:rPr>
          <w:rFonts w:hint="default" w:ascii="Times New Roman" w:hAnsi="Times New Roman" w:eastAsia="宋体" w:cs="Times New Roman"/>
          <w:color w:val="auto"/>
          <w:kern w:val="0"/>
          <w:sz w:val="18"/>
          <w:szCs w:val="18"/>
          <w:lang w:bidi="ar"/>
        </w:rPr>
        <w:t>C</w:t>
      </w:r>
      <w:r>
        <w:rPr>
          <w:rFonts w:hint="default" w:ascii="Times New Roman" w:hAnsi="Times New Roman" w:eastAsia="宋体" w:cs="Times New Roman"/>
          <w:color w:val="auto"/>
          <w:kern w:val="0"/>
          <w:sz w:val="18"/>
          <w:szCs w:val="18"/>
          <w:lang w:bidi="ar"/>
        </w:rPr>
        <w:t>ontrol</w:t>
      </w:r>
    </w:p>
    <w:p w14:paraId="113C20E6">
      <w:pPr>
        <w:widowControl/>
        <w:spacing w:line="360" w:lineRule="exact"/>
        <w:jc w:val="center"/>
        <w:rPr>
          <w:rFonts w:hint="default" w:ascii="Times New Roman" w:hAnsi="Times New Roman" w:eastAsia="宋体" w:cs="Times New Roman"/>
          <w:b/>
          <w:bCs/>
          <w:color w:val="auto"/>
          <w:kern w:val="0"/>
          <w:sz w:val="22"/>
          <w:szCs w:val="22"/>
          <w:lang w:bidi="ar"/>
        </w:rPr>
      </w:pPr>
    </w:p>
    <w:p w14:paraId="05A9A2DB">
      <w:pPr>
        <w:widowControl/>
        <w:spacing w:line="360" w:lineRule="exact"/>
        <w:jc w:val="center"/>
        <w:rPr>
          <w:rFonts w:hint="default" w:ascii="Times New Roman" w:hAnsi="Times New Roman" w:cs="Times New Roman"/>
          <w:color w:val="auto"/>
          <w:sz w:val="22"/>
          <w:szCs w:val="22"/>
        </w:rPr>
      </w:pPr>
      <w:r>
        <w:rPr>
          <w:rFonts w:hint="default" w:ascii="Times New Roman" w:hAnsi="Times New Roman" w:eastAsia="宋体" w:cs="Times New Roman"/>
          <w:b/>
          <w:bCs/>
          <w:color w:val="auto"/>
          <w:kern w:val="0"/>
          <w:sz w:val="22"/>
          <w:szCs w:val="22"/>
          <w:lang w:bidi="ar"/>
        </w:rPr>
        <w:t xml:space="preserve">Table </w:t>
      </w:r>
      <w:r>
        <w:rPr>
          <w:rFonts w:hint="default" w:ascii="Times New Roman" w:hAnsi="Times New Roman" w:eastAsia="宋体" w:cs="Times New Roman"/>
          <w:b/>
          <w:bCs/>
          <w:color w:val="auto"/>
          <w:kern w:val="0"/>
          <w:sz w:val="22"/>
          <w:szCs w:val="22"/>
          <w:lang w:bidi="ar"/>
        </w:rPr>
        <w:t>S12</w:t>
      </w:r>
      <w:r>
        <w:rPr>
          <w:rFonts w:hint="default" w:ascii="Times New Roman" w:hAnsi="Times New Roman" w:eastAsia="宋体" w:cs="Times New Roman"/>
          <w:color w:val="auto"/>
          <w:kern w:val="0"/>
          <w:sz w:val="22"/>
          <w:szCs w:val="22"/>
          <w:lang w:bidi="ar"/>
        </w:rPr>
        <w:t xml:space="preserve"> Predictions ranking (from best to worst)</w:t>
      </w:r>
    </w:p>
    <w:tbl>
      <w:tblPr>
        <w:tblStyle w:val="6"/>
        <w:tblW w:w="9097" w:type="dxa"/>
        <w:jc w:val="center"/>
        <w:tblLayout w:type="autofit"/>
        <w:tblCellMar>
          <w:top w:w="0" w:type="dxa"/>
          <w:left w:w="108" w:type="dxa"/>
          <w:bottom w:w="0" w:type="dxa"/>
          <w:right w:w="108" w:type="dxa"/>
        </w:tblCellMar>
      </w:tblPr>
      <w:tblGrid>
        <w:gridCol w:w="1982"/>
        <w:gridCol w:w="1980"/>
        <w:gridCol w:w="1980"/>
        <w:gridCol w:w="1980"/>
        <w:gridCol w:w="1175"/>
      </w:tblGrid>
      <w:tr w14:paraId="072005E4">
        <w:tblPrEx>
          <w:tblCellMar>
            <w:top w:w="0" w:type="dxa"/>
            <w:left w:w="108" w:type="dxa"/>
            <w:bottom w:w="0" w:type="dxa"/>
            <w:right w:w="108" w:type="dxa"/>
          </w:tblCellMar>
        </w:tblPrEx>
        <w:trPr>
          <w:trHeight w:val="340" w:hRule="atLeast"/>
          <w:jc w:val="center"/>
        </w:trPr>
        <w:tc>
          <w:tcPr>
            <w:tcW w:w="1982" w:type="dxa"/>
            <w:tcBorders>
              <w:top w:val="single" w:color="auto" w:sz="12" w:space="0"/>
              <w:left w:val="nil"/>
              <w:bottom w:val="single" w:color="auto" w:sz="6" w:space="0"/>
              <w:right w:val="nil"/>
            </w:tcBorders>
            <w:noWrap/>
            <w:vAlign w:val="center"/>
          </w:tcPr>
          <w:p w14:paraId="3891260A">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b/>
                <w:bCs/>
                <w:color w:val="auto"/>
                <w:kern w:val="0"/>
                <w:sz w:val="22"/>
                <w:szCs w:val="22"/>
              </w:rPr>
              <w:t>Treatment</w:t>
            </w:r>
          </w:p>
        </w:tc>
        <w:tc>
          <w:tcPr>
            <w:tcW w:w="1980" w:type="dxa"/>
            <w:tcBorders>
              <w:top w:val="single" w:color="auto" w:sz="12" w:space="0"/>
              <w:left w:val="nil"/>
              <w:bottom w:val="single" w:color="auto" w:sz="6" w:space="0"/>
              <w:right w:val="nil"/>
            </w:tcBorders>
            <w:noWrap/>
            <w:vAlign w:val="center"/>
          </w:tcPr>
          <w:p w14:paraId="336D1783">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b/>
                <w:bCs/>
                <w:color w:val="auto"/>
                <w:kern w:val="0"/>
                <w:sz w:val="22"/>
                <w:szCs w:val="22"/>
              </w:rPr>
              <w:t>Mean</w:t>
            </w:r>
          </w:p>
        </w:tc>
        <w:tc>
          <w:tcPr>
            <w:tcW w:w="1980" w:type="dxa"/>
            <w:tcBorders>
              <w:top w:val="single" w:color="auto" w:sz="12" w:space="0"/>
              <w:left w:val="nil"/>
              <w:bottom w:val="single" w:color="auto" w:sz="6" w:space="0"/>
              <w:right w:val="nil"/>
            </w:tcBorders>
            <w:noWrap/>
            <w:vAlign w:val="center"/>
          </w:tcPr>
          <w:p w14:paraId="7B2BDA2C">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b/>
                <w:bCs/>
                <w:color w:val="auto"/>
                <w:kern w:val="0"/>
                <w:sz w:val="22"/>
                <w:szCs w:val="22"/>
              </w:rPr>
              <w:t>Median</w:t>
            </w:r>
          </w:p>
        </w:tc>
        <w:tc>
          <w:tcPr>
            <w:tcW w:w="1980" w:type="dxa"/>
            <w:tcBorders>
              <w:top w:val="single" w:color="auto" w:sz="12" w:space="0"/>
              <w:left w:val="nil"/>
              <w:bottom w:val="single" w:color="auto" w:sz="6" w:space="0"/>
              <w:right w:val="nil"/>
            </w:tcBorders>
            <w:noWrap/>
            <w:vAlign w:val="center"/>
          </w:tcPr>
          <w:p w14:paraId="5C5DC52A">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b/>
                <w:bCs/>
                <w:color w:val="auto"/>
                <w:kern w:val="0"/>
                <w:sz w:val="22"/>
                <w:szCs w:val="22"/>
              </w:rPr>
              <w:t>2.50%</w:t>
            </w:r>
          </w:p>
        </w:tc>
        <w:tc>
          <w:tcPr>
            <w:tcW w:w="1175" w:type="dxa"/>
            <w:tcBorders>
              <w:top w:val="single" w:color="auto" w:sz="12" w:space="0"/>
              <w:left w:val="nil"/>
              <w:bottom w:val="single" w:color="auto" w:sz="6" w:space="0"/>
              <w:right w:val="nil"/>
            </w:tcBorders>
            <w:noWrap/>
            <w:vAlign w:val="center"/>
          </w:tcPr>
          <w:p w14:paraId="1461CDC7">
            <w:pPr>
              <w:widowControl/>
              <w:jc w:val="center"/>
              <w:rPr>
                <w:rFonts w:hint="default" w:ascii="Times New Roman" w:hAnsi="Times New Roman" w:eastAsia="宋体" w:cs="Times New Roman"/>
                <w:b/>
                <w:bCs/>
                <w:color w:val="auto"/>
                <w:kern w:val="0"/>
                <w:sz w:val="22"/>
                <w:szCs w:val="22"/>
              </w:rPr>
            </w:pPr>
            <w:r>
              <w:rPr>
                <w:rFonts w:hint="default" w:ascii="Times New Roman" w:hAnsi="Times New Roman" w:eastAsia="宋体" w:cs="Times New Roman"/>
                <w:b/>
                <w:bCs/>
                <w:color w:val="auto"/>
                <w:kern w:val="0"/>
                <w:sz w:val="22"/>
                <w:szCs w:val="22"/>
              </w:rPr>
              <w:t>97.50%</w:t>
            </w:r>
          </w:p>
        </w:tc>
      </w:tr>
      <w:tr w14:paraId="61FF483B">
        <w:tblPrEx>
          <w:tblCellMar>
            <w:top w:w="0" w:type="dxa"/>
            <w:left w:w="108" w:type="dxa"/>
            <w:bottom w:w="0" w:type="dxa"/>
            <w:right w:w="108" w:type="dxa"/>
          </w:tblCellMar>
        </w:tblPrEx>
        <w:trPr>
          <w:trHeight w:val="340" w:hRule="atLeast"/>
          <w:jc w:val="center"/>
        </w:trPr>
        <w:tc>
          <w:tcPr>
            <w:tcW w:w="1982" w:type="dxa"/>
            <w:tcBorders>
              <w:top w:val="single" w:color="auto" w:sz="6" w:space="0"/>
              <w:left w:val="nil"/>
              <w:bottom w:val="nil"/>
              <w:right w:val="nil"/>
            </w:tcBorders>
            <w:noWrap/>
            <w:vAlign w:val="center"/>
          </w:tcPr>
          <w:p w14:paraId="728EB0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COM_560</w:t>
            </w:r>
          </w:p>
        </w:tc>
        <w:tc>
          <w:tcPr>
            <w:tcW w:w="1980" w:type="dxa"/>
            <w:tcBorders>
              <w:top w:val="single" w:color="auto" w:sz="6" w:space="0"/>
              <w:left w:val="nil"/>
              <w:bottom w:val="nil"/>
              <w:right w:val="nil"/>
            </w:tcBorders>
            <w:noWrap/>
            <w:vAlign w:val="center"/>
          </w:tcPr>
          <w:p w14:paraId="6727522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4.81</w:t>
            </w:r>
          </w:p>
        </w:tc>
        <w:tc>
          <w:tcPr>
            <w:tcW w:w="1980" w:type="dxa"/>
            <w:tcBorders>
              <w:top w:val="single" w:color="auto" w:sz="6" w:space="0"/>
              <w:left w:val="nil"/>
              <w:bottom w:val="nil"/>
              <w:right w:val="nil"/>
            </w:tcBorders>
            <w:noWrap/>
            <w:vAlign w:val="center"/>
          </w:tcPr>
          <w:p w14:paraId="6A87E0B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w:t>
            </w:r>
          </w:p>
        </w:tc>
        <w:tc>
          <w:tcPr>
            <w:tcW w:w="1980" w:type="dxa"/>
            <w:tcBorders>
              <w:top w:val="single" w:color="auto" w:sz="6" w:space="0"/>
              <w:left w:val="nil"/>
              <w:bottom w:val="nil"/>
              <w:right w:val="nil"/>
            </w:tcBorders>
            <w:noWrap/>
            <w:vAlign w:val="center"/>
          </w:tcPr>
          <w:p w14:paraId="79C47C9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single" w:color="auto" w:sz="6" w:space="0"/>
              <w:left w:val="nil"/>
              <w:bottom w:val="nil"/>
              <w:right w:val="nil"/>
            </w:tcBorders>
            <w:noWrap/>
            <w:vAlign w:val="center"/>
          </w:tcPr>
          <w:p w14:paraId="01EC518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w:t>
            </w:r>
          </w:p>
        </w:tc>
      </w:tr>
      <w:tr w14:paraId="1B65970B">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982EA2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COM_670</w:t>
            </w:r>
          </w:p>
        </w:tc>
        <w:tc>
          <w:tcPr>
            <w:tcW w:w="1980" w:type="dxa"/>
            <w:tcBorders>
              <w:top w:val="nil"/>
              <w:left w:val="nil"/>
              <w:bottom w:val="nil"/>
              <w:right w:val="nil"/>
            </w:tcBorders>
            <w:noWrap/>
            <w:vAlign w:val="center"/>
          </w:tcPr>
          <w:p w14:paraId="4E5CFE0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5.33</w:t>
            </w:r>
          </w:p>
        </w:tc>
        <w:tc>
          <w:tcPr>
            <w:tcW w:w="1980" w:type="dxa"/>
            <w:tcBorders>
              <w:top w:val="nil"/>
              <w:left w:val="nil"/>
              <w:bottom w:val="nil"/>
              <w:right w:val="nil"/>
            </w:tcBorders>
            <w:noWrap/>
            <w:vAlign w:val="center"/>
          </w:tcPr>
          <w:p w14:paraId="60895C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w:t>
            </w:r>
          </w:p>
        </w:tc>
        <w:tc>
          <w:tcPr>
            <w:tcW w:w="1980" w:type="dxa"/>
            <w:tcBorders>
              <w:top w:val="nil"/>
              <w:left w:val="nil"/>
              <w:bottom w:val="nil"/>
              <w:right w:val="nil"/>
            </w:tcBorders>
            <w:noWrap/>
            <w:vAlign w:val="center"/>
          </w:tcPr>
          <w:p w14:paraId="10AFA40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nil"/>
              <w:left w:val="nil"/>
              <w:bottom w:val="nil"/>
              <w:right w:val="nil"/>
            </w:tcBorders>
            <w:noWrap/>
            <w:vAlign w:val="center"/>
          </w:tcPr>
          <w:p w14:paraId="3D34531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21</w:t>
            </w:r>
          </w:p>
        </w:tc>
      </w:tr>
      <w:tr w14:paraId="4FEC81D0">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23603F1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COM_440</w:t>
            </w:r>
          </w:p>
        </w:tc>
        <w:tc>
          <w:tcPr>
            <w:tcW w:w="1980" w:type="dxa"/>
            <w:tcBorders>
              <w:top w:val="nil"/>
              <w:left w:val="nil"/>
              <w:bottom w:val="nil"/>
              <w:right w:val="nil"/>
            </w:tcBorders>
            <w:noWrap/>
            <w:vAlign w:val="center"/>
          </w:tcPr>
          <w:p w14:paraId="3E62054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7.27</w:t>
            </w:r>
          </w:p>
        </w:tc>
        <w:tc>
          <w:tcPr>
            <w:tcW w:w="1980" w:type="dxa"/>
            <w:tcBorders>
              <w:top w:val="nil"/>
              <w:left w:val="nil"/>
              <w:bottom w:val="nil"/>
              <w:right w:val="nil"/>
            </w:tcBorders>
            <w:noWrap/>
            <w:vAlign w:val="center"/>
          </w:tcPr>
          <w:p w14:paraId="5170D1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980" w:type="dxa"/>
            <w:tcBorders>
              <w:top w:val="nil"/>
              <w:left w:val="nil"/>
              <w:bottom w:val="nil"/>
              <w:right w:val="nil"/>
            </w:tcBorders>
            <w:noWrap/>
            <w:vAlign w:val="center"/>
          </w:tcPr>
          <w:p w14:paraId="701C46C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w:t>
            </w:r>
          </w:p>
        </w:tc>
        <w:tc>
          <w:tcPr>
            <w:tcW w:w="1175" w:type="dxa"/>
            <w:tcBorders>
              <w:top w:val="nil"/>
              <w:left w:val="nil"/>
              <w:bottom w:val="nil"/>
              <w:right w:val="nil"/>
            </w:tcBorders>
            <w:noWrap/>
            <w:vAlign w:val="center"/>
          </w:tcPr>
          <w:p w14:paraId="07D34AE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26</w:t>
            </w:r>
          </w:p>
        </w:tc>
      </w:tr>
      <w:tr w14:paraId="6D1D2F0B">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F3CEDD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COM_780</w:t>
            </w:r>
          </w:p>
        </w:tc>
        <w:tc>
          <w:tcPr>
            <w:tcW w:w="1980" w:type="dxa"/>
            <w:tcBorders>
              <w:top w:val="nil"/>
              <w:left w:val="nil"/>
              <w:bottom w:val="nil"/>
              <w:right w:val="nil"/>
            </w:tcBorders>
            <w:noWrap/>
            <w:vAlign w:val="center"/>
          </w:tcPr>
          <w:p w14:paraId="1F7E274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7.67</w:t>
            </w:r>
          </w:p>
        </w:tc>
        <w:tc>
          <w:tcPr>
            <w:tcW w:w="1980" w:type="dxa"/>
            <w:tcBorders>
              <w:top w:val="nil"/>
              <w:left w:val="nil"/>
              <w:bottom w:val="nil"/>
              <w:right w:val="nil"/>
            </w:tcBorders>
            <w:noWrap/>
            <w:vAlign w:val="center"/>
          </w:tcPr>
          <w:p w14:paraId="45B6A40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w:t>
            </w:r>
          </w:p>
        </w:tc>
        <w:tc>
          <w:tcPr>
            <w:tcW w:w="1980" w:type="dxa"/>
            <w:tcBorders>
              <w:top w:val="nil"/>
              <w:left w:val="nil"/>
              <w:bottom w:val="nil"/>
              <w:right w:val="nil"/>
            </w:tcBorders>
            <w:noWrap/>
            <w:vAlign w:val="center"/>
          </w:tcPr>
          <w:p w14:paraId="0ABF0EA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w:t>
            </w:r>
          </w:p>
        </w:tc>
        <w:tc>
          <w:tcPr>
            <w:tcW w:w="1175" w:type="dxa"/>
            <w:tcBorders>
              <w:top w:val="nil"/>
              <w:left w:val="nil"/>
              <w:bottom w:val="nil"/>
              <w:right w:val="nil"/>
            </w:tcBorders>
            <w:noWrap/>
            <w:vAlign w:val="center"/>
          </w:tcPr>
          <w:p w14:paraId="5EA14D3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20.03</w:t>
            </w:r>
          </w:p>
        </w:tc>
      </w:tr>
      <w:tr w14:paraId="5D3A4984">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3A2ABF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AE_1300</w:t>
            </w:r>
          </w:p>
        </w:tc>
        <w:tc>
          <w:tcPr>
            <w:tcW w:w="1980" w:type="dxa"/>
            <w:tcBorders>
              <w:top w:val="nil"/>
              <w:left w:val="nil"/>
              <w:bottom w:val="nil"/>
              <w:right w:val="nil"/>
            </w:tcBorders>
            <w:noWrap/>
            <w:vAlign w:val="center"/>
          </w:tcPr>
          <w:p w14:paraId="62AAE23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10.45</w:t>
            </w:r>
          </w:p>
        </w:tc>
        <w:tc>
          <w:tcPr>
            <w:tcW w:w="1980" w:type="dxa"/>
            <w:tcBorders>
              <w:top w:val="nil"/>
              <w:left w:val="nil"/>
              <w:bottom w:val="nil"/>
              <w:right w:val="nil"/>
            </w:tcBorders>
            <w:noWrap/>
            <w:vAlign w:val="center"/>
          </w:tcPr>
          <w:p w14:paraId="50B6260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9</w:t>
            </w:r>
          </w:p>
        </w:tc>
        <w:tc>
          <w:tcPr>
            <w:tcW w:w="1980" w:type="dxa"/>
            <w:tcBorders>
              <w:top w:val="nil"/>
              <w:left w:val="nil"/>
              <w:bottom w:val="nil"/>
              <w:right w:val="nil"/>
            </w:tcBorders>
            <w:noWrap/>
            <w:vAlign w:val="center"/>
          </w:tcPr>
          <w:p w14:paraId="76DD117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w:t>
            </w:r>
          </w:p>
        </w:tc>
        <w:tc>
          <w:tcPr>
            <w:tcW w:w="1175" w:type="dxa"/>
            <w:tcBorders>
              <w:top w:val="nil"/>
              <w:left w:val="nil"/>
              <w:bottom w:val="nil"/>
              <w:right w:val="nil"/>
            </w:tcBorders>
            <w:noWrap/>
            <w:vAlign w:val="center"/>
          </w:tcPr>
          <w:p w14:paraId="19F4BE6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r>
      <w:tr w14:paraId="7248E1F2">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202338B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AE_1500</w:t>
            </w:r>
          </w:p>
        </w:tc>
        <w:tc>
          <w:tcPr>
            <w:tcW w:w="1980" w:type="dxa"/>
            <w:tcBorders>
              <w:top w:val="nil"/>
              <w:left w:val="nil"/>
              <w:bottom w:val="nil"/>
              <w:right w:val="nil"/>
            </w:tcBorders>
            <w:noWrap/>
            <w:vAlign w:val="center"/>
          </w:tcPr>
          <w:p w14:paraId="02430C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10.61</w:t>
            </w:r>
          </w:p>
        </w:tc>
        <w:tc>
          <w:tcPr>
            <w:tcW w:w="1980" w:type="dxa"/>
            <w:tcBorders>
              <w:top w:val="nil"/>
              <w:left w:val="nil"/>
              <w:bottom w:val="nil"/>
              <w:right w:val="nil"/>
            </w:tcBorders>
            <w:noWrap/>
            <w:vAlign w:val="center"/>
          </w:tcPr>
          <w:p w14:paraId="6143BD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w:t>
            </w:r>
          </w:p>
        </w:tc>
        <w:tc>
          <w:tcPr>
            <w:tcW w:w="1980" w:type="dxa"/>
            <w:tcBorders>
              <w:top w:val="nil"/>
              <w:left w:val="nil"/>
              <w:bottom w:val="nil"/>
              <w:right w:val="nil"/>
            </w:tcBorders>
            <w:noWrap/>
            <w:vAlign w:val="center"/>
          </w:tcPr>
          <w:p w14:paraId="7EBB760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nil"/>
              <w:left w:val="nil"/>
              <w:bottom w:val="nil"/>
              <w:right w:val="nil"/>
            </w:tcBorders>
            <w:noWrap/>
            <w:vAlign w:val="center"/>
          </w:tcPr>
          <w:p w14:paraId="78ABCF9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w:t>
            </w:r>
          </w:p>
        </w:tc>
      </w:tr>
      <w:tr w14:paraId="6D391028">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7111035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HIIT_560</w:t>
            </w:r>
          </w:p>
        </w:tc>
        <w:tc>
          <w:tcPr>
            <w:tcW w:w="1980" w:type="dxa"/>
            <w:tcBorders>
              <w:top w:val="nil"/>
              <w:left w:val="nil"/>
              <w:bottom w:val="nil"/>
              <w:right w:val="nil"/>
            </w:tcBorders>
            <w:noWrap/>
            <w:vAlign w:val="center"/>
          </w:tcPr>
          <w:p w14:paraId="34BAE9C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10.83</w:t>
            </w:r>
          </w:p>
        </w:tc>
        <w:tc>
          <w:tcPr>
            <w:tcW w:w="1980" w:type="dxa"/>
            <w:tcBorders>
              <w:top w:val="nil"/>
              <w:left w:val="nil"/>
              <w:bottom w:val="nil"/>
              <w:right w:val="nil"/>
            </w:tcBorders>
            <w:noWrap/>
            <w:vAlign w:val="center"/>
          </w:tcPr>
          <w:p w14:paraId="01A6DC1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w:t>
            </w:r>
          </w:p>
        </w:tc>
        <w:tc>
          <w:tcPr>
            <w:tcW w:w="1980" w:type="dxa"/>
            <w:tcBorders>
              <w:top w:val="nil"/>
              <w:left w:val="nil"/>
              <w:bottom w:val="nil"/>
              <w:right w:val="nil"/>
            </w:tcBorders>
            <w:noWrap/>
            <w:vAlign w:val="center"/>
          </w:tcPr>
          <w:p w14:paraId="7956610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nil"/>
              <w:left w:val="nil"/>
              <w:bottom w:val="nil"/>
              <w:right w:val="nil"/>
            </w:tcBorders>
            <w:noWrap/>
            <w:vAlign w:val="center"/>
          </w:tcPr>
          <w:p w14:paraId="01D5415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w:t>
            </w:r>
          </w:p>
        </w:tc>
      </w:tr>
      <w:tr w14:paraId="70E8F946">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412DAF0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COM_330</w:t>
            </w:r>
          </w:p>
        </w:tc>
        <w:tc>
          <w:tcPr>
            <w:tcW w:w="1980" w:type="dxa"/>
            <w:tcBorders>
              <w:top w:val="nil"/>
              <w:left w:val="nil"/>
              <w:bottom w:val="nil"/>
              <w:right w:val="nil"/>
            </w:tcBorders>
            <w:noWrap/>
            <w:vAlign w:val="center"/>
          </w:tcPr>
          <w:p w14:paraId="10A101C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11.04</w:t>
            </w:r>
          </w:p>
        </w:tc>
        <w:tc>
          <w:tcPr>
            <w:tcW w:w="1980" w:type="dxa"/>
            <w:tcBorders>
              <w:top w:val="nil"/>
              <w:left w:val="nil"/>
              <w:bottom w:val="nil"/>
              <w:right w:val="nil"/>
            </w:tcBorders>
            <w:noWrap/>
            <w:vAlign w:val="center"/>
          </w:tcPr>
          <w:p w14:paraId="0BCD0AE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8</w:t>
            </w:r>
          </w:p>
        </w:tc>
        <w:tc>
          <w:tcPr>
            <w:tcW w:w="1980" w:type="dxa"/>
            <w:tcBorders>
              <w:top w:val="nil"/>
              <w:left w:val="nil"/>
              <w:bottom w:val="nil"/>
              <w:right w:val="nil"/>
            </w:tcBorders>
            <w:noWrap/>
            <w:vAlign w:val="center"/>
          </w:tcPr>
          <w:p w14:paraId="542805D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1E745B8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29</w:t>
            </w:r>
          </w:p>
        </w:tc>
      </w:tr>
      <w:tr w14:paraId="602B8FF2">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4AFF6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AE_1200</w:t>
            </w:r>
          </w:p>
        </w:tc>
        <w:tc>
          <w:tcPr>
            <w:tcW w:w="1980" w:type="dxa"/>
            <w:tcBorders>
              <w:top w:val="nil"/>
              <w:left w:val="nil"/>
              <w:bottom w:val="nil"/>
              <w:right w:val="nil"/>
            </w:tcBorders>
            <w:noWrap/>
            <w:vAlign w:val="center"/>
          </w:tcPr>
          <w:p w14:paraId="5D8E9C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11.09</w:t>
            </w:r>
          </w:p>
        </w:tc>
        <w:tc>
          <w:tcPr>
            <w:tcW w:w="1980" w:type="dxa"/>
            <w:tcBorders>
              <w:top w:val="nil"/>
              <w:left w:val="nil"/>
              <w:bottom w:val="nil"/>
              <w:right w:val="nil"/>
            </w:tcBorders>
            <w:noWrap/>
            <w:vAlign w:val="center"/>
          </w:tcPr>
          <w:p w14:paraId="4306803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w:t>
            </w:r>
          </w:p>
        </w:tc>
        <w:tc>
          <w:tcPr>
            <w:tcW w:w="1980" w:type="dxa"/>
            <w:tcBorders>
              <w:top w:val="nil"/>
              <w:left w:val="nil"/>
              <w:bottom w:val="nil"/>
              <w:right w:val="nil"/>
            </w:tcBorders>
            <w:noWrap/>
            <w:vAlign w:val="center"/>
          </w:tcPr>
          <w:p w14:paraId="6B7256E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w:t>
            </w:r>
          </w:p>
        </w:tc>
        <w:tc>
          <w:tcPr>
            <w:tcW w:w="1175" w:type="dxa"/>
            <w:tcBorders>
              <w:top w:val="nil"/>
              <w:left w:val="nil"/>
              <w:bottom w:val="nil"/>
              <w:right w:val="nil"/>
            </w:tcBorders>
            <w:noWrap/>
            <w:vAlign w:val="center"/>
          </w:tcPr>
          <w:p w14:paraId="1C7C1B2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w:t>
            </w:r>
          </w:p>
        </w:tc>
      </w:tr>
      <w:tr w14:paraId="7A662C21">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023E27C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HIIT_440</w:t>
            </w:r>
          </w:p>
        </w:tc>
        <w:tc>
          <w:tcPr>
            <w:tcW w:w="1980" w:type="dxa"/>
            <w:tcBorders>
              <w:top w:val="nil"/>
              <w:left w:val="nil"/>
              <w:bottom w:val="nil"/>
              <w:right w:val="nil"/>
            </w:tcBorders>
            <w:noWrap/>
            <w:vAlign w:val="center"/>
          </w:tcPr>
          <w:p w14:paraId="2588061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12.37</w:t>
            </w:r>
          </w:p>
        </w:tc>
        <w:tc>
          <w:tcPr>
            <w:tcW w:w="1980" w:type="dxa"/>
            <w:tcBorders>
              <w:top w:val="nil"/>
              <w:left w:val="nil"/>
              <w:bottom w:val="nil"/>
              <w:right w:val="nil"/>
            </w:tcBorders>
            <w:noWrap/>
            <w:vAlign w:val="center"/>
          </w:tcPr>
          <w:p w14:paraId="6E5E2DD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w:t>
            </w:r>
          </w:p>
        </w:tc>
        <w:tc>
          <w:tcPr>
            <w:tcW w:w="1980" w:type="dxa"/>
            <w:tcBorders>
              <w:top w:val="nil"/>
              <w:left w:val="nil"/>
              <w:bottom w:val="nil"/>
              <w:right w:val="nil"/>
            </w:tcBorders>
            <w:noWrap/>
            <w:vAlign w:val="center"/>
          </w:tcPr>
          <w:p w14:paraId="2E119C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nil"/>
              <w:left w:val="nil"/>
              <w:bottom w:val="nil"/>
              <w:right w:val="nil"/>
            </w:tcBorders>
            <w:noWrap/>
            <w:vAlign w:val="center"/>
          </w:tcPr>
          <w:p w14:paraId="74B261F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r>
      <w:tr w14:paraId="380DE564">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CB7ECB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HIIT_670</w:t>
            </w:r>
          </w:p>
        </w:tc>
        <w:tc>
          <w:tcPr>
            <w:tcW w:w="1980" w:type="dxa"/>
            <w:tcBorders>
              <w:top w:val="nil"/>
              <w:left w:val="nil"/>
              <w:bottom w:val="nil"/>
              <w:right w:val="nil"/>
            </w:tcBorders>
            <w:noWrap/>
            <w:vAlign w:val="center"/>
          </w:tcPr>
          <w:p w14:paraId="7700222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12.57</w:t>
            </w:r>
          </w:p>
        </w:tc>
        <w:tc>
          <w:tcPr>
            <w:tcW w:w="1980" w:type="dxa"/>
            <w:tcBorders>
              <w:top w:val="nil"/>
              <w:left w:val="nil"/>
              <w:bottom w:val="nil"/>
              <w:right w:val="nil"/>
            </w:tcBorders>
            <w:noWrap/>
            <w:vAlign w:val="center"/>
          </w:tcPr>
          <w:p w14:paraId="5B2A58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w:t>
            </w:r>
          </w:p>
        </w:tc>
        <w:tc>
          <w:tcPr>
            <w:tcW w:w="1980" w:type="dxa"/>
            <w:tcBorders>
              <w:top w:val="nil"/>
              <w:left w:val="nil"/>
              <w:bottom w:val="nil"/>
              <w:right w:val="nil"/>
            </w:tcBorders>
            <w:noWrap/>
            <w:vAlign w:val="center"/>
          </w:tcPr>
          <w:p w14:paraId="028E508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w:t>
            </w:r>
          </w:p>
        </w:tc>
        <w:tc>
          <w:tcPr>
            <w:tcW w:w="1175" w:type="dxa"/>
            <w:tcBorders>
              <w:top w:val="nil"/>
              <w:left w:val="nil"/>
              <w:bottom w:val="nil"/>
              <w:right w:val="nil"/>
            </w:tcBorders>
            <w:noWrap/>
            <w:vAlign w:val="center"/>
          </w:tcPr>
          <w:p w14:paraId="28B4B84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24</w:t>
            </w:r>
          </w:p>
        </w:tc>
      </w:tr>
      <w:tr w14:paraId="7B2CD9F7">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0826124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COM_890</w:t>
            </w:r>
          </w:p>
        </w:tc>
        <w:tc>
          <w:tcPr>
            <w:tcW w:w="1980" w:type="dxa"/>
            <w:tcBorders>
              <w:top w:val="nil"/>
              <w:left w:val="nil"/>
              <w:bottom w:val="nil"/>
              <w:right w:val="nil"/>
            </w:tcBorders>
            <w:noWrap/>
            <w:vAlign w:val="center"/>
          </w:tcPr>
          <w:p w14:paraId="37973B2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12.64</w:t>
            </w:r>
          </w:p>
        </w:tc>
        <w:tc>
          <w:tcPr>
            <w:tcW w:w="1980" w:type="dxa"/>
            <w:tcBorders>
              <w:top w:val="nil"/>
              <w:left w:val="nil"/>
              <w:bottom w:val="nil"/>
              <w:right w:val="nil"/>
            </w:tcBorders>
            <w:noWrap/>
            <w:vAlign w:val="center"/>
          </w:tcPr>
          <w:p w14:paraId="3FC524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12</w:t>
            </w:r>
          </w:p>
        </w:tc>
        <w:tc>
          <w:tcPr>
            <w:tcW w:w="1980" w:type="dxa"/>
            <w:tcBorders>
              <w:top w:val="nil"/>
              <w:left w:val="nil"/>
              <w:bottom w:val="nil"/>
              <w:right w:val="nil"/>
            </w:tcBorders>
            <w:noWrap/>
            <w:vAlign w:val="center"/>
          </w:tcPr>
          <w:p w14:paraId="0914557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6C1EF86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w:t>
            </w:r>
          </w:p>
        </w:tc>
      </w:tr>
      <w:tr w14:paraId="42EBBA23">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02B2C27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AE_1000</w:t>
            </w:r>
          </w:p>
        </w:tc>
        <w:tc>
          <w:tcPr>
            <w:tcW w:w="1980" w:type="dxa"/>
            <w:tcBorders>
              <w:top w:val="nil"/>
              <w:left w:val="nil"/>
              <w:bottom w:val="nil"/>
              <w:right w:val="nil"/>
            </w:tcBorders>
            <w:noWrap/>
            <w:vAlign w:val="center"/>
          </w:tcPr>
          <w:p w14:paraId="1EDAC15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13.44</w:t>
            </w:r>
          </w:p>
        </w:tc>
        <w:tc>
          <w:tcPr>
            <w:tcW w:w="1980" w:type="dxa"/>
            <w:tcBorders>
              <w:top w:val="nil"/>
              <w:left w:val="nil"/>
              <w:bottom w:val="nil"/>
              <w:right w:val="nil"/>
            </w:tcBorders>
            <w:noWrap/>
            <w:vAlign w:val="center"/>
          </w:tcPr>
          <w:p w14:paraId="49391C3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13</w:t>
            </w:r>
          </w:p>
        </w:tc>
        <w:tc>
          <w:tcPr>
            <w:tcW w:w="1980" w:type="dxa"/>
            <w:tcBorders>
              <w:top w:val="nil"/>
              <w:left w:val="nil"/>
              <w:bottom w:val="nil"/>
              <w:right w:val="nil"/>
            </w:tcBorders>
            <w:noWrap/>
            <w:vAlign w:val="center"/>
          </w:tcPr>
          <w:p w14:paraId="2EFBB45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0941F8A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w:t>
            </w:r>
          </w:p>
        </w:tc>
      </w:tr>
      <w:tr w14:paraId="054AE66B">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6850AA6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HIIT_330</w:t>
            </w:r>
          </w:p>
        </w:tc>
        <w:tc>
          <w:tcPr>
            <w:tcW w:w="1980" w:type="dxa"/>
            <w:tcBorders>
              <w:top w:val="nil"/>
              <w:left w:val="nil"/>
              <w:bottom w:val="nil"/>
              <w:right w:val="nil"/>
            </w:tcBorders>
            <w:noWrap/>
            <w:vAlign w:val="center"/>
          </w:tcPr>
          <w:p w14:paraId="79A61B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16.62</w:t>
            </w:r>
          </w:p>
        </w:tc>
        <w:tc>
          <w:tcPr>
            <w:tcW w:w="1980" w:type="dxa"/>
            <w:tcBorders>
              <w:top w:val="nil"/>
              <w:left w:val="nil"/>
              <w:bottom w:val="nil"/>
              <w:right w:val="nil"/>
            </w:tcBorders>
            <w:noWrap/>
            <w:vAlign w:val="center"/>
          </w:tcPr>
          <w:p w14:paraId="747A789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1970E00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1A4FDFD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29</w:t>
            </w:r>
          </w:p>
        </w:tc>
      </w:tr>
      <w:tr w14:paraId="599093F6">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257649E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HIIT_780</w:t>
            </w:r>
          </w:p>
        </w:tc>
        <w:tc>
          <w:tcPr>
            <w:tcW w:w="1980" w:type="dxa"/>
            <w:tcBorders>
              <w:top w:val="nil"/>
              <w:left w:val="nil"/>
              <w:bottom w:val="nil"/>
              <w:right w:val="nil"/>
            </w:tcBorders>
            <w:noWrap/>
            <w:vAlign w:val="center"/>
          </w:tcPr>
          <w:p w14:paraId="45FDCAC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16.76</w:t>
            </w:r>
          </w:p>
        </w:tc>
        <w:tc>
          <w:tcPr>
            <w:tcW w:w="1980" w:type="dxa"/>
            <w:tcBorders>
              <w:top w:val="nil"/>
              <w:left w:val="nil"/>
              <w:bottom w:val="nil"/>
              <w:right w:val="nil"/>
            </w:tcBorders>
            <w:noWrap/>
            <w:vAlign w:val="center"/>
          </w:tcPr>
          <w:p w14:paraId="3459266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5B23561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w:t>
            </w:r>
          </w:p>
        </w:tc>
        <w:tc>
          <w:tcPr>
            <w:tcW w:w="1175" w:type="dxa"/>
            <w:tcBorders>
              <w:top w:val="nil"/>
              <w:left w:val="nil"/>
              <w:bottom w:val="nil"/>
              <w:right w:val="nil"/>
            </w:tcBorders>
            <w:noWrap/>
            <w:vAlign w:val="center"/>
          </w:tcPr>
          <w:p w14:paraId="75ABC42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r>
      <w:tr w14:paraId="4723354F">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A891A0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AE_830</w:t>
            </w:r>
          </w:p>
        </w:tc>
        <w:tc>
          <w:tcPr>
            <w:tcW w:w="1980" w:type="dxa"/>
            <w:tcBorders>
              <w:top w:val="nil"/>
              <w:left w:val="nil"/>
              <w:bottom w:val="nil"/>
              <w:right w:val="nil"/>
            </w:tcBorders>
            <w:noWrap/>
            <w:vAlign w:val="center"/>
          </w:tcPr>
          <w:p w14:paraId="18B7B02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16.82</w:t>
            </w:r>
          </w:p>
        </w:tc>
        <w:tc>
          <w:tcPr>
            <w:tcW w:w="1980" w:type="dxa"/>
            <w:tcBorders>
              <w:top w:val="nil"/>
              <w:left w:val="nil"/>
              <w:bottom w:val="nil"/>
              <w:right w:val="nil"/>
            </w:tcBorders>
            <w:noWrap/>
            <w:vAlign w:val="center"/>
          </w:tcPr>
          <w:p w14:paraId="59EE3B9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2371AF4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w:t>
            </w:r>
          </w:p>
        </w:tc>
        <w:tc>
          <w:tcPr>
            <w:tcW w:w="1175" w:type="dxa"/>
            <w:tcBorders>
              <w:top w:val="nil"/>
              <w:left w:val="nil"/>
              <w:bottom w:val="nil"/>
              <w:right w:val="nil"/>
            </w:tcBorders>
            <w:noWrap/>
            <w:vAlign w:val="center"/>
          </w:tcPr>
          <w:p w14:paraId="5B5E2E4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26</w:t>
            </w:r>
          </w:p>
        </w:tc>
      </w:tr>
      <w:tr w14:paraId="3F090652">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2CC102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COM_220</w:t>
            </w:r>
          </w:p>
        </w:tc>
        <w:tc>
          <w:tcPr>
            <w:tcW w:w="1980" w:type="dxa"/>
            <w:tcBorders>
              <w:top w:val="nil"/>
              <w:left w:val="nil"/>
              <w:bottom w:val="nil"/>
              <w:right w:val="nil"/>
            </w:tcBorders>
            <w:noWrap/>
            <w:vAlign w:val="center"/>
          </w:tcPr>
          <w:p w14:paraId="03942F1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17.26</w:t>
            </w:r>
          </w:p>
        </w:tc>
        <w:tc>
          <w:tcPr>
            <w:tcW w:w="1980" w:type="dxa"/>
            <w:tcBorders>
              <w:top w:val="nil"/>
              <w:left w:val="nil"/>
              <w:bottom w:val="nil"/>
              <w:right w:val="nil"/>
            </w:tcBorders>
            <w:noWrap/>
            <w:vAlign w:val="center"/>
          </w:tcPr>
          <w:p w14:paraId="66DE371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75F3D1E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w:t>
            </w:r>
          </w:p>
        </w:tc>
        <w:tc>
          <w:tcPr>
            <w:tcW w:w="1175" w:type="dxa"/>
            <w:tcBorders>
              <w:top w:val="nil"/>
              <w:left w:val="nil"/>
              <w:bottom w:val="nil"/>
              <w:right w:val="nil"/>
            </w:tcBorders>
            <w:noWrap/>
            <w:vAlign w:val="center"/>
          </w:tcPr>
          <w:p w14:paraId="25C9853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w:t>
            </w:r>
          </w:p>
        </w:tc>
      </w:tr>
      <w:tr w14:paraId="124E894C">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5844421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RT_890</w:t>
            </w:r>
          </w:p>
        </w:tc>
        <w:tc>
          <w:tcPr>
            <w:tcW w:w="1980" w:type="dxa"/>
            <w:tcBorders>
              <w:top w:val="nil"/>
              <w:left w:val="nil"/>
              <w:bottom w:val="nil"/>
              <w:right w:val="nil"/>
            </w:tcBorders>
            <w:noWrap/>
            <w:vAlign w:val="center"/>
          </w:tcPr>
          <w:p w14:paraId="4DA959E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17.68</w:t>
            </w:r>
          </w:p>
        </w:tc>
        <w:tc>
          <w:tcPr>
            <w:tcW w:w="1980" w:type="dxa"/>
            <w:tcBorders>
              <w:top w:val="nil"/>
              <w:left w:val="nil"/>
              <w:bottom w:val="nil"/>
              <w:right w:val="nil"/>
            </w:tcBorders>
            <w:noWrap/>
            <w:vAlign w:val="center"/>
          </w:tcPr>
          <w:p w14:paraId="74EBE1E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1846C1C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w:t>
            </w:r>
          </w:p>
        </w:tc>
        <w:tc>
          <w:tcPr>
            <w:tcW w:w="1175" w:type="dxa"/>
            <w:tcBorders>
              <w:top w:val="nil"/>
              <w:left w:val="nil"/>
              <w:bottom w:val="nil"/>
              <w:right w:val="nil"/>
            </w:tcBorders>
            <w:noWrap/>
            <w:vAlign w:val="center"/>
          </w:tcPr>
          <w:p w14:paraId="6D8494D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r>
      <w:tr w14:paraId="2A28AEDF">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69F5DAE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RT_780</w:t>
            </w:r>
          </w:p>
        </w:tc>
        <w:tc>
          <w:tcPr>
            <w:tcW w:w="1980" w:type="dxa"/>
            <w:tcBorders>
              <w:top w:val="nil"/>
              <w:left w:val="nil"/>
              <w:bottom w:val="nil"/>
              <w:right w:val="nil"/>
            </w:tcBorders>
            <w:noWrap/>
            <w:vAlign w:val="center"/>
          </w:tcPr>
          <w:p w14:paraId="17DB0BB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17.81</w:t>
            </w:r>
          </w:p>
        </w:tc>
        <w:tc>
          <w:tcPr>
            <w:tcW w:w="1980" w:type="dxa"/>
            <w:tcBorders>
              <w:top w:val="nil"/>
              <w:left w:val="nil"/>
              <w:bottom w:val="nil"/>
              <w:right w:val="nil"/>
            </w:tcBorders>
            <w:noWrap/>
            <w:vAlign w:val="center"/>
          </w:tcPr>
          <w:p w14:paraId="495DF9E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w:t>
            </w:r>
          </w:p>
        </w:tc>
        <w:tc>
          <w:tcPr>
            <w:tcW w:w="1980" w:type="dxa"/>
            <w:tcBorders>
              <w:top w:val="nil"/>
              <w:left w:val="nil"/>
              <w:bottom w:val="nil"/>
              <w:right w:val="nil"/>
            </w:tcBorders>
            <w:noWrap/>
            <w:vAlign w:val="center"/>
          </w:tcPr>
          <w:p w14:paraId="3548B4C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w:t>
            </w:r>
          </w:p>
        </w:tc>
        <w:tc>
          <w:tcPr>
            <w:tcW w:w="1175" w:type="dxa"/>
            <w:tcBorders>
              <w:top w:val="nil"/>
              <w:left w:val="nil"/>
              <w:bottom w:val="nil"/>
              <w:right w:val="nil"/>
            </w:tcBorders>
            <w:noWrap/>
            <w:vAlign w:val="center"/>
          </w:tcPr>
          <w:p w14:paraId="414C60C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34</w:t>
            </w:r>
          </w:p>
        </w:tc>
      </w:tr>
      <w:tr w14:paraId="2F0ACF75">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75C963E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RT_1000</w:t>
            </w:r>
          </w:p>
        </w:tc>
        <w:tc>
          <w:tcPr>
            <w:tcW w:w="1980" w:type="dxa"/>
            <w:tcBorders>
              <w:top w:val="nil"/>
              <w:left w:val="nil"/>
              <w:bottom w:val="nil"/>
              <w:right w:val="nil"/>
            </w:tcBorders>
            <w:noWrap/>
            <w:vAlign w:val="center"/>
          </w:tcPr>
          <w:p w14:paraId="4A0B367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18.14</w:t>
            </w:r>
          </w:p>
        </w:tc>
        <w:tc>
          <w:tcPr>
            <w:tcW w:w="1980" w:type="dxa"/>
            <w:tcBorders>
              <w:top w:val="nil"/>
              <w:left w:val="nil"/>
              <w:bottom w:val="nil"/>
              <w:right w:val="nil"/>
            </w:tcBorders>
            <w:noWrap/>
            <w:vAlign w:val="center"/>
          </w:tcPr>
          <w:p w14:paraId="2B34617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980" w:type="dxa"/>
            <w:tcBorders>
              <w:top w:val="nil"/>
              <w:left w:val="nil"/>
              <w:bottom w:val="nil"/>
              <w:right w:val="nil"/>
            </w:tcBorders>
            <w:noWrap/>
            <w:vAlign w:val="center"/>
          </w:tcPr>
          <w:p w14:paraId="138D13D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w:t>
            </w:r>
          </w:p>
        </w:tc>
        <w:tc>
          <w:tcPr>
            <w:tcW w:w="1175" w:type="dxa"/>
            <w:tcBorders>
              <w:top w:val="nil"/>
              <w:left w:val="nil"/>
              <w:bottom w:val="nil"/>
              <w:right w:val="nil"/>
            </w:tcBorders>
            <w:noWrap/>
            <w:vAlign w:val="center"/>
          </w:tcPr>
          <w:p w14:paraId="263DE1C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r>
      <w:tr w14:paraId="28C66FC7">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4CC5784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RT_670</w:t>
            </w:r>
          </w:p>
        </w:tc>
        <w:tc>
          <w:tcPr>
            <w:tcW w:w="1980" w:type="dxa"/>
            <w:tcBorders>
              <w:top w:val="nil"/>
              <w:left w:val="nil"/>
              <w:bottom w:val="nil"/>
              <w:right w:val="nil"/>
            </w:tcBorders>
            <w:noWrap/>
            <w:vAlign w:val="center"/>
          </w:tcPr>
          <w:p w14:paraId="4EA3D4D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18.71</w:t>
            </w:r>
          </w:p>
        </w:tc>
        <w:tc>
          <w:tcPr>
            <w:tcW w:w="1980" w:type="dxa"/>
            <w:tcBorders>
              <w:top w:val="nil"/>
              <w:left w:val="nil"/>
              <w:bottom w:val="nil"/>
              <w:right w:val="nil"/>
            </w:tcBorders>
            <w:noWrap/>
            <w:vAlign w:val="center"/>
          </w:tcPr>
          <w:p w14:paraId="7E2849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w:t>
            </w:r>
          </w:p>
        </w:tc>
        <w:tc>
          <w:tcPr>
            <w:tcW w:w="1980" w:type="dxa"/>
            <w:tcBorders>
              <w:top w:val="nil"/>
              <w:left w:val="nil"/>
              <w:bottom w:val="nil"/>
              <w:right w:val="nil"/>
            </w:tcBorders>
            <w:noWrap/>
            <w:vAlign w:val="center"/>
          </w:tcPr>
          <w:p w14:paraId="6A9457A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57F3385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w:t>
            </w:r>
          </w:p>
        </w:tc>
      </w:tr>
      <w:tr w14:paraId="102931F9">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5FBAE1E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RT_560</w:t>
            </w:r>
          </w:p>
        </w:tc>
        <w:tc>
          <w:tcPr>
            <w:tcW w:w="1980" w:type="dxa"/>
            <w:tcBorders>
              <w:top w:val="nil"/>
              <w:left w:val="nil"/>
              <w:bottom w:val="nil"/>
              <w:right w:val="nil"/>
            </w:tcBorders>
            <w:noWrap/>
            <w:vAlign w:val="center"/>
          </w:tcPr>
          <w:p w14:paraId="1F797F7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20.4</w:t>
            </w:r>
          </w:p>
        </w:tc>
        <w:tc>
          <w:tcPr>
            <w:tcW w:w="1980" w:type="dxa"/>
            <w:tcBorders>
              <w:top w:val="nil"/>
              <w:left w:val="nil"/>
              <w:bottom w:val="nil"/>
              <w:right w:val="nil"/>
            </w:tcBorders>
            <w:noWrap/>
            <w:vAlign w:val="center"/>
          </w:tcPr>
          <w:p w14:paraId="131BA73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w:t>
            </w:r>
          </w:p>
        </w:tc>
        <w:tc>
          <w:tcPr>
            <w:tcW w:w="1980" w:type="dxa"/>
            <w:tcBorders>
              <w:top w:val="nil"/>
              <w:left w:val="nil"/>
              <w:bottom w:val="nil"/>
              <w:right w:val="nil"/>
            </w:tcBorders>
            <w:noWrap/>
            <w:vAlign w:val="center"/>
          </w:tcPr>
          <w:p w14:paraId="26EA983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5</w:t>
            </w:r>
          </w:p>
        </w:tc>
        <w:tc>
          <w:tcPr>
            <w:tcW w:w="1175" w:type="dxa"/>
            <w:tcBorders>
              <w:top w:val="nil"/>
              <w:left w:val="nil"/>
              <w:bottom w:val="nil"/>
              <w:right w:val="nil"/>
            </w:tcBorders>
            <w:noWrap/>
            <w:vAlign w:val="center"/>
          </w:tcPr>
          <w:p w14:paraId="10DD2D8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w:t>
            </w:r>
          </w:p>
        </w:tc>
      </w:tr>
      <w:tr w14:paraId="7E97B787">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76ED65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AE_670</w:t>
            </w:r>
          </w:p>
        </w:tc>
        <w:tc>
          <w:tcPr>
            <w:tcW w:w="1980" w:type="dxa"/>
            <w:tcBorders>
              <w:top w:val="nil"/>
              <w:left w:val="nil"/>
              <w:bottom w:val="nil"/>
              <w:right w:val="nil"/>
            </w:tcBorders>
            <w:noWrap/>
            <w:vAlign w:val="center"/>
          </w:tcPr>
          <w:p w14:paraId="1221293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20.76</w:t>
            </w:r>
          </w:p>
        </w:tc>
        <w:tc>
          <w:tcPr>
            <w:tcW w:w="1980" w:type="dxa"/>
            <w:tcBorders>
              <w:top w:val="nil"/>
              <w:left w:val="nil"/>
              <w:bottom w:val="nil"/>
              <w:right w:val="nil"/>
            </w:tcBorders>
            <w:noWrap/>
            <w:vAlign w:val="center"/>
          </w:tcPr>
          <w:p w14:paraId="1D35D3A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21</w:t>
            </w:r>
          </w:p>
        </w:tc>
        <w:tc>
          <w:tcPr>
            <w:tcW w:w="1980" w:type="dxa"/>
            <w:tcBorders>
              <w:top w:val="nil"/>
              <w:left w:val="nil"/>
              <w:bottom w:val="nil"/>
              <w:right w:val="nil"/>
            </w:tcBorders>
            <w:noWrap/>
            <w:vAlign w:val="center"/>
          </w:tcPr>
          <w:p w14:paraId="350596D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10</w:t>
            </w:r>
          </w:p>
        </w:tc>
        <w:tc>
          <w:tcPr>
            <w:tcW w:w="1175" w:type="dxa"/>
            <w:tcBorders>
              <w:top w:val="nil"/>
              <w:left w:val="nil"/>
              <w:bottom w:val="nil"/>
              <w:right w:val="nil"/>
            </w:tcBorders>
            <w:noWrap/>
            <w:vAlign w:val="center"/>
          </w:tcPr>
          <w:p w14:paraId="32799D6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29</w:t>
            </w:r>
          </w:p>
        </w:tc>
      </w:tr>
      <w:tr w14:paraId="5411891B">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D68AAB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COM_1000</w:t>
            </w:r>
          </w:p>
        </w:tc>
        <w:tc>
          <w:tcPr>
            <w:tcW w:w="1980" w:type="dxa"/>
            <w:tcBorders>
              <w:top w:val="nil"/>
              <w:left w:val="nil"/>
              <w:bottom w:val="nil"/>
              <w:right w:val="nil"/>
            </w:tcBorders>
            <w:noWrap/>
            <w:vAlign w:val="center"/>
          </w:tcPr>
          <w:p w14:paraId="5369B48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22.01</w:t>
            </w:r>
          </w:p>
        </w:tc>
        <w:tc>
          <w:tcPr>
            <w:tcW w:w="1980" w:type="dxa"/>
            <w:tcBorders>
              <w:top w:val="nil"/>
              <w:left w:val="nil"/>
              <w:bottom w:val="nil"/>
              <w:right w:val="nil"/>
            </w:tcBorders>
            <w:noWrap/>
            <w:vAlign w:val="center"/>
          </w:tcPr>
          <w:p w14:paraId="1940540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w:t>
            </w:r>
          </w:p>
        </w:tc>
        <w:tc>
          <w:tcPr>
            <w:tcW w:w="1980" w:type="dxa"/>
            <w:tcBorders>
              <w:top w:val="nil"/>
              <w:left w:val="nil"/>
              <w:bottom w:val="nil"/>
              <w:right w:val="nil"/>
            </w:tcBorders>
            <w:noWrap/>
            <w:vAlign w:val="center"/>
          </w:tcPr>
          <w:p w14:paraId="53E52D7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6</w:t>
            </w:r>
          </w:p>
        </w:tc>
        <w:tc>
          <w:tcPr>
            <w:tcW w:w="1175" w:type="dxa"/>
            <w:tcBorders>
              <w:top w:val="nil"/>
              <w:left w:val="nil"/>
              <w:bottom w:val="nil"/>
              <w:right w:val="nil"/>
            </w:tcBorders>
            <w:noWrap/>
            <w:vAlign w:val="center"/>
          </w:tcPr>
          <w:p w14:paraId="1A0F32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r>
      <w:tr w14:paraId="1577D59B">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FC5AF8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HIIT_890</w:t>
            </w:r>
          </w:p>
        </w:tc>
        <w:tc>
          <w:tcPr>
            <w:tcW w:w="1980" w:type="dxa"/>
            <w:tcBorders>
              <w:top w:val="nil"/>
              <w:left w:val="nil"/>
              <w:bottom w:val="nil"/>
              <w:right w:val="nil"/>
            </w:tcBorders>
            <w:noWrap/>
            <w:vAlign w:val="center"/>
          </w:tcPr>
          <w:p w14:paraId="1DEB4B9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22.52</w:t>
            </w:r>
          </w:p>
        </w:tc>
        <w:tc>
          <w:tcPr>
            <w:tcW w:w="1980" w:type="dxa"/>
            <w:tcBorders>
              <w:top w:val="nil"/>
              <w:left w:val="nil"/>
              <w:bottom w:val="nil"/>
              <w:right w:val="nil"/>
            </w:tcBorders>
            <w:noWrap/>
            <w:vAlign w:val="center"/>
          </w:tcPr>
          <w:p w14:paraId="66BEFA1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24</w:t>
            </w:r>
          </w:p>
        </w:tc>
        <w:tc>
          <w:tcPr>
            <w:tcW w:w="1980" w:type="dxa"/>
            <w:tcBorders>
              <w:top w:val="nil"/>
              <w:left w:val="nil"/>
              <w:bottom w:val="nil"/>
              <w:right w:val="nil"/>
            </w:tcBorders>
            <w:noWrap/>
            <w:vAlign w:val="center"/>
          </w:tcPr>
          <w:p w14:paraId="478D9E0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4</w:t>
            </w:r>
          </w:p>
        </w:tc>
        <w:tc>
          <w:tcPr>
            <w:tcW w:w="1175" w:type="dxa"/>
            <w:tcBorders>
              <w:top w:val="nil"/>
              <w:left w:val="nil"/>
              <w:bottom w:val="nil"/>
              <w:right w:val="nil"/>
            </w:tcBorders>
            <w:noWrap/>
            <w:vAlign w:val="center"/>
          </w:tcPr>
          <w:p w14:paraId="1EF419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r>
      <w:tr w14:paraId="67BD34D5">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14A5C7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HIIT_220</w:t>
            </w:r>
          </w:p>
        </w:tc>
        <w:tc>
          <w:tcPr>
            <w:tcW w:w="1980" w:type="dxa"/>
            <w:tcBorders>
              <w:top w:val="nil"/>
              <w:left w:val="nil"/>
              <w:bottom w:val="nil"/>
              <w:right w:val="nil"/>
            </w:tcBorders>
            <w:noWrap/>
            <w:vAlign w:val="center"/>
          </w:tcPr>
          <w:p w14:paraId="0CCB4F0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22.74</w:t>
            </w:r>
          </w:p>
        </w:tc>
        <w:tc>
          <w:tcPr>
            <w:tcW w:w="1980" w:type="dxa"/>
            <w:tcBorders>
              <w:top w:val="nil"/>
              <w:left w:val="nil"/>
              <w:bottom w:val="nil"/>
              <w:right w:val="nil"/>
            </w:tcBorders>
            <w:noWrap/>
            <w:vAlign w:val="center"/>
          </w:tcPr>
          <w:p w14:paraId="6EA37FA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w:t>
            </w:r>
          </w:p>
        </w:tc>
        <w:tc>
          <w:tcPr>
            <w:tcW w:w="1980" w:type="dxa"/>
            <w:tcBorders>
              <w:top w:val="nil"/>
              <w:left w:val="nil"/>
              <w:bottom w:val="nil"/>
              <w:right w:val="nil"/>
            </w:tcBorders>
            <w:noWrap/>
            <w:vAlign w:val="center"/>
          </w:tcPr>
          <w:p w14:paraId="116622A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w:t>
            </w:r>
          </w:p>
        </w:tc>
        <w:tc>
          <w:tcPr>
            <w:tcW w:w="1175" w:type="dxa"/>
            <w:tcBorders>
              <w:top w:val="nil"/>
              <w:left w:val="nil"/>
              <w:bottom w:val="nil"/>
              <w:right w:val="nil"/>
            </w:tcBorders>
            <w:noWrap/>
            <w:vAlign w:val="center"/>
          </w:tcPr>
          <w:p w14:paraId="164B746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w:t>
            </w:r>
          </w:p>
        </w:tc>
      </w:tr>
      <w:tr w14:paraId="09591F64">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60A0D00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RT_440</w:t>
            </w:r>
          </w:p>
        </w:tc>
        <w:tc>
          <w:tcPr>
            <w:tcW w:w="1980" w:type="dxa"/>
            <w:tcBorders>
              <w:top w:val="nil"/>
              <w:left w:val="nil"/>
              <w:bottom w:val="nil"/>
              <w:right w:val="nil"/>
            </w:tcBorders>
            <w:noWrap/>
            <w:vAlign w:val="center"/>
          </w:tcPr>
          <w:p w14:paraId="1459980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23.29</w:t>
            </w:r>
          </w:p>
        </w:tc>
        <w:tc>
          <w:tcPr>
            <w:tcW w:w="1980" w:type="dxa"/>
            <w:tcBorders>
              <w:top w:val="nil"/>
              <w:left w:val="nil"/>
              <w:bottom w:val="nil"/>
              <w:right w:val="nil"/>
            </w:tcBorders>
            <w:noWrap/>
            <w:vAlign w:val="center"/>
          </w:tcPr>
          <w:p w14:paraId="4C2A053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24</w:t>
            </w:r>
          </w:p>
        </w:tc>
        <w:tc>
          <w:tcPr>
            <w:tcW w:w="1980" w:type="dxa"/>
            <w:tcBorders>
              <w:top w:val="nil"/>
              <w:left w:val="nil"/>
              <w:bottom w:val="nil"/>
              <w:right w:val="nil"/>
            </w:tcBorders>
            <w:noWrap/>
            <w:vAlign w:val="center"/>
          </w:tcPr>
          <w:p w14:paraId="031692B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7</w:t>
            </w:r>
          </w:p>
        </w:tc>
        <w:tc>
          <w:tcPr>
            <w:tcW w:w="1175" w:type="dxa"/>
            <w:tcBorders>
              <w:top w:val="nil"/>
              <w:left w:val="nil"/>
              <w:bottom w:val="nil"/>
              <w:right w:val="nil"/>
            </w:tcBorders>
            <w:noWrap/>
            <w:vAlign w:val="center"/>
          </w:tcPr>
          <w:p w14:paraId="1407C68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33</w:t>
            </w:r>
          </w:p>
        </w:tc>
      </w:tr>
      <w:tr w14:paraId="0C953738">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B15F5B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AE_500</w:t>
            </w:r>
          </w:p>
        </w:tc>
        <w:tc>
          <w:tcPr>
            <w:tcW w:w="1980" w:type="dxa"/>
            <w:tcBorders>
              <w:top w:val="nil"/>
              <w:left w:val="nil"/>
              <w:bottom w:val="nil"/>
              <w:right w:val="nil"/>
            </w:tcBorders>
            <w:noWrap/>
            <w:vAlign w:val="center"/>
          </w:tcPr>
          <w:p w14:paraId="5480B57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25.16</w:t>
            </w:r>
          </w:p>
        </w:tc>
        <w:tc>
          <w:tcPr>
            <w:tcW w:w="1980" w:type="dxa"/>
            <w:tcBorders>
              <w:top w:val="nil"/>
              <w:left w:val="nil"/>
              <w:bottom w:val="nil"/>
              <w:right w:val="nil"/>
            </w:tcBorders>
            <w:noWrap/>
            <w:vAlign w:val="center"/>
          </w:tcPr>
          <w:p w14:paraId="68BE685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26</w:t>
            </w:r>
          </w:p>
        </w:tc>
        <w:tc>
          <w:tcPr>
            <w:tcW w:w="1980" w:type="dxa"/>
            <w:tcBorders>
              <w:top w:val="nil"/>
              <w:left w:val="nil"/>
              <w:bottom w:val="nil"/>
              <w:right w:val="nil"/>
            </w:tcBorders>
            <w:noWrap/>
            <w:vAlign w:val="center"/>
          </w:tcPr>
          <w:p w14:paraId="6BB6218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15</w:t>
            </w:r>
          </w:p>
        </w:tc>
        <w:tc>
          <w:tcPr>
            <w:tcW w:w="1175" w:type="dxa"/>
            <w:tcBorders>
              <w:top w:val="nil"/>
              <w:left w:val="nil"/>
              <w:bottom w:val="nil"/>
              <w:right w:val="nil"/>
            </w:tcBorders>
            <w:noWrap/>
            <w:vAlign w:val="center"/>
          </w:tcPr>
          <w:p w14:paraId="45313A4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w:t>
            </w:r>
          </w:p>
        </w:tc>
      </w:tr>
      <w:tr w14:paraId="4EA5F8F5">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5374242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RT_330</w:t>
            </w:r>
          </w:p>
        </w:tc>
        <w:tc>
          <w:tcPr>
            <w:tcW w:w="1980" w:type="dxa"/>
            <w:tcBorders>
              <w:top w:val="nil"/>
              <w:left w:val="nil"/>
              <w:bottom w:val="nil"/>
              <w:right w:val="nil"/>
            </w:tcBorders>
            <w:noWrap/>
            <w:vAlign w:val="center"/>
          </w:tcPr>
          <w:p w14:paraId="299AD61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26.8</w:t>
            </w:r>
          </w:p>
        </w:tc>
        <w:tc>
          <w:tcPr>
            <w:tcW w:w="1980" w:type="dxa"/>
            <w:tcBorders>
              <w:top w:val="nil"/>
              <w:left w:val="nil"/>
              <w:bottom w:val="nil"/>
              <w:right w:val="nil"/>
            </w:tcBorders>
            <w:noWrap/>
            <w:vAlign w:val="center"/>
          </w:tcPr>
          <w:p w14:paraId="3413EA80">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980" w:type="dxa"/>
            <w:tcBorders>
              <w:top w:val="nil"/>
              <w:left w:val="nil"/>
              <w:bottom w:val="nil"/>
              <w:right w:val="nil"/>
            </w:tcBorders>
            <w:noWrap/>
            <w:vAlign w:val="center"/>
          </w:tcPr>
          <w:p w14:paraId="7B18088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11</w:t>
            </w:r>
          </w:p>
        </w:tc>
        <w:tc>
          <w:tcPr>
            <w:tcW w:w="1175" w:type="dxa"/>
            <w:tcBorders>
              <w:top w:val="nil"/>
              <w:left w:val="nil"/>
              <w:bottom w:val="nil"/>
              <w:right w:val="nil"/>
            </w:tcBorders>
            <w:noWrap/>
            <w:vAlign w:val="center"/>
          </w:tcPr>
          <w:p w14:paraId="640C806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r>
      <w:tr w14:paraId="6F95A273">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504CA22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COM_110</w:t>
            </w:r>
          </w:p>
        </w:tc>
        <w:tc>
          <w:tcPr>
            <w:tcW w:w="1980" w:type="dxa"/>
            <w:tcBorders>
              <w:top w:val="nil"/>
              <w:left w:val="nil"/>
              <w:bottom w:val="nil"/>
              <w:right w:val="nil"/>
            </w:tcBorders>
            <w:noWrap/>
            <w:vAlign w:val="center"/>
          </w:tcPr>
          <w:p w14:paraId="26F663A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27.42</w:t>
            </w:r>
          </w:p>
        </w:tc>
        <w:tc>
          <w:tcPr>
            <w:tcW w:w="1980" w:type="dxa"/>
            <w:tcBorders>
              <w:top w:val="nil"/>
              <w:left w:val="nil"/>
              <w:bottom w:val="nil"/>
              <w:right w:val="nil"/>
            </w:tcBorders>
            <w:noWrap/>
            <w:vAlign w:val="center"/>
          </w:tcPr>
          <w:p w14:paraId="5559C63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980" w:type="dxa"/>
            <w:tcBorders>
              <w:top w:val="nil"/>
              <w:left w:val="nil"/>
              <w:bottom w:val="nil"/>
              <w:right w:val="nil"/>
            </w:tcBorders>
            <w:noWrap/>
            <w:vAlign w:val="center"/>
          </w:tcPr>
          <w:p w14:paraId="701565C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17</w:t>
            </w:r>
          </w:p>
        </w:tc>
        <w:tc>
          <w:tcPr>
            <w:tcW w:w="1175" w:type="dxa"/>
            <w:tcBorders>
              <w:top w:val="nil"/>
              <w:left w:val="nil"/>
              <w:bottom w:val="nil"/>
              <w:right w:val="nil"/>
            </w:tcBorders>
            <w:noWrap/>
            <w:vAlign w:val="center"/>
          </w:tcPr>
          <w:p w14:paraId="7FEE2F3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r>
      <w:tr w14:paraId="72E5B7C9">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5A85F76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HIIT_1000</w:t>
            </w:r>
          </w:p>
        </w:tc>
        <w:tc>
          <w:tcPr>
            <w:tcW w:w="1980" w:type="dxa"/>
            <w:tcBorders>
              <w:top w:val="nil"/>
              <w:left w:val="nil"/>
              <w:bottom w:val="nil"/>
              <w:right w:val="nil"/>
            </w:tcBorders>
            <w:noWrap/>
            <w:vAlign w:val="center"/>
          </w:tcPr>
          <w:p w14:paraId="607144B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27.86</w:t>
            </w:r>
          </w:p>
        </w:tc>
        <w:tc>
          <w:tcPr>
            <w:tcW w:w="1980" w:type="dxa"/>
            <w:tcBorders>
              <w:top w:val="nil"/>
              <w:left w:val="nil"/>
              <w:bottom w:val="nil"/>
              <w:right w:val="nil"/>
            </w:tcBorders>
            <w:noWrap/>
            <w:vAlign w:val="center"/>
          </w:tcPr>
          <w:p w14:paraId="74653A6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w:t>
            </w:r>
          </w:p>
        </w:tc>
        <w:tc>
          <w:tcPr>
            <w:tcW w:w="1980" w:type="dxa"/>
            <w:tcBorders>
              <w:top w:val="nil"/>
              <w:left w:val="nil"/>
              <w:bottom w:val="nil"/>
              <w:right w:val="nil"/>
            </w:tcBorders>
            <w:noWrap/>
            <w:vAlign w:val="center"/>
          </w:tcPr>
          <w:p w14:paraId="6A7F58A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3.98</w:t>
            </w:r>
          </w:p>
        </w:tc>
        <w:tc>
          <w:tcPr>
            <w:tcW w:w="1175" w:type="dxa"/>
            <w:tcBorders>
              <w:top w:val="nil"/>
              <w:left w:val="nil"/>
              <w:bottom w:val="nil"/>
              <w:right w:val="nil"/>
            </w:tcBorders>
            <w:noWrap/>
            <w:vAlign w:val="center"/>
          </w:tcPr>
          <w:p w14:paraId="32794F5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r>
      <w:tr w14:paraId="6CB485C2">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71C88B88">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AE_330</w:t>
            </w:r>
          </w:p>
        </w:tc>
        <w:tc>
          <w:tcPr>
            <w:tcW w:w="1980" w:type="dxa"/>
            <w:tcBorders>
              <w:top w:val="nil"/>
              <w:left w:val="nil"/>
              <w:bottom w:val="nil"/>
              <w:right w:val="nil"/>
            </w:tcBorders>
            <w:noWrap/>
            <w:vAlign w:val="center"/>
          </w:tcPr>
          <w:p w14:paraId="359DE7C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29.59</w:t>
            </w:r>
          </w:p>
        </w:tc>
        <w:tc>
          <w:tcPr>
            <w:tcW w:w="1980" w:type="dxa"/>
            <w:tcBorders>
              <w:top w:val="nil"/>
              <w:left w:val="nil"/>
              <w:bottom w:val="nil"/>
              <w:right w:val="nil"/>
            </w:tcBorders>
            <w:noWrap/>
            <w:vAlign w:val="center"/>
          </w:tcPr>
          <w:p w14:paraId="05D28602">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w:t>
            </w:r>
          </w:p>
        </w:tc>
        <w:tc>
          <w:tcPr>
            <w:tcW w:w="1980" w:type="dxa"/>
            <w:tcBorders>
              <w:top w:val="nil"/>
              <w:left w:val="nil"/>
              <w:bottom w:val="nil"/>
              <w:right w:val="nil"/>
            </w:tcBorders>
            <w:noWrap/>
            <w:vAlign w:val="center"/>
          </w:tcPr>
          <w:p w14:paraId="786BA8B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w:t>
            </w:r>
          </w:p>
        </w:tc>
        <w:tc>
          <w:tcPr>
            <w:tcW w:w="1175" w:type="dxa"/>
            <w:tcBorders>
              <w:top w:val="nil"/>
              <w:left w:val="nil"/>
              <w:bottom w:val="nil"/>
              <w:right w:val="nil"/>
            </w:tcBorders>
            <w:noWrap/>
            <w:vAlign w:val="center"/>
          </w:tcPr>
          <w:p w14:paraId="5534FC0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r>
      <w:tr w14:paraId="696A6C0A">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647C43A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HIIT_110</w:t>
            </w:r>
          </w:p>
        </w:tc>
        <w:tc>
          <w:tcPr>
            <w:tcW w:w="1980" w:type="dxa"/>
            <w:tcBorders>
              <w:top w:val="nil"/>
              <w:left w:val="nil"/>
              <w:bottom w:val="nil"/>
              <w:right w:val="nil"/>
            </w:tcBorders>
            <w:noWrap/>
            <w:vAlign w:val="center"/>
          </w:tcPr>
          <w:p w14:paraId="0E3D731C">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30.2</w:t>
            </w:r>
          </w:p>
        </w:tc>
        <w:tc>
          <w:tcPr>
            <w:tcW w:w="1980" w:type="dxa"/>
            <w:tcBorders>
              <w:top w:val="nil"/>
              <w:left w:val="nil"/>
              <w:bottom w:val="nil"/>
              <w:right w:val="nil"/>
            </w:tcBorders>
            <w:noWrap/>
            <w:vAlign w:val="center"/>
          </w:tcPr>
          <w:p w14:paraId="6675A72D">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31</w:t>
            </w:r>
          </w:p>
        </w:tc>
        <w:tc>
          <w:tcPr>
            <w:tcW w:w="1980" w:type="dxa"/>
            <w:tcBorders>
              <w:top w:val="nil"/>
              <w:left w:val="nil"/>
              <w:bottom w:val="nil"/>
              <w:right w:val="nil"/>
            </w:tcBorders>
            <w:noWrap/>
            <w:vAlign w:val="center"/>
          </w:tcPr>
          <w:p w14:paraId="4A9B576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22</w:t>
            </w:r>
          </w:p>
        </w:tc>
        <w:tc>
          <w:tcPr>
            <w:tcW w:w="1175" w:type="dxa"/>
            <w:tcBorders>
              <w:top w:val="nil"/>
              <w:left w:val="nil"/>
              <w:bottom w:val="nil"/>
              <w:right w:val="nil"/>
            </w:tcBorders>
            <w:noWrap/>
            <w:vAlign w:val="center"/>
          </w:tcPr>
          <w:p w14:paraId="44757731">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r>
      <w:tr w14:paraId="380AE307">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32BFA24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RT_220</w:t>
            </w:r>
          </w:p>
        </w:tc>
        <w:tc>
          <w:tcPr>
            <w:tcW w:w="1980" w:type="dxa"/>
            <w:tcBorders>
              <w:top w:val="nil"/>
              <w:left w:val="nil"/>
              <w:bottom w:val="nil"/>
              <w:right w:val="nil"/>
            </w:tcBorders>
            <w:noWrap/>
            <w:vAlign w:val="center"/>
          </w:tcPr>
          <w:p w14:paraId="7CC19E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30.55</w:t>
            </w:r>
          </w:p>
        </w:tc>
        <w:tc>
          <w:tcPr>
            <w:tcW w:w="1980" w:type="dxa"/>
            <w:tcBorders>
              <w:top w:val="nil"/>
              <w:left w:val="nil"/>
              <w:bottom w:val="nil"/>
              <w:right w:val="nil"/>
            </w:tcBorders>
            <w:noWrap/>
            <w:vAlign w:val="center"/>
          </w:tcPr>
          <w:p w14:paraId="2AEAF92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32</w:t>
            </w:r>
          </w:p>
        </w:tc>
        <w:tc>
          <w:tcPr>
            <w:tcW w:w="1980" w:type="dxa"/>
            <w:tcBorders>
              <w:top w:val="nil"/>
              <w:left w:val="nil"/>
              <w:bottom w:val="nil"/>
              <w:right w:val="nil"/>
            </w:tcBorders>
            <w:noWrap/>
            <w:vAlign w:val="center"/>
          </w:tcPr>
          <w:p w14:paraId="136641A4">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19</w:t>
            </w:r>
          </w:p>
        </w:tc>
        <w:tc>
          <w:tcPr>
            <w:tcW w:w="1175" w:type="dxa"/>
            <w:tcBorders>
              <w:top w:val="nil"/>
              <w:left w:val="nil"/>
              <w:bottom w:val="nil"/>
              <w:right w:val="nil"/>
            </w:tcBorders>
            <w:noWrap/>
            <w:vAlign w:val="center"/>
          </w:tcPr>
          <w:p w14:paraId="54F0E195">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r>
      <w:tr w14:paraId="400DEA18">
        <w:tblPrEx>
          <w:tblCellMar>
            <w:top w:w="0" w:type="dxa"/>
            <w:left w:w="108" w:type="dxa"/>
            <w:bottom w:w="0" w:type="dxa"/>
            <w:right w:w="108" w:type="dxa"/>
          </w:tblCellMar>
        </w:tblPrEx>
        <w:trPr>
          <w:trHeight w:val="340" w:hRule="atLeast"/>
          <w:jc w:val="center"/>
        </w:trPr>
        <w:tc>
          <w:tcPr>
            <w:tcW w:w="1982" w:type="dxa"/>
            <w:tcBorders>
              <w:top w:val="nil"/>
              <w:left w:val="nil"/>
              <w:bottom w:val="nil"/>
              <w:right w:val="nil"/>
            </w:tcBorders>
            <w:noWrap/>
            <w:vAlign w:val="center"/>
          </w:tcPr>
          <w:p w14:paraId="14B44B7A">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AE_170</w:t>
            </w:r>
          </w:p>
        </w:tc>
        <w:tc>
          <w:tcPr>
            <w:tcW w:w="1980" w:type="dxa"/>
            <w:tcBorders>
              <w:top w:val="nil"/>
              <w:left w:val="nil"/>
              <w:bottom w:val="nil"/>
              <w:right w:val="nil"/>
            </w:tcBorders>
            <w:noWrap/>
            <w:vAlign w:val="center"/>
          </w:tcPr>
          <w:p w14:paraId="63C0492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33.52</w:t>
            </w:r>
          </w:p>
        </w:tc>
        <w:tc>
          <w:tcPr>
            <w:tcW w:w="1980" w:type="dxa"/>
            <w:tcBorders>
              <w:top w:val="nil"/>
              <w:left w:val="nil"/>
              <w:bottom w:val="nil"/>
              <w:right w:val="nil"/>
            </w:tcBorders>
            <w:noWrap/>
            <w:vAlign w:val="center"/>
          </w:tcPr>
          <w:p w14:paraId="62C45CF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34</w:t>
            </w:r>
          </w:p>
        </w:tc>
        <w:tc>
          <w:tcPr>
            <w:tcW w:w="1980" w:type="dxa"/>
            <w:tcBorders>
              <w:top w:val="nil"/>
              <w:left w:val="nil"/>
              <w:bottom w:val="nil"/>
              <w:right w:val="nil"/>
            </w:tcBorders>
            <w:noWrap/>
            <w:vAlign w:val="center"/>
          </w:tcPr>
          <w:p w14:paraId="222EBE0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29</w:t>
            </w:r>
          </w:p>
        </w:tc>
        <w:tc>
          <w:tcPr>
            <w:tcW w:w="1175" w:type="dxa"/>
            <w:tcBorders>
              <w:top w:val="nil"/>
              <w:left w:val="nil"/>
              <w:bottom w:val="nil"/>
              <w:right w:val="nil"/>
            </w:tcBorders>
            <w:noWrap/>
            <w:vAlign w:val="center"/>
          </w:tcPr>
          <w:p w14:paraId="763DE88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w:t>
            </w:r>
          </w:p>
        </w:tc>
      </w:tr>
      <w:tr w14:paraId="30ECB100">
        <w:tblPrEx>
          <w:tblCellMar>
            <w:top w:w="0" w:type="dxa"/>
            <w:left w:w="108" w:type="dxa"/>
            <w:bottom w:w="0" w:type="dxa"/>
            <w:right w:w="108" w:type="dxa"/>
          </w:tblCellMar>
        </w:tblPrEx>
        <w:trPr>
          <w:trHeight w:val="340" w:hRule="atLeast"/>
          <w:jc w:val="center"/>
        </w:trPr>
        <w:tc>
          <w:tcPr>
            <w:tcW w:w="1982" w:type="dxa"/>
            <w:tcBorders>
              <w:top w:val="nil"/>
              <w:left w:val="nil"/>
              <w:right w:val="nil"/>
            </w:tcBorders>
            <w:noWrap/>
            <w:vAlign w:val="center"/>
          </w:tcPr>
          <w:p w14:paraId="70DA61F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RT_110</w:t>
            </w:r>
          </w:p>
        </w:tc>
        <w:tc>
          <w:tcPr>
            <w:tcW w:w="1980" w:type="dxa"/>
            <w:tcBorders>
              <w:top w:val="nil"/>
              <w:left w:val="nil"/>
              <w:right w:val="nil"/>
            </w:tcBorders>
            <w:noWrap/>
            <w:vAlign w:val="center"/>
          </w:tcPr>
          <w:p w14:paraId="04ED83B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34.07</w:t>
            </w:r>
          </w:p>
        </w:tc>
        <w:tc>
          <w:tcPr>
            <w:tcW w:w="1980" w:type="dxa"/>
            <w:tcBorders>
              <w:top w:val="nil"/>
              <w:left w:val="nil"/>
              <w:right w:val="nil"/>
            </w:tcBorders>
            <w:noWrap/>
            <w:vAlign w:val="center"/>
          </w:tcPr>
          <w:p w14:paraId="26E20F6B">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35</w:t>
            </w:r>
          </w:p>
        </w:tc>
        <w:tc>
          <w:tcPr>
            <w:tcW w:w="1980" w:type="dxa"/>
            <w:tcBorders>
              <w:top w:val="nil"/>
              <w:left w:val="nil"/>
              <w:right w:val="nil"/>
            </w:tcBorders>
            <w:noWrap/>
            <w:vAlign w:val="center"/>
          </w:tcPr>
          <w:p w14:paraId="497647D9">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28</w:t>
            </w:r>
          </w:p>
        </w:tc>
        <w:tc>
          <w:tcPr>
            <w:tcW w:w="1175" w:type="dxa"/>
            <w:tcBorders>
              <w:top w:val="nil"/>
              <w:left w:val="nil"/>
              <w:right w:val="nil"/>
            </w:tcBorders>
            <w:noWrap/>
            <w:vAlign w:val="center"/>
          </w:tcPr>
          <w:p w14:paraId="59AF30B7">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r>
      <w:tr w14:paraId="73600797">
        <w:tblPrEx>
          <w:tblCellMar>
            <w:top w:w="0" w:type="dxa"/>
            <w:left w:w="108" w:type="dxa"/>
            <w:bottom w:w="0" w:type="dxa"/>
            <w:right w:w="108" w:type="dxa"/>
          </w:tblCellMar>
        </w:tblPrEx>
        <w:trPr>
          <w:trHeight w:val="340" w:hRule="atLeast"/>
          <w:jc w:val="center"/>
        </w:trPr>
        <w:tc>
          <w:tcPr>
            <w:tcW w:w="1982" w:type="dxa"/>
            <w:tcBorders>
              <w:top w:val="nil"/>
              <w:left w:val="nil"/>
              <w:bottom w:val="single" w:color="auto" w:sz="12" w:space="0"/>
              <w:right w:val="nil"/>
            </w:tcBorders>
            <w:noWrap/>
            <w:vAlign w:val="center"/>
          </w:tcPr>
          <w:p w14:paraId="034F22A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Placebo_0</w:t>
            </w:r>
          </w:p>
        </w:tc>
        <w:tc>
          <w:tcPr>
            <w:tcW w:w="1980" w:type="dxa"/>
            <w:tcBorders>
              <w:top w:val="nil"/>
              <w:left w:val="nil"/>
              <w:bottom w:val="single" w:color="auto" w:sz="12" w:space="0"/>
              <w:right w:val="nil"/>
            </w:tcBorders>
            <w:noWrap/>
            <w:vAlign w:val="center"/>
          </w:tcPr>
          <w:p w14:paraId="0DF0DF06">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36.2</w:t>
            </w:r>
          </w:p>
        </w:tc>
        <w:tc>
          <w:tcPr>
            <w:tcW w:w="1980" w:type="dxa"/>
            <w:tcBorders>
              <w:top w:val="nil"/>
              <w:left w:val="nil"/>
              <w:bottom w:val="single" w:color="auto" w:sz="12" w:space="0"/>
              <w:right w:val="nil"/>
            </w:tcBorders>
            <w:noWrap/>
            <w:vAlign w:val="center"/>
          </w:tcPr>
          <w:p w14:paraId="6CA89CCE">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c>
          <w:tcPr>
            <w:tcW w:w="1980" w:type="dxa"/>
            <w:tcBorders>
              <w:top w:val="nil"/>
              <w:left w:val="nil"/>
              <w:bottom w:val="single" w:color="auto" w:sz="12" w:space="0"/>
              <w:right w:val="nil"/>
            </w:tcBorders>
            <w:noWrap/>
            <w:vAlign w:val="center"/>
          </w:tcPr>
          <w:p w14:paraId="1B948173">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33</w:t>
            </w:r>
          </w:p>
        </w:tc>
        <w:tc>
          <w:tcPr>
            <w:tcW w:w="1175" w:type="dxa"/>
            <w:tcBorders>
              <w:top w:val="nil"/>
              <w:left w:val="nil"/>
              <w:bottom w:val="single" w:color="auto" w:sz="12" w:space="0"/>
              <w:right w:val="nil"/>
            </w:tcBorders>
            <w:noWrap/>
            <w:vAlign w:val="center"/>
          </w:tcPr>
          <w:p w14:paraId="2B36E0EF">
            <w:pPr>
              <w:widowControl/>
              <w:jc w:val="center"/>
              <w:rPr>
                <w:rFonts w:hint="default" w:ascii="Times New Roman" w:hAnsi="Times New Roman" w:eastAsia="宋体" w:cs="Times New Roman"/>
                <w:color w:val="auto"/>
                <w:kern w:val="0"/>
                <w:sz w:val="22"/>
                <w:szCs w:val="22"/>
              </w:rPr>
            </w:pPr>
            <w:r>
              <w:rPr>
                <w:rFonts w:hint="default" w:ascii="Times New Roman" w:hAnsi="Times New Roman" w:eastAsia="宋体" w:cs="Times New Roman"/>
                <w:color w:val="auto"/>
                <w:kern w:val="0"/>
                <w:sz w:val="22"/>
                <w:szCs w:val="22"/>
              </w:rPr>
              <w:t>37</w:t>
            </w:r>
          </w:p>
        </w:tc>
      </w:tr>
    </w:tbl>
    <w:p w14:paraId="140AC0D7">
      <w:pPr>
        <w:spacing w:before="120" w:after="120" w:line="360" w:lineRule="exact"/>
        <w:rPr>
          <w:rFonts w:hint="default" w:ascii="Times New Roman" w:hAnsi="Times New Roman" w:eastAsia="Times New Roman" w:cs="Times New Roman"/>
          <w:b/>
          <w:color w:val="auto"/>
          <w:sz w:val="28"/>
          <w:szCs w:val="28"/>
          <w:highlight w:val="white"/>
        </w:rPr>
      </w:pPr>
    </w:p>
    <w:p w14:paraId="7B94BB63">
      <w:pPr>
        <w:spacing w:before="120" w:after="120" w:line="360" w:lineRule="exact"/>
        <w:rPr>
          <w:rFonts w:hint="default" w:ascii="Times New Roman" w:hAnsi="Times New Roman" w:eastAsia="Times New Roman" w:cs="Times New Roman"/>
          <w:b/>
          <w:color w:val="auto"/>
          <w:sz w:val="28"/>
          <w:szCs w:val="28"/>
          <w:highlight w:val="white"/>
        </w:rPr>
      </w:pPr>
    </w:p>
    <w:p w14:paraId="13E5C984">
      <w:pPr>
        <w:rPr>
          <w:rFonts w:hint="default" w:ascii="Times New Roman" w:hAnsi="Times New Roman" w:eastAsia="Times New Roman" w:cs="Times New Roman"/>
          <w:color w:val="auto"/>
          <w:szCs w:val="21"/>
          <w:highlight w:val="white"/>
        </w:rPr>
      </w:pPr>
      <w:r>
        <w:rPr>
          <w:rFonts w:hint="default" w:ascii="Times New Roman" w:hAnsi="Times New Roman" w:eastAsia="Times New Roman" w:cs="Times New Roman"/>
          <w:color w:val="auto"/>
          <w:szCs w:val="21"/>
          <w:highlight w:val="white"/>
        </w:rPr>
        <w:br w:type="page"/>
      </w:r>
    </w:p>
    <w:p w14:paraId="4DDA3777">
      <w:pPr>
        <w:spacing w:line="360" w:lineRule="exact"/>
        <w:rPr>
          <w:rFonts w:hint="default" w:ascii="Times New Roman" w:hAnsi="Times New Roman" w:eastAsia="Times New Roman" w:cs="Times New Roman"/>
          <w:color w:val="auto"/>
          <w:szCs w:val="21"/>
          <w:highlight w:val="white"/>
        </w:rPr>
      </w:pPr>
      <w:r>
        <w:rPr>
          <w:rFonts w:hint="default" w:ascii="Times New Roman" w:hAnsi="Times New Roman" w:eastAsia="Times New Roman" w:cs="Times New Roman"/>
          <w:b/>
          <w:bCs/>
          <w:color w:val="auto"/>
          <w:szCs w:val="21"/>
          <w:highlight w:val="white"/>
        </w:rPr>
        <w:t>Appendix 12</w:t>
      </w:r>
      <w:r>
        <w:rPr>
          <w:rFonts w:hint="default" w:ascii="Times New Roman" w:hAnsi="Times New Roman" w:eastAsia="Times New Roman" w:cs="Times New Roman"/>
          <w:color w:val="auto"/>
          <w:szCs w:val="21"/>
          <w:highlight w:val="white"/>
        </w:rPr>
        <w:t xml:space="preserve"> References of Included Studies</w:t>
      </w:r>
    </w:p>
    <w:p w14:paraId="1366A4FB">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eastAsia="Times New Roman" w:cs="Times New Roman"/>
          <w:color w:val="auto"/>
          <w:sz w:val="21"/>
          <w:szCs w:val="21"/>
          <w:highlight w:val="white"/>
        </w:rPr>
        <w:fldChar w:fldCharType="begin"/>
      </w:r>
      <w:r>
        <w:rPr>
          <w:rFonts w:hint="default" w:ascii="Times New Roman" w:hAnsi="Times New Roman" w:eastAsia="宋体" w:cs="Times New Roman"/>
          <w:color w:val="auto"/>
          <w:sz w:val="21"/>
          <w:szCs w:val="21"/>
          <w:highlight w:val="white"/>
          <w:lang w:eastAsia="zh-CN"/>
        </w:rPr>
        <w:instrText xml:space="preserve"> ADDIN ZOTERO_BIBL {"uncited":[],"omitted":[],"custom":[]} CSL_BIBLIOGRAPHY </w:instrText>
      </w:r>
      <w:r>
        <w:rPr>
          <w:rFonts w:hint="default" w:ascii="Times New Roman" w:hAnsi="Times New Roman" w:eastAsia="Times New Roman" w:cs="Times New Roman"/>
          <w:color w:val="auto"/>
          <w:sz w:val="21"/>
          <w:szCs w:val="21"/>
          <w:highlight w:val="white"/>
        </w:rPr>
        <w:fldChar w:fldCharType="separate"/>
      </w:r>
      <w:r>
        <w:rPr>
          <w:rFonts w:hint="default" w:ascii="Times New Roman" w:hAnsi="Times New Roman" w:cs="Times New Roman"/>
          <w:color w:val="auto"/>
          <w:sz w:val="21"/>
          <w:szCs w:val="21"/>
        </w:rPr>
        <w:t>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Mohammadi, A., Bijeh, N., Moazzami, M., Kazem Khodaei, &amp; Rahimi, N. (2022). Effect of exercise training on spexin level, appetite, lipid accumulation product, visceral adiposity index, and body composition in adults with type 2 diabetes. </w:t>
      </w:r>
      <w:r>
        <w:rPr>
          <w:rFonts w:hint="default" w:ascii="Times New Roman" w:hAnsi="Times New Roman" w:cs="Times New Roman"/>
          <w:i/>
          <w:color w:val="auto"/>
          <w:sz w:val="21"/>
          <w:szCs w:val="21"/>
        </w:rPr>
        <w:t>Biological Research For Nursing</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24</w:t>
      </w:r>
      <w:r>
        <w:rPr>
          <w:rFonts w:hint="default" w:ascii="Times New Roman" w:hAnsi="Times New Roman" w:cs="Times New Roman"/>
          <w:color w:val="auto"/>
          <w:sz w:val="21"/>
          <w:szCs w:val="21"/>
        </w:rPr>
        <w:t>(2), 152–162. https://doi.org/10.1177/10998004211050596</w:t>
      </w:r>
    </w:p>
    <w:p w14:paraId="7E6D2752">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Hyun, A. (2021). Effect of real-time online high-intensity interval training on physiological and physical parameters for abdominally obese women: A randomized pilot study. </w:t>
      </w:r>
      <w:r>
        <w:rPr>
          <w:rFonts w:hint="default" w:ascii="Times New Roman" w:hAnsi="Times New Roman" w:cs="Times New Roman"/>
          <w:i/>
          <w:color w:val="auto"/>
          <w:sz w:val="21"/>
          <w:szCs w:val="21"/>
        </w:rPr>
        <w:t>Applied Sciences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11</w:t>
      </w:r>
      <w:r>
        <w:rPr>
          <w:rFonts w:hint="default" w:ascii="Times New Roman" w:hAnsi="Times New Roman" w:cs="Times New Roman"/>
          <w:color w:val="auto"/>
          <w:sz w:val="21"/>
          <w:szCs w:val="21"/>
        </w:rPr>
        <w:t>(24), 12129. https://doi.org/10.3390/app112412129</w:t>
      </w:r>
    </w:p>
    <w:p w14:paraId="646C7F0D">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Jamka, M., Mądry, E., Krzyżanowska-Jankowska, P., Skrypnik, D., Szulińska, M., Mądry, R., Lisowska, A., Batyrova, G., Duś-Żuchowska, M., Gotz-Więckowska, A., Bogdański, P., &amp; Walkowiak, J. (2021). The effect of endurance and endurance-strength training on body composition and cardiometabolic markers in abdominally obese women: A randomised trial. </w:t>
      </w:r>
      <w:r>
        <w:rPr>
          <w:rFonts w:hint="default" w:ascii="Times New Roman" w:hAnsi="Times New Roman" w:cs="Times New Roman"/>
          <w:i/>
          <w:color w:val="auto"/>
          <w:sz w:val="21"/>
          <w:szCs w:val="21"/>
        </w:rPr>
        <w:t>Scientific Reports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11</w:t>
      </w:r>
      <w:r>
        <w:rPr>
          <w:rFonts w:hint="default" w:ascii="Times New Roman" w:hAnsi="Times New Roman" w:cs="Times New Roman"/>
          <w:color w:val="auto"/>
          <w:sz w:val="21"/>
          <w:szCs w:val="21"/>
        </w:rPr>
        <w:t>(1), 12339. https://doi.org/10.1038/s41598-021-90526-7</w:t>
      </w:r>
    </w:p>
    <w:p w14:paraId="6AA61F18">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Rashidi, Z., Beigi, R., Mardaniyan Ghahfarrokhi, M., Faramarzi, M., Banitalebi, E., Jafari, T., Earnest, C. P., &amp; Baker, J. S. (2021). Effect of elastic band resistance training with green coffee extract supplementation on adiposity indices and TyG-related indicators in obese women. </w:t>
      </w:r>
      <w:r>
        <w:rPr>
          <w:rFonts w:hint="default" w:ascii="Times New Roman" w:hAnsi="Times New Roman" w:cs="Times New Roman"/>
          <w:i/>
          <w:color w:val="auto"/>
          <w:sz w:val="21"/>
          <w:szCs w:val="21"/>
        </w:rPr>
        <w:t>Obesity Medicine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24</w:t>
      </w:r>
      <w:r>
        <w:rPr>
          <w:rFonts w:hint="default" w:ascii="Times New Roman" w:hAnsi="Times New Roman" w:cs="Times New Roman"/>
          <w:color w:val="auto"/>
          <w:sz w:val="21"/>
          <w:szCs w:val="21"/>
        </w:rPr>
        <w:t>, 100351. https://doi.org/10.1016/j.obmed.2021.100351</w:t>
      </w:r>
    </w:p>
    <w:p w14:paraId="5A5CCEAD">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Valsdottir, T. D., Øvrebø, B., Falck, T. M., Litleskare, S., Johansen, E. I., Henriksen, C., &amp; Jensen, J. (2021). Low-carbohydrate high-fat diet and exercise: Effect of a 10-week intervention on body composition and CVD risk factors in overweight and obese women—a randomized controlled trial. </w:t>
      </w:r>
      <w:r>
        <w:rPr>
          <w:rFonts w:hint="default" w:ascii="Times New Roman" w:hAnsi="Times New Roman" w:cs="Times New Roman"/>
          <w:i/>
          <w:color w:val="auto"/>
          <w:sz w:val="21"/>
          <w:szCs w:val="21"/>
        </w:rPr>
        <w:t>Nutrients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13</w:t>
      </w:r>
      <w:r>
        <w:rPr>
          <w:rFonts w:hint="default" w:ascii="Times New Roman" w:hAnsi="Times New Roman" w:cs="Times New Roman"/>
          <w:color w:val="auto"/>
          <w:sz w:val="21"/>
          <w:szCs w:val="21"/>
        </w:rPr>
        <w:t>(1), 110. https://doi.org/10.3390/nu13010110</w:t>
      </w:r>
    </w:p>
    <w:p w14:paraId="73D6F78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Abdelbasset, W. K., Tantawy, S. A., Kamel, D. M., Alqahtani, B. A., Elnegamy, T. E., Soliman, G. S., &amp; Ibrahim, A. A. (2020). Effects of high-intensity interval and moderate-intensity continuous aerobic exercise on diabetic obese patients with nonalcoholic fatty liver disease: A comparative randomized controlled trial. </w:t>
      </w:r>
      <w:r>
        <w:rPr>
          <w:rFonts w:hint="default" w:ascii="Times New Roman" w:hAnsi="Times New Roman" w:cs="Times New Roman"/>
          <w:i/>
          <w:color w:val="auto"/>
          <w:sz w:val="21"/>
          <w:szCs w:val="21"/>
        </w:rPr>
        <w:t>Medicine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99</w:t>
      </w:r>
      <w:r>
        <w:rPr>
          <w:rFonts w:hint="default" w:ascii="Times New Roman" w:hAnsi="Times New Roman" w:cs="Times New Roman"/>
          <w:color w:val="auto"/>
          <w:sz w:val="21"/>
          <w:szCs w:val="21"/>
        </w:rPr>
        <w:t>(10), e19471. https://doi.org/10.1097/MD.0000000000019471</w:t>
      </w:r>
    </w:p>
    <w:p w14:paraId="2A3C8FB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Gripp, F., Nava, R. C., Cassilhas, R. C., Esteves, E. A., Magalhães, C. O. D., Dias-Peixoto, M. F., De Castro Magalhães, F., &amp; Amorim, F. T. (2021). HIIT is superior than MICT on cardiometabolic health during training and detraining. </w:t>
      </w:r>
      <w:r>
        <w:rPr>
          <w:rFonts w:hint="default" w:ascii="Times New Roman" w:hAnsi="Times New Roman" w:cs="Times New Roman"/>
          <w:i/>
          <w:color w:val="auto"/>
          <w:sz w:val="21"/>
          <w:szCs w:val="21"/>
        </w:rPr>
        <w:t>European Journal of Applied Physiology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121</w:t>
      </w:r>
      <w:r>
        <w:rPr>
          <w:rFonts w:hint="default" w:ascii="Times New Roman" w:hAnsi="Times New Roman" w:cs="Times New Roman"/>
          <w:color w:val="auto"/>
          <w:sz w:val="21"/>
          <w:szCs w:val="21"/>
        </w:rPr>
        <w:t>(1), 159–172. https://doi.org/10.1007/s00421-020-04502-6</w:t>
      </w:r>
    </w:p>
    <w:p w14:paraId="481A835C">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Lee, A. S., Johnson, N. A., McGill, M. J., Overland, J., Luo, C., Baker, C. J., Martinez-Huenchullan, S., Wong, J., Flack, J. R., &amp; Twigg, S. M. (2020). Effect of high-intensity interval training on glycemic control in adults with type 1 diabetes and overweight or obesity: A randomized controlled trial with partial crossover. </w:t>
      </w:r>
      <w:r>
        <w:rPr>
          <w:rFonts w:hint="default" w:ascii="Times New Roman" w:hAnsi="Times New Roman" w:cs="Times New Roman"/>
          <w:i/>
          <w:color w:val="auto"/>
          <w:sz w:val="21"/>
          <w:szCs w:val="21"/>
        </w:rPr>
        <w:t>Diabetes Care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43</w:t>
      </w:r>
      <w:r>
        <w:rPr>
          <w:rFonts w:hint="default" w:ascii="Times New Roman" w:hAnsi="Times New Roman" w:cs="Times New Roman"/>
          <w:color w:val="auto"/>
          <w:sz w:val="21"/>
          <w:szCs w:val="21"/>
        </w:rPr>
        <w:t>(9), 2281–2288. https://doi.org/10.2337/dc20-0342</w:t>
      </w:r>
    </w:p>
    <w:p w14:paraId="068392B6">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Mendham, A. E., Larsen, S., George, C., Adams, K., Hauksson, J., Olsson, T., Fortuin-de Smidt, M. C., Nono Nankam, P. A., Hakim, O., Goff, L. M., Pheiffer, C., &amp; Goedecke, J. H. (2020). Exercise training results in depot-specific adaptations to adipose tissue mitochondrial function. </w:t>
      </w:r>
      <w:r>
        <w:rPr>
          <w:rFonts w:hint="default" w:ascii="Times New Roman" w:hAnsi="Times New Roman" w:cs="Times New Roman"/>
          <w:i/>
          <w:color w:val="auto"/>
          <w:sz w:val="21"/>
          <w:szCs w:val="21"/>
        </w:rPr>
        <w:t>Scientific Reports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10</w:t>
      </w:r>
      <w:r>
        <w:rPr>
          <w:rFonts w:hint="default" w:ascii="Times New Roman" w:hAnsi="Times New Roman" w:cs="Times New Roman"/>
          <w:color w:val="auto"/>
          <w:sz w:val="21"/>
          <w:szCs w:val="21"/>
        </w:rPr>
        <w:t>(1), 3785. https://doi.org/10.1038/s41598-020-60286-x</w:t>
      </w:r>
    </w:p>
    <w:p w14:paraId="68B5D525">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Ramos, J. S., Dalleck, L. C., Stennett, R. C., Mielke, G. I., Keating, S. E., Murray, L. S., Hasnain, S. Z., Fassett, R. G., McGuckin, M., Croci, I., &amp; Coombes, J. S. (2020). Effect of different volumes of interval training and continuous exercise on interleukin-22 in adults with metabolic syndrome: A randomized trial. </w:t>
      </w:r>
      <w:r>
        <w:rPr>
          <w:rFonts w:hint="default" w:ascii="Times New Roman" w:hAnsi="Times New Roman" w:cs="Times New Roman"/>
          <w:i/>
          <w:color w:val="auto"/>
          <w:sz w:val="21"/>
          <w:szCs w:val="21"/>
        </w:rPr>
        <w:t>Diabetes, Metabolic Syndrome and Obesity: Targets and Therapy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13</w:t>
      </w:r>
      <w:r>
        <w:rPr>
          <w:rFonts w:hint="default" w:ascii="Times New Roman" w:hAnsi="Times New Roman" w:cs="Times New Roman"/>
          <w:color w:val="auto"/>
          <w:sz w:val="21"/>
          <w:szCs w:val="21"/>
        </w:rPr>
        <w:t>, 2443–2453. https://doi.org/10.2147/DMSO.S251567</w:t>
      </w:r>
    </w:p>
    <w:p w14:paraId="7A05AFC9">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Ballin, M., Lundberg, E., Sörlén, N., Nordström, P., Hult, A., &amp; Nordström, A. (2019). Effects of interval training on visceral adipose tissue in centrally obese 70‐year‐old individuals: A randomized controlled trial. </w:t>
      </w:r>
      <w:r>
        <w:rPr>
          <w:rFonts w:hint="default" w:ascii="Times New Roman" w:hAnsi="Times New Roman" w:cs="Times New Roman"/>
          <w:i/>
          <w:color w:val="auto"/>
          <w:sz w:val="21"/>
          <w:szCs w:val="21"/>
        </w:rPr>
        <w:t>Journal of the American Geriatrics Society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67</w:t>
      </w:r>
      <w:r>
        <w:rPr>
          <w:rFonts w:hint="default" w:ascii="Times New Roman" w:hAnsi="Times New Roman" w:cs="Times New Roman"/>
          <w:color w:val="auto"/>
          <w:sz w:val="21"/>
          <w:szCs w:val="21"/>
        </w:rPr>
        <w:t>(8), 1625–1631. https://doi.org/10.1111/jgs.15919</w:t>
      </w:r>
    </w:p>
    <w:p w14:paraId="2B41322C">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Zhang, H., Tong, T. K., Kong, Z., Shi, Q., Liu, Y., &amp; Nie, J. (2021). Exercise training‐induced visceral fat loss in obese women: The role of training intensity and modality. </w:t>
      </w:r>
      <w:r>
        <w:rPr>
          <w:rFonts w:hint="default" w:ascii="Times New Roman" w:hAnsi="Times New Roman" w:cs="Times New Roman"/>
          <w:i/>
          <w:color w:val="auto"/>
          <w:sz w:val="21"/>
          <w:szCs w:val="21"/>
        </w:rPr>
        <w:t>Scandinavian Journal of Medicine &amp; Science in Sports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31</w:t>
      </w:r>
      <w:r>
        <w:rPr>
          <w:rFonts w:hint="default" w:ascii="Times New Roman" w:hAnsi="Times New Roman" w:cs="Times New Roman"/>
          <w:color w:val="auto"/>
          <w:sz w:val="21"/>
          <w:szCs w:val="21"/>
        </w:rPr>
        <w:t>(1), 30–43. https://doi.org/10.1111/sms.13803</w:t>
      </w:r>
    </w:p>
    <w:p w14:paraId="6FB5F138">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Fortuin-de Smidt, M. C., Mendham, A. E., Hauksson, J., Hakim, O., Stefanovski, D., Clamp, L., Phiri, L., Swart, J., Goff, L. M., Micklesfield, L. K., Kahn, S. E., Olsson, T., &amp; Goedecke, J. H. (2020). Effect of exercise training on insulin sensitivity, hyperinsulinemia and ectopic fat in black south african women: A randomized controlled trial. </w:t>
      </w:r>
      <w:r>
        <w:rPr>
          <w:rFonts w:hint="default" w:ascii="Times New Roman" w:hAnsi="Times New Roman" w:cs="Times New Roman"/>
          <w:i/>
          <w:color w:val="auto"/>
          <w:sz w:val="21"/>
          <w:szCs w:val="21"/>
        </w:rPr>
        <w:t>European Journal of Endocrinology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183</w:t>
      </w:r>
      <w:r>
        <w:rPr>
          <w:rFonts w:hint="default" w:ascii="Times New Roman" w:hAnsi="Times New Roman" w:cs="Times New Roman"/>
          <w:color w:val="auto"/>
          <w:sz w:val="21"/>
          <w:szCs w:val="21"/>
        </w:rPr>
        <w:t>(1), 51–61. https://doi.org/10.1530/EJE-19-0957</w:t>
      </w:r>
    </w:p>
    <w:p w14:paraId="632580D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Boutcher, Y. N., Boutcher, S. H., Yoo, H. Y., &amp; Meerkin, J. D. (2019). The effect of sprint interval training on body composition of postmenopausal women. </w:t>
      </w:r>
      <w:r>
        <w:rPr>
          <w:rFonts w:hint="default" w:ascii="Times New Roman" w:hAnsi="Times New Roman" w:cs="Times New Roman"/>
          <w:i/>
          <w:color w:val="auto"/>
          <w:sz w:val="21"/>
          <w:szCs w:val="21"/>
        </w:rPr>
        <w:t>Medicine &amp; Science in Sports &amp; Exercise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51</w:t>
      </w:r>
      <w:r>
        <w:rPr>
          <w:rFonts w:hint="default" w:ascii="Times New Roman" w:hAnsi="Times New Roman" w:cs="Times New Roman"/>
          <w:color w:val="auto"/>
          <w:sz w:val="21"/>
          <w:szCs w:val="21"/>
        </w:rPr>
        <w:t>(7), 1413–1419. https://doi.org/10.1249/MSS.0000000000001919</w:t>
      </w:r>
    </w:p>
    <w:p w14:paraId="4D56EAD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Cho, A.-R., Moon, J.-Y., Kim, S., An, K.-Y., Oh, M., Jeon, J. Y., Jung, D.-H., Choi, M. H., &amp; Lee, J.-W. (2019). Effects of alternate day fasting and exercise on cholesterol metabolism in overweight or obese adults: A pilot randomized controlled trial. </w:t>
      </w:r>
      <w:r>
        <w:rPr>
          <w:rFonts w:hint="default" w:ascii="Times New Roman" w:hAnsi="Times New Roman" w:cs="Times New Roman"/>
          <w:i/>
          <w:color w:val="auto"/>
          <w:sz w:val="21"/>
          <w:szCs w:val="21"/>
        </w:rPr>
        <w:t>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93</w:t>
      </w:r>
      <w:r>
        <w:rPr>
          <w:rFonts w:hint="default" w:ascii="Times New Roman" w:hAnsi="Times New Roman" w:cs="Times New Roman"/>
          <w:color w:val="auto"/>
          <w:sz w:val="21"/>
          <w:szCs w:val="21"/>
        </w:rPr>
        <w:t>, 52–60. https://doi.org/10.1016/j.metabol.2019.01.002</w:t>
      </w:r>
    </w:p>
    <w:p w14:paraId="11D9A822">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Hagovska, M., Švihra, J., Buková, A., Dračková, D., Horbacz, A., &amp; Nagyová, I. (2020). Effect of an exercise programme for reducing abdominal fat on overactive bladder symptoms in young overweight women. </w:t>
      </w:r>
      <w:r>
        <w:rPr>
          <w:rFonts w:hint="default" w:ascii="Times New Roman" w:hAnsi="Times New Roman" w:cs="Times New Roman"/>
          <w:i/>
          <w:color w:val="auto"/>
          <w:sz w:val="21"/>
          <w:szCs w:val="21"/>
        </w:rPr>
        <w:t>International Urogynecology Journal</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31</w:t>
      </w:r>
      <w:r>
        <w:rPr>
          <w:rFonts w:hint="default" w:ascii="Times New Roman" w:hAnsi="Times New Roman" w:cs="Times New Roman"/>
          <w:color w:val="auto"/>
          <w:sz w:val="21"/>
          <w:szCs w:val="21"/>
        </w:rPr>
        <w:t>(5), 895–902. https://doi.org/10.1007/s00192-019-04157-8</w:t>
      </w:r>
    </w:p>
    <w:p w14:paraId="0276267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Dupuit, M., Rance, M., Morel, C., Bouillon, P., Pereira, B., Bonnet, A., Maillard, F., Duclos, M., &amp; Boisseau, N. (2020). Moderate-intensity continuous training or high-intensity interval training with or without resistance training for altering body composition in postmenopausal women. </w:t>
      </w:r>
      <w:r>
        <w:rPr>
          <w:rFonts w:hint="default" w:ascii="Times New Roman" w:hAnsi="Times New Roman" w:cs="Times New Roman"/>
          <w:i/>
          <w:color w:val="auto"/>
          <w:sz w:val="21"/>
          <w:szCs w:val="21"/>
        </w:rPr>
        <w:t>Medicine &amp; Science in Sports &amp; Exercise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52</w:t>
      </w:r>
      <w:r>
        <w:rPr>
          <w:rFonts w:hint="default" w:ascii="Times New Roman" w:hAnsi="Times New Roman" w:cs="Times New Roman"/>
          <w:color w:val="auto"/>
          <w:sz w:val="21"/>
          <w:szCs w:val="21"/>
        </w:rPr>
        <w:t>(3), 736–745. https://doi.org/10.1249/MSS.0000000000002162</w:t>
      </w:r>
    </w:p>
    <w:p w14:paraId="0468AB21">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Nunes, P. R. P., Martins, F. M., Souza, A. P., Carneiro, M. A. S., Orsatti, C. L., Michelin, M. A., Murta, E. F. C., De Oliveira, E. P., &amp; Orsatti, F. L. (2019). Effect of high-intensity interval training on body composition and inflammatory markers in obese postmenopausal women: A randomized controlled trial. </w:t>
      </w:r>
      <w:r>
        <w:rPr>
          <w:rFonts w:hint="default" w:ascii="Times New Roman" w:hAnsi="Times New Roman" w:cs="Times New Roman"/>
          <w:i/>
          <w:color w:val="auto"/>
          <w:sz w:val="21"/>
          <w:szCs w:val="21"/>
        </w:rPr>
        <w:t>Menopause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26</w:t>
      </w:r>
      <w:r>
        <w:rPr>
          <w:rFonts w:hint="default" w:ascii="Times New Roman" w:hAnsi="Times New Roman" w:cs="Times New Roman"/>
          <w:color w:val="auto"/>
          <w:sz w:val="21"/>
          <w:szCs w:val="21"/>
        </w:rPr>
        <w:t>(3), 256–264. https://doi.org/10.1097/GME.0000000000001207</w:t>
      </w:r>
    </w:p>
    <w:p w14:paraId="43B2B652">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Ratajczak, M., Skrypnik, D., Bogdański, P., Mądry, E., Walkowiak, J., Szulińska, M., Maciaszek, J., Kręgielska-Narożna, M., &amp; Karolkiewicz, J. (2019). Effects of endurance and endurance–strength training on endothelial function in women with obesity: A randomized trial. </w:t>
      </w:r>
      <w:r>
        <w:rPr>
          <w:rFonts w:hint="default" w:ascii="Times New Roman" w:hAnsi="Times New Roman" w:cs="Times New Roman"/>
          <w:i/>
          <w:color w:val="auto"/>
          <w:sz w:val="21"/>
          <w:szCs w:val="21"/>
        </w:rPr>
        <w:t>International Journal of Environmental Research and Public Health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16</w:t>
      </w:r>
      <w:r>
        <w:rPr>
          <w:rFonts w:hint="default" w:ascii="Times New Roman" w:hAnsi="Times New Roman" w:cs="Times New Roman"/>
          <w:color w:val="auto"/>
          <w:sz w:val="21"/>
          <w:szCs w:val="21"/>
        </w:rPr>
        <w:t>(21), 4291. https://doi.org/10.3390/ijerph16214291</w:t>
      </w:r>
    </w:p>
    <w:p w14:paraId="6B7F1173">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Bairapareddy, K. C., Maiya, A. G., Kumar, P., Nayak, K., Guddattu, V., &amp; Nayak, V. (2018). Effect of aerobic exercise on echocardiographic epicardial adipose tissue thickness in overweight individuals. </w:t>
      </w:r>
      <w:r>
        <w:rPr>
          <w:rFonts w:hint="default" w:ascii="Times New Roman" w:hAnsi="Times New Roman" w:cs="Times New Roman"/>
          <w:i/>
          <w:color w:val="auto"/>
          <w:sz w:val="21"/>
          <w:szCs w:val="21"/>
        </w:rPr>
        <w:t>Diabetes, Metabolic Syndrome and Obesity: Targets and Therapy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11</w:t>
      </w:r>
      <w:r>
        <w:rPr>
          <w:rFonts w:hint="default" w:ascii="Times New Roman" w:hAnsi="Times New Roman" w:cs="Times New Roman"/>
          <w:color w:val="auto"/>
          <w:sz w:val="21"/>
          <w:szCs w:val="21"/>
        </w:rPr>
        <w:t>, 303–312. https://doi.org/10.2147/DMSO.S145862</w:t>
      </w:r>
    </w:p>
    <w:p w14:paraId="528015F6">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Wedell-Neergaard, A.-S., Lang Lehrskov, L., Christensen, R. H., Legaard, G. E., Dorph, E., Larsen, M. K., Launbo, N., Fagerlind, S. R., Seide, S. K., Nymand, S., Ball, M., Vinum, N., Dahl, C. N., Henneberg, M., Ried-Larsen, M., Nybing, J. D., Christensen, R., Rosenmeier, J. B., Karstoft, K., … Krogh-Madsen, R. (2019). Exercise-induced changes in visceral adipose tissue mass are regulated by IL-6 signaling: A randomized controlled trial. </w:t>
      </w:r>
      <w:r>
        <w:rPr>
          <w:rFonts w:hint="default" w:ascii="Times New Roman" w:hAnsi="Times New Roman" w:cs="Times New Roman"/>
          <w:i/>
          <w:color w:val="auto"/>
          <w:sz w:val="21"/>
          <w:szCs w:val="21"/>
        </w:rPr>
        <w:t>Cell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29</w:t>
      </w:r>
      <w:r>
        <w:rPr>
          <w:rFonts w:hint="default" w:ascii="Times New Roman" w:hAnsi="Times New Roman" w:cs="Times New Roman"/>
          <w:color w:val="auto"/>
          <w:sz w:val="21"/>
          <w:szCs w:val="21"/>
        </w:rPr>
        <w:t>(4), 844-855.e3. https://doi.org/10.1016/j.cmet.2018.12.007</w:t>
      </w:r>
    </w:p>
    <w:p w14:paraId="2A861894">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Holliday, A., Burgin, A., Fernandez, E. V., Fenton, S. A. M., Thielecke, F., &amp; Blannin, A. K. (2018). Points-based physical activity: A novel approach to facilitate changes in body composition in inactive women with overweight and obesity. </w:t>
      </w:r>
      <w:r>
        <w:rPr>
          <w:rFonts w:hint="default" w:ascii="Times New Roman" w:hAnsi="Times New Roman" w:cs="Times New Roman"/>
          <w:i/>
          <w:color w:val="auto"/>
          <w:sz w:val="21"/>
          <w:szCs w:val="21"/>
        </w:rPr>
        <w:t>BMC Public Health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18</w:t>
      </w:r>
      <w:r>
        <w:rPr>
          <w:rFonts w:hint="default" w:ascii="Times New Roman" w:hAnsi="Times New Roman" w:cs="Times New Roman"/>
          <w:color w:val="auto"/>
          <w:sz w:val="21"/>
          <w:szCs w:val="21"/>
        </w:rPr>
        <w:t>(1), 261. https://doi.org/10.1186/s12889-018-5125-2</w:t>
      </w:r>
    </w:p>
    <w:p w14:paraId="101F52A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23.</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Roy, M., Williams, S. M., Brown, R. C., Meredith-Jones, K. A., Osborne, H., Jospe, M., &amp; Taylor, R. W. (2018). High-intensity interval training in the real world: Outcomes from a 12-month intervention in overweight adults. </w:t>
      </w:r>
      <w:r>
        <w:rPr>
          <w:rFonts w:hint="default" w:ascii="Times New Roman" w:hAnsi="Times New Roman" w:cs="Times New Roman"/>
          <w:i/>
          <w:color w:val="auto"/>
          <w:sz w:val="21"/>
          <w:szCs w:val="21"/>
        </w:rPr>
        <w:t>Medicine &amp; Science in Sports &amp; Exercise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50</w:t>
      </w:r>
      <w:r>
        <w:rPr>
          <w:rFonts w:hint="default" w:ascii="Times New Roman" w:hAnsi="Times New Roman" w:cs="Times New Roman"/>
          <w:color w:val="auto"/>
          <w:sz w:val="21"/>
          <w:szCs w:val="21"/>
        </w:rPr>
        <w:t>(9), 1818–1826. https://doi.org/10.1249/MSS.0000000000001642</w:t>
      </w:r>
    </w:p>
    <w:p w14:paraId="35B3CC9C">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Tong, T. K., Zhang, H., Shi, H., Liu, Y., Ai, J., Nie, J., &amp; Kong, Z. (2018). Comparing Time Efficiency of Sprint vs. High-Intensity Interval Training in Reducing Abdominal Visceral Fat in Obese Young Women: A Randomized, Controlled Trial. </w:t>
      </w:r>
      <w:r>
        <w:rPr>
          <w:rFonts w:hint="default" w:ascii="Times New Roman" w:hAnsi="Times New Roman" w:cs="Times New Roman"/>
          <w:i/>
          <w:color w:val="auto"/>
          <w:sz w:val="21"/>
          <w:szCs w:val="21"/>
        </w:rPr>
        <w:t>Frontiers in Physiology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9</w:t>
      </w:r>
      <w:r>
        <w:rPr>
          <w:rFonts w:hint="default" w:ascii="Times New Roman" w:hAnsi="Times New Roman" w:cs="Times New Roman"/>
          <w:color w:val="auto"/>
          <w:sz w:val="21"/>
          <w:szCs w:val="21"/>
        </w:rPr>
        <w:t>, 1048. https://doi.org/10.3389/fphys.2018.01048</w:t>
      </w:r>
    </w:p>
    <w:p w14:paraId="70A89C6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Chen, H., Chung, Y., Chen, Y., Ho, S., &amp; Wu, H. (2017). Effects of different types of exercise on body composition, muscle strength, and IGF‐1 in the elderly with sarcopenic obesity. </w:t>
      </w:r>
      <w:r>
        <w:rPr>
          <w:rFonts w:hint="default" w:ascii="Times New Roman" w:hAnsi="Times New Roman" w:cs="Times New Roman"/>
          <w:i/>
          <w:color w:val="auto"/>
          <w:sz w:val="21"/>
          <w:szCs w:val="21"/>
        </w:rPr>
        <w:t>Journal of the American Geriatrics Society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65</w:t>
      </w:r>
      <w:r>
        <w:rPr>
          <w:rFonts w:hint="default" w:ascii="Times New Roman" w:hAnsi="Times New Roman" w:cs="Times New Roman"/>
          <w:color w:val="auto"/>
          <w:sz w:val="21"/>
          <w:szCs w:val="21"/>
        </w:rPr>
        <w:t>(4), 827–832. https://doi.org/10.1111/jgs.14722</w:t>
      </w:r>
    </w:p>
    <w:p w14:paraId="246F4C78">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Oh, S., So, R., Shida, T., Matsuo, T., Kim, B., Akiyama, K., Isobe, T., Okamoto, Y., Tanaka, K., &amp; Shoda, J. (2017). High-Intensity Aerobic Exercise Improves Both Hepatic Fat Content and Stiffness in Sedentary Obese Men with Nonalcoholic Fatty Liver Disease. </w:t>
      </w:r>
      <w:r>
        <w:rPr>
          <w:rFonts w:hint="default" w:ascii="Times New Roman" w:hAnsi="Times New Roman" w:cs="Times New Roman"/>
          <w:i/>
          <w:color w:val="auto"/>
          <w:sz w:val="21"/>
          <w:szCs w:val="21"/>
        </w:rPr>
        <w:t>Scientific Reports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7</w:t>
      </w:r>
      <w:r>
        <w:rPr>
          <w:rFonts w:hint="default" w:ascii="Times New Roman" w:hAnsi="Times New Roman" w:cs="Times New Roman"/>
          <w:color w:val="auto"/>
          <w:sz w:val="21"/>
          <w:szCs w:val="21"/>
        </w:rPr>
        <w:t>(1), 43029. https://doi.org/10.1038/srep43029</w:t>
      </w:r>
    </w:p>
    <w:p w14:paraId="72476971">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Keating, S. E., Hackett, D. A., Parker, H. M., Way, K. L., O’Connor, H. T., Sainsbury, A., Baker, M. K., Chuter, V. H., Caterson, I. D., George, J., &amp; Johnson, N. A. (2017). Effect of resistance training on liver fat and visceral adiposity in adults with obesity: A randomized controlled trial. </w:t>
      </w:r>
      <w:r>
        <w:rPr>
          <w:rFonts w:hint="default" w:ascii="Times New Roman" w:hAnsi="Times New Roman" w:cs="Times New Roman"/>
          <w:i/>
          <w:color w:val="auto"/>
          <w:sz w:val="21"/>
          <w:szCs w:val="21"/>
        </w:rPr>
        <w:t>Hepatology Research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47</w:t>
      </w:r>
      <w:r>
        <w:rPr>
          <w:rFonts w:hint="default" w:ascii="Times New Roman" w:hAnsi="Times New Roman" w:cs="Times New Roman"/>
          <w:color w:val="auto"/>
          <w:sz w:val="21"/>
          <w:szCs w:val="21"/>
        </w:rPr>
        <w:t>(7), 622–631. https://doi.org/10.1111/hepr.12781</w:t>
      </w:r>
    </w:p>
    <w:p w14:paraId="2106A1B8">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Wu, S., Park, K.-S., &amp; McCormick, J. B. (2017). Effects of exercise training on fat loss and lean mass gain in mexican-American and korean premenopausal women. </w:t>
      </w:r>
      <w:r>
        <w:rPr>
          <w:rFonts w:hint="default" w:ascii="Times New Roman" w:hAnsi="Times New Roman" w:cs="Times New Roman"/>
          <w:i/>
          <w:color w:val="auto"/>
          <w:sz w:val="21"/>
          <w:szCs w:val="21"/>
        </w:rPr>
        <w:t>International Journal of Endocrinology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2017</w:t>
      </w:r>
      <w:r>
        <w:rPr>
          <w:rFonts w:hint="default" w:ascii="Times New Roman" w:hAnsi="Times New Roman" w:cs="Times New Roman"/>
          <w:color w:val="auto"/>
          <w:sz w:val="21"/>
          <w:szCs w:val="21"/>
        </w:rPr>
        <w:t>, 1–7. https://doi.org/10.1155/2017/5465869</w:t>
      </w:r>
    </w:p>
    <w:p w14:paraId="241F95FE">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Houghton, D., Thoma, C., Hallsworth, K., Cassidy, S., Hardy, T., Burt, A. D., Tiniakos, D., Hollingsworth, K. G., Taylor, R., Day, C. P., McPherson, S., Anstee, Q. M., &amp; Trenell, M. I. (2017). Exercise reduces liver lipids and visceral adiposity in patients with nonalcoholic steatohepatitis in a randomized controlled trial. </w:t>
      </w:r>
      <w:r>
        <w:rPr>
          <w:rFonts w:hint="default" w:ascii="Times New Roman" w:hAnsi="Times New Roman" w:cs="Times New Roman"/>
          <w:i/>
          <w:color w:val="auto"/>
          <w:sz w:val="21"/>
          <w:szCs w:val="21"/>
        </w:rPr>
        <w:t>Clinical Gastroenterology and Hepatology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15</w:t>
      </w:r>
      <w:r>
        <w:rPr>
          <w:rFonts w:hint="default" w:ascii="Times New Roman" w:hAnsi="Times New Roman" w:cs="Times New Roman"/>
          <w:color w:val="auto"/>
          <w:sz w:val="21"/>
          <w:szCs w:val="21"/>
        </w:rPr>
        <w:t>(1), 96-102.e3. https://doi.org/10.1016/j.cgh.2016.07.031</w:t>
      </w:r>
    </w:p>
    <w:p w14:paraId="186A6ABE">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Zhang, H., Tong, T. K., Qiu, W., Zhang, X., Zhou, S., Liu, Y., &amp; He, Y. (2017). Comparable Effects of High-Intensity Interval Training and Prolonged Continuous Exercise Training on Abdominal Visceral Fat Reduction in Obese Young Women. </w:t>
      </w:r>
      <w:r>
        <w:rPr>
          <w:rFonts w:hint="default" w:ascii="Times New Roman" w:hAnsi="Times New Roman" w:cs="Times New Roman"/>
          <w:i/>
          <w:color w:val="auto"/>
          <w:sz w:val="21"/>
          <w:szCs w:val="21"/>
        </w:rPr>
        <w:t>Journal of Diabetes Research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2017</w:t>
      </w:r>
      <w:r>
        <w:rPr>
          <w:rFonts w:hint="default" w:ascii="Times New Roman" w:hAnsi="Times New Roman" w:cs="Times New Roman"/>
          <w:color w:val="auto"/>
          <w:sz w:val="21"/>
          <w:szCs w:val="21"/>
        </w:rPr>
        <w:t>, 1–9. https://doi.org/10.1155/2017/5071740</w:t>
      </w:r>
    </w:p>
    <w:p w14:paraId="2F20DC7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Cooper, J. H. F., Collins, B. E. G., Adams, D. R., Robergs, R. A., &amp; Donges, C. E. (2016). Limited effects of endurance or interval training on visceral adipose tissue and systemic inflammation in sedentary middle-aged men. </w:t>
      </w:r>
      <w:r>
        <w:rPr>
          <w:rFonts w:hint="default" w:ascii="Times New Roman" w:hAnsi="Times New Roman" w:cs="Times New Roman"/>
          <w:i/>
          <w:color w:val="auto"/>
          <w:sz w:val="21"/>
          <w:szCs w:val="21"/>
        </w:rPr>
        <w:t>Journal of 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2016</w:t>
      </w:r>
      <w:r>
        <w:rPr>
          <w:rFonts w:hint="default" w:ascii="Times New Roman" w:hAnsi="Times New Roman" w:cs="Times New Roman"/>
          <w:color w:val="auto"/>
          <w:sz w:val="21"/>
          <w:szCs w:val="21"/>
        </w:rPr>
        <w:t>, 1–10. https://doi.org/10.1155/2016/2479597</w:t>
      </w:r>
    </w:p>
    <w:p w14:paraId="70B5039C">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Maillard, F., Rousset, S., Pereira, B., Traore, A., De Pradel Del Amaze, P., Boirie, Y., Duclos, M., &amp; Boisseau, N. (2016). High-intensity interval training reduces abdominal fat mass in postmenopausal women with type 2 diabetes. </w:t>
      </w:r>
      <w:r>
        <w:rPr>
          <w:rFonts w:hint="default" w:ascii="Times New Roman" w:hAnsi="Times New Roman" w:cs="Times New Roman"/>
          <w:i/>
          <w:color w:val="auto"/>
          <w:sz w:val="21"/>
          <w:szCs w:val="21"/>
        </w:rPr>
        <w:t>Diabetes &amp;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42</w:t>
      </w:r>
      <w:r>
        <w:rPr>
          <w:rFonts w:hint="default" w:ascii="Times New Roman" w:hAnsi="Times New Roman" w:cs="Times New Roman"/>
          <w:color w:val="auto"/>
          <w:sz w:val="21"/>
          <w:szCs w:val="21"/>
        </w:rPr>
        <w:t>(6), 433–441. https://doi.org/10.1016/j.diabet.2016.07.031</w:t>
      </w:r>
    </w:p>
    <w:p w14:paraId="6CF526D5">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33.</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Keating, S. E., Hackett, D. A., Parker, H. M., O’Connor, H. T., Gerofi, J. A., Sainsbury, A., Baker, M. K., Chuter, V. H., Caterson, I. D., George, J., &amp; Johnson, N. A. (2015). Effect of aerobic exercise training dose on liver fat and visceral adiposity. </w:t>
      </w:r>
      <w:r>
        <w:rPr>
          <w:rFonts w:hint="default" w:ascii="Times New Roman" w:hAnsi="Times New Roman" w:cs="Times New Roman"/>
          <w:i/>
          <w:color w:val="auto"/>
          <w:sz w:val="21"/>
          <w:szCs w:val="21"/>
        </w:rPr>
        <w:t>Journal of Hepatology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63</w:t>
      </w:r>
      <w:r>
        <w:rPr>
          <w:rFonts w:hint="default" w:ascii="Times New Roman" w:hAnsi="Times New Roman" w:cs="Times New Roman"/>
          <w:color w:val="auto"/>
          <w:sz w:val="21"/>
          <w:szCs w:val="21"/>
        </w:rPr>
        <w:t>(1), 174–182. https://doi.org/10.1016/j.jhep.2015.02.022</w:t>
      </w:r>
    </w:p>
    <w:p w14:paraId="5398F9E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Arad, A. D., DiMenna, F. J., Thomas, N., Tamis-Holland, J., Weil, R., Geliebter, A., &amp; Albu, J. B. (2015). High-intensity interval training without weight loss improves exercise but not basal or insulin-induced metabolism in overweight/obese African American women. </w:t>
      </w:r>
      <w:r>
        <w:rPr>
          <w:rFonts w:hint="default" w:ascii="Times New Roman" w:hAnsi="Times New Roman" w:cs="Times New Roman"/>
          <w:i/>
          <w:color w:val="auto"/>
          <w:sz w:val="21"/>
          <w:szCs w:val="21"/>
        </w:rPr>
        <w:t>Journal of Applied Physiology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119</w:t>
      </w:r>
      <w:r>
        <w:rPr>
          <w:rFonts w:hint="default" w:ascii="Times New Roman" w:hAnsi="Times New Roman" w:cs="Times New Roman"/>
          <w:color w:val="auto"/>
          <w:sz w:val="21"/>
          <w:szCs w:val="21"/>
        </w:rPr>
        <w:t>(4), 352–362. https://doi.org/10.1152/japplphysiol.00306.2015</w:t>
      </w:r>
    </w:p>
    <w:p w14:paraId="251D4E16">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Baria, F., Kamimura, M. A., Aoike, D. T., Ammirati, A., Leister Rocha, M., De Mello, M. T., &amp; Cuppari, L. (2014). Randomized controlled trial to evaluate the impact of aerobic exercise on visceral fat in overweight chronic kidney disease patients. </w:t>
      </w:r>
      <w:r>
        <w:rPr>
          <w:rFonts w:hint="default" w:ascii="Times New Roman" w:hAnsi="Times New Roman" w:cs="Times New Roman"/>
          <w:i/>
          <w:color w:val="auto"/>
          <w:sz w:val="21"/>
          <w:szCs w:val="21"/>
        </w:rPr>
        <w:t>Nephrology Dialysis Transplantation</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29</w:t>
      </w:r>
      <w:r>
        <w:rPr>
          <w:rFonts w:hint="default" w:ascii="Times New Roman" w:hAnsi="Times New Roman" w:cs="Times New Roman"/>
          <w:color w:val="auto"/>
          <w:sz w:val="21"/>
          <w:szCs w:val="21"/>
        </w:rPr>
        <w:t>(4), 857–864. https://doi.org/10.1093/ndt/gft529</w:t>
      </w:r>
    </w:p>
    <w:p w14:paraId="4AEE6EAC">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Bacchi, E., Negri, C., Targher, G., Faccioli, N., Lanza, M., Zoppini, G., Zanolin, E., Schena, F., Bonora, E., &amp; Moghetti, P. (2013). Both resistance training and aerobic training reduce hepatic fat content in type 2 diabetic subjects with nonalcoholic fatty liver disease (the RAED2 randomized trial). </w:t>
      </w:r>
      <w:r>
        <w:rPr>
          <w:rFonts w:hint="default" w:ascii="Times New Roman" w:hAnsi="Times New Roman" w:cs="Times New Roman"/>
          <w:i/>
          <w:color w:val="auto"/>
          <w:sz w:val="21"/>
          <w:szCs w:val="21"/>
        </w:rPr>
        <w:t>Hepatology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58</w:t>
      </w:r>
      <w:r>
        <w:rPr>
          <w:rFonts w:hint="default" w:ascii="Times New Roman" w:hAnsi="Times New Roman" w:cs="Times New Roman"/>
          <w:color w:val="auto"/>
          <w:sz w:val="21"/>
          <w:szCs w:val="21"/>
        </w:rPr>
        <w:t>(4), 1287–1295. https://doi.org/10.1002/hep.26393</w:t>
      </w:r>
    </w:p>
    <w:p w14:paraId="0FFDC519">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Zhang, H., Tong, T. K., Qiu, W., Wang, J., Nie, J., &amp; He, Y. (2015). Effect of high-intensity interval training protocol on abdominal fat reduction in overweight Chinese women: A randomized controlled trial. </w:t>
      </w:r>
      <w:r>
        <w:rPr>
          <w:rFonts w:hint="default" w:ascii="Times New Roman" w:hAnsi="Times New Roman" w:cs="Times New Roman"/>
          <w:i/>
          <w:color w:val="auto"/>
          <w:sz w:val="21"/>
          <w:szCs w:val="21"/>
        </w:rPr>
        <w:t>Kinesiology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47</w:t>
      </w:r>
      <w:r>
        <w:rPr>
          <w:rFonts w:hint="default" w:ascii="Times New Roman" w:hAnsi="Times New Roman" w:cs="Times New Roman"/>
          <w:color w:val="auto"/>
          <w:sz w:val="21"/>
          <w:szCs w:val="21"/>
        </w:rPr>
        <w:t>(1), 57–66.</w:t>
      </w:r>
    </w:p>
    <w:p w14:paraId="39F56029">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Herzig, K.-H., Ahola, R., Leppäluoto, J., Jokelainen, J., Jämsä, T., &amp; Keinänen-Kiukaanniemi, S. (2014). Light physical activity determined by a motion sensor decreases insulin resistance, improves lipid homeostasis and reduces visceral fat in high-risk subjects: PreDiabEx study RCT. </w:t>
      </w:r>
      <w:r>
        <w:rPr>
          <w:rFonts w:hint="default" w:ascii="Times New Roman" w:hAnsi="Times New Roman" w:cs="Times New Roman"/>
          <w:i/>
          <w:color w:val="auto"/>
          <w:sz w:val="21"/>
          <w:szCs w:val="21"/>
        </w:rPr>
        <w:t>International Journal of 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38</w:t>
      </w:r>
      <w:r>
        <w:rPr>
          <w:rFonts w:hint="default" w:ascii="Times New Roman" w:hAnsi="Times New Roman" w:cs="Times New Roman"/>
          <w:color w:val="auto"/>
          <w:sz w:val="21"/>
          <w:szCs w:val="21"/>
        </w:rPr>
        <w:t>(8), 1089–1096. https://doi.org/10.1038/ijo.2013.224</w:t>
      </w:r>
    </w:p>
    <w:p w14:paraId="516C7BB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Bouchonville, M., Armamento-Villareal, R., Shah, K., Napoli, N., Sinacore, D. R., Qualls, C., &amp; Villareal, D. T. (2014). Weight loss, exercise or both and cardiometabolic risk factors in obese older adults: Results of a randomized controlled trial. </w:t>
      </w:r>
      <w:r>
        <w:rPr>
          <w:rFonts w:hint="default" w:ascii="Times New Roman" w:hAnsi="Times New Roman" w:cs="Times New Roman"/>
          <w:i/>
          <w:color w:val="auto"/>
          <w:sz w:val="21"/>
          <w:szCs w:val="21"/>
        </w:rPr>
        <w:t>International Journal of 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38</w:t>
      </w:r>
      <w:r>
        <w:rPr>
          <w:rFonts w:hint="default" w:ascii="Times New Roman" w:hAnsi="Times New Roman" w:cs="Times New Roman"/>
          <w:color w:val="auto"/>
          <w:sz w:val="21"/>
          <w:szCs w:val="21"/>
        </w:rPr>
        <w:t>(3), 423–431. https://doi.org/10.1038/ijo.2013.122</w:t>
      </w:r>
    </w:p>
    <w:p w14:paraId="0AD41AC0">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Dobrosielski, D. A., Gibbs, B. B., Ouyang, P., Bonekamp, S., Clark, J. M., Wang, N.-Y., Silber, H. A., Shapiro, E. P., &amp; Stewart, K. J. (2012). Effect of Exercise on Blood Pressure in Type 2 Diabetes: A Randomized Controlled Trial. </w:t>
      </w:r>
      <w:r>
        <w:rPr>
          <w:rFonts w:hint="default" w:ascii="Times New Roman" w:hAnsi="Times New Roman" w:cs="Times New Roman"/>
          <w:i/>
          <w:color w:val="auto"/>
          <w:sz w:val="21"/>
          <w:szCs w:val="21"/>
        </w:rPr>
        <w:t>Journal of General Internal Medicine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27</w:t>
      </w:r>
      <w:r>
        <w:rPr>
          <w:rFonts w:hint="default" w:ascii="Times New Roman" w:hAnsi="Times New Roman" w:cs="Times New Roman"/>
          <w:color w:val="auto"/>
          <w:sz w:val="21"/>
          <w:szCs w:val="21"/>
        </w:rPr>
        <w:t>(11), 1453–1459. https://doi.org/10.1007/s11606-012-2103-8</w:t>
      </w:r>
    </w:p>
    <w:p w14:paraId="38307E1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Jung, J. Y., Han, K. A., Ahn, H. J., Kwon, H. R., Lee, J. H., Park, K. S., &amp; Min, K. W. (2012). Effects of aerobic exercise intensity on abdominal and thigh adipose tissue and skeletal muscle attenuation in overweight women with type 2 diabetes mellitus. </w:t>
      </w:r>
      <w:r>
        <w:rPr>
          <w:rFonts w:hint="default" w:ascii="Times New Roman" w:hAnsi="Times New Roman" w:cs="Times New Roman"/>
          <w:i/>
          <w:color w:val="auto"/>
          <w:sz w:val="21"/>
          <w:szCs w:val="21"/>
        </w:rPr>
        <w:t>Diabetes &amp; Metabolism Journal</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36</w:t>
      </w:r>
      <w:r>
        <w:rPr>
          <w:rFonts w:hint="default" w:ascii="Times New Roman" w:hAnsi="Times New Roman" w:cs="Times New Roman"/>
          <w:color w:val="auto"/>
          <w:sz w:val="21"/>
          <w:szCs w:val="21"/>
        </w:rPr>
        <w:t>(3), 211–221. https://doi.org/10.4093/dmj.2012.36.3.211</w:t>
      </w:r>
    </w:p>
    <w:p w14:paraId="196E72DE">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Donges, C. E., Duffield, R., Guelfi, K. J., Smith, G. C., Adams, D. R., &amp; Edge, J. A. (2013). Comparative effects of single-mode vs. Duration-matched concurrent exercise training on body composition, low-grade inflammation, and glucose regulation in sedentary, overweight, middle-aged men. </w:t>
      </w:r>
      <w:r>
        <w:rPr>
          <w:rFonts w:hint="default" w:ascii="Times New Roman" w:hAnsi="Times New Roman" w:cs="Times New Roman"/>
          <w:i/>
          <w:color w:val="auto"/>
          <w:sz w:val="21"/>
          <w:szCs w:val="21"/>
        </w:rPr>
        <w:t>Applied Physiology, Nutrition, and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38</w:t>
      </w:r>
      <w:r>
        <w:rPr>
          <w:rFonts w:hint="default" w:ascii="Times New Roman" w:hAnsi="Times New Roman" w:cs="Times New Roman"/>
          <w:color w:val="auto"/>
          <w:sz w:val="21"/>
          <w:szCs w:val="21"/>
        </w:rPr>
        <w:t>(7), 779–788. https://doi.org/10.1139/apnm-2012-0443</w:t>
      </w:r>
    </w:p>
    <w:p w14:paraId="45555DF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43.</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Heydari, M., Freund, J., &amp; Boutcher, S. H. (2012). The effect of high-intensity intermittent exercise on body composition of overweight young males. </w:t>
      </w:r>
      <w:r>
        <w:rPr>
          <w:rFonts w:hint="default" w:ascii="Times New Roman" w:hAnsi="Times New Roman" w:cs="Times New Roman"/>
          <w:i/>
          <w:color w:val="auto"/>
          <w:sz w:val="21"/>
          <w:szCs w:val="21"/>
        </w:rPr>
        <w:t>Journal of 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2012</w:t>
      </w:r>
      <w:r>
        <w:rPr>
          <w:rFonts w:hint="default" w:ascii="Times New Roman" w:hAnsi="Times New Roman" w:cs="Times New Roman"/>
          <w:color w:val="auto"/>
          <w:sz w:val="21"/>
          <w:szCs w:val="21"/>
        </w:rPr>
        <w:t>, 1–8. https://doi.org/10.1155/2012/480467</w:t>
      </w:r>
    </w:p>
    <w:p w14:paraId="356C5D81">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Moghadasi, M., Mohebbi, H., Rahmani‐Nia, F., Hassan‐Nia, S., &amp; Noroozi, H. (2013). Effects of short‐term lifestyle activity modification on adiponectin mRNA expression and plasma concentrations. </w:t>
      </w:r>
      <w:r>
        <w:rPr>
          <w:rFonts w:hint="default" w:ascii="Times New Roman" w:hAnsi="Times New Roman" w:cs="Times New Roman"/>
          <w:i/>
          <w:color w:val="auto"/>
          <w:sz w:val="21"/>
          <w:szCs w:val="21"/>
        </w:rPr>
        <w:t>European Journal of Sport Science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13</w:t>
      </w:r>
      <w:r>
        <w:rPr>
          <w:rFonts w:hint="default" w:ascii="Times New Roman" w:hAnsi="Times New Roman" w:cs="Times New Roman"/>
          <w:color w:val="auto"/>
          <w:sz w:val="21"/>
          <w:szCs w:val="21"/>
        </w:rPr>
        <w:t>(4), 378–385. https://doi.org/10.1080/17461391.2011.635701</w:t>
      </w:r>
    </w:p>
    <w:p w14:paraId="198D81A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Kim, J.-W., &amp; Kim, D.-Y. (2012). Effects of Aerobic Exercise Training on Serum Sex Hormone Binding Globulin, Body Fat Index, and Metabolic Syndrome Factors in Obese Postmenopausal Women. </w:t>
      </w:r>
      <w:r>
        <w:rPr>
          <w:rFonts w:hint="default" w:ascii="Times New Roman" w:hAnsi="Times New Roman" w:cs="Times New Roman"/>
          <w:i/>
          <w:color w:val="auto"/>
          <w:sz w:val="21"/>
          <w:szCs w:val="21"/>
        </w:rPr>
        <w:t>Metabolic Syndrome and Related Disorders</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10</w:t>
      </w:r>
      <w:r>
        <w:rPr>
          <w:rFonts w:hint="default" w:ascii="Times New Roman" w:hAnsi="Times New Roman" w:cs="Times New Roman"/>
          <w:color w:val="auto"/>
          <w:sz w:val="21"/>
          <w:szCs w:val="21"/>
        </w:rPr>
        <w:t>(6), 452–457. https://doi.org/10.1089/met.2012.0036</w:t>
      </w:r>
    </w:p>
    <w:p w14:paraId="58B41C11">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Slentz, C. A., Bateman, L. A., Willis, L. H., Shields, A. T., Tanner, C. J., Piner, L. W., Hawk, V. H., Muehlbauer, M. J., Samsa, G. P., Nelson, R. C., Huffman, K. M., Bales, C. W., Houmard, J. A., &amp; Kraus, W. E. (2011). Effects of aerobic vs. Resistance training on visceral and liver fat stores, liver enzymes, and insulin resistance by HOMA in overweight adults from STRRIDE AT/RT. </w:t>
      </w:r>
      <w:r>
        <w:rPr>
          <w:rFonts w:hint="default" w:ascii="Times New Roman" w:hAnsi="Times New Roman" w:cs="Times New Roman"/>
          <w:i/>
          <w:color w:val="auto"/>
          <w:sz w:val="21"/>
          <w:szCs w:val="21"/>
        </w:rPr>
        <w:t>American Journal of Physiology-Endocrinology and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301</w:t>
      </w:r>
      <w:r>
        <w:rPr>
          <w:rFonts w:hint="default" w:ascii="Times New Roman" w:hAnsi="Times New Roman" w:cs="Times New Roman"/>
          <w:color w:val="auto"/>
          <w:sz w:val="21"/>
          <w:szCs w:val="21"/>
        </w:rPr>
        <w:t>(5), E1033–E1039. https://doi.org/10.1152/ajpendo.00291.2011</w:t>
      </w:r>
    </w:p>
    <w:p w14:paraId="36F9BB0E">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Hallsworth, K., Fattakhova, G., Hollingsworth, K. G., Thoma, C., Moore, S., Taylor, R., Day, C. P., &amp; Trenell, M. I. (2011). Resistance exercise reduces liver fat and its mediators in non-alcoholic fatty liver disease independent of weight loss. </w:t>
      </w:r>
      <w:r>
        <w:rPr>
          <w:rFonts w:hint="default" w:ascii="Times New Roman" w:hAnsi="Times New Roman" w:cs="Times New Roman"/>
          <w:i/>
          <w:color w:val="auto"/>
          <w:sz w:val="21"/>
          <w:szCs w:val="21"/>
        </w:rPr>
        <w:t>Gut</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60</w:t>
      </w:r>
      <w:r>
        <w:rPr>
          <w:rFonts w:hint="default" w:ascii="Times New Roman" w:hAnsi="Times New Roman" w:cs="Times New Roman"/>
          <w:color w:val="auto"/>
          <w:sz w:val="21"/>
          <w:szCs w:val="21"/>
        </w:rPr>
        <w:t>(9), 1278–1283. https://doi.org/10.1136/gut.2011.242073</w:t>
      </w:r>
    </w:p>
    <w:p w14:paraId="0F2F45C5">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Friedenreich, C. M., Woolcott, C. G., McTiernan, A., Terry, T., Brant, R., Ballard-Barbash, R., Irwin, M. L., Jones, C. A., Boyd, N. F., Yaffe, M. J., Campbell, K. L., McNeely, M. L., Karvinen, K. H., &amp; Courneya, K. S. (2011). Adiposity changes after a 1-year aerobic exercise intervention among postmenopausal women: A randomized controlled trial. </w:t>
      </w:r>
      <w:r>
        <w:rPr>
          <w:rFonts w:hint="default" w:ascii="Times New Roman" w:hAnsi="Times New Roman" w:cs="Times New Roman"/>
          <w:i/>
          <w:color w:val="auto"/>
          <w:sz w:val="21"/>
          <w:szCs w:val="21"/>
        </w:rPr>
        <w:t>International Journal of 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35</w:t>
      </w:r>
      <w:r>
        <w:rPr>
          <w:rFonts w:hint="default" w:ascii="Times New Roman" w:hAnsi="Times New Roman" w:cs="Times New Roman"/>
          <w:color w:val="auto"/>
          <w:sz w:val="21"/>
          <w:szCs w:val="21"/>
        </w:rPr>
        <w:t>(3), 427–435. https://doi.org/10.1038/ijo.2010.147</w:t>
      </w:r>
    </w:p>
    <w:p w14:paraId="78C3BE5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Ku, Y., Han, K., Ahn, H., Kwon, H., Koo, B., Kim, H., &amp; Min, K. (2010). Resistance Exercise Did Not Alter Intramuscular Adipose Tissue but Reduced Retinol-binding Protein-4 Concentration in Individuals with Type 2 Diabetes Mellitus. </w:t>
      </w:r>
      <w:r>
        <w:rPr>
          <w:rFonts w:hint="default" w:ascii="Times New Roman" w:hAnsi="Times New Roman" w:cs="Times New Roman"/>
          <w:i/>
          <w:color w:val="auto"/>
          <w:sz w:val="21"/>
          <w:szCs w:val="21"/>
        </w:rPr>
        <w:t>Journal of International Medical Research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38</w:t>
      </w:r>
      <w:r>
        <w:rPr>
          <w:rFonts w:hint="default" w:ascii="Times New Roman" w:hAnsi="Times New Roman" w:cs="Times New Roman"/>
          <w:color w:val="auto"/>
          <w:sz w:val="21"/>
          <w:szCs w:val="21"/>
        </w:rPr>
        <w:t>(3), 782–791. https://doi.org/10.1177/147323001003800305</w:t>
      </w:r>
    </w:p>
    <w:p w14:paraId="379F54F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Kwon, H. R., Min, K. W., Ahn, H. J., Seok, H. G., Koo, B. K., Kim, H. C., &amp; Han, K. A. (2010). Effects of aerobic exercise on abdominal fat, thigh muscle mass and muscle strength in type 2 diabetic subject. </w:t>
      </w:r>
      <w:r>
        <w:rPr>
          <w:rFonts w:hint="default" w:ascii="Times New Roman" w:hAnsi="Times New Roman" w:cs="Times New Roman"/>
          <w:i/>
          <w:color w:val="auto"/>
          <w:sz w:val="21"/>
          <w:szCs w:val="21"/>
        </w:rPr>
        <w:t>Korean Diabetes Journal</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34</w:t>
      </w:r>
      <w:r>
        <w:rPr>
          <w:rFonts w:hint="default" w:ascii="Times New Roman" w:hAnsi="Times New Roman" w:cs="Times New Roman"/>
          <w:color w:val="auto"/>
          <w:sz w:val="21"/>
          <w:szCs w:val="21"/>
        </w:rPr>
        <w:t>(1), 23–31. https://doi.org/10.4093/kdj.2010.34.1.23</w:t>
      </w:r>
    </w:p>
    <w:p w14:paraId="1A8D008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51.</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Barone, B. B., Wang, N.-Y., Bacher, A. C., &amp; Stewart, K. J. (2009). Decreased exercise blood pressure in older adults after exercise training: Contributions of increased fitness and decreased fatness. </w:t>
      </w:r>
      <w:r>
        <w:rPr>
          <w:rFonts w:hint="default" w:ascii="Times New Roman" w:hAnsi="Times New Roman" w:cs="Times New Roman"/>
          <w:i/>
          <w:color w:val="auto"/>
          <w:sz w:val="21"/>
          <w:szCs w:val="21"/>
        </w:rPr>
        <w:t>British Journal of Sports Medicine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43</w:t>
      </w:r>
      <w:r>
        <w:rPr>
          <w:rFonts w:hint="default" w:ascii="Times New Roman" w:hAnsi="Times New Roman" w:cs="Times New Roman"/>
          <w:color w:val="auto"/>
          <w:sz w:val="21"/>
          <w:szCs w:val="21"/>
        </w:rPr>
        <w:t>(1), 52–56. https://doi.org/10.1136/bjsm.2008.050906</w:t>
      </w:r>
    </w:p>
    <w:p w14:paraId="46B67980">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52.</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Schmitz, K. H., Hannan, P. J., Stovitz, S. D., Bryan, C. J., Warren, M., &amp; Jensen, M. D. (2007). Strength training and adiposity in premenopausal women: Strong, Healthy, and Empowered study. </w:t>
      </w:r>
      <w:r>
        <w:rPr>
          <w:rFonts w:hint="default" w:ascii="Times New Roman" w:hAnsi="Times New Roman" w:cs="Times New Roman"/>
          <w:i/>
          <w:color w:val="auto"/>
          <w:sz w:val="21"/>
          <w:szCs w:val="21"/>
        </w:rPr>
        <w:t>The American Journal of Clinical Nutrition</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86</w:t>
      </w:r>
      <w:r>
        <w:rPr>
          <w:rFonts w:hint="default" w:ascii="Times New Roman" w:hAnsi="Times New Roman" w:cs="Times New Roman"/>
          <w:color w:val="auto"/>
          <w:sz w:val="21"/>
          <w:szCs w:val="21"/>
        </w:rPr>
        <w:t>(3), 566–572. https://doi.org/10.1093/ajcn/86.3.566</w:t>
      </w:r>
    </w:p>
    <w:p w14:paraId="580A557D">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53.</w:t>
      </w:r>
      <w:r>
        <w:rPr>
          <w:rFonts w:hint="default" w:ascii="Times New Roman" w:hAnsi="Times New Roman" w:cs="Times New Roman"/>
          <w:color w:val="auto"/>
          <w:sz w:val="21"/>
          <w:szCs w:val="21"/>
        </w:rPr>
        <w:tab/>
      </w:r>
      <w:r>
        <w:rPr>
          <w:rFonts w:hint="default" w:ascii="Times New Roman" w:hAnsi="Times New Roman" w:cs="Times New Roman"/>
          <w:i/>
          <w:color w:val="auto"/>
          <w:sz w:val="21"/>
          <w:szCs w:val="21"/>
        </w:rPr>
        <w:t>Slentz, C. A., Aiken, L. B., Houmard, J. A., Bales, C. W., Johnson, J. L., Tanner, C. J., Duscha, B. D., &amp; Kraus, W. E. (2005). Inactivity, exercise, and visceral fat. STRRIDE: A randomized, controlled study of exercise intensity and amount. Journal of Applied Physiology, 99(4), 1613–1618.</w:t>
      </w:r>
      <w:r>
        <w:rPr>
          <w:rFonts w:hint="default" w:ascii="Times New Roman" w:hAnsi="Times New Roman" w:cs="Times New Roman"/>
          <w:color w:val="auto"/>
          <w:sz w:val="21"/>
          <w:szCs w:val="21"/>
        </w:rPr>
        <w:t>https://doi.org/10.1152/japplphysiol.00124.2005</w:t>
      </w:r>
    </w:p>
    <w:p w14:paraId="189244C8">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54.</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Cuff, D. J., Meneilly, G. S., Martin, A., Ignaszewski, A., Tildesley, H. D., &amp; Frohlich, J. J. (2003). Effective Exercise Modality to Reduce Insulin Resistance in Women With Type 2 Diabetes. </w:t>
      </w:r>
      <w:r>
        <w:rPr>
          <w:rFonts w:hint="default" w:ascii="Times New Roman" w:hAnsi="Times New Roman" w:cs="Times New Roman"/>
          <w:i/>
          <w:color w:val="auto"/>
          <w:sz w:val="21"/>
          <w:szCs w:val="21"/>
        </w:rPr>
        <w:t>Diabetes Care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26</w:t>
      </w:r>
      <w:r>
        <w:rPr>
          <w:rFonts w:hint="default" w:ascii="Times New Roman" w:hAnsi="Times New Roman" w:cs="Times New Roman"/>
          <w:color w:val="auto"/>
          <w:sz w:val="21"/>
          <w:szCs w:val="21"/>
        </w:rPr>
        <w:t>(11), 2977–2982. https://doi.org/10.2337/diacare.26.11.2977</w:t>
      </w:r>
    </w:p>
    <w:p w14:paraId="46175720">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McTiernan, A., Sorensen, B., Irwin, M. L., Morgan, A., Yasui, Y., Rudolph, R. E., Surawicz, C., Lampe, J. W., Lampe, P. D., Ayub, K., &amp; Potter, J. D. (2007). Exercise effect on weight and body fat in men and women. </w:t>
      </w:r>
      <w:r>
        <w:rPr>
          <w:rFonts w:hint="default" w:ascii="Times New Roman" w:hAnsi="Times New Roman" w:cs="Times New Roman"/>
          <w:i/>
          <w:color w:val="auto"/>
          <w:sz w:val="21"/>
          <w:szCs w:val="21"/>
        </w:rPr>
        <w:t>Obesity</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15</w:t>
      </w:r>
      <w:r>
        <w:rPr>
          <w:rFonts w:hint="default" w:ascii="Times New Roman" w:hAnsi="Times New Roman" w:cs="Times New Roman"/>
          <w:color w:val="auto"/>
          <w:sz w:val="21"/>
          <w:szCs w:val="21"/>
        </w:rPr>
        <w:t>(6), 1496–1512. https://doi.org/10.1038/oby.2007.178</w:t>
      </w:r>
    </w:p>
    <w:p w14:paraId="3FB8695F">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56.</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Donnelly, J. E., Hill, J. O., Jacobsen, D. J., Potteiger, J., Sullivan, D. K., Johnson, S. L., Heelan, K., Hise, M., Fennessey, P. V., Sonko, B., Sharp, T., Jakicic, J. M., Blair, S. N., Tran, Z. V., Mayo, M., Gibson, C., &amp; Washburn, R. A. (2003). Effects of a 16-month randomized controlled exercise trial on body weight and composition in young, overweight men and women: The midwest exercise trial. </w:t>
      </w:r>
      <w:r>
        <w:rPr>
          <w:rFonts w:hint="default" w:ascii="Times New Roman" w:hAnsi="Times New Roman" w:cs="Times New Roman"/>
          <w:i/>
          <w:color w:val="auto"/>
          <w:sz w:val="21"/>
          <w:szCs w:val="21"/>
        </w:rPr>
        <w:t>Archives of Internal Medicine</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163</w:t>
      </w:r>
      <w:r>
        <w:rPr>
          <w:rFonts w:hint="default" w:ascii="Times New Roman" w:hAnsi="Times New Roman" w:cs="Times New Roman"/>
          <w:color w:val="auto"/>
          <w:sz w:val="21"/>
          <w:szCs w:val="21"/>
        </w:rPr>
        <w:t>(11), 1343–1350. https://doi.org/10.1001/archinte.163.11.1343</w:t>
      </w:r>
    </w:p>
    <w:p w14:paraId="2DE56474">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57.</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Waters, D. L., Aguirre, L., Gurney, B., Sinacore, D. R., Fowler, K., Gregori, G., Armamento-Villareal, R., Qualls, C., &amp; Villareal, D. T. (2022). Effect of aerobic or resistance exercise, or both, on intermuscular and visceral fat and physical and metabolic function in older adults with obesity while dieting. </w:t>
      </w:r>
      <w:r>
        <w:rPr>
          <w:rFonts w:hint="default" w:ascii="Times New Roman" w:hAnsi="Times New Roman" w:cs="Times New Roman"/>
          <w:i/>
          <w:color w:val="auto"/>
          <w:sz w:val="21"/>
          <w:szCs w:val="21"/>
        </w:rPr>
        <w:t>The Journals of Gerontology: Series A</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77</w:t>
      </w:r>
      <w:r>
        <w:rPr>
          <w:rFonts w:hint="default" w:ascii="Times New Roman" w:hAnsi="Times New Roman" w:cs="Times New Roman"/>
          <w:color w:val="auto"/>
          <w:sz w:val="21"/>
          <w:szCs w:val="21"/>
        </w:rPr>
        <w:t>(1), 131–139. https://doi.org/10.1093/gerona/glab111</w:t>
      </w:r>
    </w:p>
    <w:p w14:paraId="2912D6E7">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58.</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Haganes, K. L., Silva, C. P., Eyjólfsdóttir, S. K., Steen, S., Grindberg, M., Lydersen, S., Hawley, J. A., &amp; Moholdt, T. (2022). Time-restricted eating and exercise training improve HbA1c and body composition in women with overweight/obesity: A randomized controlled trial. </w:t>
      </w:r>
      <w:r>
        <w:rPr>
          <w:rFonts w:hint="default" w:ascii="Times New Roman" w:hAnsi="Times New Roman" w:cs="Times New Roman"/>
          <w:i/>
          <w:color w:val="auto"/>
          <w:sz w:val="21"/>
          <w:szCs w:val="21"/>
        </w:rPr>
        <w:t>Cell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34</w:t>
      </w:r>
      <w:r>
        <w:rPr>
          <w:rFonts w:hint="default" w:ascii="Times New Roman" w:hAnsi="Times New Roman" w:cs="Times New Roman"/>
          <w:color w:val="auto"/>
          <w:sz w:val="21"/>
          <w:szCs w:val="21"/>
        </w:rPr>
        <w:t>(10), 1457-1471.e4. https://doi.org/10.1016/j.cmet.2022.09.003</w:t>
      </w:r>
    </w:p>
    <w:p w14:paraId="5B73174D">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59.</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Lehmann, S., Retschlag, U., Oberbach, A., Morgenroth, R., Linder, N., Schaudinn, A., Garnov, N., Busse, H., Solty, K., Prettin, C., Köppe‐Bauernfeind, N., Flehmig, G., Selig, L., Trips, E., Stumvoll, M., Petroff, D., &amp; Blüher, M. (2024). Visceral fat mass dynamics in a 2‐year randomized STrength versus ENdurance training trial in people with obesity. </w:t>
      </w:r>
      <w:r>
        <w:rPr>
          <w:rFonts w:hint="default" w:ascii="Times New Roman" w:hAnsi="Times New Roman" w:cs="Times New Roman"/>
          <w:i/>
          <w:color w:val="auto"/>
          <w:sz w:val="21"/>
          <w:szCs w:val="21"/>
        </w:rPr>
        <w:t>Diabetes, Obesity and Metabolism</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26</w:t>
      </w:r>
      <w:r>
        <w:rPr>
          <w:rFonts w:hint="default" w:ascii="Times New Roman" w:hAnsi="Times New Roman" w:cs="Times New Roman"/>
          <w:color w:val="auto"/>
          <w:sz w:val="21"/>
          <w:szCs w:val="21"/>
        </w:rPr>
        <w:t>(9), 4087–4099. https://doi.org/10.1111/dom.15767</w:t>
      </w:r>
    </w:p>
    <w:p w14:paraId="5DAB2C9A">
      <w:pPr>
        <w:keepNext w:val="0"/>
        <w:keepLines w:val="0"/>
        <w:pageBreakBefore w:val="0"/>
        <w:widowControl w:val="0"/>
        <w:kinsoku/>
        <w:wordWrap/>
        <w:overflowPunct/>
        <w:topLinePunct w:val="0"/>
        <w:autoSpaceDE/>
        <w:autoSpaceDN/>
        <w:bidi w:val="0"/>
        <w:adjustRightInd/>
        <w:snapToGrid/>
        <w:spacing w:beforeLines="0" w:afterLines="0" w:line="340" w:lineRule="exact"/>
        <w:ind w:left="0" w:hanging="420" w:hangingChars="200"/>
        <w:jc w:val="lef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r>
        <w:rPr>
          <w:rFonts w:hint="default" w:ascii="Times New Roman" w:hAnsi="Times New Roman" w:cs="Times New Roman"/>
          <w:color w:val="auto"/>
          <w:sz w:val="21"/>
          <w:szCs w:val="21"/>
        </w:rPr>
        <w:tab/>
      </w:r>
      <w:r>
        <w:rPr>
          <w:rFonts w:hint="default" w:ascii="Times New Roman" w:hAnsi="Times New Roman" w:cs="Times New Roman"/>
          <w:color w:val="auto"/>
          <w:sz w:val="21"/>
          <w:szCs w:val="21"/>
        </w:rPr>
        <w:t xml:space="preserve">Chang, Y.-H., Lee, Y.-H., Wu, K. L., Hsu, W.-L., Hung, H., &amp; Shun, S.-C. (2025). Exercise strategy for reducing visceral adipose tissue in community residents with obesity: A sequential multiple assignment randomized trial. </w:t>
      </w:r>
      <w:r>
        <w:rPr>
          <w:rFonts w:hint="default" w:ascii="Times New Roman" w:hAnsi="Times New Roman" w:cs="Times New Roman"/>
          <w:i/>
          <w:color w:val="auto"/>
          <w:sz w:val="21"/>
          <w:szCs w:val="21"/>
        </w:rPr>
        <w:t>Journal of Nursing Research</w:t>
      </w:r>
      <w:r>
        <w:rPr>
          <w:rFonts w:hint="default" w:ascii="Times New Roman" w:hAnsi="Times New Roman" w:cs="Times New Roman"/>
          <w:color w:val="auto"/>
          <w:sz w:val="21"/>
          <w:szCs w:val="21"/>
        </w:rPr>
        <w:t xml:space="preserve">, </w:t>
      </w:r>
      <w:r>
        <w:rPr>
          <w:rFonts w:hint="default" w:ascii="Times New Roman" w:hAnsi="Times New Roman" w:cs="Times New Roman"/>
          <w:i/>
          <w:color w:val="auto"/>
          <w:sz w:val="21"/>
          <w:szCs w:val="21"/>
        </w:rPr>
        <w:t>33</w:t>
      </w:r>
      <w:r>
        <w:rPr>
          <w:rFonts w:hint="default" w:ascii="Times New Roman" w:hAnsi="Times New Roman" w:cs="Times New Roman"/>
          <w:color w:val="auto"/>
          <w:sz w:val="21"/>
          <w:szCs w:val="21"/>
        </w:rPr>
        <w:t>(2), e385. https://doi.org/10.1097/jnr.0000000000000662</w:t>
      </w:r>
    </w:p>
    <w:p w14:paraId="278B7EF8">
      <w:pPr>
        <w:keepNext w:val="0"/>
        <w:keepLines w:val="0"/>
        <w:pageBreakBefore w:val="0"/>
        <w:widowControl w:val="0"/>
        <w:kinsoku/>
        <w:wordWrap/>
        <w:overflowPunct/>
        <w:topLinePunct w:val="0"/>
        <w:autoSpaceDE/>
        <w:autoSpaceDN/>
        <w:bidi w:val="0"/>
        <w:adjustRightInd/>
        <w:snapToGrid/>
        <w:spacing w:line="340" w:lineRule="exact"/>
        <w:ind w:left="0" w:hanging="420" w:hangingChars="200"/>
        <w:textAlignment w:val="auto"/>
        <w:rPr>
          <w:rFonts w:hint="default" w:ascii="Times New Roman" w:hAnsi="Times New Roman" w:cs="Times New Roman"/>
          <w:bCs/>
          <w:color w:val="auto"/>
          <w:sz w:val="32"/>
          <w:szCs w:val="32"/>
          <w:highlight w:val="none"/>
        </w:rPr>
      </w:pPr>
      <w:r>
        <w:rPr>
          <w:rFonts w:hint="default" w:ascii="Times New Roman" w:hAnsi="Times New Roman" w:eastAsia="Times New Roman" w:cs="Times New Roman"/>
          <w:color w:val="auto"/>
          <w:sz w:val="21"/>
          <w:szCs w:val="21"/>
          <w:highlight w:val="white"/>
        </w:rPr>
        <w:fldChar w:fldCharType="end"/>
      </w:r>
      <w:r>
        <w:rPr>
          <w:rFonts w:hint="default" w:ascii="Times New Roman" w:hAnsi="Times New Roman" w:cs="Times New Roman"/>
          <w:bCs/>
          <w:color w:val="auto"/>
          <w:sz w:val="32"/>
          <w:szCs w:val="32"/>
          <w:highlight w:val="none"/>
        </w:rPr>
        <w:br w:type="page"/>
      </w:r>
    </w:p>
    <w:p w14:paraId="6D4F24A4">
      <w:pPr>
        <w:keepNext w:val="0"/>
        <w:keepLines w:val="0"/>
        <w:pageBreakBefore w:val="0"/>
        <w:kinsoku/>
        <w:overflowPunct/>
        <w:topLinePunct w:val="0"/>
        <w:autoSpaceDE/>
        <w:autoSpaceDN/>
        <w:bidi w:val="0"/>
        <w:adjustRightInd w:val="0"/>
        <w:snapToGrid w:val="0"/>
        <w:spacing w:line="360" w:lineRule="exact"/>
        <w:jc w:val="center"/>
        <w:outlineLvl w:val="9"/>
        <w:rPr>
          <w:rFonts w:hint="default" w:ascii="Times New Roman" w:hAnsi="Times New Roman" w:cs="Times New Roman"/>
          <w:bCs/>
          <w:color w:val="auto"/>
          <w:sz w:val="32"/>
          <w:szCs w:val="32"/>
          <w:highlight w:val="none"/>
        </w:rPr>
      </w:pPr>
      <w:r>
        <w:rPr>
          <w:rFonts w:hint="default" w:ascii="Times New Roman" w:hAnsi="Times New Roman" w:cs="Times New Roman"/>
          <w:bCs/>
          <w:color w:val="auto"/>
          <w:sz w:val="32"/>
          <w:szCs w:val="32"/>
          <w:highlight w:val="none"/>
        </w:rPr>
        <w:t>PRISMA</w:t>
      </w:r>
      <w:r>
        <w:rPr>
          <w:rFonts w:hint="default" w:ascii="Times New Roman" w:hAnsi="Times New Roman" w:cs="Times New Roman"/>
          <w:bCs/>
          <w:color w:val="auto"/>
          <w:sz w:val="32"/>
          <w:szCs w:val="32"/>
          <w:highlight w:val="none"/>
          <w:lang w:val="en-US" w:eastAsia="zh-CN"/>
        </w:rPr>
        <w:t xml:space="preserve"> </w:t>
      </w:r>
      <w:r>
        <w:rPr>
          <w:rFonts w:hint="default" w:ascii="Times New Roman" w:hAnsi="Times New Roman" w:cs="Times New Roman"/>
          <w:bCs/>
          <w:color w:val="auto"/>
          <w:sz w:val="32"/>
          <w:szCs w:val="32"/>
          <w:highlight w:val="none"/>
        </w:rPr>
        <w:t xml:space="preserve">NMA </w:t>
      </w:r>
      <w:r>
        <w:rPr>
          <w:rFonts w:hint="default" w:ascii="Times New Roman" w:hAnsi="Times New Roman" w:cs="Times New Roman"/>
          <w:bCs/>
          <w:color w:val="auto"/>
          <w:sz w:val="32"/>
          <w:szCs w:val="32"/>
          <w:highlight w:val="none"/>
          <w:lang w:val="en-US" w:eastAsia="zh-CN"/>
        </w:rPr>
        <w:t>C</w:t>
      </w:r>
      <w:r>
        <w:rPr>
          <w:rFonts w:hint="default" w:ascii="Times New Roman" w:hAnsi="Times New Roman" w:cs="Times New Roman"/>
          <w:bCs/>
          <w:color w:val="auto"/>
          <w:sz w:val="32"/>
          <w:szCs w:val="32"/>
          <w:highlight w:val="none"/>
        </w:rPr>
        <w:t>hecklist</w:t>
      </w:r>
    </w:p>
    <w:tbl>
      <w:tblPr>
        <w:tblStyle w:val="14"/>
        <w:tblW w:w="10656"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12"/>
        <w:gridCol w:w="800"/>
        <w:gridCol w:w="6335"/>
        <w:gridCol w:w="1309"/>
      </w:tblGrid>
      <w:tr w14:paraId="7E0777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2212" w:type="dxa"/>
            <w:tcBorders>
              <w:bottom w:val="single" w:color="auto" w:sz="6" w:space="0"/>
              <w:insideH w:val="single" w:sz="6" w:space="0"/>
            </w:tcBorders>
            <w:vAlign w:val="center"/>
          </w:tcPr>
          <w:p w14:paraId="4D181C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Section/Topic</w:t>
            </w:r>
          </w:p>
        </w:tc>
        <w:tc>
          <w:tcPr>
            <w:tcW w:w="800" w:type="dxa"/>
            <w:tcBorders>
              <w:bottom w:val="single" w:color="auto" w:sz="6" w:space="0"/>
              <w:insideH w:val="single" w:sz="6" w:space="0"/>
            </w:tcBorders>
            <w:vAlign w:val="center"/>
          </w:tcPr>
          <w:p w14:paraId="7393A9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Item #</w:t>
            </w:r>
          </w:p>
        </w:tc>
        <w:tc>
          <w:tcPr>
            <w:tcW w:w="6335" w:type="dxa"/>
            <w:tcBorders>
              <w:bottom w:val="single" w:color="auto" w:sz="6" w:space="0"/>
              <w:insideH w:val="single" w:sz="6" w:space="0"/>
            </w:tcBorders>
            <w:vAlign w:val="center"/>
          </w:tcPr>
          <w:p w14:paraId="600052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Checklist Item</w:t>
            </w:r>
          </w:p>
        </w:tc>
        <w:tc>
          <w:tcPr>
            <w:tcW w:w="1309" w:type="dxa"/>
            <w:tcBorders>
              <w:bottom w:val="single" w:color="auto" w:sz="6" w:space="0"/>
              <w:insideH w:val="single" w:sz="6" w:space="0"/>
            </w:tcBorders>
            <w:vAlign w:val="center"/>
          </w:tcPr>
          <w:p w14:paraId="55F900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Reported on Page #</w:t>
            </w:r>
          </w:p>
        </w:tc>
      </w:tr>
      <w:tr w14:paraId="0F3838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2212" w:type="dxa"/>
            <w:vAlign w:val="center"/>
          </w:tcPr>
          <w:p w14:paraId="1A50DC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TITLE</w:t>
            </w:r>
          </w:p>
        </w:tc>
        <w:tc>
          <w:tcPr>
            <w:tcW w:w="800" w:type="dxa"/>
            <w:vAlign w:val="center"/>
          </w:tcPr>
          <w:p w14:paraId="791A79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638A1FB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4C4ED3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p>
        </w:tc>
      </w:tr>
      <w:tr w14:paraId="6D6E47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2212" w:type="dxa"/>
            <w:vAlign w:val="center"/>
          </w:tcPr>
          <w:p w14:paraId="26C197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Title</w:t>
            </w:r>
          </w:p>
        </w:tc>
        <w:tc>
          <w:tcPr>
            <w:tcW w:w="800" w:type="dxa"/>
            <w:vAlign w:val="center"/>
          </w:tcPr>
          <w:p w14:paraId="356A36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335" w:type="dxa"/>
            <w:vAlign w:val="top"/>
          </w:tcPr>
          <w:p w14:paraId="173DD8C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Identify the report as a systematic review incorporating a network meta-analysis (or related form of meta-analysis).</w:t>
            </w:r>
          </w:p>
        </w:tc>
        <w:tc>
          <w:tcPr>
            <w:tcW w:w="1309" w:type="dxa"/>
            <w:vAlign w:val="center"/>
          </w:tcPr>
          <w:p w14:paraId="201462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P</w:t>
            </w:r>
            <w:r>
              <w:rPr>
                <w:rFonts w:hint="default" w:ascii="Times New Roman" w:hAnsi="Times New Roman" w:cs="Times New Roman"/>
                <w:color w:val="auto"/>
                <w:sz w:val="21"/>
                <w:szCs w:val="21"/>
                <w:lang w:eastAsia="zh-CN"/>
              </w:rPr>
              <w:t>1</w:t>
            </w:r>
          </w:p>
        </w:tc>
      </w:tr>
      <w:tr w14:paraId="39062A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2212" w:type="dxa"/>
            <w:vAlign w:val="center"/>
          </w:tcPr>
          <w:p w14:paraId="03DD0B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ABSTRACT</w:t>
            </w:r>
          </w:p>
        </w:tc>
        <w:tc>
          <w:tcPr>
            <w:tcW w:w="800" w:type="dxa"/>
            <w:vAlign w:val="center"/>
          </w:tcPr>
          <w:p w14:paraId="7030D8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69528A4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7E05B0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03BA66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2212" w:type="dxa"/>
            <w:vAlign w:val="center"/>
          </w:tcPr>
          <w:p w14:paraId="45ADF4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Structured summary</w:t>
            </w:r>
          </w:p>
        </w:tc>
        <w:tc>
          <w:tcPr>
            <w:tcW w:w="800" w:type="dxa"/>
            <w:vAlign w:val="center"/>
          </w:tcPr>
          <w:p w14:paraId="4DF4F3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6335" w:type="dxa"/>
            <w:vAlign w:val="top"/>
          </w:tcPr>
          <w:p w14:paraId="4712EE56">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Provide a structured summary including, as applicable:</w:t>
            </w:r>
          </w:p>
          <w:p w14:paraId="0D62AD9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Background: main objectives</w:t>
            </w:r>
          </w:p>
          <w:p w14:paraId="43AF7651">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Methods: data sources; study eligibility criteria, participants, and interventions; study appraisal; and synthesis methods, such as network meta-analysis.</w:t>
            </w:r>
          </w:p>
          <w:p w14:paraId="23364D0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Results: number of studies and participants identified; summary estimates with corresponding confidence/credible intervals; treatment rankings may also be discussed. Authors may choose to summarize pairwise comparisons against a chosen treatment included in their analyses for brevity.</w:t>
            </w:r>
          </w:p>
          <w:p w14:paraId="2E44C02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Discussion/Conclusions: limitations; conclusions and implications of findings.</w:t>
            </w:r>
          </w:p>
          <w:p w14:paraId="7F91679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Other: primary source of funding; systematic review registration number with registry name.</w:t>
            </w:r>
          </w:p>
        </w:tc>
        <w:tc>
          <w:tcPr>
            <w:tcW w:w="1309" w:type="dxa"/>
            <w:vAlign w:val="center"/>
          </w:tcPr>
          <w:p w14:paraId="7A1077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P</w:t>
            </w:r>
            <w:r>
              <w:rPr>
                <w:rFonts w:hint="default" w:ascii="Times New Roman" w:hAnsi="Times New Roman" w:cs="Times New Roman"/>
                <w:color w:val="auto"/>
                <w:sz w:val="21"/>
                <w:szCs w:val="21"/>
                <w:lang w:eastAsia="zh-CN"/>
              </w:rPr>
              <w:t>1</w:t>
            </w:r>
          </w:p>
        </w:tc>
      </w:tr>
      <w:tr w14:paraId="46BA8B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2212" w:type="dxa"/>
            <w:vAlign w:val="center"/>
          </w:tcPr>
          <w:p w14:paraId="02F55A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INTRODUCTION</w:t>
            </w:r>
          </w:p>
        </w:tc>
        <w:tc>
          <w:tcPr>
            <w:tcW w:w="800" w:type="dxa"/>
            <w:vAlign w:val="center"/>
          </w:tcPr>
          <w:p w14:paraId="205627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103931B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192D93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12ECB7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212" w:type="dxa"/>
            <w:vAlign w:val="center"/>
          </w:tcPr>
          <w:p w14:paraId="20620F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Rationale</w:t>
            </w:r>
          </w:p>
        </w:tc>
        <w:tc>
          <w:tcPr>
            <w:tcW w:w="800" w:type="dxa"/>
            <w:vAlign w:val="center"/>
          </w:tcPr>
          <w:p w14:paraId="0CE14D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6335" w:type="dxa"/>
            <w:vAlign w:val="top"/>
          </w:tcPr>
          <w:p w14:paraId="7ADED7B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the rationale for the review in the context of what is already known, including mention of why a network meta-analysis has been conducted.</w:t>
            </w:r>
          </w:p>
        </w:tc>
        <w:tc>
          <w:tcPr>
            <w:tcW w:w="1309" w:type="dxa"/>
            <w:vAlign w:val="center"/>
          </w:tcPr>
          <w:p w14:paraId="70313C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P2</w:t>
            </w:r>
          </w:p>
        </w:tc>
      </w:tr>
      <w:tr w14:paraId="7D0E5A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8" w:hRule="atLeast"/>
          <w:jc w:val="center"/>
        </w:trPr>
        <w:tc>
          <w:tcPr>
            <w:tcW w:w="2212" w:type="dxa"/>
            <w:vAlign w:val="center"/>
          </w:tcPr>
          <w:p w14:paraId="4300A2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Objectives</w:t>
            </w:r>
          </w:p>
        </w:tc>
        <w:tc>
          <w:tcPr>
            <w:tcW w:w="800" w:type="dxa"/>
            <w:vAlign w:val="center"/>
          </w:tcPr>
          <w:p w14:paraId="2E015C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6335" w:type="dxa"/>
            <w:vAlign w:val="top"/>
          </w:tcPr>
          <w:p w14:paraId="5233876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Provide an explicit statement of questions being addressed, with reference to participants, interventions, comparisons, outcomes, and study design (PICOS).</w:t>
            </w:r>
          </w:p>
        </w:tc>
        <w:tc>
          <w:tcPr>
            <w:tcW w:w="1309" w:type="dxa"/>
            <w:vAlign w:val="center"/>
          </w:tcPr>
          <w:p w14:paraId="35BA3C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P2-P3</w:t>
            </w:r>
          </w:p>
        </w:tc>
      </w:tr>
      <w:tr w14:paraId="2AA34C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jc w:val="center"/>
        </w:trPr>
        <w:tc>
          <w:tcPr>
            <w:tcW w:w="2212" w:type="dxa"/>
            <w:vAlign w:val="center"/>
          </w:tcPr>
          <w:p w14:paraId="2A89D2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METHODS</w:t>
            </w:r>
          </w:p>
        </w:tc>
        <w:tc>
          <w:tcPr>
            <w:tcW w:w="800" w:type="dxa"/>
            <w:vAlign w:val="center"/>
          </w:tcPr>
          <w:p w14:paraId="0C2F68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725AB49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6BDD1D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6C17C8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5C2733A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Protocol</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and</w:t>
            </w:r>
            <w:r>
              <w:rPr>
                <w:rFonts w:hint="default" w:ascii="Times New Roman" w:hAnsi="Times New Roman" w:cs="Times New Roman"/>
                <w:color w:val="auto"/>
                <w:sz w:val="21"/>
                <w:szCs w:val="21"/>
                <w:lang w:val="en-US" w:eastAsia="zh-CN"/>
              </w:rPr>
              <w:t xml:space="preserve"> </w:t>
            </w:r>
            <w:r>
              <w:rPr>
                <w:rFonts w:hint="default" w:ascii="Times New Roman" w:hAnsi="Times New Roman" w:cs="Times New Roman"/>
                <w:color w:val="auto"/>
                <w:sz w:val="21"/>
                <w:szCs w:val="21"/>
              </w:rPr>
              <w:t>registration</w:t>
            </w:r>
          </w:p>
        </w:tc>
        <w:tc>
          <w:tcPr>
            <w:tcW w:w="800" w:type="dxa"/>
            <w:vAlign w:val="center"/>
          </w:tcPr>
          <w:p w14:paraId="11F856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6335" w:type="dxa"/>
            <w:vAlign w:val="top"/>
          </w:tcPr>
          <w:p w14:paraId="702C1604">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Indicate whether a review protocol exists and if and where it can be accessed (e.g., Web address); and, if available, provide registration information, including registration number.</w:t>
            </w:r>
          </w:p>
        </w:tc>
        <w:tc>
          <w:tcPr>
            <w:tcW w:w="1309" w:type="dxa"/>
            <w:vAlign w:val="center"/>
          </w:tcPr>
          <w:p w14:paraId="426899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P3</w:t>
            </w:r>
          </w:p>
        </w:tc>
      </w:tr>
      <w:tr w14:paraId="2F7990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2212" w:type="dxa"/>
            <w:vAlign w:val="center"/>
          </w:tcPr>
          <w:p w14:paraId="2E8404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Eligibility criteria</w:t>
            </w:r>
          </w:p>
        </w:tc>
        <w:tc>
          <w:tcPr>
            <w:tcW w:w="800" w:type="dxa"/>
            <w:vAlign w:val="center"/>
          </w:tcPr>
          <w:p w14:paraId="4853F2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6335" w:type="dxa"/>
            <w:vAlign w:val="top"/>
          </w:tcPr>
          <w:p w14:paraId="63956C3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Specify study characteristics (e.g., PICOS, length of follow-up) and report characteristics (e.g., years considered, language, publication status) used as criteria for eligibility, giving rationale. Clearly describe eligible treatments included in the treatment network, and note whether any have been clustered or </w:t>
            </w:r>
            <w:bookmarkStart w:id="11" w:name="_Hlk110952964"/>
            <w:r>
              <w:rPr>
                <w:rFonts w:hint="default" w:ascii="Times New Roman" w:hAnsi="Times New Roman" w:cs="Times New Roman"/>
                <w:color w:val="auto"/>
                <w:sz w:val="21"/>
                <w:szCs w:val="21"/>
              </w:rPr>
              <w:t xml:space="preserve">merged </w:t>
            </w:r>
            <w:bookmarkEnd w:id="11"/>
            <w:r>
              <w:rPr>
                <w:rFonts w:hint="default" w:ascii="Times New Roman" w:hAnsi="Times New Roman" w:cs="Times New Roman"/>
                <w:color w:val="auto"/>
                <w:sz w:val="21"/>
                <w:szCs w:val="21"/>
              </w:rPr>
              <w:t>into the same node (with justification).</w:t>
            </w:r>
          </w:p>
        </w:tc>
        <w:tc>
          <w:tcPr>
            <w:tcW w:w="1309" w:type="dxa"/>
            <w:vAlign w:val="center"/>
          </w:tcPr>
          <w:p w14:paraId="54F09E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P3-P4</w:t>
            </w:r>
          </w:p>
        </w:tc>
      </w:tr>
      <w:tr w14:paraId="5B1DA2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2212" w:type="dxa"/>
            <w:vAlign w:val="center"/>
          </w:tcPr>
          <w:p w14:paraId="6AC11A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Information sources</w:t>
            </w:r>
          </w:p>
        </w:tc>
        <w:tc>
          <w:tcPr>
            <w:tcW w:w="800" w:type="dxa"/>
            <w:vAlign w:val="center"/>
          </w:tcPr>
          <w:p w14:paraId="764C5C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6335" w:type="dxa"/>
            <w:vAlign w:val="top"/>
          </w:tcPr>
          <w:p w14:paraId="4219EC8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all information sources (e.g., databases with dates of coverage, contact with study authors to identify additional studies) in the search and date last searched.</w:t>
            </w:r>
          </w:p>
        </w:tc>
        <w:tc>
          <w:tcPr>
            <w:tcW w:w="1309" w:type="dxa"/>
            <w:vAlign w:val="center"/>
          </w:tcPr>
          <w:p w14:paraId="0F7029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P3</w:t>
            </w:r>
          </w:p>
        </w:tc>
      </w:tr>
      <w:tr w14:paraId="3AA17D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2212" w:type="dxa"/>
            <w:vAlign w:val="center"/>
          </w:tcPr>
          <w:p w14:paraId="406DEF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Search</w:t>
            </w:r>
          </w:p>
        </w:tc>
        <w:tc>
          <w:tcPr>
            <w:tcW w:w="800" w:type="dxa"/>
            <w:vAlign w:val="center"/>
          </w:tcPr>
          <w:p w14:paraId="239B90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6335" w:type="dxa"/>
            <w:vAlign w:val="top"/>
          </w:tcPr>
          <w:p w14:paraId="208D7BB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Present full electronic search strategy for at least one database, including any limits used, such that it could be repeated.</w:t>
            </w:r>
          </w:p>
        </w:tc>
        <w:tc>
          <w:tcPr>
            <w:tcW w:w="1309" w:type="dxa"/>
            <w:vAlign w:val="center"/>
          </w:tcPr>
          <w:p w14:paraId="5FE672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 xml:space="preserve">P3 </w:t>
            </w:r>
          </w:p>
          <w:p w14:paraId="08C3B6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Appendix 1</w:t>
            </w:r>
          </w:p>
        </w:tc>
      </w:tr>
      <w:tr w14:paraId="6FD0C9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1D230F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Study selection</w:t>
            </w:r>
          </w:p>
        </w:tc>
        <w:tc>
          <w:tcPr>
            <w:tcW w:w="800" w:type="dxa"/>
            <w:vAlign w:val="center"/>
          </w:tcPr>
          <w:p w14:paraId="641FFD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p>
        </w:tc>
        <w:tc>
          <w:tcPr>
            <w:tcW w:w="6335" w:type="dxa"/>
            <w:vAlign w:val="top"/>
          </w:tcPr>
          <w:p w14:paraId="1AC6347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State the process for selecting studies (i.e., screening, eligibility, included in systematic review, and, if applicable, included in the meta-analysis).</w:t>
            </w:r>
          </w:p>
        </w:tc>
        <w:tc>
          <w:tcPr>
            <w:tcW w:w="1309" w:type="dxa"/>
            <w:vAlign w:val="center"/>
          </w:tcPr>
          <w:p w14:paraId="6CB9E6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P4</w:t>
            </w:r>
          </w:p>
        </w:tc>
      </w:tr>
      <w:tr w14:paraId="717FE2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24FB52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Data collection process</w:t>
            </w:r>
          </w:p>
        </w:tc>
        <w:tc>
          <w:tcPr>
            <w:tcW w:w="800" w:type="dxa"/>
            <w:vAlign w:val="center"/>
          </w:tcPr>
          <w:p w14:paraId="33D411D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c>
          <w:tcPr>
            <w:tcW w:w="6335" w:type="dxa"/>
            <w:vAlign w:val="top"/>
          </w:tcPr>
          <w:p w14:paraId="439F977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method of data extraction from reports (e.g., piloted forms, independently, in duplicate) and any processes for obtaining and confirming data from investigators.</w:t>
            </w:r>
          </w:p>
        </w:tc>
        <w:tc>
          <w:tcPr>
            <w:tcW w:w="1309" w:type="dxa"/>
            <w:vAlign w:val="center"/>
          </w:tcPr>
          <w:p w14:paraId="4761B8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P4-P5</w:t>
            </w:r>
          </w:p>
        </w:tc>
      </w:tr>
      <w:tr w14:paraId="4F1627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5F5CA1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Data items</w:t>
            </w:r>
          </w:p>
        </w:tc>
        <w:tc>
          <w:tcPr>
            <w:tcW w:w="800" w:type="dxa"/>
            <w:vAlign w:val="center"/>
          </w:tcPr>
          <w:p w14:paraId="279FE7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11</w:t>
            </w:r>
          </w:p>
        </w:tc>
        <w:tc>
          <w:tcPr>
            <w:tcW w:w="6335" w:type="dxa"/>
            <w:vAlign w:val="top"/>
          </w:tcPr>
          <w:p w14:paraId="39148BA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List and define all variables for which data were sought (e.g., PICOS, funding sources) and any assumptions and simplifications made.</w:t>
            </w:r>
          </w:p>
        </w:tc>
        <w:tc>
          <w:tcPr>
            <w:tcW w:w="1309" w:type="dxa"/>
            <w:vAlign w:val="center"/>
          </w:tcPr>
          <w:p w14:paraId="3FD612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P3-P4</w:t>
            </w:r>
          </w:p>
        </w:tc>
      </w:tr>
      <w:tr w14:paraId="3D1661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2B5862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Geometry of the network</w:t>
            </w:r>
          </w:p>
        </w:tc>
        <w:tc>
          <w:tcPr>
            <w:tcW w:w="800" w:type="dxa"/>
            <w:vAlign w:val="center"/>
          </w:tcPr>
          <w:p w14:paraId="21FB22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S1</w:t>
            </w:r>
          </w:p>
        </w:tc>
        <w:tc>
          <w:tcPr>
            <w:tcW w:w="6335" w:type="dxa"/>
            <w:vAlign w:val="top"/>
          </w:tcPr>
          <w:p w14:paraId="0E86583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309" w:type="dxa"/>
            <w:vAlign w:val="center"/>
          </w:tcPr>
          <w:p w14:paraId="32167E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P5-P6</w:t>
            </w:r>
          </w:p>
        </w:tc>
      </w:tr>
      <w:tr w14:paraId="409DD5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2212" w:type="dxa"/>
            <w:vAlign w:val="center"/>
          </w:tcPr>
          <w:p w14:paraId="18E779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Risk of bias within individual studies</w:t>
            </w:r>
          </w:p>
        </w:tc>
        <w:tc>
          <w:tcPr>
            <w:tcW w:w="800" w:type="dxa"/>
            <w:vAlign w:val="center"/>
          </w:tcPr>
          <w:p w14:paraId="6FCBCC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12</w:t>
            </w:r>
          </w:p>
        </w:tc>
        <w:tc>
          <w:tcPr>
            <w:tcW w:w="6335" w:type="dxa"/>
            <w:vAlign w:val="top"/>
          </w:tcPr>
          <w:p w14:paraId="06A0762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methods used for assessing risk of bias of individual studies (including specification of whether this was done at the study or outcome level), and how this information is to be used in any data synthesis.</w:t>
            </w:r>
          </w:p>
        </w:tc>
        <w:tc>
          <w:tcPr>
            <w:tcW w:w="1309" w:type="dxa"/>
            <w:shd w:val="clear" w:color="auto" w:fill="auto"/>
            <w:vAlign w:val="center"/>
          </w:tcPr>
          <w:p w14:paraId="49E619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P5</w:t>
            </w:r>
          </w:p>
          <w:p w14:paraId="085B4E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kern w:val="2"/>
                <w:sz w:val="21"/>
                <w:szCs w:val="21"/>
                <w:lang w:val="en-US" w:eastAsia="zh-CN" w:bidi="ar-SA"/>
              </w:rPr>
            </w:pPr>
          </w:p>
        </w:tc>
      </w:tr>
      <w:tr w14:paraId="6B76F8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2212" w:type="dxa"/>
            <w:vAlign w:val="center"/>
          </w:tcPr>
          <w:p w14:paraId="60B4DC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Summary measures</w:t>
            </w:r>
          </w:p>
        </w:tc>
        <w:tc>
          <w:tcPr>
            <w:tcW w:w="800" w:type="dxa"/>
            <w:vAlign w:val="center"/>
          </w:tcPr>
          <w:p w14:paraId="163622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13</w:t>
            </w:r>
          </w:p>
        </w:tc>
        <w:tc>
          <w:tcPr>
            <w:tcW w:w="6335" w:type="dxa"/>
            <w:vAlign w:val="top"/>
          </w:tcPr>
          <w:p w14:paraId="0A85A66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State the principal summary measures (e.g., risk ratio, difference in means). Also describe the use of additional summary measures assessed, such as treatment rankings and surface under the cumulative ranking curve (SUCRA) values, as well as modified approaches used to present summary findings from meta-analyses.</w:t>
            </w:r>
          </w:p>
        </w:tc>
        <w:tc>
          <w:tcPr>
            <w:tcW w:w="1309" w:type="dxa"/>
            <w:vAlign w:val="center"/>
          </w:tcPr>
          <w:p w14:paraId="31EC32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P5</w:t>
            </w:r>
          </w:p>
        </w:tc>
      </w:tr>
      <w:tr w14:paraId="5BEE9B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01F8F9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Planned methods of analysis</w:t>
            </w:r>
          </w:p>
        </w:tc>
        <w:tc>
          <w:tcPr>
            <w:tcW w:w="800" w:type="dxa"/>
            <w:vAlign w:val="center"/>
          </w:tcPr>
          <w:p w14:paraId="7A8300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14</w:t>
            </w:r>
          </w:p>
        </w:tc>
        <w:tc>
          <w:tcPr>
            <w:tcW w:w="6335" w:type="dxa"/>
            <w:vAlign w:val="top"/>
          </w:tcPr>
          <w:p w14:paraId="1BDC2A5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the methods of handling data and combining results of studies for each network meta-analysis. This should include, but not be limited to:</w:t>
            </w:r>
          </w:p>
          <w:p w14:paraId="3CCA51B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Handling of multi-arm trials;</w:t>
            </w:r>
          </w:p>
          <w:p w14:paraId="552C086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Selection of variance structure;</w:t>
            </w:r>
          </w:p>
          <w:p w14:paraId="324D658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Selection of prior distributions in Bayesian analyses; and</w:t>
            </w:r>
          </w:p>
          <w:p w14:paraId="224F624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Assessment of model fit.</w:t>
            </w:r>
          </w:p>
        </w:tc>
        <w:tc>
          <w:tcPr>
            <w:tcW w:w="1309" w:type="dxa"/>
            <w:vAlign w:val="center"/>
          </w:tcPr>
          <w:p w14:paraId="7FAC8D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P4-P5</w:t>
            </w:r>
          </w:p>
        </w:tc>
      </w:tr>
      <w:tr w14:paraId="7E55BB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30ECF9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Assessment of Inconsistency</w:t>
            </w:r>
          </w:p>
        </w:tc>
        <w:tc>
          <w:tcPr>
            <w:tcW w:w="800" w:type="dxa"/>
            <w:vAlign w:val="center"/>
          </w:tcPr>
          <w:p w14:paraId="304C64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S2</w:t>
            </w:r>
          </w:p>
        </w:tc>
        <w:tc>
          <w:tcPr>
            <w:tcW w:w="6335" w:type="dxa"/>
            <w:vAlign w:val="top"/>
          </w:tcPr>
          <w:p w14:paraId="1417F4FD">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the statistical methods used to evaluate the agreement of direct and indirect evidence in the treatment network(s) studied. Describe efforts taken to address its presence when found.</w:t>
            </w:r>
          </w:p>
        </w:tc>
        <w:tc>
          <w:tcPr>
            <w:tcW w:w="1309" w:type="dxa"/>
            <w:vAlign w:val="center"/>
          </w:tcPr>
          <w:p w14:paraId="028986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P5-P6</w:t>
            </w:r>
          </w:p>
        </w:tc>
      </w:tr>
      <w:tr w14:paraId="46020A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1BAB7F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Risk of bias across studies</w:t>
            </w:r>
          </w:p>
        </w:tc>
        <w:tc>
          <w:tcPr>
            <w:tcW w:w="800" w:type="dxa"/>
            <w:vAlign w:val="center"/>
          </w:tcPr>
          <w:p w14:paraId="1B801C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15</w:t>
            </w:r>
          </w:p>
        </w:tc>
        <w:tc>
          <w:tcPr>
            <w:tcW w:w="6335" w:type="dxa"/>
            <w:vAlign w:val="top"/>
          </w:tcPr>
          <w:p w14:paraId="2E5C94F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Specify any assessment of risk of bias that may affect the cumulative evidence (e.g., publication bias, selective reporting within studies).</w:t>
            </w:r>
          </w:p>
        </w:tc>
        <w:tc>
          <w:tcPr>
            <w:tcW w:w="1309" w:type="dxa"/>
            <w:vAlign w:val="center"/>
          </w:tcPr>
          <w:p w14:paraId="1D2130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P5</w:t>
            </w:r>
          </w:p>
          <w:p w14:paraId="721676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p>
        </w:tc>
      </w:tr>
      <w:tr w14:paraId="016AA1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101FE6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Additional analyses</w:t>
            </w:r>
          </w:p>
        </w:tc>
        <w:tc>
          <w:tcPr>
            <w:tcW w:w="800" w:type="dxa"/>
            <w:vAlign w:val="center"/>
          </w:tcPr>
          <w:p w14:paraId="055CD6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16</w:t>
            </w:r>
          </w:p>
        </w:tc>
        <w:tc>
          <w:tcPr>
            <w:tcW w:w="6335" w:type="dxa"/>
            <w:vAlign w:val="top"/>
          </w:tcPr>
          <w:p w14:paraId="19D43CE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methods of additional analyses if done, indicating which were pre-specified. This may include, but not be limited to, the following:</w:t>
            </w:r>
          </w:p>
          <w:p w14:paraId="7F27D09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Sensitivity or subgroup analyses;</w:t>
            </w:r>
          </w:p>
          <w:p w14:paraId="185C656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Meta-regression analyses;</w:t>
            </w:r>
          </w:p>
          <w:p w14:paraId="6A6383A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Alternative formulations of the treatment network; and</w:t>
            </w:r>
          </w:p>
          <w:p w14:paraId="0A9E4252">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Use of alternative prior distributions for Bayesian analyses (if applicable).</w:t>
            </w:r>
          </w:p>
        </w:tc>
        <w:tc>
          <w:tcPr>
            <w:tcW w:w="1309" w:type="dxa"/>
            <w:vAlign w:val="center"/>
          </w:tcPr>
          <w:p w14:paraId="469DD2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Not Applicable</w:t>
            </w:r>
          </w:p>
        </w:tc>
      </w:tr>
      <w:tr w14:paraId="0DCE6E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jc w:val="center"/>
        </w:trPr>
        <w:tc>
          <w:tcPr>
            <w:tcW w:w="2212" w:type="dxa"/>
            <w:vAlign w:val="center"/>
          </w:tcPr>
          <w:p w14:paraId="7F3B78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RESULTS†</w:t>
            </w:r>
          </w:p>
        </w:tc>
        <w:tc>
          <w:tcPr>
            <w:tcW w:w="800" w:type="dxa"/>
            <w:vAlign w:val="center"/>
          </w:tcPr>
          <w:p w14:paraId="12B567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5E3059A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401880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582B71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639CED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Study selection</w:t>
            </w:r>
          </w:p>
        </w:tc>
        <w:tc>
          <w:tcPr>
            <w:tcW w:w="800" w:type="dxa"/>
            <w:vAlign w:val="center"/>
          </w:tcPr>
          <w:p w14:paraId="78C115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17</w:t>
            </w:r>
          </w:p>
        </w:tc>
        <w:tc>
          <w:tcPr>
            <w:tcW w:w="6335" w:type="dxa"/>
            <w:vAlign w:val="top"/>
          </w:tcPr>
          <w:p w14:paraId="566EF385">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Give numbers of studies screened, assessed for eligibility, and included in the review, with reasons for exclusions at each stage, ideally with a flow diagram.</w:t>
            </w:r>
          </w:p>
        </w:tc>
        <w:tc>
          <w:tcPr>
            <w:tcW w:w="1309" w:type="dxa"/>
            <w:vAlign w:val="center"/>
          </w:tcPr>
          <w:p w14:paraId="5E292A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P6-7</w:t>
            </w:r>
          </w:p>
          <w:p w14:paraId="461204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Fig</w:t>
            </w:r>
            <w:r>
              <w:rPr>
                <w:rFonts w:hint="default" w:ascii="Times New Roman" w:hAnsi="Times New Roman" w:cs="Times New Roman"/>
                <w:color w:val="auto"/>
                <w:sz w:val="21"/>
                <w:szCs w:val="21"/>
                <w:lang w:val="en-US" w:eastAsia="zh-CN"/>
              </w:rPr>
              <w:t>ure 1</w:t>
            </w:r>
          </w:p>
        </w:tc>
      </w:tr>
      <w:tr w14:paraId="7CC175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jc w:val="center"/>
        </w:trPr>
        <w:tc>
          <w:tcPr>
            <w:tcW w:w="2212" w:type="dxa"/>
            <w:vAlign w:val="center"/>
          </w:tcPr>
          <w:p w14:paraId="2E0334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Presentation of network structure</w:t>
            </w:r>
          </w:p>
        </w:tc>
        <w:tc>
          <w:tcPr>
            <w:tcW w:w="800" w:type="dxa"/>
            <w:vAlign w:val="center"/>
          </w:tcPr>
          <w:p w14:paraId="240ADC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S3</w:t>
            </w:r>
          </w:p>
        </w:tc>
        <w:tc>
          <w:tcPr>
            <w:tcW w:w="6335" w:type="dxa"/>
            <w:vAlign w:val="top"/>
          </w:tcPr>
          <w:p w14:paraId="062D4CB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Provide a network graph of the included studies to enable visualization of the geometry of the treatment network.</w:t>
            </w:r>
          </w:p>
        </w:tc>
        <w:tc>
          <w:tcPr>
            <w:tcW w:w="1309" w:type="dxa"/>
            <w:vAlign w:val="center"/>
          </w:tcPr>
          <w:p w14:paraId="52A87E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P8</w:t>
            </w:r>
          </w:p>
          <w:p w14:paraId="6EA314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Fig</w:t>
            </w:r>
            <w:r>
              <w:rPr>
                <w:rFonts w:hint="default" w:ascii="Times New Roman" w:hAnsi="Times New Roman" w:cs="Times New Roman"/>
                <w:color w:val="auto"/>
                <w:sz w:val="21"/>
                <w:szCs w:val="21"/>
                <w:lang w:val="en-US" w:eastAsia="zh-CN"/>
              </w:rPr>
              <w:t>ure 2</w:t>
            </w:r>
          </w:p>
        </w:tc>
      </w:tr>
      <w:tr w14:paraId="1648AE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31CE38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Summary of network geometry</w:t>
            </w:r>
          </w:p>
        </w:tc>
        <w:tc>
          <w:tcPr>
            <w:tcW w:w="800" w:type="dxa"/>
            <w:vAlign w:val="center"/>
          </w:tcPr>
          <w:p w14:paraId="4E973D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S4</w:t>
            </w:r>
          </w:p>
        </w:tc>
        <w:tc>
          <w:tcPr>
            <w:tcW w:w="6335" w:type="dxa"/>
            <w:vAlign w:val="top"/>
          </w:tcPr>
          <w:p w14:paraId="07BFF291">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309" w:type="dxa"/>
            <w:vAlign w:val="center"/>
          </w:tcPr>
          <w:p w14:paraId="5DF2ED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P8</w:t>
            </w:r>
          </w:p>
          <w:p w14:paraId="447FCB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p>
        </w:tc>
      </w:tr>
      <w:tr w14:paraId="6A7A2B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3F91F0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Study characteristics</w:t>
            </w:r>
          </w:p>
        </w:tc>
        <w:tc>
          <w:tcPr>
            <w:tcW w:w="800" w:type="dxa"/>
            <w:vAlign w:val="center"/>
          </w:tcPr>
          <w:p w14:paraId="36B5B9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18</w:t>
            </w:r>
          </w:p>
        </w:tc>
        <w:tc>
          <w:tcPr>
            <w:tcW w:w="6335" w:type="dxa"/>
            <w:vAlign w:val="top"/>
          </w:tcPr>
          <w:p w14:paraId="6306DE57">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For each study, present characteristics for which data were extracted (e.g., study size, PICOS, follow-up period) and provide the citations.</w:t>
            </w:r>
          </w:p>
        </w:tc>
        <w:tc>
          <w:tcPr>
            <w:tcW w:w="1309" w:type="dxa"/>
            <w:vAlign w:val="center"/>
          </w:tcPr>
          <w:p w14:paraId="3CDA8E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 xml:space="preserve">P7 </w:t>
            </w:r>
          </w:p>
          <w:p w14:paraId="262A4A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Appendix 3</w:t>
            </w:r>
          </w:p>
        </w:tc>
      </w:tr>
      <w:tr w14:paraId="215BE5A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01EA8B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Risk of bias within studies</w:t>
            </w:r>
          </w:p>
        </w:tc>
        <w:tc>
          <w:tcPr>
            <w:tcW w:w="800" w:type="dxa"/>
            <w:vAlign w:val="center"/>
          </w:tcPr>
          <w:p w14:paraId="543365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19</w:t>
            </w:r>
          </w:p>
        </w:tc>
        <w:tc>
          <w:tcPr>
            <w:tcW w:w="6335" w:type="dxa"/>
            <w:vAlign w:val="top"/>
          </w:tcPr>
          <w:p w14:paraId="066E9FF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Present data on risk of bias of each study and, if available, any outcome level assessment.</w:t>
            </w:r>
          </w:p>
        </w:tc>
        <w:tc>
          <w:tcPr>
            <w:tcW w:w="1309" w:type="dxa"/>
            <w:vAlign w:val="center"/>
          </w:tcPr>
          <w:p w14:paraId="43DFA1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P8</w:t>
            </w:r>
          </w:p>
          <w:p w14:paraId="4B1B9A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Appendix 4</w:t>
            </w:r>
          </w:p>
        </w:tc>
      </w:tr>
      <w:tr w14:paraId="5507CA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6D5C23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Results of individual studies</w:t>
            </w:r>
          </w:p>
        </w:tc>
        <w:tc>
          <w:tcPr>
            <w:tcW w:w="800" w:type="dxa"/>
            <w:vAlign w:val="center"/>
          </w:tcPr>
          <w:p w14:paraId="2A86AE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w:t>
            </w:r>
          </w:p>
        </w:tc>
        <w:tc>
          <w:tcPr>
            <w:tcW w:w="6335" w:type="dxa"/>
            <w:vAlign w:val="top"/>
          </w:tcPr>
          <w:p w14:paraId="0751B9F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For all outcomes considered (benefits or harms), present, for each study: 1) simple summary data for each intervention group, and 2) effect estimates and confidence intervals. Modified approaches may be needed to deal with information from larger networks.</w:t>
            </w:r>
          </w:p>
        </w:tc>
        <w:tc>
          <w:tcPr>
            <w:tcW w:w="1309" w:type="dxa"/>
            <w:vAlign w:val="center"/>
          </w:tcPr>
          <w:p w14:paraId="48868B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xml:space="preserve">Not </w:t>
            </w:r>
            <w:r>
              <w:rPr>
                <w:rFonts w:hint="default" w:ascii="Times New Roman" w:hAnsi="Times New Roman" w:cs="Times New Roman"/>
                <w:color w:val="auto"/>
                <w:sz w:val="21"/>
                <w:szCs w:val="21"/>
                <w:lang w:val="en-US" w:eastAsia="zh-CN"/>
              </w:rPr>
              <w:t>A</w:t>
            </w:r>
            <w:r>
              <w:rPr>
                <w:rFonts w:hint="default" w:ascii="Times New Roman" w:hAnsi="Times New Roman" w:cs="Times New Roman"/>
                <w:color w:val="auto"/>
                <w:sz w:val="21"/>
                <w:szCs w:val="21"/>
              </w:rPr>
              <w:t>pplicable</w:t>
            </w:r>
          </w:p>
        </w:tc>
      </w:tr>
      <w:tr w14:paraId="66F705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263C92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Synthesis of results</w:t>
            </w:r>
          </w:p>
        </w:tc>
        <w:tc>
          <w:tcPr>
            <w:tcW w:w="800" w:type="dxa"/>
            <w:vAlign w:val="center"/>
          </w:tcPr>
          <w:p w14:paraId="643AE08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21</w:t>
            </w:r>
          </w:p>
        </w:tc>
        <w:tc>
          <w:tcPr>
            <w:tcW w:w="6335" w:type="dxa"/>
            <w:vAlign w:val="top"/>
          </w:tcPr>
          <w:p w14:paraId="2F4EEA9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Present results of each meta-analysis done, including confidence/credible intervals. In larger networks, authors may focus on comparisons versus a particular comparator (e.g., placebo or standard care), with full findings presented in an appendix. League tables and forest plots may be considered to summarize pairwise comparisons. If additional summary measures were explored (such as treatment rankings), these should also be presented.</w:t>
            </w:r>
          </w:p>
        </w:tc>
        <w:tc>
          <w:tcPr>
            <w:tcW w:w="1309" w:type="dxa"/>
            <w:vAlign w:val="center"/>
          </w:tcPr>
          <w:p w14:paraId="7E1975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P9-P10</w:t>
            </w:r>
          </w:p>
          <w:p w14:paraId="38B3D1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Fig</w:t>
            </w:r>
            <w:r>
              <w:rPr>
                <w:rFonts w:hint="default" w:ascii="Times New Roman" w:hAnsi="Times New Roman" w:cs="Times New Roman"/>
                <w:color w:val="auto"/>
                <w:sz w:val="21"/>
                <w:szCs w:val="21"/>
                <w:lang w:val="en-US" w:eastAsia="zh-CN"/>
              </w:rPr>
              <w:t>ure 3</w:t>
            </w:r>
          </w:p>
          <w:p w14:paraId="7020294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Fig</w:t>
            </w:r>
            <w:r>
              <w:rPr>
                <w:rFonts w:hint="default" w:ascii="Times New Roman" w:hAnsi="Times New Roman" w:cs="Times New Roman"/>
                <w:color w:val="auto"/>
                <w:sz w:val="21"/>
                <w:szCs w:val="21"/>
                <w:lang w:val="en-US" w:eastAsia="zh-CN"/>
              </w:rPr>
              <w:t>ure 4</w:t>
            </w:r>
          </w:p>
          <w:p w14:paraId="2635D0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Table 1</w:t>
            </w:r>
          </w:p>
        </w:tc>
      </w:tr>
      <w:tr w14:paraId="2EFDEB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09603EA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Exploration for inconsistency</w:t>
            </w:r>
          </w:p>
        </w:tc>
        <w:tc>
          <w:tcPr>
            <w:tcW w:w="800" w:type="dxa"/>
            <w:vAlign w:val="center"/>
          </w:tcPr>
          <w:p w14:paraId="0E978A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S5</w:t>
            </w:r>
          </w:p>
        </w:tc>
        <w:tc>
          <w:tcPr>
            <w:tcW w:w="6335" w:type="dxa"/>
            <w:vAlign w:val="top"/>
          </w:tcPr>
          <w:p w14:paraId="2EEB861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1309" w:type="dxa"/>
            <w:vAlign w:val="center"/>
          </w:tcPr>
          <w:p w14:paraId="7FD503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P9</w:t>
            </w:r>
          </w:p>
          <w:p w14:paraId="73BE7B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val="en-US" w:eastAsia="zh-CN"/>
              </w:rPr>
              <w:t>Appendix 6</w:t>
            </w:r>
          </w:p>
        </w:tc>
      </w:tr>
      <w:tr w14:paraId="2882BF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1BA011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Risk of bias across studies</w:t>
            </w:r>
          </w:p>
        </w:tc>
        <w:tc>
          <w:tcPr>
            <w:tcW w:w="800" w:type="dxa"/>
            <w:vAlign w:val="center"/>
          </w:tcPr>
          <w:p w14:paraId="04BADC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22</w:t>
            </w:r>
          </w:p>
        </w:tc>
        <w:tc>
          <w:tcPr>
            <w:tcW w:w="6335" w:type="dxa"/>
            <w:vAlign w:val="top"/>
          </w:tcPr>
          <w:p w14:paraId="67D6DD4B">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Present results of any assessment of risk of bias across studies for the evidence base being studied.</w:t>
            </w:r>
          </w:p>
        </w:tc>
        <w:tc>
          <w:tcPr>
            <w:tcW w:w="1309" w:type="dxa"/>
            <w:vAlign w:val="center"/>
          </w:tcPr>
          <w:p w14:paraId="13A51C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P8</w:t>
            </w:r>
          </w:p>
          <w:p w14:paraId="5FAD8A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Appendix 8</w:t>
            </w:r>
          </w:p>
        </w:tc>
      </w:tr>
      <w:tr w14:paraId="16668B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5AD1A7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Results of additional analyses</w:t>
            </w:r>
          </w:p>
        </w:tc>
        <w:tc>
          <w:tcPr>
            <w:tcW w:w="800" w:type="dxa"/>
            <w:vAlign w:val="center"/>
          </w:tcPr>
          <w:p w14:paraId="690ADE8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23</w:t>
            </w:r>
          </w:p>
        </w:tc>
        <w:tc>
          <w:tcPr>
            <w:tcW w:w="6335" w:type="dxa"/>
            <w:vAlign w:val="top"/>
          </w:tcPr>
          <w:p w14:paraId="0288B6C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Give results of additional analyses, if done (e.g., sensitivity or subgroup analyses, meta-regression analyses, alternative network geometries studied, alternative choice of prior distributions for Bayesian analyses, and so forth).</w:t>
            </w:r>
          </w:p>
        </w:tc>
        <w:tc>
          <w:tcPr>
            <w:tcW w:w="1309" w:type="dxa"/>
            <w:vAlign w:val="center"/>
          </w:tcPr>
          <w:p w14:paraId="2CECAA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P11-P13</w:t>
            </w:r>
          </w:p>
        </w:tc>
      </w:tr>
      <w:tr w14:paraId="5F7D0F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 w:hRule="atLeast"/>
          <w:jc w:val="center"/>
        </w:trPr>
        <w:tc>
          <w:tcPr>
            <w:tcW w:w="2212" w:type="dxa"/>
            <w:vAlign w:val="center"/>
          </w:tcPr>
          <w:p w14:paraId="176677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DISCUSSION</w:t>
            </w:r>
          </w:p>
        </w:tc>
        <w:tc>
          <w:tcPr>
            <w:tcW w:w="800" w:type="dxa"/>
            <w:vAlign w:val="center"/>
          </w:tcPr>
          <w:p w14:paraId="3ACF8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159EC671">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11D2BA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3DEA04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07613E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Summary of evidence</w:t>
            </w:r>
          </w:p>
        </w:tc>
        <w:tc>
          <w:tcPr>
            <w:tcW w:w="800" w:type="dxa"/>
            <w:vAlign w:val="center"/>
          </w:tcPr>
          <w:p w14:paraId="1103BF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24</w:t>
            </w:r>
          </w:p>
        </w:tc>
        <w:tc>
          <w:tcPr>
            <w:tcW w:w="6335" w:type="dxa"/>
            <w:vAlign w:val="top"/>
          </w:tcPr>
          <w:p w14:paraId="666242E8">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Summarize the main findings, including the strength of evidence for each main outcome; consider their relevance to key groups (e.g., healthcare providers, users, and policy-makers).</w:t>
            </w:r>
          </w:p>
        </w:tc>
        <w:tc>
          <w:tcPr>
            <w:tcW w:w="1309" w:type="dxa"/>
            <w:vAlign w:val="center"/>
          </w:tcPr>
          <w:p w14:paraId="2D8804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P13-P15</w:t>
            </w:r>
          </w:p>
        </w:tc>
      </w:tr>
      <w:tr w14:paraId="4B38DB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73A13E9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Limitations</w:t>
            </w:r>
          </w:p>
        </w:tc>
        <w:tc>
          <w:tcPr>
            <w:tcW w:w="800" w:type="dxa"/>
            <w:vAlign w:val="center"/>
          </w:tcPr>
          <w:p w14:paraId="6DD8AB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25</w:t>
            </w:r>
          </w:p>
        </w:tc>
        <w:tc>
          <w:tcPr>
            <w:tcW w:w="6335" w:type="dxa"/>
            <w:vAlign w:val="top"/>
          </w:tcPr>
          <w:p w14:paraId="5119657C">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Discuss limitations at study and outcome level (e.g., risk of bias), and at review level (e.g., incomplete retrieval of identified research, reporting bias). Comment on the validity of the assumptions, such as transitivity and consistency. Comment on any concerns regarding network geometry (e.g., avoidance of certain comparisons).</w:t>
            </w:r>
          </w:p>
        </w:tc>
        <w:tc>
          <w:tcPr>
            <w:tcW w:w="1309" w:type="dxa"/>
            <w:vAlign w:val="center"/>
          </w:tcPr>
          <w:p w14:paraId="63CBD1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P15-P16</w:t>
            </w:r>
          </w:p>
        </w:tc>
      </w:tr>
      <w:tr w14:paraId="153A43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231B35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Conclusions</w:t>
            </w:r>
          </w:p>
        </w:tc>
        <w:tc>
          <w:tcPr>
            <w:tcW w:w="800" w:type="dxa"/>
            <w:vAlign w:val="center"/>
          </w:tcPr>
          <w:p w14:paraId="7C5F71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26</w:t>
            </w:r>
          </w:p>
        </w:tc>
        <w:tc>
          <w:tcPr>
            <w:tcW w:w="6335" w:type="dxa"/>
            <w:vAlign w:val="top"/>
          </w:tcPr>
          <w:p w14:paraId="4B52CE0F">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Provide a general interpretation of the results in the context of other evidence, and implications for future research.</w:t>
            </w:r>
          </w:p>
        </w:tc>
        <w:tc>
          <w:tcPr>
            <w:tcW w:w="1309" w:type="dxa"/>
            <w:vAlign w:val="center"/>
          </w:tcPr>
          <w:p w14:paraId="7499F7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P16</w:t>
            </w:r>
          </w:p>
        </w:tc>
      </w:tr>
      <w:tr w14:paraId="5EE7F1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jc w:val="center"/>
        </w:trPr>
        <w:tc>
          <w:tcPr>
            <w:tcW w:w="2212" w:type="dxa"/>
            <w:vAlign w:val="center"/>
          </w:tcPr>
          <w:p w14:paraId="033DC5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z w:val="21"/>
                <w:szCs w:val="21"/>
              </w:rPr>
              <w:t>FUNDING</w:t>
            </w:r>
          </w:p>
        </w:tc>
        <w:tc>
          <w:tcPr>
            <w:tcW w:w="800" w:type="dxa"/>
            <w:vAlign w:val="center"/>
          </w:tcPr>
          <w:p w14:paraId="553FD7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c>
          <w:tcPr>
            <w:tcW w:w="6335" w:type="dxa"/>
            <w:vAlign w:val="top"/>
          </w:tcPr>
          <w:p w14:paraId="1F7DA01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rPr>
            </w:pPr>
          </w:p>
        </w:tc>
        <w:tc>
          <w:tcPr>
            <w:tcW w:w="1309" w:type="dxa"/>
            <w:vAlign w:val="center"/>
          </w:tcPr>
          <w:p w14:paraId="5C0CDC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p>
        </w:tc>
      </w:tr>
      <w:tr w14:paraId="5C7C43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2212" w:type="dxa"/>
            <w:vAlign w:val="center"/>
          </w:tcPr>
          <w:p w14:paraId="45340C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Funding</w:t>
            </w:r>
          </w:p>
        </w:tc>
        <w:tc>
          <w:tcPr>
            <w:tcW w:w="800" w:type="dxa"/>
            <w:vAlign w:val="center"/>
          </w:tcPr>
          <w:p w14:paraId="6F8777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27</w:t>
            </w:r>
          </w:p>
        </w:tc>
        <w:tc>
          <w:tcPr>
            <w:tcW w:w="6335" w:type="dxa"/>
            <w:vAlign w:val="top"/>
          </w:tcPr>
          <w:p w14:paraId="3B61A17A">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309" w:type="dxa"/>
            <w:vAlign w:val="center"/>
          </w:tcPr>
          <w:p w14:paraId="3AFE32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Not Applicable</w:t>
            </w:r>
          </w:p>
        </w:tc>
      </w:tr>
    </w:tbl>
    <w:p w14:paraId="71F15B12">
      <w:pPr>
        <w:keepNext w:val="0"/>
        <w:keepLines w:val="0"/>
        <w:pageBreakBefore w:val="0"/>
        <w:kinsoku/>
        <w:overflowPunct/>
        <w:topLinePunct w:val="0"/>
        <w:autoSpaceDE/>
        <w:autoSpaceDN/>
        <w:bidi w:val="0"/>
        <w:spacing w:line="360" w:lineRule="exact"/>
        <w:rPr>
          <w:rFonts w:hint="default" w:ascii="Times New Roman" w:hAnsi="Times New Roman" w:cs="Times New Roman"/>
          <w:color w:val="auto"/>
        </w:rPr>
      </w:pPr>
      <w:r>
        <w:rPr>
          <w:rFonts w:hint="default" w:ascii="Times New Roman" w:hAnsi="Times New Roman" w:cs="Times New Roman"/>
          <w:color w:val="auto"/>
        </w:rPr>
        <w:t>PICOS = population, intervention, comparators, outcomes, study design.</w:t>
      </w:r>
    </w:p>
    <w:p w14:paraId="25FBDB73">
      <w:pPr>
        <w:keepNext w:val="0"/>
        <w:keepLines w:val="0"/>
        <w:pageBreakBefore w:val="0"/>
        <w:kinsoku/>
        <w:overflowPunct/>
        <w:topLinePunct w:val="0"/>
        <w:autoSpaceDE/>
        <w:autoSpaceDN/>
        <w:bidi w:val="0"/>
        <w:spacing w:line="360" w:lineRule="exact"/>
        <w:rPr>
          <w:rFonts w:hint="default" w:ascii="Times New Roman" w:hAnsi="Times New Roman" w:cs="Times New Roman"/>
          <w:color w:val="auto"/>
        </w:rPr>
      </w:pPr>
      <w:r>
        <w:rPr>
          <w:rFonts w:hint="default" w:ascii="Times New Roman" w:hAnsi="Times New Roman" w:cs="Times New Roman"/>
          <w:color w:val="auto"/>
        </w:rPr>
        <w:t>* Text in italics indicate wording specific to reporting of network meta-analyses that has been added to guidance from the PRISMA statement.</w:t>
      </w:r>
    </w:p>
    <w:p w14:paraId="46DF7259">
      <w:pPr>
        <w:keepNext w:val="0"/>
        <w:keepLines w:val="0"/>
        <w:pageBreakBefore w:val="0"/>
        <w:tabs>
          <w:tab w:val="right" w:pos="10466"/>
        </w:tabs>
        <w:kinsoku/>
        <w:overflowPunct/>
        <w:topLinePunct w:val="0"/>
        <w:autoSpaceDE/>
        <w:autoSpaceDN/>
        <w:bidi w:val="0"/>
        <w:spacing w:line="360" w:lineRule="exact"/>
        <w:rPr>
          <w:rFonts w:hint="default" w:ascii="Times New Roman" w:hAnsi="Times New Roman" w:cs="Times New Roman"/>
          <w:color w:val="auto"/>
        </w:rPr>
      </w:pPr>
      <w:r>
        <w:rPr>
          <w:rFonts w:hint="default" w:ascii="Times New Roman" w:hAnsi="Times New Roman" w:cs="Times New Roman"/>
          <w:color w:val="auto"/>
        </w:rPr>
        <w:t xml:space="preserve">† </w:t>
      </w:r>
      <w:r>
        <w:rPr>
          <w:rFonts w:hint="default" w:ascii="Times New Roman" w:hAnsi="Times New Roman" w:cs="Times New Roman"/>
          <w:bCs/>
          <w:color w:val="auto"/>
        </w:rPr>
        <w:t>Authors may wish to plan for use of appendices to present all relevant information in full detail for items in this section</w:t>
      </w:r>
    </w:p>
    <w:p w14:paraId="1E6186AD">
      <w:pPr>
        <w:spacing w:line="360" w:lineRule="exact"/>
        <w:rPr>
          <w:rFonts w:hint="default" w:ascii="Times New Roman" w:hAnsi="Times New Roman" w:eastAsia="宋体" w:cs="Times New Roman"/>
          <w:color w:val="auto"/>
          <w:kern w:val="0"/>
          <w:sz w:val="20"/>
          <w:szCs w:val="20"/>
          <w:lang w:bidi="ar"/>
        </w:rPr>
      </w:pPr>
    </w:p>
    <w:bookmarkEnd w:id="12"/>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Helvetica">
    <w:altName w:val="Arial"/>
    <w:panose1 w:val="020B0604020202020204"/>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Lucida Console">
    <w:panose1 w:val="020B0609040504020204"/>
    <w:charset w:val="00"/>
    <w:family w:val="auto"/>
    <w:pitch w:val="default"/>
    <w:sig w:usb0="8000028F" w:usb1="00001800" w:usb2="00000000" w:usb3="00000000" w:csb0="0000001F" w:csb1="D7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F4664">
    <w:pPr>
      <w:pStyle w:val="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BAD6E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5BAD6E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2F672">
    <w:pPr>
      <w:pStyle w:val="2"/>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D9D0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12CD9D0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B3E5E"/>
    <w:rsid w:val="000D3951"/>
    <w:rsid w:val="00104046"/>
    <w:rsid w:val="00124044"/>
    <w:rsid w:val="00172A27"/>
    <w:rsid w:val="001A6D52"/>
    <w:rsid w:val="001C0C11"/>
    <w:rsid w:val="002318F3"/>
    <w:rsid w:val="002B6C85"/>
    <w:rsid w:val="002C0E6C"/>
    <w:rsid w:val="002C7402"/>
    <w:rsid w:val="002D5C1B"/>
    <w:rsid w:val="002F29F3"/>
    <w:rsid w:val="002F3084"/>
    <w:rsid w:val="002F5AE2"/>
    <w:rsid w:val="0032256B"/>
    <w:rsid w:val="00334EE2"/>
    <w:rsid w:val="003619E8"/>
    <w:rsid w:val="00412DDC"/>
    <w:rsid w:val="00451511"/>
    <w:rsid w:val="00523EB0"/>
    <w:rsid w:val="005452C1"/>
    <w:rsid w:val="00545BD6"/>
    <w:rsid w:val="00665F8A"/>
    <w:rsid w:val="00686EE0"/>
    <w:rsid w:val="007850EC"/>
    <w:rsid w:val="00796A18"/>
    <w:rsid w:val="007A51E2"/>
    <w:rsid w:val="007E1247"/>
    <w:rsid w:val="0082096C"/>
    <w:rsid w:val="00876643"/>
    <w:rsid w:val="00876FEB"/>
    <w:rsid w:val="008855C6"/>
    <w:rsid w:val="0089152A"/>
    <w:rsid w:val="008E7CB2"/>
    <w:rsid w:val="00915962"/>
    <w:rsid w:val="0092523A"/>
    <w:rsid w:val="00937245"/>
    <w:rsid w:val="00966F56"/>
    <w:rsid w:val="009A26E1"/>
    <w:rsid w:val="009B2902"/>
    <w:rsid w:val="009B55F0"/>
    <w:rsid w:val="009C7733"/>
    <w:rsid w:val="009E6913"/>
    <w:rsid w:val="009F1A57"/>
    <w:rsid w:val="009F5724"/>
    <w:rsid w:val="00A20E91"/>
    <w:rsid w:val="00A214EA"/>
    <w:rsid w:val="00A35751"/>
    <w:rsid w:val="00A46A33"/>
    <w:rsid w:val="00A97174"/>
    <w:rsid w:val="00AA2541"/>
    <w:rsid w:val="00AC171C"/>
    <w:rsid w:val="00AF0094"/>
    <w:rsid w:val="00B02276"/>
    <w:rsid w:val="00B2523E"/>
    <w:rsid w:val="00B71F65"/>
    <w:rsid w:val="00BA29F2"/>
    <w:rsid w:val="00BB1CC2"/>
    <w:rsid w:val="00C2600A"/>
    <w:rsid w:val="00C82950"/>
    <w:rsid w:val="00C87DCD"/>
    <w:rsid w:val="00C9238B"/>
    <w:rsid w:val="00CA2EC9"/>
    <w:rsid w:val="00CB7D3E"/>
    <w:rsid w:val="00CF547D"/>
    <w:rsid w:val="00D10BB8"/>
    <w:rsid w:val="00D2467A"/>
    <w:rsid w:val="00D2535A"/>
    <w:rsid w:val="00D31031"/>
    <w:rsid w:val="00D944B8"/>
    <w:rsid w:val="00DF006A"/>
    <w:rsid w:val="00E127C8"/>
    <w:rsid w:val="00E25938"/>
    <w:rsid w:val="00E25D76"/>
    <w:rsid w:val="00E367E9"/>
    <w:rsid w:val="00E64F6C"/>
    <w:rsid w:val="00ED2B52"/>
    <w:rsid w:val="00EE0EA1"/>
    <w:rsid w:val="00EE169D"/>
    <w:rsid w:val="00EE49A8"/>
    <w:rsid w:val="00F22EBC"/>
    <w:rsid w:val="00F73639"/>
    <w:rsid w:val="00F93B0D"/>
    <w:rsid w:val="00FD55BE"/>
    <w:rsid w:val="010C0B86"/>
    <w:rsid w:val="012742E1"/>
    <w:rsid w:val="013438C9"/>
    <w:rsid w:val="013A1260"/>
    <w:rsid w:val="01853E11"/>
    <w:rsid w:val="018C6848"/>
    <w:rsid w:val="01D66BDF"/>
    <w:rsid w:val="01D66F7D"/>
    <w:rsid w:val="01F62F61"/>
    <w:rsid w:val="023B3DA9"/>
    <w:rsid w:val="02511F45"/>
    <w:rsid w:val="0268276F"/>
    <w:rsid w:val="02972BBA"/>
    <w:rsid w:val="02BC3862"/>
    <w:rsid w:val="02BE3A7E"/>
    <w:rsid w:val="02E35720"/>
    <w:rsid w:val="02F6012D"/>
    <w:rsid w:val="03012030"/>
    <w:rsid w:val="03071FB4"/>
    <w:rsid w:val="036231AE"/>
    <w:rsid w:val="037800D1"/>
    <w:rsid w:val="03B22EB7"/>
    <w:rsid w:val="03C31B51"/>
    <w:rsid w:val="03CF00CD"/>
    <w:rsid w:val="03D0477F"/>
    <w:rsid w:val="03E15B68"/>
    <w:rsid w:val="03EC461B"/>
    <w:rsid w:val="03FC5CC2"/>
    <w:rsid w:val="04365609"/>
    <w:rsid w:val="04874344"/>
    <w:rsid w:val="04BE2062"/>
    <w:rsid w:val="04EF76AC"/>
    <w:rsid w:val="051F0E99"/>
    <w:rsid w:val="05391E79"/>
    <w:rsid w:val="05630CDE"/>
    <w:rsid w:val="05791EDF"/>
    <w:rsid w:val="058F34B0"/>
    <w:rsid w:val="05F57389"/>
    <w:rsid w:val="05FA4F12"/>
    <w:rsid w:val="05FD2B10"/>
    <w:rsid w:val="065347BE"/>
    <w:rsid w:val="06607510"/>
    <w:rsid w:val="06896151"/>
    <w:rsid w:val="06C47634"/>
    <w:rsid w:val="06D11853"/>
    <w:rsid w:val="06D118A6"/>
    <w:rsid w:val="070D0B30"/>
    <w:rsid w:val="0711208C"/>
    <w:rsid w:val="07177DE1"/>
    <w:rsid w:val="0728028A"/>
    <w:rsid w:val="072D5B5D"/>
    <w:rsid w:val="073A569E"/>
    <w:rsid w:val="073E7D84"/>
    <w:rsid w:val="077A0C9B"/>
    <w:rsid w:val="07856E91"/>
    <w:rsid w:val="079B5B51"/>
    <w:rsid w:val="07A33243"/>
    <w:rsid w:val="07CC3D09"/>
    <w:rsid w:val="07D32F1E"/>
    <w:rsid w:val="07D5727F"/>
    <w:rsid w:val="084560A8"/>
    <w:rsid w:val="08C8716E"/>
    <w:rsid w:val="08F33929"/>
    <w:rsid w:val="0903356B"/>
    <w:rsid w:val="091C4A6B"/>
    <w:rsid w:val="094E5430"/>
    <w:rsid w:val="09854CF1"/>
    <w:rsid w:val="09931095"/>
    <w:rsid w:val="09DE4A06"/>
    <w:rsid w:val="0A0501E5"/>
    <w:rsid w:val="0A374116"/>
    <w:rsid w:val="0A522CFE"/>
    <w:rsid w:val="0A5371A2"/>
    <w:rsid w:val="0A7E1D45"/>
    <w:rsid w:val="0A8E0EBA"/>
    <w:rsid w:val="0A961EE0"/>
    <w:rsid w:val="0AB17A25"/>
    <w:rsid w:val="0AE93662"/>
    <w:rsid w:val="0B2D6259"/>
    <w:rsid w:val="0B642C9E"/>
    <w:rsid w:val="0B74626B"/>
    <w:rsid w:val="0B7849E6"/>
    <w:rsid w:val="0B835865"/>
    <w:rsid w:val="0B9F4F19"/>
    <w:rsid w:val="0BB32FD2"/>
    <w:rsid w:val="0BC1638D"/>
    <w:rsid w:val="0BC76766"/>
    <w:rsid w:val="0BD3706F"/>
    <w:rsid w:val="0BFC5617"/>
    <w:rsid w:val="0C2D757F"/>
    <w:rsid w:val="0C547201"/>
    <w:rsid w:val="0C767178"/>
    <w:rsid w:val="0C853DC6"/>
    <w:rsid w:val="0C8C587C"/>
    <w:rsid w:val="0C9D4635"/>
    <w:rsid w:val="0CB41B30"/>
    <w:rsid w:val="0CB9368E"/>
    <w:rsid w:val="0CBF23F5"/>
    <w:rsid w:val="0CC04897"/>
    <w:rsid w:val="0CCC64DE"/>
    <w:rsid w:val="0CD85D1C"/>
    <w:rsid w:val="0CDD47C2"/>
    <w:rsid w:val="0D0227BA"/>
    <w:rsid w:val="0D1D36BC"/>
    <w:rsid w:val="0DA65B50"/>
    <w:rsid w:val="0DC642C2"/>
    <w:rsid w:val="0DE0580F"/>
    <w:rsid w:val="0E0E4EF9"/>
    <w:rsid w:val="0E26697C"/>
    <w:rsid w:val="0E651252"/>
    <w:rsid w:val="0E926BE8"/>
    <w:rsid w:val="0EF4230F"/>
    <w:rsid w:val="0F0D514E"/>
    <w:rsid w:val="0F2033CB"/>
    <w:rsid w:val="0F307AB2"/>
    <w:rsid w:val="0F360E40"/>
    <w:rsid w:val="0F64680D"/>
    <w:rsid w:val="0F6E05DA"/>
    <w:rsid w:val="0F7E0283"/>
    <w:rsid w:val="0F865988"/>
    <w:rsid w:val="0F9F73A6"/>
    <w:rsid w:val="0FA56819"/>
    <w:rsid w:val="0FB326EA"/>
    <w:rsid w:val="0FD96B2D"/>
    <w:rsid w:val="10046849"/>
    <w:rsid w:val="10374E70"/>
    <w:rsid w:val="10605F0F"/>
    <w:rsid w:val="10D0497D"/>
    <w:rsid w:val="110D1FD4"/>
    <w:rsid w:val="11196324"/>
    <w:rsid w:val="114F61E9"/>
    <w:rsid w:val="116E041E"/>
    <w:rsid w:val="119D164F"/>
    <w:rsid w:val="11A04D7E"/>
    <w:rsid w:val="11B33DA7"/>
    <w:rsid w:val="1213118D"/>
    <w:rsid w:val="12443427"/>
    <w:rsid w:val="125F0B35"/>
    <w:rsid w:val="12A06259"/>
    <w:rsid w:val="12EC0194"/>
    <w:rsid w:val="12EE4D0D"/>
    <w:rsid w:val="130F5C30"/>
    <w:rsid w:val="13274D05"/>
    <w:rsid w:val="135A334F"/>
    <w:rsid w:val="136D7B3E"/>
    <w:rsid w:val="137116F0"/>
    <w:rsid w:val="139639F0"/>
    <w:rsid w:val="13EE479A"/>
    <w:rsid w:val="14083E32"/>
    <w:rsid w:val="140B1537"/>
    <w:rsid w:val="14116341"/>
    <w:rsid w:val="14A02BEE"/>
    <w:rsid w:val="14B62AB7"/>
    <w:rsid w:val="14BA0BCF"/>
    <w:rsid w:val="14C64A14"/>
    <w:rsid w:val="14DE0216"/>
    <w:rsid w:val="14E46B34"/>
    <w:rsid w:val="14EB18BB"/>
    <w:rsid w:val="151D333C"/>
    <w:rsid w:val="15244A15"/>
    <w:rsid w:val="154A73F4"/>
    <w:rsid w:val="15536982"/>
    <w:rsid w:val="15800679"/>
    <w:rsid w:val="15A07AD1"/>
    <w:rsid w:val="160F7356"/>
    <w:rsid w:val="162A27D6"/>
    <w:rsid w:val="16404216"/>
    <w:rsid w:val="164E4CC1"/>
    <w:rsid w:val="16525454"/>
    <w:rsid w:val="165F7D3C"/>
    <w:rsid w:val="166167A3"/>
    <w:rsid w:val="1666516D"/>
    <w:rsid w:val="16763EEB"/>
    <w:rsid w:val="172D70F6"/>
    <w:rsid w:val="175005C5"/>
    <w:rsid w:val="17561290"/>
    <w:rsid w:val="179F6A75"/>
    <w:rsid w:val="17A50911"/>
    <w:rsid w:val="17C4348D"/>
    <w:rsid w:val="17D25CA1"/>
    <w:rsid w:val="18013F98"/>
    <w:rsid w:val="18327C02"/>
    <w:rsid w:val="18372EF9"/>
    <w:rsid w:val="184F0345"/>
    <w:rsid w:val="18F13E8A"/>
    <w:rsid w:val="18FC70A5"/>
    <w:rsid w:val="194101CA"/>
    <w:rsid w:val="194A0732"/>
    <w:rsid w:val="19575C3B"/>
    <w:rsid w:val="196071E6"/>
    <w:rsid w:val="196D545F"/>
    <w:rsid w:val="19774287"/>
    <w:rsid w:val="19A03A86"/>
    <w:rsid w:val="19A20BEC"/>
    <w:rsid w:val="19B968F6"/>
    <w:rsid w:val="19D84FCE"/>
    <w:rsid w:val="19F32EA5"/>
    <w:rsid w:val="1A0B25B1"/>
    <w:rsid w:val="1A1F0E4F"/>
    <w:rsid w:val="1A3C1DC2"/>
    <w:rsid w:val="1A5818E1"/>
    <w:rsid w:val="1A65037C"/>
    <w:rsid w:val="1A811FC0"/>
    <w:rsid w:val="1AB07DF4"/>
    <w:rsid w:val="1AE436C5"/>
    <w:rsid w:val="1AE654C9"/>
    <w:rsid w:val="1B024A1B"/>
    <w:rsid w:val="1B837BD3"/>
    <w:rsid w:val="1BB91C9A"/>
    <w:rsid w:val="1BBE4697"/>
    <w:rsid w:val="1BCE2BAE"/>
    <w:rsid w:val="1BEE6D2B"/>
    <w:rsid w:val="1C0C45F4"/>
    <w:rsid w:val="1C1F3175"/>
    <w:rsid w:val="1C35495A"/>
    <w:rsid w:val="1C67350C"/>
    <w:rsid w:val="1CAF48F0"/>
    <w:rsid w:val="1D4E44B8"/>
    <w:rsid w:val="1DA5543D"/>
    <w:rsid w:val="1DB372EE"/>
    <w:rsid w:val="1DC13FCB"/>
    <w:rsid w:val="1DDC5AED"/>
    <w:rsid w:val="1DE9788B"/>
    <w:rsid w:val="1DF53910"/>
    <w:rsid w:val="1DF75C3F"/>
    <w:rsid w:val="1E6C7F40"/>
    <w:rsid w:val="1E6E5F01"/>
    <w:rsid w:val="1E74103D"/>
    <w:rsid w:val="1E9D67E6"/>
    <w:rsid w:val="1EAD7657"/>
    <w:rsid w:val="1EC712BB"/>
    <w:rsid w:val="1EEA12FF"/>
    <w:rsid w:val="1EEE0FEA"/>
    <w:rsid w:val="1F074A64"/>
    <w:rsid w:val="1F260FFB"/>
    <w:rsid w:val="1F2667DB"/>
    <w:rsid w:val="1F3F33F9"/>
    <w:rsid w:val="1F417171"/>
    <w:rsid w:val="1F58270D"/>
    <w:rsid w:val="1F664433"/>
    <w:rsid w:val="1F8639DA"/>
    <w:rsid w:val="1FB609B8"/>
    <w:rsid w:val="201743BA"/>
    <w:rsid w:val="20322979"/>
    <w:rsid w:val="203647FC"/>
    <w:rsid w:val="20375FA9"/>
    <w:rsid w:val="20474C5B"/>
    <w:rsid w:val="204D39A5"/>
    <w:rsid w:val="2052571F"/>
    <w:rsid w:val="20844E25"/>
    <w:rsid w:val="208A4B48"/>
    <w:rsid w:val="20AB7C8B"/>
    <w:rsid w:val="20B41BC5"/>
    <w:rsid w:val="20D67D8D"/>
    <w:rsid w:val="2119066A"/>
    <w:rsid w:val="213351E0"/>
    <w:rsid w:val="21376286"/>
    <w:rsid w:val="21867A05"/>
    <w:rsid w:val="21B93937"/>
    <w:rsid w:val="21E67AB1"/>
    <w:rsid w:val="21F030D1"/>
    <w:rsid w:val="22AC0867"/>
    <w:rsid w:val="22B8599C"/>
    <w:rsid w:val="22BB548D"/>
    <w:rsid w:val="22D413FB"/>
    <w:rsid w:val="22F32CE4"/>
    <w:rsid w:val="230767C4"/>
    <w:rsid w:val="234D4CE0"/>
    <w:rsid w:val="237240DB"/>
    <w:rsid w:val="23983A20"/>
    <w:rsid w:val="23A357BD"/>
    <w:rsid w:val="23C123B8"/>
    <w:rsid w:val="23D24830"/>
    <w:rsid w:val="23F21382"/>
    <w:rsid w:val="24100509"/>
    <w:rsid w:val="244362A8"/>
    <w:rsid w:val="24463247"/>
    <w:rsid w:val="244B0B3F"/>
    <w:rsid w:val="24543008"/>
    <w:rsid w:val="245E4322"/>
    <w:rsid w:val="24A24B56"/>
    <w:rsid w:val="24CC0ED1"/>
    <w:rsid w:val="24CF3471"/>
    <w:rsid w:val="24DB5972"/>
    <w:rsid w:val="24F6310D"/>
    <w:rsid w:val="24FB35A7"/>
    <w:rsid w:val="250A0792"/>
    <w:rsid w:val="252571A4"/>
    <w:rsid w:val="257F4191"/>
    <w:rsid w:val="25807435"/>
    <w:rsid w:val="259A5DDB"/>
    <w:rsid w:val="25BE6C7B"/>
    <w:rsid w:val="25EF198C"/>
    <w:rsid w:val="26282555"/>
    <w:rsid w:val="262B2F0B"/>
    <w:rsid w:val="263A2B6C"/>
    <w:rsid w:val="266D6A9E"/>
    <w:rsid w:val="269862C2"/>
    <w:rsid w:val="26A356EF"/>
    <w:rsid w:val="26C80178"/>
    <w:rsid w:val="270650AC"/>
    <w:rsid w:val="275D2C47"/>
    <w:rsid w:val="276E0D20"/>
    <w:rsid w:val="276F1C0A"/>
    <w:rsid w:val="27870033"/>
    <w:rsid w:val="27E2170E"/>
    <w:rsid w:val="27E339BC"/>
    <w:rsid w:val="27E430AC"/>
    <w:rsid w:val="27E81187"/>
    <w:rsid w:val="27EE6EAB"/>
    <w:rsid w:val="27F522DB"/>
    <w:rsid w:val="285223EF"/>
    <w:rsid w:val="28665CD5"/>
    <w:rsid w:val="28902F18"/>
    <w:rsid w:val="28951B41"/>
    <w:rsid w:val="28E219C5"/>
    <w:rsid w:val="28F60FCD"/>
    <w:rsid w:val="290A5B65"/>
    <w:rsid w:val="291B7C8E"/>
    <w:rsid w:val="292238A2"/>
    <w:rsid w:val="295070AB"/>
    <w:rsid w:val="295454DC"/>
    <w:rsid w:val="298F09D8"/>
    <w:rsid w:val="29D46E34"/>
    <w:rsid w:val="29DE23E4"/>
    <w:rsid w:val="29E21551"/>
    <w:rsid w:val="29EB492D"/>
    <w:rsid w:val="2A010249"/>
    <w:rsid w:val="2A064AA7"/>
    <w:rsid w:val="2A2C0A1E"/>
    <w:rsid w:val="2A913169"/>
    <w:rsid w:val="2AC8717F"/>
    <w:rsid w:val="2ACB7617"/>
    <w:rsid w:val="2AE80DE9"/>
    <w:rsid w:val="2AF50EB8"/>
    <w:rsid w:val="2AF7727E"/>
    <w:rsid w:val="2B104CBE"/>
    <w:rsid w:val="2B2F299C"/>
    <w:rsid w:val="2B607E88"/>
    <w:rsid w:val="2B637126"/>
    <w:rsid w:val="2B69017C"/>
    <w:rsid w:val="2B6A7A50"/>
    <w:rsid w:val="2B990D53"/>
    <w:rsid w:val="2BA6170E"/>
    <w:rsid w:val="2BB4546B"/>
    <w:rsid w:val="2BF37A45"/>
    <w:rsid w:val="2C177723"/>
    <w:rsid w:val="2C213579"/>
    <w:rsid w:val="2C2D3FBC"/>
    <w:rsid w:val="2C324A12"/>
    <w:rsid w:val="2C362090"/>
    <w:rsid w:val="2C371224"/>
    <w:rsid w:val="2C3F405B"/>
    <w:rsid w:val="2C5E7B7C"/>
    <w:rsid w:val="2C6375F7"/>
    <w:rsid w:val="2C932FD6"/>
    <w:rsid w:val="2C951F38"/>
    <w:rsid w:val="2CC32684"/>
    <w:rsid w:val="2CE30ABE"/>
    <w:rsid w:val="2CE97AF9"/>
    <w:rsid w:val="2CF84372"/>
    <w:rsid w:val="2D1854D3"/>
    <w:rsid w:val="2D7D7139"/>
    <w:rsid w:val="2D8273E3"/>
    <w:rsid w:val="2D886A0D"/>
    <w:rsid w:val="2DDB7D81"/>
    <w:rsid w:val="2DF333FE"/>
    <w:rsid w:val="2DF62C2D"/>
    <w:rsid w:val="2E0C3040"/>
    <w:rsid w:val="2E291E44"/>
    <w:rsid w:val="2E4166E3"/>
    <w:rsid w:val="2E424E40"/>
    <w:rsid w:val="2EB460FF"/>
    <w:rsid w:val="2EFD13A5"/>
    <w:rsid w:val="2EFE0F6B"/>
    <w:rsid w:val="2F0B045A"/>
    <w:rsid w:val="2F0E5EC8"/>
    <w:rsid w:val="2F323F98"/>
    <w:rsid w:val="2F715851"/>
    <w:rsid w:val="2F9E6EAD"/>
    <w:rsid w:val="2FB8194C"/>
    <w:rsid w:val="2FB971F8"/>
    <w:rsid w:val="2FCD4A51"/>
    <w:rsid w:val="30701DE4"/>
    <w:rsid w:val="30897F7E"/>
    <w:rsid w:val="30DD2A72"/>
    <w:rsid w:val="31050134"/>
    <w:rsid w:val="31295CB7"/>
    <w:rsid w:val="317653A0"/>
    <w:rsid w:val="31BD16E3"/>
    <w:rsid w:val="31C56635"/>
    <w:rsid w:val="31EC1A2F"/>
    <w:rsid w:val="31EE5A80"/>
    <w:rsid w:val="320B4BE3"/>
    <w:rsid w:val="32237A8D"/>
    <w:rsid w:val="32284854"/>
    <w:rsid w:val="32311D52"/>
    <w:rsid w:val="32402C9D"/>
    <w:rsid w:val="324E0497"/>
    <w:rsid w:val="325356E2"/>
    <w:rsid w:val="32541B0A"/>
    <w:rsid w:val="32546D64"/>
    <w:rsid w:val="32A92F86"/>
    <w:rsid w:val="32AA2E28"/>
    <w:rsid w:val="32AD1D1E"/>
    <w:rsid w:val="32C345C9"/>
    <w:rsid w:val="334861C2"/>
    <w:rsid w:val="33661445"/>
    <w:rsid w:val="336851BD"/>
    <w:rsid w:val="33727DEA"/>
    <w:rsid w:val="339C09C3"/>
    <w:rsid w:val="33B10912"/>
    <w:rsid w:val="33D74D57"/>
    <w:rsid w:val="33E76E1D"/>
    <w:rsid w:val="342033A2"/>
    <w:rsid w:val="342323F8"/>
    <w:rsid w:val="344C27CD"/>
    <w:rsid w:val="344E1C6F"/>
    <w:rsid w:val="34B86F8F"/>
    <w:rsid w:val="34CE6EED"/>
    <w:rsid w:val="350C4CF0"/>
    <w:rsid w:val="351975ED"/>
    <w:rsid w:val="35320759"/>
    <w:rsid w:val="353C0AF2"/>
    <w:rsid w:val="354457B6"/>
    <w:rsid w:val="355C2838"/>
    <w:rsid w:val="357471D8"/>
    <w:rsid w:val="3598340C"/>
    <w:rsid w:val="35A149B6"/>
    <w:rsid w:val="35C36951"/>
    <w:rsid w:val="35CB2C25"/>
    <w:rsid w:val="35CB558F"/>
    <w:rsid w:val="35E93C67"/>
    <w:rsid w:val="360A4309"/>
    <w:rsid w:val="360E4154"/>
    <w:rsid w:val="36462E68"/>
    <w:rsid w:val="364755AB"/>
    <w:rsid w:val="36611144"/>
    <w:rsid w:val="36A4650C"/>
    <w:rsid w:val="36B74BA2"/>
    <w:rsid w:val="36DD1FAD"/>
    <w:rsid w:val="37153A06"/>
    <w:rsid w:val="374D63AC"/>
    <w:rsid w:val="375C6DE7"/>
    <w:rsid w:val="376A379D"/>
    <w:rsid w:val="378356DA"/>
    <w:rsid w:val="37CE1367"/>
    <w:rsid w:val="37D050DF"/>
    <w:rsid w:val="37E62316"/>
    <w:rsid w:val="37EC4BBE"/>
    <w:rsid w:val="3857120C"/>
    <w:rsid w:val="387B6D18"/>
    <w:rsid w:val="38D66725"/>
    <w:rsid w:val="38D91649"/>
    <w:rsid w:val="38E2156D"/>
    <w:rsid w:val="38E47094"/>
    <w:rsid w:val="392A3342"/>
    <w:rsid w:val="392E6561"/>
    <w:rsid w:val="393D0552"/>
    <w:rsid w:val="397270EF"/>
    <w:rsid w:val="39744115"/>
    <w:rsid w:val="39C57298"/>
    <w:rsid w:val="3A0F0D26"/>
    <w:rsid w:val="3A125A89"/>
    <w:rsid w:val="3A1C71C2"/>
    <w:rsid w:val="3A2A7907"/>
    <w:rsid w:val="3A5C0EAC"/>
    <w:rsid w:val="3A7B288D"/>
    <w:rsid w:val="3AA41480"/>
    <w:rsid w:val="3AAA1C17"/>
    <w:rsid w:val="3ABD48B0"/>
    <w:rsid w:val="3B1128C6"/>
    <w:rsid w:val="3B20012B"/>
    <w:rsid w:val="3B385228"/>
    <w:rsid w:val="3B4200A1"/>
    <w:rsid w:val="3B467BBD"/>
    <w:rsid w:val="3B6B615A"/>
    <w:rsid w:val="3B77292C"/>
    <w:rsid w:val="3B9B1226"/>
    <w:rsid w:val="3BAC7C11"/>
    <w:rsid w:val="3BC808FC"/>
    <w:rsid w:val="3C011D0B"/>
    <w:rsid w:val="3C0D5E81"/>
    <w:rsid w:val="3C0F1B9F"/>
    <w:rsid w:val="3C447AF0"/>
    <w:rsid w:val="3C5865B3"/>
    <w:rsid w:val="3C5A58BF"/>
    <w:rsid w:val="3C843E8B"/>
    <w:rsid w:val="3D054EBA"/>
    <w:rsid w:val="3D1F5E00"/>
    <w:rsid w:val="3D2F0AF9"/>
    <w:rsid w:val="3D383EEB"/>
    <w:rsid w:val="3D5F58D0"/>
    <w:rsid w:val="3D6F1615"/>
    <w:rsid w:val="3DAB4624"/>
    <w:rsid w:val="3DCA2C04"/>
    <w:rsid w:val="3DEB4A20"/>
    <w:rsid w:val="3E0D2940"/>
    <w:rsid w:val="3E1C4E89"/>
    <w:rsid w:val="3E3E556E"/>
    <w:rsid w:val="3E55633E"/>
    <w:rsid w:val="3E646581"/>
    <w:rsid w:val="3E7460D7"/>
    <w:rsid w:val="3E955C83"/>
    <w:rsid w:val="3ECC7453"/>
    <w:rsid w:val="3ED93269"/>
    <w:rsid w:val="3EF23B8C"/>
    <w:rsid w:val="3F2F3033"/>
    <w:rsid w:val="3F397872"/>
    <w:rsid w:val="3F6306C9"/>
    <w:rsid w:val="3F781209"/>
    <w:rsid w:val="3FC62130"/>
    <w:rsid w:val="3FCC3A48"/>
    <w:rsid w:val="3FDF3F65"/>
    <w:rsid w:val="40146C82"/>
    <w:rsid w:val="405073EB"/>
    <w:rsid w:val="40775E0C"/>
    <w:rsid w:val="4083748E"/>
    <w:rsid w:val="408727D1"/>
    <w:rsid w:val="408B4299"/>
    <w:rsid w:val="40971F84"/>
    <w:rsid w:val="40B25CC9"/>
    <w:rsid w:val="41066421"/>
    <w:rsid w:val="41626898"/>
    <w:rsid w:val="41693010"/>
    <w:rsid w:val="41873C7F"/>
    <w:rsid w:val="41D4261E"/>
    <w:rsid w:val="423E02E4"/>
    <w:rsid w:val="427F607F"/>
    <w:rsid w:val="427F69ED"/>
    <w:rsid w:val="42905B96"/>
    <w:rsid w:val="429419C4"/>
    <w:rsid w:val="429E4E64"/>
    <w:rsid w:val="42B94655"/>
    <w:rsid w:val="42BC1EB4"/>
    <w:rsid w:val="42D1102F"/>
    <w:rsid w:val="42D41D9C"/>
    <w:rsid w:val="42E046F5"/>
    <w:rsid w:val="432602A9"/>
    <w:rsid w:val="43797743"/>
    <w:rsid w:val="43C57AC2"/>
    <w:rsid w:val="43E50447"/>
    <w:rsid w:val="43E6398E"/>
    <w:rsid w:val="43F30B60"/>
    <w:rsid w:val="44280CCE"/>
    <w:rsid w:val="4487121B"/>
    <w:rsid w:val="44BF2763"/>
    <w:rsid w:val="44C0410F"/>
    <w:rsid w:val="44C80209"/>
    <w:rsid w:val="44DF2E05"/>
    <w:rsid w:val="452D34FF"/>
    <w:rsid w:val="45633A36"/>
    <w:rsid w:val="45692A85"/>
    <w:rsid w:val="456F6138"/>
    <w:rsid w:val="457B0D96"/>
    <w:rsid w:val="45C76B48"/>
    <w:rsid w:val="45F621B4"/>
    <w:rsid w:val="45FC3A84"/>
    <w:rsid w:val="46162856"/>
    <w:rsid w:val="463E16BA"/>
    <w:rsid w:val="46727D2F"/>
    <w:rsid w:val="46760A50"/>
    <w:rsid w:val="46B21433"/>
    <w:rsid w:val="4711652C"/>
    <w:rsid w:val="4723347D"/>
    <w:rsid w:val="473531B0"/>
    <w:rsid w:val="47543636"/>
    <w:rsid w:val="4766336A"/>
    <w:rsid w:val="477A6E04"/>
    <w:rsid w:val="4788662B"/>
    <w:rsid w:val="47B63F17"/>
    <w:rsid w:val="47C441CA"/>
    <w:rsid w:val="47D51828"/>
    <w:rsid w:val="481514A0"/>
    <w:rsid w:val="486378A9"/>
    <w:rsid w:val="487F4E7B"/>
    <w:rsid w:val="48904235"/>
    <w:rsid w:val="48BD16AF"/>
    <w:rsid w:val="48D97AD5"/>
    <w:rsid w:val="490B241B"/>
    <w:rsid w:val="490C346C"/>
    <w:rsid w:val="49393590"/>
    <w:rsid w:val="493B3DD5"/>
    <w:rsid w:val="497C7BB7"/>
    <w:rsid w:val="498D6392"/>
    <w:rsid w:val="49B74350"/>
    <w:rsid w:val="49BC1967"/>
    <w:rsid w:val="49DA3B9B"/>
    <w:rsid w:val="49EA29C8"/>
    <w:rsid w:val="49FB11F2"/>
    <w:rsid w:val="4A5219AA"/>
    <w:rsid w:val="4A5B1180"/>
    <w:rsid w:val="4A6F69D9"/>
    <w:rsid w:val="4A981C28"/>
    <w:rsid w:val="4ABD5996"/>
    <w:rsid w:val="4AD14813"/>
    <w:rsid w:val="4ADB5E1D"/>
    <w:rsid w:val="4B0B4D24"/>
    <w:rsid w:val="4B1530DD"/>
    <w:rsid w:val="4B16262A"/>
    <w:rsid w:val="4B1D6435"/>
    <w:rsid w:val="4B46598C"/>
    <w:rsid w:val="4B55797D"/>
    <w:rsid w:val="4B595F61"/>
    <w:rsid w:val="4B6B71A0"/>
    <w:rsid w:val="4B933509"/>
    <w:rsid w:val="4BBD5522"/>
    <w:rsid w:val="4BE1040B"/>
    <w:rsid w:val="4BE13F29"/>
    <w:rsid w:val="4BFF5E4E"/>
    <w:rsid w:val="4C0A4C0B"/>
    <w:rsid w:val="4C1E06B7"/>
    <w:rsid w:val="4C2A0E0A"/>
    <w:rsid w:val="4C2F4672"/>
    <w:rsid w:val="4C533289"/>
    <w:rsid w:val="4C714C8A"/>
    <w:rsid w:val="4C873390"/>
    <w:rsid w:val="4C8A2ACC"/>
    <w:rsid w:val="4C911F81"/>
    <w:rsid w:val="4C9C37CD"/>
    <w:rsid w:val="4CD700C2"/>
    <w:rsid w:val="4CD97C73"/>
    <w:rsid w:val="4CF16456"/>
    <w:rsid w:val="4CFB09F8"/>
    <w:rsid w:val="4D1D1077"/>
    <w:rsid w:val="4D3B6EAD"/>
    <w:rsid w:val="4D8039E9"/>
    <w:rsid w:val="4D88228C"/>
    <w:rsid w:val="4DAB1777"/>
    <w:rsid w:val="4DE17BEE"/>
    <w:rsid w:val="4DFD4315"/>
    <w:rsid w:val="4E141D71"/>
    <w:rsid w:val="4E225197"/>
    <w:rsid w:val="4E2D2E33"/>
    <w:rsid w:val="4E361CE8"/>
    <w:rsid w:val="4E4F4B57"/>
    <w:rsid w:val="4E810A89"/>
    <w:rsid w:val="4E8862BB"/>
    <w:rsid w:val="4E97588C"/>
    <w:rsid w:val="4EA87DA8"/>
    <w:rsid w:val="4EAE5F7A"/>
    <w:rsid w:val="4ED60DD5"/>
    <w:rsid w:val="4EDD2163"/>
    <w:rsid w:val="4EF456FF"/>
    <w:rsid w:val="4EFA2D21"/>
    <w:rsid w:val="4F786330"/>
    <w:rsid w:val="4F8C5DBB"/>
    <w:rsid w:val="4FF04E05"/>
    <w:rsid w:val="5022399A"/>
    <w:rsid w:val="50477021"/>
    <w:rsid w:val="50504BB7"/>
    <w:rsid w:val="5056504C"/>
    <w:rsid w:val="506528A0"/>
    <w:rsid w:val="506B379F"/>
    <w:rsid w:val="507C775A"/>
    <w:rsid w:val="50813030"/>
    <w:rsid w:val="50B667D3"/>
    <w:rsid w:val="50B8692A"/>
    <w:rsid w:val="51106468"/>
    <w:rsid w:val="511C7497"/>
    <w:rsid w:val="51246954"/>
    <w:rsid w:val="513039AE"/>
    <w:rsid w:val="513F0082"/>
    <w:rsid w:val="517570F1"/>
    <w:rsid w:val="51826FF2"/>
    <w:rsid w:val="519A0805"/>
    <w:rsid w:val="51B83D1F"/>
    <w:rsid w:val="51D22E15"/>
    <w:rsid w:val="51E5607B"/>
    <w:rsid w:val="51F85F74"/>
    <w:rsid w:val="51FB5511"/>
    <w:rsid w:val="520A5BE6"/>
    <w:rsid w:val="52377DDC"/>
    <w:rsid w:val="52432C25"/>
    <w:rsid w:val="526C2252"/>
    <w:rsid w:val="529D4781"/>
    <w:rsid w:val="52DA3FBE"/>
    <w:rsid w:val="53310CD0"/>
    <w:rsid w:val="533D1AF7"/>
    <w:rsid w:val="53536E98"/>
    <w:rsid w:val="535B7AFB"/>
    <w:rsid w:val="535C0D29"/>
    <w:rsid w:val="5379604F"/>
    <w:rsid w:val="537F5EDF"/>
    <w:rsid w:val="53890D25"/>
    <w:rsid w:val="538D4122"/>
    <w:rsid w:val="53A478DA"/>
    <w:rsid w:val="53B44F90"/>
    <w:rsid w:val="53F54C2E"/>
    <w:rsid w:val="53FD5056"/>
    <w:rsid w:val="54200C8C"/>
    <w:rsid w:val="542D57ED"/>
    <w:rsid w:val="543842E0"/>
    <w:rsid w:val="54705828"/>
    <w:rsid w:val="5486504B"/>
    <w:rsid w:val="54A37489"/>
    <w:rsid w:val="54B505A1"/>
    <w:rsid w:val="54C2712D"/>
    <w:rsid w:val="54CA2679"/>
    <w:rsid w:val="54F22A19"/>
    <w:rsid w:val="54F64362"/>
    <w:rsid w:val="551D30B7"/>
    <w:rsid w:val="552D1994"/>
    <w:rsid w:val="55426099"/>
    <w:rsid w:val="55570796"/>
    <w:rsid w:val="556E1BAD"/>
    <w:rsid w:val="55BE64BA"/>
    <w:rsid w:val="55C20305"/>
    <w:rsid w:val="55D10C2B"/>
    <w:rsid w:val="560A5655"/>
    <w:rsid w:val="560E52F8"/>
    <w:rsid w:val="56106802"/>
    <w:rsid w:val="5642399D"/>
    <w:rsid w:val="56660C21"/>
    <w:rsid w:val="56882693"/>
    <w:rsid w:val="56986DB8"/>
    <w:rsid w:val="56A143BE"/>
    <w:rsid w:val="56BA3EF4"/>
    <w:rsid w:val="56BD287A"/>
    <w:rsid w:val="56DF6D23"/>
    <w:rsid w:val="56F22A38"/>
    <w:rsid w:val="56F72230"/>
    <w:rsid w:val="56FC58C0"/>
    <w:rsid w:val="57144B90"/>
    <w:rsid w:val="571474D1"/>
    <w:rsid w:val="572D203D"/>
    <w:rsid w:val="574216FD"/>
    <w:rsid w:val="5797474A"/>
    <w:rsid w:val="579B3F05"/>
    <w:rsid w:val="5808743E"/>
    <w:rsid w:val="58251264"/>
    <w:rsid w:val="582D0FFC"/>
    <w:rsid w:val="585C4726"/>
    <w:rsid w:val="58675193"/>
    <w:rsid w:val="586E2C6C"/>
    <w:rsid w:val="589D2963"/>
    <w:rsid w:val="58C919AA"/>
    <w:rsid w:val="58D856E4"/>
    <w:rsid w:val="58F90288"/>
    <w:rsid w:val="590D5B69"/>
    <w:rsid w:val="59294BD5"/>
    <w:rsid w:val="59330810"/>
    <w:rsid w:val="597527AB"/>
    <w:rsid w:val="599B3B1A"/>
    <w:rsid w:val="59C356E7"/>
    <w:rsid w:val="5A1B4488"/>
    <w:rsid w:val="5A1F177E"/>
    <w:rsid w:val="5A3844D2"/>
    <w:rsid w:val="5A556189"/>
    <w:rsid w:val="5A68536B"/>
    <w:rsid w:val="5AD22655"/>
    <w:rsid w:val="5B1D0885"/>
    <w:rsid w:val="5B3A7BC4"/>
    <w:rsid w:val="5B41694B"/>
    <w:rsid w:val="5B6001EE"/>
    <w:rsid w:val="5B807B3A"/>
    <w:rsid w:val="5B915813"/>
    <w:rsid w:val="5BFE196B"/>
    <w:rsid w:val="5C061FC0"/>
    <w:rsid w:val="5CCA40B3"/>
    <w:rsid w:val="5CEA1F31"/>
    <w:rsid w:val="5D0631CD"/>
    <w:rsid w:val="5D0738BE"/>
    <w:rsid w:val="5D534E5C"/>
    <w:rsid w:val="5D675118"/>
    <w:rsid w:val="5D8D11F8"/>
    <w:rsid w:val="5D92680F"/>
    <w:rsid w:val="5DA16A52"/>
    <w:rsid w:val="5DB83A9C"/>
    <w:rsid w:val="5E0276B2"/>
    <w:rsid w:val="5E116E6E"/>
    <w:rsid w:val="5E42709B"/>
    <w:rsid w:val="5E5868F4"/>
    <w:rsid w:val="5E671A49"/>
    <w:rsid w:val="5E6C3504"/>
    <w:rsid w:val="5E8E5228"/>
    <w:rsid w:val="5E9B6246"/>
    <w:rsid w:val="5EAE5A2F"/>
    <w:rsid w:val="5EB4130C"/>
    <w:rsid w:val="5EB629D1"/>
    <w:rsid w:val="5EE44E48"/>
    <w:rsid w:val="5EEB4428"/>
    <w:rsid w:val="5F25151C"/>
    <w:rsid w:val="5F296CFF"/>
    <w:rsid w:val="5F356467"/>
    <w:rsid w:val="5F3C4C84"/>
    <w:rsid w:val="5F412C5F"/>
    <w:rsid w:val="5F5626A9"/>
    <w:rsid w:val="5F665CB3"/>
    <w:rsid w:val="5FF003B5"/>
    <w:rsid w:val="601A1126"/>
    <w:rsid w:val="60264830"/>
    <w:rsid w:val="60421833"/>
    <w:rsid w:val="60483AFC"/>
    <w:rsid w:val="604E1113"/>
    <w:rsid w:val="60512B1C"/>
    <w:rsid w:val="607A66CD"/>
    <w:rsid w:val="6094289E"/>
    <w:rsid w:val="60AE2C7C"/>
    <w:rsid w:val="60BD1166"/>
    <w:rsid w:val="60BD49C5"/>
    <w:rsid w:val="60C846E2"/>
    <w:rsid w:val="61147339"/>
    <w:rsid w:val="614E5143"/>
    <w:rsid w:val="6172150A"/>
    <w:rsid w:val="61774699"/>
    <w:rsid w:val="61817825"/>
    <w:rsid w:val="61903065"/>
    <w:rsid w:val="61970898"/>
    <w:rsid w:val="619743F4"/>
    <w:rsid w:val="61C6117D"/>
    <w:rsid w:val="61D76EE6"/>
    <w:rsid w:val="61DD5B35"/>
    <w:rsid w:val="61FA4982"/>
    <w:rsid w:val="62372CB1"/>
    <w:rsid w:val="624C47DF"/>
    <w:rsid w:val="625C605E"/>
    <w:rsid w:val="62617473"/>
    <w:rsid w:val="62A5774A"/>
    <w:rsid w:val="63267D59"/>
    <w:rsid w:val="63464323"/>
    <w:rsid w:val="63AB062A"/>
    <w:rsid w:val="63C353D9"/>
    <w:rsid w:val="63D77671"/>
    <w:rsid w:val="64047D3A"/>
    <w:rsid w:val="644D361C"/>
    <w:rsid w:val="64744EC0"/>
    <w:rsid w:val="64840FA7"/>
    <w:rsid w:val="64AC33BC"/>
    <w:rsid w:val="64AF7CA6"/>
    <w:rsid w:val="64BF60B1"/>
    <w:rsid w:val="64CE2842"/>
    <w:rsid w:val="64D23995"/>
    <w:rsid w:val="64D5675A"/>
    <w:rsid w:val="64E61701"/>
    <w:rsid w:val="64FF0C2E"/>
    <w:rsid w:val="65085608"/>
    <w:rsid w:val="650D5C6F"/>
    <w:rsid w:val="65322E16"/>
    <w:rsid w:val="654228F2"/>
    <w:rsid w:val="65D313F1"/>
    <w:rsid w:val="65E63B9C"/>
    <w:rsid w:val="65EB11B2"/>
    <w:rsid w:val="65F75598"/>
    <w:rsid w:val="662036EE"/>
    <w:rsid w:val="664621EB"/>
    <w:rsid w:val="66546D57"/>
    <w:rsid w:val="6657748D"/>
    <w:rsid w:val="66584804"/>
    <w:rsid w:val="66644AC0"/>
    <w:rsid w:val="66772A46"/>
    <w:rsid w:val="6682367C"/>
    <w:rsid w:val="668D4017"/>
    <w:rsid w:val="669E577A"/>
    <w:rsid w:val="66A52143"/>
    <w:rsid w:val="66E26F24"/>
    <w:rsid w:val="66E520A5"/>
    <w:rsid w:val="66FA0894"/>
    <w:rsid w:val="671C4B51"/>
    <w:rsid w:val="67325C35"/>
    <w:rsid w:val="674C3ED2"/>
    <w:rsid w:val="678C7890"/>
    <w:rsid w:val="67966EFB"/>
    <w:rsid w:val="67A45CF9"/>
    <w:rsid w:val="67A64876"/>
    <w:rsid w:val="67AA13CB"/>
    <w:rsid w:val="67B75E4A"/>
    <w:rsid w:val="67BB0C58"/>
    <w:rsid w:val="67C52405"/>
    <w:rsid w:val="67DA14DE"/>
    <w:rsid w:val="67EB3272"/>
    <w:rsid w:val="67F105D6"/>
    <w:rsid w:val="67FC76A6"/>
    <w:rsid w:val="68227E19"/>
    <w:rsid w:val="68262975"/>
    <w:rsid w:val="684A59C9"/>
    <w:rsid w:val="685C1EF3"/>
    <w:rsid w:val="686C76B2"/>
    <w:rsid w:val="6892730A"/>
    <w:rsid w:val="68CA1553"/>
    <w:rsid w:val="68F86BFD"/>
    <w:rsid w:val="68FC7DD4"/>
    <w:rsid w:val="69026F3E"/>
    <w:rsid w:val="690913E0"/>
    <w:rsid w:val="6939791A"/>
    <w:rsid w:val="693D47DE"/>
    <w:rsid w:val="69716A8A"/>
    <w:rsid w:val="69780FAF"/>
    <w:rsid w:val="69861502"/>
    <w:rsid w:val="69BB0E9B"/>
    <w:rsid w:val="69BE2739"/>
    <w:rsid w:val="69D32689"/>
    <w:rsid w:val="69F41E03"/>
    <w:rsid w:val="69F86FD8"/>
    <w:rsid w:val="6A164324"/>
    <w:rsid w:val="6A4E3ABD"/>
    <w:rsid w:val="6A6B28C1"/>
    <w:rsid w:val="6A795D6A"/>
    <w:rsid w:val="6A90789B"/>
    <w:rsid w:val="6A993FC4"/>
    <w:rsid w:val="6A9F07BD"/>
    <w:rsid w:val="6AB7237E"/>
    <w:rsid w:val="6ABD3A35"/>
    <w:rsid w:val="6ACA3339"/>
    <w:rsid w:val="6B052A9F"/>
    <w:rsid w:val="6B2B3DFF"/>
    <w:rsid w:val="6B364C7D"/>
    <w:rsid w:val="6B8E10FC"/>
    <w:rsid w:val="6BA73DCD"/>
    <w:rsid w:val="6BCE135A"/>
    <w:rsid w:val="6BD2397F"/>
    <w:rsid w:val="6BFA11BF"/>
    <w:rsid w:val="6BFB6057"/>
    <w:rsid w:val="6C0134DD"/>
    <w:rsid w:val="6C0D2956"/>
    <w:rsid w:val="6C122F6D"/>
    <w:rsid w:val="6C392863"/>
    <w:rsid w:val="6C420F20"/>
    <w:rsid w:val="6C450AD1"/>
    <w:rsid w:val="6C532CBE"/>
    <w:rsid w:val="6C535DD2"/>
    <w:rsid w:val="6C61079E"/>
    <w:rsid w:val="6C865790"/>
    <w:rsid w:val="6CAC609D"/>
    <w:rsid w:val="6CCF5389"/>
    <w:rsid w:val="6CD257B6"/>
    <w:rsid w:val="6CD44759"/>
    <w:rsid w:val="6CDA788A"/>
    <w:rsid w:val="6D1624B9"/>
    <w:rsid w:val="6D3866E1"/>
    <w:rsid w:val="6D5D7FA4"/>
    <w:rsid w:val="6D8343C6"/>
    <w:rsid w:val="6D875C64"/>
    <w:rsid w:val="6DC2558E"/>
    <w:rsid w:val="6DFE095C"/>
    <w:rsid w:val="6E0E213F"/>
    <w:rsid w:val="6E10335D"/>
    <w:rsid w:val="6E3A4A8F"/>
    <w:rsid w:val="6E4E0BEF"/>
    <w:rsid w:val="6E676244"/>
    <w:rsid w:val="6E72551C"/>
    <w:rsid w:val="6E7D5359"/>
    <w:rsid w:val="6E7E38C9"/>
    <w:rsid w:val="6EBC2D4B"/>
    <w:rsid w:val="6EC85EEF"/>
    <w:rsid w:val="6F052E4D"/>
    <w:rsid w:val="6F4F1391"/>
    <w:rsid w:val="6F5C0A2B"/>
    <w:rsid w:val="6F8467DB"/>
    <w:rsid w:val="6FF21C22"/>
    <w:rsid w:val="6FF45107"/>
    <w:rsid w:val="7009213F"/>
    <w:rsid w:val="70412B49"/>
    <w:rsid w:val="706C1141"/>
    <w:rsid w:val="7075738A"/>
    <w:rsid w:val="707924B5"/>
    <w:rsid w:val="707D7D38"/>
    <w:rsid w:val="70B13A95"/>
    <w:rsid w:val="70B754FD"/>
    <w:rsid w:val="70D07922"/>
    <w:rsid w:val="70E066E8"/>
    <w:rsid w:val="70EB5A09"/>
    <w:rsid w:val="70EE616C"/>
    <w:rsid w:val="71052523"/>
    <w:rsid w:val="711C5935"/>
    <w:rsid w:val="71265794"/>
    <w:rsid w:val="715E0A8A"/>
    <w:rsid w:val="71AB05C8"/>
    <w:rsid w:val="71AD75F5"/>
    <w:rsid w:val="71B44B4E"/>
    <w:rsid w:val="71C813D0"/>
    <w:rsid w:val="71CF1E3C"/>
    <w:rsid w:val="722341B0"/>
    <w:rsid w:val="722F25DC"/>
    <w:rsid w:val="722F68CA"/>
    <w:rsid w:val="72341CFC"/>
    <w:rsid w:val="724E11C4"/>
    <w:rsid w:val="72A03324"/>
    <w:rsid w:val="72A83A22"/>
    <w:rsid w:val="72E94CCB"/>
    <w:rsid w:val="730468C6"/>
    <w:rsid w:val="73092C77"/>
    <w:rsid w:val="73460A6C"/>
    <w:rsid w:val="734F66E4"/>
    <w:rsid w:val="737350E5"/>
    <w:rsid w:val="73774085"/>
    <w:rsid w:val="740228AA"/>
    <w:rsid w:val="74534AF2"/>
    <w:rsid w:val="748B0B5A"/>
    <w:rsid w:val="74B562A2"/>
    <w:rsid w:val="74D63B2B"/>
    <w:rsid w:val="74F4588B"/>
    <w:rsid w:val="751C1DA2"/>
    <w:rsid w:val="75530B22"/>
    <w:rsid w:val="756A7772"/>
    <w:rsid w:val="756D725B"/>
    <w:rsid w:val="758B3E18"/>
    <w:rsid w:val="75AE6841"/>
    <w:rsid w:val="75BD4891"/>
    <w:rsid w:val="75CA2B92"/>
    <w:rsid w:val="75DC0A8A"/>
    <w:rsid w:val="75E92EAA"/>
    <w:rsid w:val="75F4035E"/>
    <w:rsid w:val="75FE3638"/>
    <w:rsid w:val="763B6025"/>
    <w:rsid w:val="764402D6"/>
    <w:rsid w:val="765468FF"/>
    <w:rsid w:val="766A253C"/>
    <w:rsid w:val="7671300D"/>
    <w:rsid w:val="769158AA"/>
    <w:rsid w:val="77170059"/>
    <w:rsid w:val="77500D09"/>
    <w:rsid w:val="77505554"/>
    <w:rsid w:val="77624AEF"/>
    <w:rsid w:val="778B23B4"/>
    <w:rsid w:val="77B05DB7"/>
    <w:rsid w:val="77C22980"/>
    <w:rsid w:val="77C45617"/>
    <w:rsid w:val="77DD263F"/>
    <w:rsid w:val="77E617D9"/>
    <w:rsid w:val="77F847C8"/>
    <w:rsid w:val="77FC724F"/>
    <w:rsid w:val="78250553"/>
    <w:rsid w:val="784123CF"/>
    <w:rsid w:val="78540E39"/>
    <w:rsid w:val="7874674C"/>
    <w:rsid w:val="78A07BDA"/>
    <w:rsid w:val="78A8569E"/>
    <w:rsid w:val="78C07E54"/>
    <w:rsid w:val="78E522B1"/>
    <w:rsid w:val="790A14F7"/>
    <w:rsid w:val="79444A09"/>
    <w:rsid w:val="79652BD2"/>
    <w:rsid w:val="796E1A86"/>
    <w:rsid w:val="79894596"/>
    <w:rsid w:val="79961B34"/>
    <w:rsid w:val="79BD47BC"/>
    <w:rsid w:val="79D01E06"/>
    <w:rsid w:val="79E461EC"/>
    <w:rsid w:val="79E9615A"/>
    <w:rsid w:val="7A2839AD"/>
    <w:rsid w:val="7A287E87"/>
    <w:rsid w:val="7A4128EC"/>
    <w:rsid w:val="7A545D6B"/>
    <w:rsid w:val="7AD41DBD"/>
    <w:rsid w:val="7AD61FD9"/>
    <w:rsid w:val="7AF727D4"/>
    <w:rsid w:val="7AFE0CBA"/>
    <w:rsid w:val="7B491100"/>
    <w:rsid w:val="7B957A8E"/>
    <w:rsid w:val="7BBA70F7"/>
    <w:rsid w:val="7BC168A4"/>
    <w:rsid w:val="7BED75DA"/>
    <w:rsid w:val="7BEE5100"/>
    <w:rsid w:val="7C0D727B"/>
    <w:rsid w:val="7C174657"/>
    <w:rsid w:val="7C661735"/>
    <w:rsid w:val="7C9D0697"/>
    <w:rsid w:val="7CB16C96"/>
    <w:rsid w:val="7CBA4FE2"/>
    <w:rsid w:val="7D0B583E"/>
    <w:rsid w:val="7D0C7D3D"/>
    <w:rsid w:val="7D3D1E9B"/>
    <w:rsid w:val="7D4B31F6"/>
    <w:rsid w:val="7D5F4211"/>
    <w:rsid w:val="7D612690"/>
    <w:rsid w:val="7D6442AB"/>
    <w:rsid w:val="7D8D4783"/>
    <w:rsid w:val="7D8F45FC"/>
    <w:rsid w:val="7DAD37DC"/>
    <w:rsid w:val="7E0E073B"/>
    <w:rsid w:val="7E1F3128"/>
    <w:rsid w:val="7E6873EC"/>
    <w:rsid w:val="7E6B2A38"/>
    <w:rsid w:val="7EAF7C44"/>
    <w:rsid w:val="7EB643A4"/>
    <w:rsid w:val="7F0C6968"/>
    <w:rsid w:val="7F1E336E"/>
    <w:rsid w:val="7F546320"/>
    <w:rsid w:val="7F6A4996"/>
    <w:rsid w:val="7F7B314F"/>
    <w:rsid w:val="7F87438C"/>
    <w:rsid w:val="7F946A12"/>
    <w:rsid w:val="7FA0770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link w:val="3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customStyle="1" w:styleId="12">
    <w:name w:val="font21"/>
    <w:basedOn w:val="8"/>
    <w:qFormat/>
    <w:uiPriority w:val="0"/>
    <w:rPr>
      <w:rFonts w:ascii="黑体" w:hAnsi="宋体" w:eastAsia="黑体" w:cs="黑体"/>
      <w:color w:val="000000"/>
      <w:sz w:val="20"/>
      <w:szCs w:val="20"/>
      <w:u w:val="none"/>
    </w:rPr>
  </w:style>
  <w:style w:type="character" w:customStyle="1" w:styleId="13">
    <w:name w:val="font11"/>
    <w:basedOn w:val="8"/>
    <w:qFormat/>
    <w:uiPriority w:val="0"/>
    <w:rPr>
      <w:rFonts w:hint="default" w:ascii="Times New Roman" w:hAnsi="Times New Roman" w:cs="Times New Roman"/>
      <w:color w:val="000000"/>
      <w:sz w:val="20"/>
      <w:szCs w:val="20"/>
      <w:u w:val="none"/>
    </w:rPr>
  </w:style>
  <w:style w:type="table" w:customStyle="1" w:styleId="14">
    <w:name w:val="三线表"/>
    <w:basedOn w:val="6"/>
    <w:autoRedefine/>
    <w:qFormat/>
    <w:uiPriority w:val="99"/>
    <w:tblPr>
      <w:tblBorders>
        <w:top w:val="single" w:color="auto" w:sz="12" w:space="0"/>
        <w:bottom w:val="single" w:color="auto" w:sz="12" w:space="0"/>
      </w:tblBorders>
    </w:tblPr>
    <w:tblStylePr w:type="firstRow">
      <w:tcPr>
        <w:tcBorders>
          <w:bottom w:val="single" w:color="auto" w:sz="6" w:space="0"/>
        </w:tcBorders>
      </w:tcPr>
    </w:tblStylePr>
  </w:style>
  <w:style w:type="paragraph" w:customStyle="1" w:styleId="15">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16">
    <w:name w:val="书目1"/>
    <w:basedOn w:val="1"/>
    <w:next w:val="1"/>
    <w:unhideWhenUsed/>
    <w:qFormat/>
    <w:uiPriority w:val="37"/>
    <w:pPr>
      <w:spacing w:line="480" w:lineRule="auto"/>
      <w:ind w:left="720" w:hanging="720"/>
    </w:pPr>
  </w:style>
  <w:style w:type="paragraph" w:customStyle="1" w:styleId="17">
    <w:name w:val="书目2"/>
    <w:basedOn w:val="1"/>
    <w:next w:val="1"/>
    <w:unhideWhenUsed/>
    <w:qFormat/>
    <w:uiPriority w:val="37"/>
    <w:pPr>
      <w:spacing w:line="480" w:lineRule="auto"/>
      <w:ind w:left="720" w:hanging="720"/>
    </w:pPr>
  </w:style>
  <w:style w:type="table" w:customStyle="1" w:styleId="18">
    <w:name w:val="_Style 31"/>
    <w:basedOn w:val="6"/>
    <w:autoRedefine/>
    <w:qFormat/>
    <w:uiPriority w:val="0"/>
    <w:rPr>
      <w:rFonts w:ascii="Cambria" w:hAnsi="Cambria" w:eastAsia="Cambria" w:cs="Cambria"/>
      <w:sz w:val="24"/>
      <w:szCs w:val="24"/>
    </w:rPr>
    <w:tblPr>
      <w:tblCellMar>
        <w:top w:w="100" w:type="dxa"/>
        <w:left w:w="100" w:type="dxa"/>
        <w:bottom w:w="100" w:type="dxa"/>
        <w:right w:w="100" w:type="dxa"/>
      </w:tblCellMar>
    </w:tblPr>
  </w:style>
  <w:style w:type="table" w:customStyle="1" w:styleId="19">
    <w:name w:val="_Style 32"/>
    <w:basedOn w:val="6"/>
    <w:autoRedefine/>
    <w:qFormat/>
    <w:uiPriority w:val="0"/>
    <w:rPr>
      <w:rFonts w:ascii="Cambria" w:hAnsi="Cambria" w:eastAsia="Cambria" w:cs="Cambria"/>
      <w:sz w:val="24"/>
      <w:szCs w:val="24"/>
    </w:rPr>
    <w:tblPr>
      <w:tblCellMar>
        <w:top w:w="100" w:type="dxa"/>
        <w:left w:w="100" w:type="dxa"/>
        <w:bottom w:w="100" w:type="dxa"/>
        <w:right w:w="100" w:type="dxa"/>
      </w:tblCellMar>
    </w:tblPr>
  </w:style>
  <w:style w:type="paragraph" w:customStyle="1" w:styleId="20">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1">
    <w:name w:val="font0"/>
    <w:basedOn w:val="1"/>
    <w:qFormat/>
    <w:uiPriority w:val="0"/>
    <w:pPr>
      <w:widowControl/>
      <w:spacing w:before="100" w:beforeAutospacing="1" w:after="100" w:afterAutospacing="1"/>
      <w:jc w:val="left"/>
    </w:pPr>
    <w:rPr>
      <w:rFonts w:ascii="宋体" w:hAnsi="宋体" w:eastAsia="宋体" w:cs="宋体"/>
      <w:color w:val="000000"/>
      <w:kern w:val="0"/>
      <w:sz w:val="22"/>
      <w:szCs w:val="22"/>
    </w:rPr>
  </w:style>
  <w:style w:type="paragraph" w:customStyle="1" w:styleId="22">
    <w:name w:val="font1"/>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3">
    <w:name w:val="font2"/>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szCs w:val="22"/>
    </w:rPr>
  </w:style>
  <w:style w:type="paragraph" w:customStyle="1" w:styleId="24">
    <w:name w:val="font3"/>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20"/>
      <w:szCs w:val="20"/>
    </w:rPr>
  </w:style>
  <w:style w:type="paragraph" w:customStyle="1" w:styleId="25">
    <w:name w:val="font4"/>
    <w:basedOn w:val="1"/>
    <w:qFormat/>
    <w:uiPriority w:val="0"/>
    <w:pPr>
      <w:widowControl/>
      <w:spacing w:before="100" w:beforeAutospacing="1" w:after="100" w:afterAutospacing="1"/>
      <w:jc w:val="left"/>
    </w:pPr>
    <w:rPr>
      <w:rFonts w:ascii="Times New Roman" w:hAnsi="Times New Roman" w:eastAsia="宋体" w:cs="Times New Roman"/>
      <w:color w:val="000000"/>
      <w:kern w:val="0"/>
      <w:sz w:val="18"/>
      <w:szCs w:val="18"/>
    </w:rPr>
  </w:style>
  <w:style w:type="paragraph" w:customStyle="1" w:styleId="26">
    <w:name w:val="et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27">
    <w:name w:val="et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4"/>
    </w:rPr>
  </w:style>
  <w:style w:type="paragraph" w:customStyle="1" w:styleId="28">
    <w:name w:val="et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b/>
      <w:bCs/>
      <w:color w:val="000000"/>
      <w:kern w:val="0"/>
      <w:sz w:val="20"/>
      <w:szCs w:val="20"/>
    </w:rPr>
  </w:style>
  <w:style w:type="paragraph" w:customStyle="1" w:styleId="29">
    <w:name w:val="et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0">
    <w:name w:val="et6"/>
    <w:basedOn w:val="1"/>
    <w:qFormat/>
    <w:uiPriority w:val="0"/>
    <w:pPr>
      <w:widowControl/>
      <w:pBdr>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1">
    <w:name w:val="et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2">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3">
    <w:name w:val="et9"/>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34">
    <w:name w:val="et10"/>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5">
    <w:name w:val="et1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20"/>
      <w:szCs w:val="20"/>
    </w:rPr>
  </w:style>
  <w:style w:type="paragraph" w:customStyle="1" w:styleId="36">
    <w:name w:val="et1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8"/>
      <w:szCs w:val="18"/>
    </w:rPr>
  </w:style>
  <w:style w:type="paragraph" w:customStyle="1" w:styleId="37">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Times New Roman" w:hAnsi="Times New Roman" w:eastAsia="宋体" w:cs="Times New Roman"/>
      <w:color w:val="000000"/>
      <w:kern w:val="0"/>
      <w:sz w:val="18"/>
      <w:szCs w:val="18"/>
    </w:rPr>
  </w:style>
  <w:style w:type="character" w:customStyle="1" w:styleId="38">
    <w:name w:val="HTML 预设格式 字符"/>
    <w:basedOn w:val="8"/>
    <w:link w:val="4"/>
    <w:qFormat/>
    <w:uiPriority w:val="99"/>
    <w:rPr>
      <w:rFonts w:ascii="宋体" w:hAnsi="宋体"/>
      <w:sz w:val="24"/>
      <w:szCs w:val="24"/>
    </w:rPr>
  </w:style>
  <w:style w:type="character" w:customStyle="1" w:styleId="39">
    <w:name w:val="15"/>
    <w:basedOn w:val="8"/>
    <w:qFormat/>
    <w:uiPriority w:val="0"/>
    <w:rPr>
      <w:rFonts w:hint="default" w:ascii="Times New Roman" w:hAnsi="Times New Roman" w:cs="Times New Roman"/>
    </w:rPr>
  </w:style>
  <w:style w:type="character" w:customStyle="1" w:styleId="40">
    <w:name w:val="go2hclqbb5b"/>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emf"/><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4.svg"/><Relationship Id="rId28" Type="http://schemas.openxmlformats.org/officeDocument/2006/relationships/image" Target="media/image23.png"/><Relationship Id="rId27" Type="http://schemas.openxmlformats.org/officeDocument/2006/relationships/image" Target="media/image22.svg"/><Relationship Id="rId26" Type="http://schemas.openxmlformats.org/officeDocument/2006/relationships/image" Target="media/image21.png"/><Relationship Id="rId25" Type="http://schemas.openxmlformats.org/officeDocument/2006/relationships/image" Target="media/image20.svg"/><Relationship Id="rId24" Type="http://schemas.openxmlformats.org/officeDocument/2006/relationships/image" Target="media/image19.png"/><Relationship Id="rId23" Type="http://schemas.openxmlformats.org/officeDocument/2006/relationships/image" Target="media/image18.svg"/><Relationship Id="rId22" Type="http://schemas.openxmlformats.org/officeDocument/2006/relationships/image" Target="media/image17.png"/><Relationship Id="rId21" Type="http://schemas.openxmlformats.org/officeDocument/2006/relationships/image" Target="media/image16.sv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svg"/><Relationship Id="rId18" Type="http://schemas.openxmlformats.org/officeDocument/2006/relationships/image" Target="media/image13.png"/><Relationship Id="rId17" Type="http://schemas.openxmlformats.org/officeDocument/2006/relationships/image" Target="media/image12.svg"/><Relationship Id="rId16" Type="http://schemas.openxmlformats.org/officeDocument/2006/relationships/image" Target="media/image11.png"/><Relationship Id="rId15" Type="http://schemas.openxmlformats.org/officeDocument/2006/relationships/image" Target="media/image10.svg"/><Relationship Id="rId14" Type="http://schemas.openxmlformats.org/officeDocument/2006/relationships/image" Target="media/image9.png"/><Relationship Id="rId13" Type="http://schemas.openxmlformats.org/officeDocument/2006/relationships/image" Target="media/image8.svg"/><Relationship Id="rId12" Type="http://schemas.openxmlformats.org/officeDocument/2006/relationships/image" Target="media/image7.png"/><Relationship Id="rId11" Type="http://schemas.openxmlformats.org/officeDocument/2006/relationships/image" Target="media/image6.sv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729</Words>
  <Characters>6412</Characters>
  <Lines>666</Lines>
  <Paragraphs>389</Paragraphs>
  <TotalTime>17</TotalTime>
  <ScaleCrop>false</ScaleCrop>
  <LinksUpToDate>false</LinksUpToDate>
  <CharactersWithSpaces>7008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2025-10-20T06:09:00Z</dcterms:created>
  <dc:creator>zengbing</dc:creator>
  <cp:lastModifiedBy>森影</cp:lastModifiedBy>
  <dcterms:modified xsi:type="dcterms:W3CDTF">2026-05-13T06:04:31Z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eyJoZGlkIjoiN2YzNjBkOTgyNWQ1YTMxYzM3MzMwNWFiODNmOWIzYWMiLCJ1c2VySWQiOiIzMTAwNzU0ODEifQ==</vt:lpwstr>
  </property>
  <property fmtid="{D5CDD505-2E9C-101B-9397-08002B2CF9AE}" pid="4" name="ICV">
    <vt:lpwstr>729ABBF0784243898113968125E23730_12</vt:lpwstr>
  </property>
  <property fmtid="{D5CDD505-2E9C-101B-9397-08002B2CF9AE}" pid="5" name="ZOTERO_PREF_1">
    <vt:lpwstr>&lt;data data-version="3" zotero-version="9.0.3"&gt;&lt;session id="09kevgBy"/&gt;&lt;style id="http://www.zotero.org/styles/apa-numeric-superscript" locale="en-US" hasBibliography="1" bibliographyStyleHasBeenSet="1"/&gt;&lt;prefs&gt;&lt;pref name="fieldType" value="Field"/&gt;&lt;/prefs</vt:lpwstr>
  </property>
  <property fmtid="{D5CDD505-2E9C-101B-9397-08002B2CF9AE}" pid="6" name="ZOTERO_PREF_2">
    <vt:lpwstr>&gt;&lt;/data&gt;</vt:lpwstr>
  </property>
</Properties>
</file>