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06872">
      <w:pPr>
        <w:spacing w:after="160"/>
        <w:jc w:val="center"/>
      </w:pPr>
      <w:r>
        <w:rPr>
          <w:rFonts w:ascii="Times New Roman" w:hAnsi="Times New Roman" w:eastAsia="Times New Roman"/>
          <w:b/>
          <w:sz w:val="28"/>
        </w:rPr>
        <w:t>Supplementary Materials</w:t>
      </w:r>
    </w:p>
    <w:p w14:paraId="4B7389C5">
      <w:pPr>
        <w:jc w:val="center"/>
      </w:pPr>
      <w:r>
        <w:rPr>
          <w:rFonts w:ascii="Times New Roman" w:hAnsi="Times New Roman" w:eastAsia="Times New Roman"/>
          <w:b/>
          <w:sz w:val="24"/>
        </w:rPr>
        <w:t>Anthropometric PHV-prediction models versus skeletal age in elite Chinese U12–U13 male soccer players: a cross-sectional study</w:t>
      </w:r>
    </w:p>
    <w:p w14:paraId="2A7938CA">
      <w:pPr>
        <w:spacing w:before="160" w:after="80"/>
      </w:pPr>
      <w:r>
        <w:rPr>
          <w:rFonts w:ascii="Times New Roman" w:hAnsi="Times New Roman" w:eastAsia="Times New Roman"/>
          <w:b/>
          <w:sz w:val="22"/>
        </w:rPr>
        <w:t>Supplementary Note S1. Ethics procedure</w:t>
      </w:r>
    </w:p>
    <w:p w14:paraId="07845848">
      <w:pPr>
        <w:spacing w:after="120"/>
        <w:jc w:val="both"/>
      </w:pPr>
      <w:r>
        <w:rPr>
          <w:rFonts w:ascii="Times New Roman" w:hAnsi="Times New Roman" w:eastAsia="Times New Roman"/>
          <w:sz w:val="22"/>
        </w:rPr>
        <w:t>The anthropometric measurements and left hand–wrist radiographs analysed in this study were obtained during the routine annual maturity-monitoring programme of the national youth football training centre and were not collected for research purposes. Participants underwent no additional radiographic examination, experimental intervention, or alteration of their regular training or daily routines for this study, and received no additional ionising-radiation exposure beyond their standard annual monitoring.</w:t>
      </w:r>
    </w:p>
    <w:p w14:paraId="7B3B6CCA">
      <w:pPr>
        <w:spacing w:after="120"/>
        <w:jc w:val="both"/>
      </w:pPr>
      <w:r>
        <w:rPr>
          <w:rFonts w:ascii="Times New Roman" w:hAnsi="Times New Roman" w:eastAsia="Times New Roman"/>
          <w:sz w:val="22"/>
        </w:rPr>
        <w:t>At the data-collection stage, the monitoring programme was reviewed by the Ethics Committee of the China Institute of Sport Science, General Administration of Sport of China, which determined that it qualified for exemption from full ethics review on the grounds that it constituted routine, non-interventional athlete monitoring posing no more than minimal risk. Written informed consent for the routine monitoring was obtained from the parents or legal guardians of all participants, and assent was obtained from the participants themselves, before testing.</w:t>
      </w:r>
    </w:p>
    <w:p w14:paraId="31C968C9">
      <w:pPr>
        <w:spacing w:after="120"/>
        <w:jc w:val="both"/>
      </w:pPr>
      <w:r>
        <w:rPr>
          <w:rFonts w:ascii="Times New Roman" w:hAnsi="Times New Roman" w:eastAsia="Times New Roman"/>
          <w:sz w:val="22"/>
        </w:rPr>
        <w:t>For the present study, the corresponding de-identified dataset was subsequently submitted to the same committee, which reviewed and approved its secondary use and publication for research purposes (approval no. 2026051401). All procedures adhered to the ethical principles of the Declaration of Helsinki.</w:t>
      </w:r>
    </w:p>
    <w:p w14:paraId="16C5B3F9">
      <w:pPr>
        <w:spacing w:before="160" w:after="80"/>
      </w:pPr>
      <w:r>
        <w:rPr>
          <w:rFonts w:ascii="Times New Roman" w:hAnsi="Times New Roman" w:eastAsia="Times New Roman"/>
          <w:b/>
          <w:sz w:val="22"/>
        </w:rPr>
        <w:t>Supplementary Note S2. The China 05 (CHN05) standard: background and rationale</w:t>
      </w:r>
    </w:p>
    <w:p w14:paraId="39961FD7">
      <w:pPr>
        <w:spacing w:after="120"/>
        <w:jc w:val="both"/>
      </w:pPr>
      <w:r>
        <w:rPr>
          <w:rFonts w:ascii="Times New Roman" w:hAnsi="Times New Roman" w:eastAsia="Times New Roman"/>
          <w:sz w:val="22"/>
        </w:rPr>
        <w:t>China 05 (RUS-CHN) is the contemporary national skeletal-maturity reference for Chinese children and adolescents. It was developed by sports-science institutes under the General Administration of Sport of China and published in 2006, superseding the earlier CHN method (1992). The reference standards were derived from a 2005 sample of 17,401 healthy Han urban children aged 1–20 years from five Chinese cities; skeletal maturity was scored with the Tanner–Whitehouse 3 (TW3)-based RUS-CHN and TW3-C Carpal systems, and smoothed centile curves were constructed using the LMS method [1].</w:t>
      </w:r>
    </w:p>
    <w:p w14:paraId="4F50406A">
      <w:pPr>
        <w:spacing w:after="120"/>
        <w:jc w:val="both"/>
      </w:pPr>
      <w:r>
        <w:rPr>
          <w:rFonts w:ascii="Times New Roman" w:hAnsi="Times New Roman" w:eastAsia="Times New Roman"/>
          <w:sz w:val="22"/>
        </w:rPr>
        <w:t>China 05 was selected because it provides a contemporary population-specific skeletal-maturity reference for Chinese children and adolescents, whereas the Greulich–Pyle (GP) atlas was derived from a historical, predominantly White North American reference population. Population- and ethnicity-related differences in GP-based bone-age patterns have been reported; a systematic review and meta-analysis of 49 studies found the GP standard to be imprecise when applied to Asian males and African females and recommended caution in these populations [2], and a broader methodological overview likewise notes the population limitations of the traditional GP and TW methods [3]. Accordingly, China 05 provides a population-relevant skeletal-maturity reference for the present Chinese cohort, while GP, TW3, and Fels remain recognised alternatives for other populations and purposes.</w:t>
      </w:r>
    </w:p>
    <w:p w14:paraId="54C3FD05">
      <w:pPr>
        <w:spacing w:after="120"/>
        <w:jc w:val="both"/>
      </w:pPr>
      <w:r>
        <w:rPr>
          <w:rFonts w:ascii="Times New Roman" w:hAnsi="Times New Roman" w:eastAsia="Times New Roman"/>
          <w:sz w:val="22"/>
        </w:rPr>
        <w:t>Supporting comparative evidence. A large comparative study evaluated the GP, CHN, and China 05 methods in 4,152 healthy Han Chinese children and adolescents aged 6–18 years [4]. Using the difference between assessed bone age and chronological age as an index of applicability, China 05 estimates were closest to chronological age—whereas GP and CHN showed larger deviations at several ages—providing direct support for the relevance of China 05 in Chinese children and adolescents. On this basis, China 05 was selected as the concurrent skeletal-maturity comparator in the present study. Because skeletal maturity is assessed from hand–wrist radiographs against population reference standards, China 05 applies to Chinese youth athletes as members of this reference population; it is a population reference rather than an athlete-specific standard. Athlete-specific calibration is therefore identified for the anthropometric PHV-prediction models rather than for the skeletal-age reference, as noted in the main text.</w:t>
      </w:r>
    </w:p>
    <w:p w14:paraId="7DCE92D6">
      <w:pPr>
        <w:spacing w:before="160" w:after="80"/>
      </w:pPr>
      <w:r>
        <w:rPr>
          <w:rFonts w:ascii="Times New Roman" w:hAnsi="Times New Roman" w:eastAsia="Times New Roman"/>
          <w:b/>
          <w:sz w:val="22"/>
        </w:rPr>
        <w:t>Supplementary Table S1. Additional ordinal-logistic-regression model-fit statistics</w:t>
      </w:r>
    </w:p>
    <w:p w14:paraId="78E41CC4">
      <w:pPr>
        <w:spacing w:before="160" w:after="80"/>
      </w:pPr>
      <w:r>
        <w:rPr>
          <w:rFonts w:ascii="Times New Roman" w:hAnsi="Times New Roman" w:eastAsia="Times New Roman"/>
          <w:b/>
          <w:sz w:val="22"/>
        </w:rPr>
        <w:t>Supplementary Table S1 reports additional ordinal-logistic-regression model-fit statistics. −2LL, −2 log likelihood; LR χ², likelihood-ratio chi-square; Wald p, significance of the location parameter. All Wald tests were significant at p &lt; 0.001.</w:t>
      </w:r>
    </w:p>
    <w:tbl>
      <w:tblPr>
        <w:tblStyle w:val="3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24"/>
        <w:gridCol w:w="1624"/>
        <w:gridCol w:w="1624"/>
        <w:gridCol w:w="1624"/>
        <w:gridCol w:w="1624"/>
        <w:gridCol w:w="1624"/>
      </w:tblGrid>
      <w:tr w14:paraId="6320B7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2308350">
            <w:pPr>
              <w:spacing w:before="0" w:after="0" w:line="240" w:lineRule="auto"/>
              <w:jc w:val="center"/>
            </w:pPr>
            <w:r>
              <w:rPr>
                <w:rFonts w:ascii="Times New Roman" w:hAnsi="Times New Roman" w:eastAsia="Times New Roman"/>
                <w:b/>
                <w:sz w:val="18"/>
              </w:rPr>
              <w:t>Indicator</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A2A747E">
            <w:pPr>
              <w:spacing w:before="0" w:after="0" w:line="240" w:lineRule="auto"/>
              <w:jc w:val="center"/>
            </w:pPr>
            <w:r>
              <w:rPr>
                <w:rFonts w:ascii="Times New Roman" w:hAnsi="Times New Roman" w:eastAsia="Times New Roman"/>
                <w:b/>
                <w:sz w:val="18"/>
              </w:rPr>
              <w:t>Age</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9C3FD35">
            <w:pPr>
              <w:spacing w:before="0" w:after="0" w:line="240" w:lineRule="auto"/>
              <w:jc w:val="center"/>
            </w:pPr>
            <w:r>
              <w:rPr>
                <w:rFonts w:ascii="Times New Roman" w:hAnsi="Times New Roman" w:eastAsia="Times New Roman"/>
                <w:b/>
                <w:sz w:val="18"/>
              </w:rPr>
              <w:t>Model</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ED5C8C5">
            <w:pPr>
              <w:spacing w:before="0" w:after="0" w:line="240" w:lineRule="auto"/>
              <w:jc w:val="center"/>
            </w:pPr>
            <w:r>
              <w:rPr>
                <w:rFonts w:ascii="Times New Roman" w:hAnsi="Times New Roman" w:eastAsia="Times New Roman"/>
                <w:b/>
                <w:sz w:val="18"/>
              </w:rPr>
              <w:t>−2LL</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A842AB2">
            <w:pPr>
              <w:spacing w:before="0" w:after="0" w:line="240" w:lineRule="auto"/>
              <w:jc w:val="center"/>
            </w:pPr>
            <w:r>
              <w:rPr>
                <w:rFonts w:ascii="Times New Roman" w:hAnsi="Times New Roman" w:eastAsia="Times New Roman"/>
                <w:b/>
                <w:sz w:val="18"/>
              </w:rPr>
              <w:t>LR χ²</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B66D5B0">
            <w:pPr>
              <w:spacing w:before="0" w:after="0" w:line="240" w:lineRule="auto"/>
              <w:jc w:val="center"/>
            </w:pPr>
            <w:r>
              <w:rPr>
                <w:rFonts w:ascii="Times New Roman" w:hAnsi="Times New Roman" w:eastAsia="Times New Roman"/>
                <w:b/>
                <w:sz w:val="18"/>
              </w:rPr>
              <w:t>Wald p</w:t>
            </w:r>
          </w:p>
        </w:tc>
      </w:tr>
      <w:tr w14:paraId="268AB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9370410">
            <w:pPr>
              <w:spacing w:before="0" w:after="0" w:line="240" w:lineRule="auto"/>
              <w:jc w:val="center"/>
            </w:pPr>
            <w:r>
              <w:rPr>
                <w:rFonts w:ascii="Times New Roman" w:hAnsi="Times New Roman" w:eastAsia="Times New Roman"/>
                <w:sz w:val="18"/>
              </w:rPr>
              <w:t>MO</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EA3D18C">
            <w:pPr>
              <w:spacing w:before="0" w:after="0" w:line="240" w:lineRule="auto"/>
              <w:jc w:val="center"/>
            </w:pPr>
            <w:r>
              <w:rPr>
                <w:rFonts w:ascii="Times New Roman" w:hAnsi="Times New Roman" w:eastAsia="Times New Roman"/>
                <w:sz w:val="18"/>
              </w:rPr>
              <w:t>U12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DAACBE3">
            <w:pPr>
              <w:spacing w:before="0" w:after="0" w:line="240" w:lineRule="auto"/>
              <w:jc w:val="center"/>
            </w:pPr>
            <w:r>
              <w:rPr>
                <w:rFonts w:ascii="Times New Roman" w:hAnsi="Times New Roman" w:eastAsia="Times New Roman"/>
                <w:sz w:val="18"/>
              </w:rPr>
              <w:t>Mirwald (2002)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1C5CB01D">
            <w:pPr>
              <w:spacing w:before="0" w:after="0" w:line="240" w:lineRule="auto"/>
              <w:jc w:val="center"/>
            </w:pPr>
            <w:r>
              <w:rPr>
                <w:rFonts w:ascii="Times New Roman" w:hAnsi="Times New Roman" w:eastAsia="Times New Roman"/>
                <w:sz w:val="18"/>
              </w:rPr>
              <w:t>140.630</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2ADD0AB3">
            <w:pPr>
              <w:spacing w:before="0" w:after="0" w:line="240" w:lineRule="auto"/>
              <w:jc w:val="center"/>
            </w:pPr>
            <w:r>
              <w:rPr>
                <w:rFonts w:ascii="Times New Roman" w:hAnsi="Times New Roman" w:eastAsia="Times New Roman"/>
                <w:sz w:val="18"/>
              </w:rPr>
              <w:t>47.907</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CF03769">
            <w:pPr>
              <w:spacing w:before="0" w:after="0" w:line="240" w:lineRule="auto"/>
              <w:jc w:val="center"/>
            </w:pPr>
            <w:r>
              <w:rPr>
                <w:rFonts w:ascii="Times New Roman" w:hAnsi="Times New Roman" w:eastAsia="Times New Roman"/>
                <w:sz w:val="18"/>
              </w:rPr>
              <w:t>&lt;0.001</w:t>
            </w:r>
          </w:p>
        </w:tc>
      </w:tr>
      <w:tr w14:paraId="42685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246E77A">
            <w:pPr>
              <w:spacing w:before="0" w:after="0" w:line="240" w:lineRule="auto"/>
              <w:jc w:val="center"/>
            </w:pPr>
            <w:r>
              <w:rPr>
                <w:rFonts w:ascii="Times New Roman" w:hAnsi="Times New Roman" w:eastAsia="Times New Roman"/>
                <w:sz w:val="18"/>
              </w:rPr>
              <w:t>MO</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52B0657">
            <w:pPr>
              <w:spacing w:before="0" w:after="0" w:line="240" w:lineRule="auto"/>
              <w:jc w:val="center"/>
            </w:pPr>
            <w:r>
              <w:rPr>
                <w:rFonts w:ascii="Times New Roman" w:hAnsi="Times New Roman" w:eastAsia="Times New Roman"/>
                <w:sz w:val="18"/>
              </w:rPr>
              <w:t>U12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E9F1B56">
            <w:pPr>
              <w:spacing w:before="0" w:after="0" w:line="240" w:lineRule="auto"/>
              <w:jc w:val="center"/>
            </w:pPr>
            <w:r>
              <w:rPr>
                <w:rFonts w:ascii="Times New Roman" w:hAnsi="Times New Roman" w:eastAsia="Times New Roman"/>
                <w:sz w:val="18"/>
              </w:rPr>
              <w:t>Moore (2015)</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8E88303">
            <w:pPr>
              <w:spacing w:before="0" w:after="0" w:line="240" w:lineRule="auto"/>
              <w:jc w:val="center"/>
            </w:pPr>
            <w:r>
              <w:rPr>
                <w:rFonts w:ascii="Times New Roman" w:hAnsi="Times New Roman" w:eastAsia="Times New Roman"/>
                <w:sz w:val="18"/>
              </w:rPr>
              <w:t>158.123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AF702F4">
            <w:pPr>
              <w:spacing w:before="0" w:after="0" w:line="240" w:lineRule="auto"/>
              <w:jc w:val="center"/>
            </w:pPr>
            <w:r>
              <w:rPr>
                <w:rFonts w:ascii="Times New Roman" w:hAnsi="Times New Roman" w:eastAsia="Times New Roman"/>
                <w:sz w:val="18"/>
              </w:rPr>
              <w:t>30.414</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138FDAB">
            <w:pPr>
              <w:spacing w:before="0" w:after="0" w:line="240" w:lineRule="auto"/>
              <w:jc w:val="center"/>
            </w:pPr>
            <w:r>
              <w:rPr>
                <w:rFonts w:ascii="Times New Roman" w:hAnsi="Times New Roman" w:eastAsia="Times New Roman"/>
                <w:sz w:val="18"/>
              </w:rPr>
              <w:t>&lt;0.001</w:t>
            </w:r>
          </w:p>
        </w:tc>
      </w:tr>
      <w:tr w14:paraId="718C82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7EBBD16">
            <w:pPr>
              <w:spacing w:before="0" w:after="0" w:line="240" w:lineRule="auto"/>
              <w:jc w:val="center"/>
            </w:pPr>
            <w:r>
              <w:rPr>
                <w:rFonts w:ascii="Times New Roman" w:hAnsi="Times New Roman" w:eastAsia="Times New Roman"/>
                <w:sz w:val="18"/>
              </w:rPr>
              <w:t>MO</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9C1C0F8">
            <w:pPr>
              <w:spacing w:before="0" w:after="0" w:line="240" w:lineRule="auto"/>
              <w:jc w:val="center"/>
            </w:pPr>
            <w:r>
              <w:rPr>
                <w:rFonts w:ascii="Times New Roman" w:hAnsi="Times New Roman" w:eastAsia="Times New Roman"/>
                <w:sz w:val="18"/>
              </w:rPr>
              <w:t>U12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914CAFA">
            <w:pPr>
              <w:spacing w:before="0" w:after="0" w:line="240" w:lineRule="auto"/>
              <w:jc w:val="center"/>
            </w:pPr>
            <w:r>
              <w:rPr>
                <w:rFonts w:ascii="Times New Roman" w:hAnsi="Times New Roman" w:eastAsia="Times New Roman"/>
                <w:sz w:val="18"/>
              </w:rPr>
              <w:t>Fransen (2018)</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DBBAD57">
            <w:pPr>
              <w:spacing w:before="0" w:after="0" w:line="240" w:lineRule="auto"/>
              <w:jc w:val="center"/>
            </w:pPr>
            <w:r>
              <w:rPr>
                <w:rFonts w:ascii="Times New Roman" w:hAnsi="Times New Roman" w:eastAsia="Times New Roman"/>
                <w:sz w:val="18"/>
              </w:rPr>
              <w:t>132.573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3F5B83F">
            <w:pPr>
              <w:spacing w:before="0" w:after="0" w:line="240" w:lineRule="auto"/>
              <w:jc w:val="center"/>
            </w:pPr>
            <w:r>
              <w:rPr>
                <w:rFonts w:ascii="Times New Roman" w:hAnsi="Times New Roman" w:eastAsia="Times New Roman"/>
                <w:sz w:val="18"/>
              </w:rPr>
              <w:t>55.964</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4AA3A54">
            <w:pPr>
              <w:spacing w:before="0" w:after="0" w:line="240" w:lineRule="auto"/>
              <w:jc w:val="center"/>
            </w:pPr>
            <w:r>
              <w:rPr>
                <w:rFonts w:ascii="Times New Roman" w:hAnsi="Times New Roman" w:eastAsia="Times New Roman"/>
                <w:sz w:val="18"/>
              </w:rPr>
              <w:t>&lt;0.001</w:t>
            </w:r>
          </w:p>
        </w:tc>
      </w:tr>
      <w:tr w14:paraId="5D504D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6776E79">
            <w:pPr>
              <w:spacing w:before="0" w:after="0" w:line="240" w:lineRule="auto"/>
              <w:jc w:val="center"/>
            </w:pPr>
            <w:r>
              <w:rPr>
                <w:rFonts w:ascii="Times New Roman" w:hAnsi="Times New Roman" w:eastAsia="Times New Roman"/>
                <w:sz w:val="18"/>
              </w:rPr>
              <w:t>MO</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1ED5E91B">
            <w:pPr>
              <w:spacing w:before="0" w:after="0" w:line="240" w:lineRule="auto"/>
              <w:jc w:val="center"/>
            </w:pPr>
            <w:r>
              <w:rPr>
                <w:rFonts w:ascii="Times New Roman" w:hAnsi="Times New Roman" w:eastAsia="Times New Roman"/>
                <w:sz w:val="18"/>
              </w:rPr>
              <w:t>U13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F5C7FC9">
            <w:pPr>
              <w:spacing w:before="0" w:after="0" w:line="240" w:lineRule="auto"/>
              <w:jc w:val="center"/>
            </w:pPr>
            <w:r>
              <w:rPr>
                <w:rFonts w:ascii="Times New Roman" w:hAnsi="Times New Roman" w:eastAsia="Times New Roman"/>
                <w:sz w:val="18"/>
              </w:rPr>
              <w:t>Mirwald (2002)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A9F06BA">
            <w:pPr>
              <w:spacing w:before="0" w:after="0" w:line="240" w:lineRule="auto"/>
              <w:jc w:val="center"/>
            </w:pPr>
            <w:r>
              <w:rPr>
                <w:rFonts w:ascii="Times New Roman" w:hAnsi="Times New Roman" w:eastAsia="Times New Roman"/>
                <w:sz w:val="18"/>
              </w:rPr>
              <w:t>275.476</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1D1FD10">
            <w:pPr>
              <w:spacing w:before="0" w:after="0" w:line="240" w:lineRule="auto"/>
              <w:jc w:val="center"/>
            </w:pPr>
            <w:r>
              <w:rPr>
                <w:rFonts w:ascii="Times New Roman" w:hAnsi="Times New Roman" w:eastAsia="Times New Roman"/>
                <w:sz w:val="18"/>
              </w:rPr>
              <w:t>79.190</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1FE63372">
            <w:pPr>
              <w:spacing w:before="0" w:after="0" w:line="240" w:lineRule="auto"/>
              <w:jc w:val="center"/>
            </w:pPr>
            <w:r>
              <w:rPr>
                <w:rFonts w:ascii="Times New Roman" w:hAnsi="Times New Roman" w:eastAsia="Times New Roman"/>
                <w:sz w:val="18"/>
              </w:rPr>
              <w:t>&lt;0.001</w:t>
            </w:r>
          </w:p>
        </w:tc>
      </w:tr>
      <w:tr w14:paraId="111804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CC5331E">
            <w:pPr>
              <w:spacing w:before="0" w:after="0" w:line="240" w:lineRule="auto"/>
              <w:jc w:val="center"/>
            </w:pPr>
            <w:r>
              <w:rPr>
                <w:rFonts w:ascii="Times New Roman" w:hAnsi="Times New Roman" w:eastAsia="Times New Roman"/>
                <w:sz w:val="18"/>
              </w:rPr>
              <w:t>MO</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44705F3">
            <w:pPr>
              <w:spacing w:before="0" w:after="0" w:line="240" w:lineRule="auto"/>
              <w:jc w:val="center"/>
            </w:pPr>
            <w:r>
              <w:rPr>
                <w:rFonts w:ascii="Times New Roman" w:hAnsi="Times New Roman" w:eastAsia="Times New Roman"/>
                <w:sz w:val="18"/>
              </w:rPr>
              <w:t>U13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13BC2574">
            <w:pPr>
              <w:spacing w:before="0" w:after="0" w:line="240" w:lineRule="auto"/>
              <w:jc w:val="center"/>
            </w:pPr>
            <w:r>
              <w:rPr>
                <w:rFonts w:ascii="Times New Roman" w:hAnsi="Times New Roman" w:eastAsia="Times New Roman"/>
                <w:sz w:val="18"/>
              </w:rPr>
              <w:t>Moore (2015)</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3F59561">
            <w:pPr>
              <w:spacing w:before="0" w:after="0" w:line="240" w:lineRule="auto"/>
              <w:jc w:val="center"/>
            </w:pPr>
            <w:r>
              <w:rPr>
                <w:rFonts w:ascii="Times New Roman" w:hAnsi="Times New Roman" w:eastAsia="Times New Roman"/>
                <w:sz w:val="18"/>
              </w:rPr>
              <w:t>307.384</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F707397">
            <w:pPr>
              <w:spacing w:before="0" w:after="0" w:line="240" w:lineRule="auto"/>
              <w:jc w:val="center"/>
            </w:pPr>
            <w:r>
              <w:rPr>
                <w:rFonts w:ascii="Times New Roman" w:hAnsi="Times New Roman" w:eastAsia="Times New Roman"/>
                <w:sz w:val="18"/>
              </w:rPr>
              <w:t>47.282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80F6164">
            <w:pPr>
              <w:spacing w:before="0" w:after="0" w:line="240" w:lineRule="auto"/>
              <w:jc w:val="center"/>
            </w:pPr>
            <w:r>
              <w:rPr>
                <w:rFonts w:ascii="Times New Roman" w:hAnsi="Times New Roman" w:eastAsia="Times New Roman"/>
                <w:sz w:val="18"/>
              </w:rPr>
              <w:t>&lt;0.001</w:t>
            </w:r>
          </w:p>
        </w:tc>
      </w:tr>
      <w:tr w14:paraId="5B925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17C431F">
            <w:pPr>
              <w:spacing w:before="0" w:after="0" w:line="240" w:lineRule="auto"/>
              <w:jc w:val="center"/>
            </w:pPr>
            <w:r>
              <w:rPr>
                <w:rFonts w:ascii="Times New Roman" w:hAnsi="Times New Roman" w:eastAsia="Times New Roman"/>
                <w:sz w:val="18"/>
              </w:rPr>
              <w:t>MO</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727EDA0">
            <w:pPr>
              <w:spacing w:before="0" w:after="0" w:line="240" w:lineRule="auto"/>
              <w:jc w:val="center"/>
            </w:pPr>
            <w:r>
              <w:rPr>
                <w:rFonts w:ascii="Times New Roman" w:hAnsi="Times New Roman" w:eastAsia="Times New Roman"/>
                <w:sz w:val="18"/>
              </w:rPr>
              <w:t>U13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1D40C82">
            <w:pPr>
              <w:spacing w:before="0" w:after="0" w:line="240" w:lineRule="auto"/>
              <w:jc w:val="center"/>
            </w:pPr>
            <w:r>
              <w:rPr>
                <w:rFonts w:ascii="Times New Roman" w:hAnsi="Times New Roman" w:eastAsia="Times New Roman"/>
                <w:sz w:val="18"/>
              </w:rPr>
              <w:t>Fransen (2018)</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EF0BAF5">
            <w:pPr>
              <w:spacing w:before="0" w:after="0" w:line="240" w:lineRule="auto"/>
              <w:jc w:val="center"/>
            </w:pPr>
            <w:r>
              <w:rPr>
                <w:rFonts w:ascii="Times New Roman" w:hAnsi="Times New Roman" w:eastAsia="Times New Roman"/>
                <w:sz w:val="18"/>
              </w:rPr>
              <w:t>289.549</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44119C8">
            <w:pPr>
              <w:spacing w:before="0" w:after="0" w:line="240" w:lineRule="auto"/>
              <w:jc w:val="center"/>
            </w:pPr>
            <w:r>
              <w:rPr>
                <w:rFonts w:ascii="Times New Roman" w:hAnsi="Times New Roman" w:eastAsia="Times New Roman"/>
                <w:sz w:val="18"/>
              </w:rPr>
              <w:t>65.117</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086B9CA">
            <w:pPr>
              <w:spacing w:before="0" w:after="0" w:line="240" w:lineRule="auto"/>
              <w:jc w:val="center"/>
            </w:pPr>
            <w:r>
              <w:rPr>
                <w:rFonts w:ascii="Times New Roman" w:hAnsi="Times New Roman" w:eastAsia="Times New Roman"/>
                <w:sz w:val="18"/>
              </w:rPr>
              <w:t>&lt;0.001</w:t>
            </w:r>
          </w:p>
        </w:tc>
      </w:tr>
      <w:tr w14:paraId="3500F2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17A1C149">
            <w:pPr>
              <w:spacing w:before="0" w:after="0" w:line="240" w:lineRule="auto"/>
              <w:jc w:val="center"/>
            </w:pPr>
            <w:r>
              <w:rPr>
                <w:rFonts w:ascii="Times New Roman" w:hAnsi="Times New Roman" w:eastAsia="Times New Roman"/>
                <w:sz w:val="18"/>
              </w:rPr>
              <w:t>APHV</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380DD65">
            <w:pPr>
              <w:spacing w:before="0" w:after="0" w:line="240" w:lineRule="auto"/>
              <w:jc w:val="center"/>
            </w:pPr>
            <w:r>
              <w:rPr>
                <w:rFonts w:ascii="Times New Roman" w:hAnsi="Times New Roman" w:eastAsia="Times New Roman"/>
                <w:sz w:val="18"/>
              </w:rPr>
              <w:t>U12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1BA374B">
            <w:pPr>
              <w:spacing w:before="0" w:after="0" w:line="240" w:lineRule="auto"/>
              <w:jc w:val="center"/>
            </w:pPr>
            <w:r>
              <w:rPr>
                <w:rFonts w:ascii="Times New Roman" w:hAnsi="Times New Roman" w:eastAsia="Times New Roman"/>
                <w:sz w:val="18"/>
              </w:rPr>
              <w:t>Mirwald (2002)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FE81CA7">
            <w:pPr>
              <w:spacing w:before="0" w:after="0" w:line="240" w:lineRule="auto"/>
              <w:jc w:val="center"/>
            </w:pPr>
            <w:r>
              <w:rPr>
                <w:rFonts w:ascii="Times New Roman" w:hAnsi="Times New Roman" w:eastAsia="Times New Roman"/>
                <w:sz w:val="18"/>
              </w:rPr>
              <w:t>98.119</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69FF56E">
            <w:pPr>
              <w:spacing w:before="0" w:after="0" w:line="240" w:lineRule="auto"/>
              <w:jc w:val="center"/>
            </w:pPr>
            <w:r>
              <w:rPr>
                <w:rFonts w:ascii="Times New Roman" w:hAnsi="Times New Roman" w:eastAsia="Times New Roman"/>
                <w:sz w:val="18"/>
              </w:rPr>
              <w:t>90.417</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19750BB">
            <w:pPr>
              <w:spacing w:before="0" w:after="0" w:line="240" w:lineRule="auto"/>
              <w:jc w:val="center"/>
            </w:pPr>
            <w:r>
              <w:rPr>
                <w:rFonts w:ascii="Times New Roman" w:hAnsi="Times New Roman" w:eastAsia="Times New Roman"/>
                <w:sz w:val="18"/>
              </w:rPr>
              <w:t>&lt;0.001</w:t>
            </w:r>
          </w:p>
        </w:tc>
      </w:tr>
      <w:tr w14:paraId="359CE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0688BB1">
            <w:pPr>
              <w:spacing w:before="0" w:after="0" w:line="240" w:lineRule="auto"/>
              <w:jc w:val="center"/>
            </w:pPr>
            <w:r>
              <w:rPr>
                <w:rFonts w:ascii="Times New Roman" w:hAnsi="Times New Roman" w:eastAsia="Times New Roman"/>
                <w:sz w:val="18"/>
              </w:rPr>
              <w:t>APHV</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5C3B52E">
            <w:pPr>
              <w:spacing w:before="0" w:after="0" w:line="240" w:lineRule="auto"/>
              <w:jc w:val="center"/>
            </w:pPr>
            <w:r>
              <w:rPr>
                <w:rFonts w:ascii="Times New Roman" w:hAnsi="Times New Roman" w:eastAsia="Times New Roman"/>
                <w:sz w:val="18"/>
              </w:rPr>
              <w:t>U12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00A822E">
            <w:pPr>
              <w:spacing w:before="0" w:after="0" w:line="240" w:lineRule="auto"/>
              <w:jc w:val="center"/>
            </w:pPr>
            <w:r>
              <w:rPr>
                <w:rFonts w:ascii="Times New Roman" w:hAnsi="Times New Roman" w:eastAsia="Times New Roman"/>
                <w:sz w:val="18"/>
              </w:rPr>
              <w:t>Moore (2015)</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2E30BFC1">
            <w:pPr>
              <w:spacing w:before="0" w:after="0" w:line="240" w:lineRule="auto"/>
              <w:jc w:val="center"/>
            </w:pPr>
            <w:r>
              <w:rPr>
                <w:rFonts w:ascii="Times New Roman" w:hAnsi="Times New Roman" w:eastAsia="Times New Roman"/>
                <w:sz w:val="18"/>
              </w:rPr>
              <w:t>100.496</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1F392CED">
            <w:pPr>
              <w:spacing w:before="0" w:after="0" w:line="240" w:lineRule="auto"/>
              <w:jc w:val="center"/>
            </w:pPr>
            <w:r>
              <w:rPr>
                <w:rFonts w:ascii="Times New Roman" w:hAnsi="Times New Roman" w:eastAsia="Times New Roman"/>
                <w:sz w:val="18"/>
              </w:rPr>
              <w:t>88.041</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F7D5118">
            <w:pPr>
              <w:spacing w:before="0" w:after="0" w:line="240" w:lineRule="auto"/>
              <w:jc w:val="center"/>
            </w:pPr>
            <w:r>
              <w:rPr>
                <w:rFonts w:ascii="Times New Roman" w:hAnsi="Times New Roman" w:eastAsia="Times New Roman"/>
                <w:sz w:val="18"/>
              </w:rPr>
              <w:t>&lt;0.001</w:t>
            </w:r>
          </w:p>
        </w:tc>
      </w:tr>
      <w:tr w14:paraId="6960E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0418B36">
            <w:pPr>
              <w:spacing w:before="0" w:after="0" w:line="240" w:lineRule="auto"/>
              <w:jc w:val="center"/>
            </w:pPr>
            <w:r>
              <w:rPr>
                <w:rFonts w:ascii="Times New Roman" w:hAnsi="Times New Roman" w:eastAsia="Times New Roman"/>
                <w:sz w:val="18"/>
              </w:rPr>
              <w:t>APHV</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D86855C">
            <w:pPr>
              <w:spacing w:before="0" w:after="0" w:line="240" w:lineRule="auto"/>
              <w:jc w:val="center"/>
            </w:pPr>
            <w:r>
              <w:rPr>
                <w:rFonts w:ascii="Times New Roman" w:hAnsi="Times New Roman" w:eastAsia="Times New Roman"/>
                <w:sz w:val="18"/>
              </w:rPr>
              <w:t>U12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CB70618">
            <w:pPr>
              <w:spacing w:before="0" w:after="0" w:line="240" w:lineRule="auto"/>
              <w:jc w:val="center"/>
            </w:pPr>
            <w:r>
              <w:rPr>
                <w:rFonts w:ascii="Times New Roman" w:hAnsi="Times New Roman" w:eastAsia="Times New Roman"/>
                <w:sz w:val="18"/>
              </w:rPr>
              <w:t>Fransen (2018)</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471A13B">
            <w:pPr>
              <w:spacing w:before="0" w:after="0" w:line="240" w:lineRule="auto"/>
              <w:jc w:val="center"/>
            </w:pPr>
            <w:r>
              <w:rPr>
                <w:rFonts w:ascii="Times New Roman" w:hAnsi="Times New Roman" w:eastAsia="Times New Roman"/>
                <w:sz w:val="18"/>
              </w:rPr>
              <w:t>99.661</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26433E76">
            <w:pPr>
              <w:spacing w:before="0" w:after="0" w:line="240" w:lineRule="auto"/>
              <w:jc w:val="center"/>
            </w:pPr>
            <w:r>
              <w:rPr>
                <w:rFonts w:ascii="Times New Roman" w:hAnsi="Times New Roman" w:eastAsia="Times New Roman"/>
                <w:sz w:val="18"/>
              </w:rPr>
              <w:t>88.876</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CBFE92A">
            <w:pPr>
              <w:spacing w:before="0" w:after="0" w:line="240" w:lineRule="auto"/>
              <w:jc w:val="center"/>
            </w:pPr>
            <w:r>
              <w:rPr>
                <w:rFonts w:ascii="Times New Roman" w:hAnsi="Times New Roman" w:eastAsia="Times New Roman"/>
                <w:sz w:val="18"/>
              </w:rPr>
              <w:t>&lt;0.001</w:t>
            </w:r>
          </w:p>
        </w:tc>
      </w:tr>
      <w:tr w14:paraId="47BD13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5B97ED7">
            <w:pPr>
              <w:spacing w:before="0" w:after="0" w:line="240" w:lineRule="auto"/>
              <w:jc w:val="center"/>
            </w:pPr>
            <w:r>
              <w:rPr>
                <w:rFonts w:ascii="Times New Roman" w:hAnsi="Times New Roman" w:eastAsia="Times New Roman"/>
                <w:sz w:val="18"/>
              </w:rPr>
              <w:t>APHV</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7843D76B">
            <w:pPr>
              <w:spacing w:before="0" w:after="0" w:line="240" w:lineRule="auto"/>
              <w:jc w:val="center"/>
            </w:pPr>
            <w:r>
              <w:rPr>
                <w:rFonts w:ascii="Times New Roman" w:hAnsi="Times New Roman" w:eastAsia="Times New Roman"/>
                <w:sz w:val="18"/>
              </w:rPr>
              <w:t>U13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DAC117D">
            <w:pPr>
              <w:spacing w:before="0" w:after="0" w:line="240" w:lineRule="auto"/>
              <w:jc w:val="center"/>
            </w:pPr>
            <w:r>
              <w:rPr>
                <w:rFonts w:ascii="Times New Roman" w:hAnsi="Times New Roman" w:eastAsia="Times New Roman"/>
                <w:sz w:val="18"/>
              </w:rPr>
              <w:t>Mirwald (2002)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2D27DEB9">
            <w:pPr>
              <w:spacing w:before="0" w:after="0" w:line="240" w:lineRule="auto"/>
              <w:jc w:val="center"/>
            </w:pPr>
            <w:r>
              <w:rPr>
                <w:rFonts w:ascii="Times New Roman" w:hAnsi="Times New Roman" w:eastAsia="Times New Roman"/>
                <w:sz w:val="18"/>
              </w:rPr>
              <w:t>240.849</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D9831C7">
            <w:pPr>
              <w:spacing w:before="0" w:after="0" w:line="240" w:lineRule="auto"/>
              <w:jc w:val="center"/>
            </w:pPr>
            <w:r>
              <w:rPr>
                <w:rFonts w:ascii="Times New Roman" w:hAnsi="Times New Roman" w:eastAsia="Times New Roman"/>
                <w:sz w:val="18"/>
              </w:rPr>
              <w:t>113.816</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2BA7F94">
            <w:pPr>
              <w:spacing w:before="0" w:after="0" w:line="240" w:lineRule="auto"/>
              <w:jc w:val="center"/>
            </w:pPr>
            <w:r>
              <w:rPr>
                <w:rFonts w:ascii="Times New Roman" w:hAnsi="Times New Roman" w:eastAsia="Times New Roman"/>
                <w:sz w:val="18"/>
              </w:rPr>
              <w:t>&lt;0.001</w:t>
            </w:r>
          </w:p>
        </w:tc>
      </w:tr>
      <w:tr w14:paraId="033EB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3BB4350A">
            <w:pPr>
              <w:spacing w:before="0" w:after="0" w:line="240" w:lineRule="auto"/>
              <w:jc w:val="center"/>
            </w:pPr>
            <w:r>
              <w:rPr>
                <w:rFonts w:ascii="Times New Roman" w:hAnsi="Times New Roman" w:eastAsia="Times New Roman"/>
                <w:sz w:val="18"/>
              </w:rPr>
              <w:t>APHV</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B639B99">
            <w:pPr>
              <w:spacing w:before="0" w:after="0" w:line="240" w:lineRule="auto"/>
              <w:jc w:val="center"/>
            </w:pPr>
            <w:r>
              <w:rPr>
                <w:rFonts w:ascii="Times New Roman" w:hAnsi="Times New Roman" w:eastAsia="Times New Roman"/>
                <w:sz w:val="18"/>
              </w:rPr>
              <w:t>U13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75503B1">
            <w:pPr>
              <w:spacing w:before="0" w:after="0" w:line="240" w:lineRule="auto"/>
              <w:jc w:val="center"/>
            </w:pPr>
            <w:r>
              <w:rPr>
                <w:rFonts w:ascii="Times New Roman" w:hAnsi="Times New Roman" w:eastAsia="Times New Roman"/>
                <w:sz w:val="18"/>
              </w:rPr>
              <w:t>Moore (2015)</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37B5F3C">
            <w:pPr>
              <w:spacing w:before="0" w:after="0" w:line="240" w:lineRule="auto"/>
              <w:jc w:val="center"/>
            </w:pPr>
            <w:r>
              <w:rPr>
                <w:rFonts w:ascii="Times New Roman" w:hAnsi="Times New Roman" w:eastAsia="Times New Roman"/>
                <w:sz w:val="18"/>
              </w:rPr>
              <w:t>239.624</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F017B02">
            <w:pPr>
              <w:spacing w:before="0" w:after="0" w:line="240" w:lineRule="auto"/>
              <w:jc w:val="center"/>
            </w:pPr>
            <w:r>
              <w:rPr>
                <w:rFonts w:ascii="Times New Roman" w:hAnsi="Times New Roman" w:eastAsia="Times New Roman"/>
                <w:sz w:val="18"/>
              </w:rPr>
              <w:t>115.042</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46D8B905">
            <w:pPr>
              <w:spacing w:before="0" w:after="0" w:line="240" w:lineRule="auto"/>
              <w:jc w:val="center"/>
            </w:pPr>
            <w:r>
              <w:rPr>
                <w:rFonts w:ascii="Times New Roman" w:hAnsi="Times New Roman" w:eastAsia="Times New Roman"/>
                <w:sz w:val="18"/>
              </w:rPr>
              <w:t>&lt;0.001</w:t>
            </w:r>
          </w:p>
        </w:tc>
      </w:tr>
      <w:tr w14:paraId="6FA79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1923B062">
            <w:pPr>
              <w:spacing w:before="0" w:after="0" w:line="240" w:lineRule="auto"/>
              <w:jc w:val="center"/>
            </w:pPr>
            <w:r>
              <w:rPr>
                <w:rFonts w:ascii="Times New Roman" w:hAnsi="Times New Roman" w:eastAsia="Times New Roman"/>
                <w:sz w:val="18"/>
              </w:rPr>
              <w:t>APHV</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0932522F">
            <w:pPr>
              <w:spacing w:before="0" w:after="0" w:line="240" w:lineRule="auto"/>
              <w:jc w:val="center"/>
            </w:pPr>
            <w:r>
              <w:rPr>
                <w:rFonts w:ascii="Times New Roman" w:hAnsi="Times New Roman" w:eastAsia="Times New Roman"/>
                <w:sz w:val="18"/>
              </w:rPr>
              <w:t>U13</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A87907D">
            <w:pPr>
              <w:spacing w:before="0" w:after="0" w:line="240" w:lineRule="auto"/>
              <w:jc w:val="center"/>
            </w:pPr>
            <w:r>
              <w:rPr>
                <w:rFonts w:ascii="Times New Roman" w:hAnsi="Times New Roman" w:eastAsia="Times New Roman"/>
                <w:sz w:val="18"/>
              </w:rPr>
              <w:t>Fransen (2018)</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6DBF0D2F">
            <w:pPr>
              <w:spacing w:before="0" w:after="0" w:line="240" w:lineRule="auto"/>
              <w:jc w:val="center"/>
            </w:pPr>
            <w:r>
              <w:rPr>
                <w:rFonts w:ascii="Times New Roman" w:hAnsi="Times New Roman" w:eastAsia="Times New Roman"/>
                <w:sz w:val="18"/>
              </w:rPr>
              <w:t>266.858</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569B4FD">
            <w:pPr>
              <w:spacing w:before="0" w:after="0" w:line="240" w:lineRule="auto"/>
              <w:jc w:val="center"/>
            </w:pPr>
            <w:r>
              <w:rPr>
                <w:rFonts w:ascii="Times New Roman" w:hAnsi="Times New Roman" w:eastAsia="Times New Roman"/>
                <w:sz w:val="18"/>
              </w:rPr>
              <w:t>87.808</w:t>
            </w:r>
          </w:p>
        </w:tc>
        <w:tc>
          <w:tcPr>
            <w:tcW w:w="1624" w:type="dxa"/>
            <w:tcBorders>
              <w:top w:val="single" w:color="000000" w:sz="4" w:space="0"/>
              <w:left w:val="single" w:color="000000" w:sz="4" w:space="0"/>
              <w:bottom w:val="single" w:color="000000" w:sz="4" w:space="0"/>
              <w:right w:val="single" w:color="000000" w:sz="4" w:space="0"/>
            </w:tcBorders>
            <w:shd w:val="clear" w:color="auto" w:fill="FFFFFF"/>
            <w:tcMar>
              <w:top w:w="60" w:type="dxa"/>
              <w:left w:w="70" w:type="dxa"/>
              <w:bottom w:w="60" w:type="dxa"/>
              <w:right w:w="70" w:type="dxa"/>
            </w:tcMar>
            <w:vAlign w:val="center"/>
          </w:tcPr>
          <w:p w14:paraId="535143EC">
            <w:pPr>
              <w:spacing w:before="0" w:after="0" w:line="240" w:lineRule="auto"/>
              <w:jc w:val="center"/>
            </w:pPr>
            <w:r>
              <w:rPr>
                <w:rFonts w:ascii="Times New Roman" w:hAnsi="Times New Roman" w:eastAsia="Times New Roman"/>
                <w:sz w:val="18"/>
              </w:rPr>
              <w:t>&lt;0.001</w:t>
            </w:r>
          </w:p>
        </w:tc>
      </w:tr>
    </w:tbl>
    <w:p w14:paraId="0A910984"/>
    <w:p w14:paraId="7926CEA9">
      <w:pPr>
        <w:spacing w:before="160" w:after="80"/>
      </w:pPr>
      <w:r>
        <w:rPr>
          <w:rFonts w:ascii="Times New Roman" w:hAnsi="Times New Roman" w:eastAsia="Times New Roman"/>
          <w:b/>
          <w:sz w:val="22"/>
        </w:rPr>
        <w:t>Supplementary Table S2. Comparison of the three PHV-prediction models: predicted-value dispersion, Pearson correlation, and individual-level error against the skeletal-age offset (SO)</w:t>
      </w:r>
    </w:p>
    <w:p w14:paraId="60D3350F">
      <w:pPr>
        <w:spacing w:after="120"/>
        <w:jc w:val="both"/>
      </w:pPr>
      <w:r>
        <w:rPr>
          <w:rFonts w:ascii="Times New Roman" w:hAnsi="Times New Roman" w:eastAsia="Times New Roman"/>
          <w:sz w:val="22"/>
        </w:rPr>
        <w:t>Predicted age at peak height velocity (APHV) is summarised by age group and model. Individual-level error (MAE, RMSE) and proportional bias were computed from the difference between SO and the APHV index centred within each age group and model (the same complementary Bland–Altman framework as Table 10). All correlations were significant at p &lt; 0.001.</w:t>
      </w:r>
    </w:p>
    <w:tbl>
      <w:tblPr>
        <w:tblStyle w:val="33"/>
        <w:tblW w:w="974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19"/>
        <w:gridCol w:w="1116"/>
        <w:gridCol w:w="1728"/>
        <w:gridCol w:w="1551"/>
        <w:gridCol w:w="1149"/>
        <w:gridCol w:w="991"/>
        <w:gridCol w:w="1084"/>
        <w:gridCol w:w="1506"/>
      </w:tblGrid>
      <w:tr w14:paraId="432F6B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19" w:type="dxa"/>
            <w:tcMar>
              <w:top w:w="60" w:type="dxa"/>
              <w:left w:w="70" w:type="dxa"/>
              <w:bottom w:w="60" w:type="dxa"/>
              <w:right w:w="70" w:type="dxa"/>
            </w:tcMar>
            <w:vAlign w:val="center"/>
          </w:tcPr>
          <w:p w14:paraId="21A77078">
            <w:pPr>
              <w:snapToGrid w:val="0"/>
              <w:spacing w:before="0" w:after="0" w:line="240" w:lineRule="auto"/>
              <w:jc w:val="center"/>
            </w:pPr>
            <w:r>
              <w:rPr>
                <w:rFonts w:ascii="Times New Roman" w:hAnsi="Times New Roman" w:eastAsia="Times New Roman"/>
                <w:b/>
                <w:sz w:val="18"/>
              </w:rPr>
              <w:t>Age</w:t>
            </w:r>
          </w:p>
        </w:tc>
        <w:tc>
          <w:tcPr>
            <w:tcW w:w="1116" w:type="dxa"/>
            <w:tcMar>
              <w:top w:w="60" w:type="dxa"/>
              <w:left w:w="70" w:type="dxa"/>
              <w:bottom w:w="60" w:type="dxa"/>
              <w:right w:w="70" w:type="dxa"/>
            </w:tcMar>
            <w:vAlign w:val="center"/>
          </w:tcPr>
          <w:p w14:paraId="2F927447">
            <w:pPr>
              <w:snapToGrid w:val="0"/>
              <w:spacing w:before="0" w:after="0" w:line="240" w:lineRule="auto"/>
              <w:jc w:val="center"/>
            </w:pPr>
            <w:r>
              <w:rPr>
                <w:rFonts w:ascii="Times New Roman" w:hAnsi="Times New Roman" w:eastAsia="Times New Roman"/>
                <w:b/>
                <w:sz w:val="18"/>
              </w:rPr>
              <w:t>Model</w:t>
            </w:r>
          </w:p>
        </w:tc>
        <w:tc>
          <w:tcPr>
            <w:tcW w:w="1728" w:type="dxa"/>
            <w:tcMar>
              <w:top w:w="60" w:type="dxa"/>
              <w:left w:w="70" w:type="dxa"/>
              <w:bottom w:w="60" w:type="dxa"/>
              <w:right w:w="70" w:type="dxa"/>
            </w:tcMar>
            <w:vAlign w:val="center"/>
          </w:tcPr>
          <w:p w14:paraId="2083829D">
            <w:pPr>
              <w:snapToGrid w:val="0"/>
              <w:spacing w:before="0" w:after="0" w:line="240" w:lineRule="auto"/>
              <w:jc w:val="center"/>
            </w:pPr>
            <w:r>
              <w:rPr>
                <w:rFonts w:ascii="Times New Roman" w:hAnsi="Times New Roman" w:eastAsia="Times New Roman"/>
                <w:b/>
                <w:sz w:val="18"/>
              </w:rPr>
              <w:t>APHV, mean (SD), years</w:t>
            </w:r>
          </w:p>
        </w:tc>
        <w:tc>
          <w:tcPr>
            <w:tcW w:w="1551" w:type="dxa"/>
            <w:tcMar>
              <w:top w:w="60" w:type="dxa"/>
              <w:left w:w="70" w:type="dxa"/>
              <w:bottom w:w="60" w:type="dxa"/>
              <w:right w:w="70" w:type="dxa"/>
            </w:tcMar>
            <w:vAlign w:val="center"/>
          </w:tcPr>
          <w:p w14:paraId="70368B10">
            <w:pPr>
              <w:snapToGrid w:val="0"/>
              <w:spacing w:before="0" w:after="0" w:line="240" w:lineRule="auto"/>
              <w:jc w:val="center"/>
            </w:pPr>
            <w:r>
              <w:rPr>
                <w:rFonts w:ascii="Times New Roman" w:hAnsi="Times New Roman" w:eastAsia="Times New Roman"/>
                <w:b/>
                <w:sz w:val="18"/>
              </w:rPr>
              <w:t>APHV range, years</w:t>
            </w:r>
          </w:p>
        </w:tc>
        <w:tc>
          <w:tcPr>
            <w:tcW w:w="1149" w:type="dxa"/>
            <w:tcMar>
              <w:top w:w="60" w:type="dxa"/>
              <w:left w:w="70" w:type="dxa"/>
              <w:bottom w:w="60" w:type="dxa"/>
              <w:right w:w="70" w:type="dxa"/>
            </w:tcMar>
            <w:vAlign w:val="center"/>
          </w:tcPr>
          <w:p w14:paraId="7781D055">
            <w:pPr>
              <w:snapToGrid w:val="0"/>
              <w:spacing w:before="0" w:after="0" w:line="240" w:lineRule="auto"/>
              <w:jc w:val="center"/>
            </w:pPr>
            <w:r>
              <w:rPr>
                <w:rFonts w:ascii="Times New Roman" w:hAnsi="Times New Roman" w:eastAsia="Times New Roman"/>
                <w:b/>
                <w:sz w:val="18"/>
              </w:rPr>
              <w:t>r (SO, APHV)</w:t>
            </w:r>
          </w:p>
        </w:tc>
        <w:tc>
          <w:tcPr>
            <w:tcW w:w="991" w:type="dxa"/>
            <w:tcMar>
              <w:top w:w="60" w:type="dxa"/>
              <w:left w:w="70" w:type="dxa"/>
              <w:bottom w:w="60" w:type="dxa"/>
              <w:right w:w="70" w:type="dxa"/>
            </w:tcMar>
            <w:vAlign w:val="center"/>
          </w:tcPr>
          <w:p w14:paraId="4A223FE5">
            <w:pPr>
              <w:snapToGrid w:val="0"/>
              <w:spacing w:before="0" w:after="0" w:line="240" w:lineRule="auto"/>
              <w:jc w:val="center"/>
            </w:pPr>
            <w:r>
              <w:rPr>
                <w:rFonts w:ascii="Times New Roman" w:hAnsi="Times New Roman" w:eastAsia="Times New Roman"/>
                <w:b/>
                <w:sz w:val="18"/>
              </w:rPr>
              <w:t>MAE, years</w:t>
            </w:r>
          </w:p>
        </w:tc>
        <w:tc>
          <w:tcPr>
            <w:tcW w:w="1084" w:type="dxa"/>
            <w:tcMar>
              <w:top w:w="60" w:type="dxa"/>
              <w:left w:w="70" w:type="dxa"/>
              <w:bottom w:w="60" w:type="dxa"/>
              <w:right w:w="70" w:type="dxa"/>
            </w:tcMar>
            <w:vAlign w:val="center"/>
          </w:tcPr>
          <w:p w14:paraId="1EFA0724">
            <w:pPr>
              <w:snapToGrid w:val="0"/>
              <w:spacing w:before="0" w:after="0" w:line="240" w:lineRule="auto"/>
              <w:jc w:val="center"/>
            </w:pPr>
            <w:r>
              <w:rPr>
                <w:rFonts w:ascii="Times New Roman" w:hAnsi="Times New Roman" w:eastAsia="Times New Roman"/>
                <w:b/>
                <w:sz w:val="18"/>
              </w:rPr>
              <w:t>RMSE, years</w:t>
            </w:r>
          </w:p>
        </w:tc>
        <w:tc>
          <w:tcPr>
            <w:tcW w:w="1506" w:type="dxa"/>
            <w:tcMar>
              <w:top w:w="60" w:type="dxa"/>
              <w:left w:w="70" w:type="dxa"/>
              <w:bottom w:w="60" w:type="dxa"/>
              <w:right w:w="70" w:type="dxa"/>
            </w:tcMar>
            <w:vAlign w:val="center"/>
          </w:tcPr>
          <w:p w14:paraId="78F0A679">
            <w:pPr>
              <w:snapToGrid w:val="0"/>
              <w:spacing w:before="0" w:after="0" w:line="240" w:lineRule="auto"/>
              <w:jc w:val="center"/>
            </w:pPr>
            <w:r>
              <w:rPr>
                <w:rFonts w:ascii="Times New Roman" w:hAnsi="Times New Roman" w:eastAsia="Times New Roman"/>
                <w:b/>
                <w:sz w:val="18"/>
              </w:rPr>
              <w:t>Proportional-bias r</w:t>
            </w:r>
          </w:p>
        </w:tc>
      </w:tr>
      <w:tr w14:paraId="12159F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19" w:type="dxa"/>
            <w:tcMar>
              <w:top w:w="60" w:type="dxa"/>
              <w:left w:w="70" w:type="dxa"/>
              <w:bottom w:w="60" w:type="dxa"/>
              <w:right w:w="70" w:type="dxa"/>
            </w:tcMar>
            <w:vAlign w:val="center"/>
          </w:tcPr>
          <w:p w14:paraId="0D30EF2E">
            <w:pPr>
              <w:snapToGrid w:val="0"/>
              <w:spacing w:before="0" w:after="0" w:line="240" w:lineRule="auto"/>
              <w:jc w:val="center"/>
            </w:pPr>
            <w:r>
              <w:rPr>
                <w:rFonts w:ascii="Times New Roman" w:hAnsi="Times New Roman" w:eastAsia="Times New Roman"/>
                <w:sz w:val="18"/>
              </w:rPr>
              <w:t>U12</w:t>
            </w:r>
          </w:p>
        </w:tc>
        <w:tc>
          <w:tcPr>
            <w:tcW w:w="1116" w:type="dxa"/>
            <w:tcMar>
              <w:top w:w="60" w:type="dxa"/>
              <w:left w:w="70" w:type="dxa"/>
              <w:bottom w:w="60" w:type="dxa"/>
              <w:right w:w="70" w:type="dxa"/>
            </w:tcMar>
            <w:vAlign w:val="center"/>
          </w:tcPr>
          <w:p w14:paraId="29547527">
            <w:pPr>
              <w:snapToGrid w:val="0"/>
              <w:spacing w:before="0" w:after="0" w:line="240" w:lineRule="auto"/>
              <w:jc w:val="center"/>
            </w:pPr>
            <w:r>
              <w:rPr>
                <w:rFonts w:ascii="Times New Roman" w:hAnsi="Times New Roman" w:eastAsia="Times New Roman"/>
                <w:sz w:val="18"/>
              </w:rPr>
              <w:t>Mirwald (2002)</w:t>
            </w:r>
          </w:p>
        </w:tc>
        <w:tc>
          <w:tcPr>
            <w:tcW w:w="1728" w:type="dxa"/>
            <w:tcMar>
              <w:top w:w="60" w:type="dxa"/>
              <w:left w:w="70" w:type="dxa"/>
              <w:bottom w:w="60" w:type="dxa"/>
              <w:right w:w="70" w:type="dxa"/>
            </w:tcMar>
            <w:vAlign w:val="center"/>
          </w:tcPr>
          <w:p w14:paraId="281F30E9">
            <w:pPr>
              <w:snapToGrid w:val="0"/>
              <w:spacing w:before="0" w:after="0" w:line="240" w:lineRule="auto"/>
              <w:jc w:val="center"/>
            </w:pPr>
            <w:r>
              <w:rPr>
                <w:rFonts w:ascii="Times New Roman" w:hAnsi="Times New Roman" w:eastAsia="Times New Roman"/>
                <w:sz w:val="18"/>
              </w:rPr>
              <w:t>13.46 (0.57)</w:t>
            </w:r>
          </w:p>
        </w:tc>
        <w:tc>
          <w:tcPr>
            <w:tcW w:w="1551" w:type="dxa"/>
            <w:tcMar>
              <w:top w:w="60" w:type="dxa"/>
              <w:left w:w="70" w:type="dxa"/>
              <w:bottom w:w="60" w:type="dxa"/>
              <w:right w:w="70" w:type="dxa"/>
            </w:tcMar>
            <w:vAlign w:val="center"/>
          </w:tcPr>
          <w:p w14:paraId="4FA42905">
            <w:pPr>
              <w:snapToGrid w:val="0"/>
              <w:spacing w:before="0" w:after="0" w:line="240" w:lineRule="auto"/>
              <w:jc w:val="center"/>
            </w:pPr>
            <w:r>
              <w:rPr>
                <w:rFonts w:ascii="Times New Roman" w:hAnsi="Times New Roman" w:eastAsia="Times New Roman"/>
                <w:sz w:val="18"/>
              </w:rPr>
              <w:t>11.58–14.52 (2.94)</w:t>
            </w:r>
          </w:p>
        </w:tc>
        <w:tc>
          <w:tcPr>
            <w:tcW w:w="1149" w:type="dxa"/>
            <w:tcMar>
              <w:top w:w="60" w:type="dxa"/>
              <w:left w:w="70" w:type="dxa"/>
              <w:bottom w:w="60" w:type="dxa"/>
              <w:right w:w="70" w:type="dxa"/>
            </w:tcMar>
            <w:vAlign w:val="center"/>
          </w:tcPr>
          <w:p w14:paraId="67C67E81">
            <w:pPr>
              <w:snapToGrid w:val="0"/>
              <w:spacing w:before="0" w:after="0" w:line="240" w:lineRule="auto"/>
              <w:jc w:val="center"/>
            </w:pPr>
            <w:r>
              <w:rPr>
                <w:rFonts w:ascii="Times New Roman" w:hAnsi="Times New Roman" w:eastAsia="Times New Roman"/>
                <w:sz w:val="18"/>
              </w:rPr>
              <w:t>-0.797</w:t>
            </w:r>
          </w:p>
        </w:tc>
        <w:tc>
          <w:tcPr>
            <w:tcW w:w="991" w:type="dxa"/>
            <w:tcMar>
              <w:top w:w="60" w:type="dxa"/>
              <w:left w:w="70" w:type="dxa"/>
              <w:bottom w:w="60" w:type="dxa"/>
              <w:right w:w="70" w:type="dxa"/>
            </w:tcMar>
            <w:vAlign w:val="center"/>
          </w:tcPr>
          <w:p w14:paraId="44F004F6">
            <w:pPr>
              <w:snapToGrid w:val="0"/>
              <w:spacing w:before="0" w:after="0" w:line="240" w:lineRule="auto"/>
              <w:jc w:val="center"/>
            </w:pPr>
            <w:r>
              <w:rPr>
                <w:rFonts w:ascii="Times New Roman" w:hAnsi="Times New Roman" w:eastAsia="Times New Roman"/>
                <w:sz w:val="18"/>
              </w:rPr>
              <w:t>0.46</w:t>
            </w:r>
          </w:p>
        </w:tc>
        <w:tc>
          <w:tcPr>
            <w:tcW w:w="1084" w:type="dxa"/>
            <w:tcMar>
              <w:top w:w="60" w:type="dxa"/>
              <w:left w:w="70" w:type="dxa"/>
              <w:bottom w:w="60" w:type="dxa"/>
              <w:right w:w="70" w:type="dxa"/>
            </w:tcMar>
            <w:vAlign w:val="center"/>
          </w:tcPr>
          <w:p w14:paraId="46FB3300">
            <w:pPr>
              <w:snapToGrid w:val="0"/>
              <w:spacing w:before="0" w:after="0" w:line="240" w:lineRule="auto"/>
              <w:jc w:val="center"/>
            </w:pPr>
            <w:r>
              <w:rPr>
                <w:rFonts w:ascii="Times New Roman" w:hAnsi="Times New Roman" w:eastAsia="Times New Roman"/>
                <w:sz w:val="18"/>
              </w:rPr>
              <w:t>0.60</w:t>
            </w:r>
          </w:p>
        </w:tc>
        <w:tc>
          <w:tcPr>
            <w:tcW w:w="1506" w:type="dxa"/>
            <w:tcMar>
              <w:top w:w="60" w:type="dxa"/>
              <w:left w:w="70" w:type="dxa"/>
              <w:bottom w:w="60" w:type="dxa"/>
              <w:right w:w="70" w:type="dxa"/>
            </w:tcMar>
            <w:vAlign w:val="center"/>
          </w:tcPr>
          <w:p w14:paraId="2DE0547A">
            <w:pPr>
              <w:snapToGrid w:val="0"/>
              <w:spacing w:before="0" w:after="0" w:line="240" w:lineRule="auto"/>
              <w:jc w:val="center"/>
            </w:pPr>
            <w:r>
              <w:rPr>
                <w:rFonts w:ascii="Times New Roman" w:hAnsi="Times New Roman" w:eastAsia="Times New Roman"/>
                <w:sz w:val="18"/>
              </w:rPr>
              <w:t>0.651</w:t>
            </w:r>
          </w:p>
        </w:tc>
      </w:tr>
      <w:tr w14:paraId="1626B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19" w:type="dxa"/>
            <w:tcMar>
              <w:top w:w="60" w:type="dxa"/>
              <w:left w:w="70" w:type="dxa"/>
              <w:bottom w:w="60" w:type="dxa"/>
              <w:right w:w="70" w:type="dxa"/>
            </w:tcMar>
            <w:vAlign w:val="center"/>
          </w:tcPr>
          <w:p w14:paraId="628610B9">
            <w:pPr>
              <w:snapToGrid w:val="0"/>
              <w:spacing w:before="0" w:after="0" w:line="240" w:lineRule="auto"/>
              <w:jc w:val="center"/>
            </w:pPr>
            <w:r>
              <w:rPr>
                <w:rFonts w:ascii="Times New Roman" w:hAnsi="Times New Roman" w:eastAsia="Times New Roman"/>
                <w:sz w:val="18"/>
              </w:rPr>
              <w:t>U12</w:t>
            </w:r>
          </w:p>
        </w:tc>
        <w:tc>
          <w:tcPr>
            <w:tcW w:w="1116" w:type="dxa"/>
            <w:tcMar>
              <w:top w:w="60" w:type="dxa"/>
              <w:left w:w="70" w:type="dxa"/>
              <w:bottom w:w="60" w:type="dxa"/>
              <w:right w:w="70" w:type="dxa"/>
            </w:tcMar>
            <w:vAlign w:val="center"/>
          </w:tcPr>
          <w:p w14:paraId="40245A63">
            <w:pPr>
              <w:snapToGrid w:val="0"/>
              <w:spacing w:before="0" w:after="0" w:line="240" w:lineRule="auto"/>
              <w:jc w:val="center"/>
              <w:rPr>
                <w:rFonts w:ascii="Times New Roman" w:hAnsi="Times New Roman" w:eastAsia="Times New Roman"/>
                <w:sz w:val="18"/>
              </w:rPr>
            </w:pPr>
            <w:r>
              <w:rPr>
                <w:rFonts w:ascii="Times New Roman" w:hAnsi="Times New Roman" w:eastAsia="Times New Roman"/>
                <w:sz w:val="18"/>
              </w:rPr>
              <w:t>Moore</w:t>
            </w:r>
          </w:p>
          <w:p w14:paraId="4C3C6658">
            <w:pPr>
              <w:snapToGrid w:val="0"/>
              <w:spacing w:before="0" w:after="0" w:line="240" w:lineRule="auto"/>
              <w:jc w:val="center"/>
            </w:pPr>
            <w:r>
              <w:rPr>
                <w:rFonts w:ascii="Times New Roman" w:hAnsi="Times New Roman" w:eastAsia="Times New Roman"/>
                <w:sz w:val="18"/>
              </w:rPr>
              <w:t>(2015)</w:t>
            </w:r>
          </w:p>
        </w:tc>
        <w:tc>
          <w:tcPr>
            <w:tcW w:w="1728" w:type="dxa"/>
            <w:tcMar>
              <w:top w:w="60" w:type="dxa"/>
              <w:left w:w="70" w:type="dxa"/>
              <w:bottom w:w="60" w:type="dxa"/>
              <w:right w:w="70" w:type="dxa"/>
            </w:tcMar>
            <w:vAlign w:val="center"/>
          </w:tcPr>
          <w:p w14:paraId="442F0F57">
            <w:pPr>
              <w:snapToGrid w:val="0"/>
              <w:spacing w:before="0" w:after="0" w:line="240" w:lineRule="auto"/>
              <w:jc w:val="center"/>
            </w:pPr>
            <w:r>
              <w:rPr>
                <w:rFonts w:ascii="Times New Roman" w:hAnsi="Times New Roman" w:eastAsia="Times New Roman"/>
                <w:sz w:val="18"/>
              </w:rPr>
              <w:t>13.32 (0.40)</w:t>
            </w:r>
          </w:p>
        </w:tc>
        <w:tc>
          <w:tcPr>
            <w:tcW w:w="1551" w:type="dxa"/>
            <w:tcMar>
              <w:top w:w="60" w:type="dxa"/>
              <w:left w:w="70" w:type="dxa"/>
              <w:bottom w:w="60" w:type="dxa"/>
              <w:right w:w="70" w:type="dxa"/>
            </w:tcMar>
            <w:vAlign w:val="center"/>
          </w:tcPr>
          <w:p w14:paraId="5C6C607C">
            <w:pPr>
              <w:snapToGrid w:val="0"/>
              <w:spacing w:before="0" w:after="0" w:line="240" w:lineRule="auto"/>
              <w:jc w:val="center"/>
            </w:pPr>
            <w:r>
              <w:rPr>
                <w:rFonts w:ascii="Times New Roman" w:hAnsi="Times New Roman" w:eastAsia="Times New Roman"/>
                <w:sz w:val="18"/>
              </w:rPr>
              <w:t>12.24–14.45 (2.21)</w:t>
            </w:r>
          </w:p>
        </w:tc>
        <w:tc>
          <w:tcPr>
            <w:tcW w:w="1149" w:type="dxa"/>
            <w:tcMar>
              <w:top w:w="60" w:type="dxa"/>
              <w:left w:w="70" w:type="dxa"/>
              <w:bottom w:w="60" w:type="dxa"/>
              <w:right w:w="70" w:type="dxa"/>
            </w:tcMar>
            <w:vAlign w:val="center"/>
          </w:tcPr>
          <w:p w14:paraId="44BE53C2">
            <w:pPr>
              <w:snapToGrid w:val="0"/>
              <w:spacing w:before="0" w:after="0" w:line="240" w:lineRule="auto"/>
              <w:jc w:val="center"/>
            </w:pPr>
            <w:r>
              <w:rPr>
                <w:rFonts w:ascii="Times New Roman" w:hAnsi="Times New Roman" w:eastAsia="Times New Roman"/>
                <w:sz w:val="18"/>
              </w:rPr>
              <w:t>-0.777</w:t>
            </w:r>
          </w:p>
        </w:tc>
        <w:tc>
          <w:tcPr>
            <w:tcW w:w="991" w:type="dxa"/>
            <w:tcMar>
              <w:top w:w="60" w:type="dxa"/>
              <w:left w:w="70" w:type="dxa"/>
              <w:bottom w:w="60" w:type="dxa"/>
              <w:right w:w="70" w:type="dxa"/>
            </w:tcMar>
            <w:vAlign w:val="center"/>
          </w:tcPr>
          <w:p w14:paraId="54A003BB">
            <w:pPr>
              <w:snapToGrid w:val="0"/>
              <w:spacing w:before="0" w:after="0" w:line="240" w:lineRule="auto"/>
              <w:jc w:val="center"/>
            </w:pPr>
            <w:r>
              <w:rPr>
                <w:rFonts w:ascii="Times New Roman" w:hAnsi="Times New Roman" w:eastAsia="Times New Roman"/>
                <w:sz w:val="18"/>
              </w:rPr>
              <w:t>0.51</w:t>
            </w:r>
          </w:p>
        </w:tc>
        <w:tc>
          <w:tcPr>
            <w:tcW w:w="1084" w:type="dxa"/>
            <w:tcMar>
              <w:top w:w="60" w:type="dxa"/>
              <w:left w:w="70" w:type="dxa"/>
              <w:bottom w:w="60" w:type="dxa"/>
              <w:right w:w="70" w:type="dxa"/>
            </w:tcMar>
            <w:vAlign w:val="center"/>
          </w:tcPr>
          <w:p w14:paraId="19BBF700">
            <w:pPr>
              <w:snapToGrid w:val="0"/>
              <w:spacing w:before="0" w:after="0" w:line="240" w:lineRule="auto"/>
              <w:jc w:val="center"/>
            </w:pPr>
            <w:r>
              <w:rPr>
                <w:rFonts w:ascii="Times New Roman" w:hAnsi="Times New Roman" w:eastAsia="Times New Roman"/>
                <w:sz w:val="18"/>
              </w:rPr>
              <w:t>0.68</w:t>
            </w:r>
          </w:p>
        </w:tc>
        <w:tc>
          <w:tcPr>
            <w:tcW w:w="1506" w:type="dxa"/>
            <w:tcMar>
              <w:top w:w="60" w:type="dxa"/>
              <w:left w:w="70" w:type="dxa"/>
              <w:bottom w:w="60" w:type="dxa"/>
              <w:right w:w="70" w:type="dxa"/>
            </w:tcMar>
            <w:vAlign w:val="center"/>
          </w:tcPr>
          <w:p w14:paraId="5AFF7B36">
            <w:pPr>
              <w:snapToGrid w:val="0"/>
              <w:spacing w:before="0" w:after="0" w:line="240" w:lineRule="auto"/>
              <w:jc w:val="center"/>
            </w:pPr>
            <w:r>
              <w:rPr>
                <w:rFonts w:ascii="Times New Roman" w:hAnsi="Times New Roman" w:eastAsia="Times New Roman"/>
                <w:sz w:val="18"/>
              </w:rPr>
              <w:t>0.841</w:t>
            </w:r>
          </w:p>
        </w:tc>
      </w:tr>
      <w:tr w14:paraId="585B57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19" w:type="dxa"/>
            <w:tcMar>
              <w:top w:w="60" w:type="dxa"/>
              <w:left w:w="70" w:type="dxa"/>
              <w:bottom w:w="60" w:type="dxa"/>
              <w:right w:w="70" w:type="dxa"/>
            </w:tcMar>
            <w:vAlign w:val="center"/>
          </w:tcPr>
          <w:p w14:paraId="66BAAE13">
            <w:pPr>
              <w:snapToGrid w:val="0"/>
              <w:spacing w:before="0" w:after="0" w:line="240" w:lineRule="auto"/>
              <w:jc w:val="center"/>
            </w:pPr>
            <w:r>
              <w:rPr>
                <w:rFonts w:ascii="Times New Roman" w:hAnsi="Times New Roman" w:eastAsia="Times New Roman"/>
                <w:sz w:val="18"/>
              </w:rPr>
              <w:t>U12</w:t>
            </w:r>
          </w:p>
        </w:tc>
        <w:tc>
          <w:tcPr>
            <w:tcW w:w="1116" w:type="dxa"/>
            <w:tcMar>
              <w:top w:w="60" w:type="dxa"/>
              <w:left w:w="70" w:type="dxa"/>
              <w:bottom w:w="60" w:type="dxa"/>
              <w:right w:w="70" w:type="dxa"/>
            </w:tcMar>
            <w:vAlign w:val="center"/>
          </w:tcPr>
          <w:p w14:paraId="22B4F675">
            <w:pPr>
              <w:snapToGrid w:val="0"/>
              <w:spacing w:before="0" w:after="0" w:line="240" w:lineRule="auto"/>
              <w:jc w:val="center"/>
            </w:pPr>
            <w:r>
              <w:rPr>
                <w:rFonts w:ascii="Times New Roman" w:hAnsi="Times New Roman" w:eastAsia="Times New Roman"/>
                <w:sz w:val="18"/>
              </w:rPr>
              <w:t>Fransen (2018)</w:t>
            </w:r>
          </w:p>
        </w:tc>
        <w:tc>
          <w:tcPr>
            <w:tcW w:w="1728" w:type="dxa"/>
            <w:tcMar>
              <w:top w:w="60" w:type="dxa"/>
              <w:left w:w="70" w:type="dxa"/>
              <w:bottom w:w="60" w:type="dxa"/>
              <w:right w:w="70" w:type="dxa"/>
            </w:tcMar>
            <w:vAlign w:val="center"/>
          </w:tcPr>
          <w:p w14:paraId="135F9B08">
            <w:pPr>
              <w:snapToGrid w:val="0"/>
              <w:spacing w:before="0" w:after="0" w:line="240" w:lineRule="auto"/>
              <w:jc w:val="center"/>
            </w:pPr>
            <w:r>
              <w:rPr>
                <w:rFonts w:ascii="Times New Roman" w:hAnsi="Times New Roman" w:eastAsia="Times New Roman"/>
                <w:sz w:val="18"/>
              </w:rPr>
              <w:t>1</w:t>
            </w:r>
            <w:bookmarkStart w:id="0" w:name="_GoBack"/>
            <w:bookmarkEnd w:id="0"/>
            <w:r>
              <w:rPr>
                <w:rFonts w:ascii="Times New Roman" w:hAnsi="Times New Roman" w:eastAsia="Times New Roman"/>
                <w:sz w:val="18"/>
              </w:rPr>
              <w:t>3.30 (0.73)</w:t>
            </w:r>
          </w:p>
        </w:tc>
        <w:tc>
          <w:tcPr>
            <w:tcW w:w="1551" w:type="dxa"/>
            <w:tcMar>
              <w:top w:w="60" w:type="dxa"/>
              <w:left w:w="70" w:type="dxa"/>
              <w:bottom w:w="60" w:type="dxa"/>
              <w:right w:w="70" w:type="dxa"/>
            </w:tcMar>
            <w:vAlign w:val="center"/>
          </w:tcPr>
          <w:p w14:paraId="55CB420B">
            <w:pPr>
              <w:snapToGrid w:val="0"/>
              <w:spacing w:before="0" w:after="0" w:line="240" w:lineRule="auto"/>
              <w:jc w:val="center"/>
            </w:pPr>
            <w:r>
              <w:rPr>
                <w:rFonts w:ascii="Times New Roman" w:hAnsi="Times New Roman" w:eastAsia="Times New Roman"/>
                <w:sz w:val="18"/>
              </w:rPr>
              <w:t>11.05–14.58 (3.53)</w:t>
            </w:r>
          </w:p>
        </w:tc>
        <w:tc>
          <w:tcPr>
            <w:tcW w:w="1149" w:type="dxa"/>
            <w:tcMar>
              <w:top w:w="60" w:type="dxa"/>
              <w:left w:w="70" w:type="dxa"/>
              <w:bottom w:w="60" w:type="dxa"/>
              <w:right w:w="70" w:type="dxa"/>
            </w:tcMar>
            <w:vAlign w:val="center"/>
          </w:tcPr>
          <w:p w14:paraId="71B18C6A">
            <w:pPr>
              <w:snapToGrid w:val="0"/>
              <w:spacing w:before="0" w:after="0" w:line="240" w:lineRule="auto"/>
              <w:jc w:val="center"/>
            </w:pPr>
            <w:r>
              <w:rPr>
                <w:rFonts w:ascii="Times New Roman" w:hAnsi="Times New Roman" w:eastAsia="Times New Roman"/>
                <w:sz w:val="18"/>
              </w:rPr>
              <w:t>-0.792</w:t>
            </w:r>
          </w:p>
        </w:tc>
        <w:tc>
          <w:tcPr>
            <w:tcW w:w="991" w:type="dxa"/>
            <w:tcMar>
              <w:top w:w="60" w:type="dxa"/>
              <w:left w:w="70" w:type="dxa"/>
              <w:bottom w:w="60" w:type="dxa"/>
              <w:right w:w="70" w:type="dxa"/>
            </w:tcMar>
            <w:vAlign w:val="center"/>
          </w:tcPr>
          <w:p w14:paraId="4364B857">
            <w:pPr>
              <w:snapToGrid w:val="0"/>
              <w:spacing w:before="0" w:after="0" w:line="240" w:lineRule="auto"/>
              <w:jc w:val="center"/>
            </w:pPr>
            <w:r>
              <w:rPr>
                <w:rFonts w:ascii="Times New Roman" w:hAnsi="Times New Roman" w:eastAsia="Times New Roman"/>
                <w:sz w:val="18"/>
              </w:rPr>
              <w:t>0.45</w:t>
            </w:r>
          </w:p>
        </w:tc>
        <w:tc>
          <w:tcPr>
            <w:tcW w:w="1084" w:type="dxa"/>
            <w:tcMar>
              <w:top w:w="60" w:type="dxa"/>
              <w:left w:w="70" w:type="dxa"/>
              <w:bottom w:w="60" w:type="dxa"/>
              <w:right w:w="70" w:type="dxa"/>
            </w:tcMar>
            <w:vAlign w:val="center"/>
          </w:tcPr>
          <w:p w14:paraId="0A00C8EF">
            <w:pPr>
              <w:snapToGrid w:val="0"/>
              <w:spacing w:before="0" w:after="0" w:line="240" w:lineRule="auto"/>
              <w:jc w:val="center"/>
            </w:pPr>
            <w:r>
              <w:rPr>
                <w:rFonts w:ascii="Times New Roman" w:hAnsi="Times New Roman" w:eastAsia="Times New Roman"/>
                <w:sz w:val="18"/>
              </w:rPr>
              <w:t>0.58</w:t>
            </w:r>
          </w:p>
        </w:tc>
        <w:tc>
          <w:tcPr>
            <w:tcW w:w="1506" w:type="dxa"/>
            <w:tcMar>
              <w:top w:w="60" w:type="dxa"/>
              <w:left w:w="70" w:type="dxa"/>
              <w:bottom w:w="60" w:type="dxa"/>
              <w:right w:w="70" w:type="dxa"/>
            </w:tcMar>
            <w:vAlign w:val="center"/>
          </w:tcPr>
          <w:p w14:paraId="5B293ECE">
            <w:pPr>
              <w:snapToGrid w:val="0"/>
              <w:spacing w:before="0" w:after="0" w:line="240" w:lineRule="auto"/>
              <w:jc w:val="center"/>
            </w:pPr>
            <w:r>
              <w:rPr>
                <w:rFonts w:ascii="Times New Roman" w:hAnsi="Times New Roman" w:eastAsia="Times New Roman"/>
                <w:sz w:val="18"/>
              </w:rPr>
              <w:t>0.387</w:t>
            </w:r>
          </w:p>
        </w:tc>
      </w:tr>
      <w:tr w14:paraId="45EE0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19" w:type="dxa"/>
            <w:tcMar>
              <w:top w:w="60" w:type="dxa"/>
              <w:left w:w="70" w:type="dxa"/>
              <w:bottom w:w="60" w:type="dxa"/>
              <w:right w:w="70" w:type="dxa"/>
            </w:tcMar>
            <w:vAlign w:val="center"/>
          </w:tcPr>
          <w:p w14:paraId="43405953">
            <w:pPr>
              <w:snapToGrid w:val="0"/>
              <w:spacing w:before="0" w:after="0" w:line="240" w:lineRule="auto"/>
              <w:jc w:val="center"/>
            </w:pPr>
            <w:r>
              <w:rPr>
                <w:rFonts w:ascii="Times New Roman" w:hAnsi="Times New Roman" w:eastAsia="Times New Roman"/>
                <w:sz w:val="18"/>
              </w:rPr>
              <w:t>U13</w:t>
            </w:r>
          </w:p>
        </w:tc>
        <w:tc>
          <w:tcPr>
            <w:tcW w:w="1116" w:type="dxa"/>
            <w:tcMar>
              <w:top w:w="60" w:type="dxa"/>
              <w:left w:w="70" w:type="dxa"/>
              <w:bottom w:w="60" w:type="dxa"/>
              <w:right w:w="70" w:type="dxa"/>
            </w:tcMar>
            <w:vAlign w:val="center"/>
          </w:tcPr>
          <w:p w14:paraId="16AFA331">
            <w:pPr>
              <w:snapToGrid w:val="0"/>
              <w:spacing w:before="0" w:after="0" w:line="240" w:lineRule="auto"/>
              <w:jc w:val="center"/>
            </w:pPr>
            <w:r>
              <w:rPr>
                <w:rFonts w:ascii="Times New Roman" w:hAnsi="Times New Roman" w:eastAsia="Times New Roman"/>
                <w:sz w:val="18"/>
              </w:rPr>
              <w:t>Mirwald (2002)</w:t>
            </w:r>
          </w:p>
        </w:tc>
        <w:tc>
          <w:tcPr>
            <w:tcW w:w="1728" w:type="dxa"/>
            <w:tcMar>
              <w:top w:w="60" w:type="dxa"/>
              <w:left w:w="70" w:type="dxa"/>
              <w:bottom w:w="60" w:type="dxa"/>
              <w:right w:w="70" w:type="dxa"/>
            </w:tcMar>
            <w:vAlign w:val="center"/>
          </w:tcPr>
          <w:p w14:paraId="6B1440B3">
            <w:pPr>
              <w:snapToGrid w:val="0"/>
              <w:spacing w:before="0" w:after="0" w:line="240" w:lineRule="auto"/>
              <w:jc w:val="center"/>
            </w:pPr>
            <w:r>
              <w:rPr>
                <w:rFonts w:ascii="Times New Roman" w:hAnsi="Times New Roman" w:eastAsia="Times New Roman"/>
                <w:sz w:val="18"/>
              </w:rPr>
              <w:t>13.50 (0.65)</w:t>
            </w:r>
          </w:p>
        </w:tc>
        <w:tc>
          <w:tcPr>
            <w:tcW w:w="1551" w:type="dxa"/>
            <w:tcMar>
              <w:top w:w="60" w:type="dxa"/>
              <w:left w:w="70" w:type="dxa"/>
              <w:bottom w:w="60" w:type="dxa"/>
              <w:right w:w="70" w:type="dxa"/>
            </w:tcMar>
            <w:vAlign w:val="center"/>
          </w:tcPr>
          <w:p w14:paraId="0303122F">
            <w:pPr>
              <w:snapToGrid w:val="0"/>
              <w:spacing w:before="0" w:after="0" w:line="240" w:lineRule="auto"/>
              <w:jc w:val="center"/>
            </w:pPr>
            <w:r>
              <w:rPr>
                <w:rFonts w:ascii="Times New Roman" w:hAnsi="Times New Roman" w:eastAsia="Times New Roman"/>
                <w:sz w:val="18"/>
              </w:rPr>
              <w:t>12.01–15.21 (3.20)</w:t>
            </w:r>
          </w:p>
        </w:tc>
        <w:tc>
          <w:tcPr>
            <w:tcW w:w="1149" w:type="dxa"/>
            <w:tcMar>
              <w:top w:w="60" w:type="dxa"/>
              <w:left w:w="70" w:type="dxa"/>
              <w:bottom w:w="60" w:type="dxa"/>
              <w:right w:w="70" w:type="dxa"/>
            </w:tcMar>
            <w:vAlign w:val="center"/>
          </w:tcPr>
          <w:p w14:paraId="27DD51FE">
            <w:pPr>
              <w:snapToGrid w:val="0"/>
              <w:spacing w:before="0" w:after="0" w:line="240" w:lineRule="auto"/>
              <w:jc w:val="center"/>
            </w:pPr>
            <w:r>
              <w:rPr>
                <w:rFonts w:ascii="Times New Roman" w:hAnsi="Times New Roman" w:eastAsia="Times New Roman"/>
                <w:sz w:val="18"/>
              </w:rPr>
              <w:t>-0.720</w:t>
            </w:r>
          </w:p>
        </w:tc>
        <w:tc>
          <w:tcPr>
            <w:tcW w:w="991" w:type="dxa"/>
            <w:tcMar>
              <w:top w:w="60" w:type="dxa"/>
              <w:left w:w="70" w:type="dxa"/>
              <w:bottom w:w="60" w:type="dxa"/>
              <w:right w:w="70" w:type="dxa"/>
            </w:tcMar>
            <w:vAlign w:val="center"/>
          </w:tcPr>
          <w:p w14:paraId="709F4A99">
            <w:pPr>
              <w:snapToGrid w:val="0"/>
              <w:spacing w:before="0" w:after="0" w:line="240" w:lineRule="auto"/>
              <w:jc w:val="center"/>
            </w:pPr>
            <w:r>
              <w:rPr>
                <w:rFonts w:ascii="Times New Roman" w:hAnsi="Times New Roman" w:eastAsia="Times New Roman"/>
                <w:sz w:val="18"/>
              </w:rPr>
              <w:t>0.64</w:t>
            </w:r>
          </w:p>
        </w:tc>
        <w:tc>
          <w:tcPr>
            <w:tcW w:w="1084" w:type="dxa"/>
            <w:tcMar>
              <w:top w:w="60" w:type="dxa"/>
              <w:left w:w="70" w:type="dxa"/>
              <w:bottom w:w="60" w:type="dxa"/>
              <w:right w:w="70" w:type="dxa"/>
            </w:tcMar>
            <w:vAlign w:val="center"/>
          </w:tcPr>
          <w:p w14:paraId="29FDD1CF">
            <w:pPr>
              <w:snapToGrid w:val="0"/>
              <w:spacing w:before="0" w:after="0" w:line="240" w:lineRule="auto"/>
              <w:jc w:val="center"/>
            </w:pPr>
            <w:r>
              <w:rPr>
                <w:rFonts w:ascii="Times New Roman" w:hAnsi="Times New Roman" w:eastAsia="Times New Roman"/>
                <w:sz w:val="18"/>
              </w:rPr>
              <w:t>0.81</w:t>
            </w:r>
          </w:p>
        </w:tc>
        <w:tc>
          <w:tcPr>
            <w:tcW w:w="1506" w:type="dxa"/>
            <w:tcMar>
              <w:top w:w="60" w:type="dxa"/>
              <w:left w:w="70" w:type="dxa"/>
              <w:bottom w:w="60" w:type="dxa"/>
              <w:right w:w="70" w:type="dxa"/>
            </w:tcMar>
            <w:vAlign w:val="center"/>
          </w:tcPr>
          <w:p w14:paraId="0966C05A">
            <w:pPr>
              <w:snapToGrid w:val="0"/>
              <w:spacing w:before="0" w:after="0" w:line="240" w:lineRule="auto"/>
              <w:jc w:val="center"/>
            </w:pPr>
            <w:r>
              <w:rPr>
                <w:rFonts w:ascii="Times New Roman" w:hAnsi="Times New Roman" w:eastAsia="Times New Roman"/>
                <w:sz w:val="18"/>
              </w:rPr>
              <w:t>0.652</w:t>
            </w:r>
          </w:p>
        </w:tc>
      </w:tr>
      <w:tr w14:paraId="7C867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19" w:type="dxa"/>
            <w:tcMar>
              <w:top w:w="60" w:type="dxa"/>
              <w:left w:w="70" w:type="dxa"/>
              <w:bottom w:w="60" w:type="dxa"/>
              <w:right w:w="70" w:type="dxa"/>
            </w:tcMar>
            <w:vAlign w:val="center"/>
          </w:tcPr>
          <w:p w14:paraId="56BB9BC8">
            <w:pPr>
              <w:snapToGrid w:val="0"/>
              <w:spacing w:before="0" w:after="0" w:line="240" w:lineRule="auto"/>
              <w:jc w:val="center"/>
            </w:pPr>
            <w:r>
              <w:rPr>
                <w:rFonts w:ascii="Times New Roman" w:hAnsi="Times New Roman" w:eastAsia="Times New Roman"/>
                <w:sz w:val="18"/>
              </w:rPr>
              <w:t>U13</w:t>
            </w:r>
          </w:p>
        </w:tc>
        <w:tc>
          <w:tcPr>
            <w:tcW w:w="1116" w:type="dxa"/>
            <w:tcMar>
              <w:top w:w="60" w:type="dxa"/>
              <w:left w:w="70" w:type="dxa"/>
              <w:bottom w:w="60" w:type="dxa"/>
              <w:right w:w="70" w:type="dxa"/>
            </w:tcMar>
            <w:vAlign w:val="center"/>
          </w:tcPr>
          <w:p w14:paraId="76542829">
            <w:pPr>
              <w:snapToGrid w:val="0"/>
              <w:spacing w:before="0" w:after="0" w:line="240" w:lineRule="auto"/>
              <w:jc w:val="center"/>
            </w:pPr>
            <w:r>
              <w:rPr>
                <w:rFonts w:ascii="Times New Roman" w:hAnsi="Times New Roman" w:eastAsia="Times New Roman"/>
                <w:sz w:val="18"/>
              </w:rPr>
              <w:t>Moore (2015)</w:t>
            </w:r>
          </w:p>
        </w:tc>
        <w:tc>
          <w:tcPr>
            <w:tcW w:w="1728" w:type="dxa"/>
            <w:tcMar>
              <w:top w:w="60" w:type="dxa"/>
              <w:left w:w="70" w:type="dxa"/>
              <w:bottom w:w="60" w:type="dxa"/>
              <w:right w:w="70" w:type="dxa"/>
            </w:tcMar>
            <w:vAlign w:val="center"/>
          </w:tcPr>
          <w:p w14:paraId="1595AB4D">
            <w:pPr>
              <w:snapToGrid w:val="0"/>
              <w:spacing w:before="0" w:after="0" w:line="240" w:lineRule="auto"/>
              <w:jc w:val="center"/>
            </w:pPr>
            <w:r>
              <w:rPr>
                <w:rFonts w:ascii="Times New Roman" w:hAnsi="Times New Roman" w:eastAsia="Times New Roman"/>
                <w:sz w:val="18"/>
              </w:rPr>
              <w:t>13.41 (0.42)</w:t>
            </w:r>
          </w:p>
        </w:tc>
        <w:tc>
          <w:tcPr>
            <w:tcW w:w="1551" w:type="dxa"/>
            <w:tcMar>
              <w:top w:w="60" w:type="dxa"/>
              <w:left w:w="70" w:type="dxa"/>
              <w:bottom w:w="60" w:type="dxa"/>
              <w:right w:w="70" w:type="dxa"/>
            </w:tcMar>
            <w:vAlign w:val="center"/>
          </w:tcPr>
          <w:p w14:paraId="29D96CEF">
            <w:pPr>
              <w:snapToGrid w:val="0"/>
              <w:spacing w:before="0" w:after="0" w:line="240" w:lineRule="auto"/>
              <w:jc w:val="center"/>
            </w:pPr>
            <w:r>
              <w:rPr>
                <w:rFonts w:ascii="Times New Roman" w:hAnsi="Times New Roman" w:eastAsia="Times New Roman"/>
                <w:sz w:val="18"/>
              </w:rPr>
              <w:t>12.47–14.63 (2.16)</w:t>
            </w:r>
          </w:p>
        </w:tc>
        <w:tc>
          <w:tcPr>
            <w:tcW w:w="1149" w:type="dxa"/>
            <w:tcMar>
              <w:top w:w="60" w:type="dxa"/>
              <w:left w:w="70" w:type="dxa"/>
              <w:bottom w:w="60" w:type="dxa"/>
              <w:right w:w="70" w:type="dxa"/>
            </w:tcMar>
            <w:vAlign w:val="center"/>
          </w:tcPr>
          <w:p w14:paraId="1534DD00">
            <w:pPr>
              <w:snapToGrid w:val="0"/>
              <w:spacing w:before="0" w:after="0" w:line="240" w:lineRule="auto"/>
              <w:jc w:val="center"/>
            </w:pPr>
            <w:r>
              <w:rPr>
                <w:rFonts w:ascii="Times New Roman" w:hAnsi="Times New Roman" w:eastAsia="Times New Roman"/>
                <w:sz w:val="18"/>
              </w:rPr>
              <w:t>-0.729</w:t>
            </w:r>
          </w:p>
        </w:tc>
        <w:tc>
          <w:tcPr>
            <w:tcW w:w="991" w:type="dxa"/>
            <w:tcMar>
              <w:top w:w="60" w:type="dxa"/>
              <w:left w:w="70" w:type="dxa"/>
              <w:bottom w:w="60" w:type="dxa"/>
              <w:right w:w="70" w:type="dxa"/>
            </w:tcMar>
            <w:vAlign w:val="center"/>
          </w:tcPr>
          <w:p w14:paraId="280F0A1D">
            <w:pPr>
              <w:snapToGrid w:val="0"/>
              <w:spacing w:before="0" w:after="0" w:line="240" w:lineRule="auto"/>
              <w:jc w:val="center"/>
            </w:pPr>
            <w:r>
              <w:rPr>
                <w:rFonts w:ascii="Times New Roman" w:hAnsi="Times New Roman" w:eastAsia="Times New Roman"/>
                <w:sz w:val="18"/>
              </w:rPr>
              <w:t>0.70</w:t>
            </w:r>
          </w:p>
        </w:tc>
        <w:tc>
          <w:tcPr>
            <w:tcW w:w="1084" w:type="dxa"/>
            <w:tcMar>
              <w:top w:w="60" w:type="dxa"/>
              <w:left w:w="70" w:type="dxa"/>
              <w:bottom w:w="60" w:type="dxa"/>
              <w:right w:w="70" w:type="dxa"/>
            </w:tcMar>
            <w:vAlign w:val="center"/>
          </w:tcPr>
          <w:p w14:paraId="6403CE74">
            <w:pPr>
              <w:snapToGrid w:val="0"/>
              <w:spacing w:before="0" w:after="0" w:line="240" w:lineRule="auto"/>
              <w:jc w:val="center"/>
            </w:pPr>
            <w:r>
              <w:rPr>
                <w:rFonts w:ascii="Times New Roman" w:hAnsi="Times New Roman" w:eastAsia="Times New Roman"/>
                <w:sz w:val="18"/>
              </w:rPr>
              <w:t>0.89</w:t>
            </w:r>
          </w:p>
        </w:tc>
        <w:tc>
          <w:tcPr>
            <w:tcW w:w="1506" w:type="dxa"/>
            <w:tcMar>
              <w:top w:w="60" w:type="dxa"/>
              <w:left w:w="70" w:type="dxa"/>
              <w:bottom w:w="60" w:type="dxa"/>
              <w:right w:w="70" w:type="dxa"/>
            </w:tcMar>
            <w:vAlign w:val="center"/>
          </w:tcPr>
          <w:p w14:paraId="011422C5">
            <w:pPr>
              <w:snapToGrid w:val="0"/>
              <w:spacing w:before="0" w:after="0" w:line="240" w:lineRule="auto"/>
              <w:jc w:val="center"/>
            </w:pPr>
            <w:r>
              <w:rPr>
                <w:rFonts w:ascii="Times New Roman" w:hAnsi="Times New Roman" w:eastAsia="Times New Roman"/>
                <w:sz w:val="18"/>
              </w:rPr>
              <w:t>0.866</w:t>
            </w:r>
          </w:p>
        </w:tc>
      </w:tr>
      <w:tr w14:paraId="2745C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619" w:type="dxa"/>
            <w:tcMar>
              <w:top w:w="60" w:type="dxa"/>
              <w:left w:w="70" w:type="dxa"/>
              <w:bottom w:w="60" w:type="dxa"/>
              <w:right w:w="70" w:type="dxa"/>
            </w:tcMar>
            <w:vAlign w:val="center"/>
          </w:tcPr>
          <w:p w14:paraId="4EBEA175">
            <w:pPr>
              <w:snapToGrid w:val="0"/>
              <w:spacing w:before="0" w:after="0" w:line="240" w:lineRule="auto"/>
              <w:jc w:val="center"/>
            </w:pPr>
            <w:r>
              <w:rPr>
                <w:rFonts w:ascii="Times New Roman" w:hAnsi="Times New Roman" w:eastAsia="Times New Roman"/>
                <w:sz w:val="18"/>
              </w:rPr>
              <w:t>U13</w:t>
            </w:r>
          </w:p>
        </w:tc>
        <w:tc>
          <w:tcPr>
            <w:tcW w:w="1116" w:type="dxa"/>
            <w:tcMar>
              <w:top w:w="60" w:type="dxa"/>
              <w:left w:w="70" w:type="dxa"/>
              <w:bottom w:w="60" w:type="dxa"/>
              <w:right w:w="70" w:type="dxa"/>
            </w:tcMar>
            <w:vAlign w:val="center"/>
          </w:tcPr>
          <w:p w14:paraId="0244E68A">
            <w:pPr>
              <w:snapToGrid w:val="0"/>
              <w:spacing w:before="0" w:after="0" w:line="240" w:lineRule="auto"/>
              <w:jc w:val="center"/>
            </w:pPr>
            <w:r>
              <w:rPr>
                <w:rFonts w:ascii="Times New Roman" w:hAnsi="Times New Roman" w:eastAsia="Times New Roman"/>
                <w:sz w:val="18"/>
              </w:rPr>
              <w:t>Fransen (2018)</w:t>
            </w:r>
          </w:p>
        </w:tc>
        <w:tc>
          <w:tcPr>
            <w:tcW w:w="1728" w:type="dxa"/>
            <w:tcMar>
              <w:top w:w="60" w:type="dxa"/>
              <w:left w:w="70" w:type="dxa"/>
              <w:bottom w:w="60" w:type="dxa"/>
              <w:right w:w="70" w:type="dxa"/>
            </w:tcMar>
            <w:vAlign w:val="center"/>
          </w:tcPr>
          <w:p w14:paraId="284CF83A">
            <w:pPr>
              <w:snapToGrid w:val="0"/>
              <w:spacing w:before="0" w:after="0" w:line="240" w:lineRule="auto"/>
              <w:jc w:val="center"/>
            </w:pPr>
            <w:r>
              <w:rPr>
                <w:rFonts w:ascii="Times New Roman" w:hAnsi="Times New Roman" w:eastAsia="Times New Roman"/>
                <w:sz w:val="18"/>
              </w:rPr>
              <w:t>13.38 (0.79)</w:t>
            </w:r>
          </w:p>
        </w:tc>
        <w:tc>
          <w:tcPr>
            <w:tcW w:w="1551" w:type="dxa"/>
            <w:tcMar>
              <w:top w:w="60" w:type="dxa"/>
              <w:left w:w="70" w:type="dxa"/>
              <w:bottom w:w="60" w:type="dxa"/>
              <w:right w:w="70" w:type="dxa"/>
            </w:tcMar>
            <w:vAlign w:val="center"/>
          </w:tcPr>
          <w:p w14:paraId="2BDB967A">
            <w:pPr>
              <w:snapToGrid w:val="0"/>
              <w:spacing w:before="0" w:after="0" w:line="240" w:lineRule="auto"/>
              <w:jc w:val="center"/>
            </w:pPr>
            <w:r>
              <w:rPr>
                <w:rFonts w:ascii="Times New Roman" w:hAnsi="Times New Roman" w:eastAsia="Times New Roman"/>
                <w:sz w:val="18"/>
              </w:rPr>
              <w:t>11.62–16.31 (4.68)</w:t>
            </w:r>
          </w:p>
        </w:tc>
        <w:tc>
          <w:tcPr>
            <w:tcW w:w="1149" w:type="dxa"/>
            <w:tcMar>
              <w:top w:w="60" w:type="dxa"/>
              <w:left w:w="70" w:type="dxa"/>
              <w:bottom w:w="60" w:type="dxa"/>
              <w:right w:w="70" w:type="dxa"/>
            </w:tcMar>
            <w:vAlign w:val="center"/>
          </w:tcPr>
          <w:p w14:paraId="222882CA">
            <w:pPr>
              <w:snapToGrid w:val="0"/>
              <w:spacing w:before="0" w:after="0" w:line="240" w:lineRule="auto"/>
              <w:jc w:val="center"/>
            </w:pPr>
            <w:r>
              <w:rPr>
                <w:rFonts w:ascii="Times New Roman" w:hAnsi="Times New Roman" w:eastAsia="Times New Roman"/>
                <w:sz w:val="18"/>
              </w:rPr>
              <w:t>-0.651</w:t>
            </w:r>
          </w:p>
        </w:tc>
        <w:tc>
          <w:tcPr>
            <w:tcW w:w="991" w:type="dxa"/>
            <w:tcMar>
              <w:top w:w="60" w:type="dxa"/>
              <w:left w:w="70" w:type="dxa"/>
              <w:bottom w:w="60" w:type="dxa"/>
              <w:right w:w="70" w:type="dxa"/>
            </w:tcMar>
            <w:vAlign w:val="center"/>
          </w:tcPr>
          <w:p w14:paraId="072E4944">
            <w:pPr>
              <w:snapToGrid w:val="0"/>
              <w:spacing w:before="0" w:after="0" w:line="240" w:lineRule="auto"/>
              <w:jc w:val="center"/>
            </w:pPr>
            <w:r>
              <w:rPr>
                <w:rFonts w:ascii="Times New Roman" w:hAnsi="Times New Roman" w:eastAsia="Times New Roman"/>
                <w:sz w:val="18"/>
              </w:rPr>
              <w:t>0.67</w:t>
            </w:r>
          </w:p>
        </w:tc>
        <w:tc>
          <w:tcPr>
            <w:tcW w:w="1084" w:type="dxa"/>
            <w:tcMar>
              <w:top w:w="60" w:type="dxa"/>
              <w:left w:w="70" w:type="dxa"/>
              <w:bottom w:w="60" w:type="dxa"/>
              <w:right w:w="70" w:type="dxa"/>
            </w:tcMar>
            <w:vAlign w:val="center"/>
          </w:tcPr>
          <w:p w14:paraId="15BD6CEE">
            <w:pPr>
              <w:snapToGrid w:val="0"/>
              <w:spacing w:before="0" w:after="0" w:line="240" w:lineRule="auto"/>
              <w:jc w:val="center"/>
            </w:pPr>
            <w:r>
              <w:rPr>
                <w:rFonts w:ascii="Times New Roman" w:hAnsi="Times New Roman" w:eastAsia="Times New Roman"/>
                <w:sz w:val="18"/>
              </w:rPr>
              <w:t>0.87</w:t>
            </w:r>
          </w:p>
        </w:tc>
        <w:tc>
          <w:tcPr>
            <w:tcW w:w="1506" w:type="dxa"/>
            <w:tcMar>
              <w:top w:w="60" w:type="dxa"/>
              <w:left w:w="70" w:type="dxa"/>
              <w:bottom w:w="60" w:type="dxa"/>
              <w:right w:w="70" w:type="dxa"/>
            </w:tcMar>
            <w:vAlign w:val="center"/>
          </w:tcPr>
          <w:p w14:paraId="1F0894EB">
            <w:pPr>
              <w:snapToGrid w:val="0"/>
              <w:spacing w:before="0" w:after="0" w:line="240" w:lineRule="auto"/>
              <w:jc w:val="center"/>
            </w:pPr>
            <w:r>
              <w:rPr>
                <w:rFonts w:ascii="Times New Roman" w:hAnsi="Times New Roman" w:eastAsia="Times New Roman"/>
                <w:sz w:val="18"/>
              </w:rPr>
              <w:t>0.439</w:t>
            </w:r>
          </w:p>
        </w:tc>
      </w:tr>
    </w:tbl>
    <w:p w14:paraId="3ADDE3A3">
      <w:pPr>
        <w:spacing w:after="120" w:line="240" w:lineRule="auto"/>
        <w:jc w:val="both"/>
      </w:pPr>
      <w:r>
        <w:rPr>
          <w:rFonts w:ascii="Times New Roman" w:hAnsi="Times New Roman" w:eastAsia="Times New Roman"/>
          <w:i/>
          <w:sz w:val="21"/>
        </w:rPr>
        <w:t>Note. The Moore model produced the smallest standard deviation and the narrowest range of predicted APHV and, despite comparable Pearson correlations (r), showed the largest MAE, RMSE, and proportional bias in both age groups, indicating compression of real between-individual maturity differences and poorer individual-level correspondence with skeletal age. The Fransen model (U12) and the Mirwald model (U13) showed the lowest individual-level error. Because Pearson r and AUC are invariant to linear scaling, a larger |r| does not imply closer individual-level agreement. APHV, age at peak height velocity; MAE, mean absolute error; RMSE, root mean square error; SD, standard deviation; SO, skeletal-age offset.</w:t>
      </w:r>
    </w:p>
    <w:p w14:paraId="6D72BFB3">
      <w:pPr>
        <w:spacing w:before="160" w:after="80"/>
      </w:pPr>
      <w:r>
        <w:rPr>
          <w:rFonts w:ascii="Times New Roman" w:hAnsi="Times New Roman" w:eastAsia="Times New Roman"/>
          <w:b/>
          <w:sz w:val="22"/>
        </w:rPr>
        <w:t>Supplementary Table S3. Inter-model Pearson correlations between the three PHV-prediction models for predicted APHV and MO, by age group (N = 313).</w:t>
      </w:r>
    </w:p>
    <w:tbl>
      <w:tblPr>
        <w:tblStyle w:val="33"/>
        <w:tblW w:w="97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41"/>
        <w:gridCol w:w="1914"/>
        <w:gridCol w:w="2875"/>
        <w:gridCol w:w="1106"/>
        <w:gridCol w:w="2107"/>
      </w:tblGrid>
      <w:tr w14:paraId="0F817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tblHeader/>
          <w:jc w:val="center"/>
        </w:trPr>
        <w:tc>
          <w:tcPr>
            <w:tcW w:w="1741" w:type="dxa"/>
            <w:tcMar>
              <w:top w:w="60" w:type="dxa"/>
              <w:left w:w="70" w:type="dxa"/>
              <w:bottom w:w="60" w:type="dxa"/>
              <w:right w:w="70" w:type="dxa"/>
            </w:tcMar>
            <w:vAlign w:val="center"/>
          </w:tcPr>
          <w:p w14:paraId="66312DE9">
            <w:pPr>
              <w:snapToGrid w:val="0"/>
              <w:spacing w:before="0" w:after="0" w:line="240" w:lineRule="auto"/>
              <w:ind w:left="0" w:leftChars="0" w:right="0" w:rightChars="0" w:firstLine="0" w:firstLineChars="0"/>
              <w:jc w:val="center"/>
              <w:rPr>
                <w:rFonts w:ascii="Times New Roman" w:eastAsia="Times New Roman"/>
                <w:b/>
                <w:sz w:val="18"/>
              </w:rPr>
            </w:pPr>
            <w:r>
              <w:rPr>
                <w:rFonts w:ascii="Times New Roman" w:hAnsi="Times New Roman" w:eastAsia="Times New Roman"/>
                <w:b/>
                <w:sz w:val="18"/>
              </w:rPr>
              <w:t>Indicator</w:t>
            </w:r>
          </w:p>
        </w:tc>
        <w:tc>
          <w:tcPr>
            <w:tcW w:w="1914" w:type="dxa"/>
            <w:tcMar>
              <w:top w:w="60" w:type="dxa"/>
              <w:left w:w="70" w:type="dxa"/>
              <w:bottom w:w="60" w:type="dxa"/>
              <w:right w:w="70" w:type="dxa"/>
            </w:tcMar>
            <w:vAlign w:val="center"/>
          </w:tcPr>
          <w:p w14:paraId="07BB3577">
            <w:pPr>
              <w:snapToGrid w:val="0"/>
              <w:spacing w:before="0" w:after="0" w:line="240" w:lineRule="auto"/>
              <w:ind w:left="0" w:leftChars="0" w:right="0" w:rightChars="0" w:firstLine="0" w:firstLineChars="0"/>
              <w:jc w:val="center"/>
              <w:rPr>
                <w:rFonts w:ascii="Times New Roman" w:eastAsia="Times New Roman"/>
                <w:b/>
                <w:sz w:val="18"/>
              </w:rPr>
            </w:pPr>
            <w:r>
              <w:rPr>
                <w:rFonts w:ascii="Times New Roman" w:hAnsi="Times New Roman" w:eastAsia="Times New Roman"/>
                <w:b/>
                <w:sz w:val="18"/>
              </w:rPr>
              <w:t>Age group</w:t>
            </w:r>
          </w:p>
        </w:tc>
        <w:tc>
          <w:tcPr>
            <w:tcW w:w="2875" w:type="dxa"/>
            <w:tcMar>
              <w:top w:w="60" w:type="dxa"/>
              <w:left w:w="70" w:type="dxa"/>
              <w:bottom w:w="60" w:type="dxa"/>
              <w:right w:w="70" w:type="dxa"/>
            </w:tcMar>
            <w:vAlign w:val="center"/>
          </w:tcPr>
          <w:p w14:paraId="33FEC656">
            <w:pPr>
              <w:snapToGrid w:val="0"/>
              <w:spacing w:before="0" w:after="0" w:line="240" w:lineRule="auto"/>
              <w:ind w:left="0" w:leftChars="0" w:right="0" w:rightChars="0" w:firstLine="0" w:firstLineChars="0"/>
              <w:jc w:val="center"/>
              <w:rPr>
                <w:rFonts w:ascii="Times New Roman" w:eastAsia="Times New Roman"/>
                <w:b/>
                <w:sz w:val="18"/>
              </w:rPr>
            </w:pPr>
            <w:r>
              <w:rPr>
                <w:rFonts w:ascii="Times New Roman" w:hAnsi="Times New Roman" w:eastAsia="Times New Roman"/>
                <w:b/>
                <w:sz w:val="18"/>
              </w:rPr>
              <w:t>Model pair</w:t>
            </w:r>
          </w:p>
        </w:tc>
        <w:tc>
          <w:tcPr>
            <w:tcW w:w="1106" w:type="dxa"/>
            <w:tcMar>
              <w:top w:w="60" w:type="dxa"/>
              <w:left w:w="70" w:type="dxa"/>
              <w:bottom w:w="60" w:type="dxa"/>
              <w:right w:w="70" w:type="dxa"/>
            </w:tcMar>
            <w:vAlign w:val="center"/>
          </w:tcPr>
          <w:p w14:paraId="500B9C3F">
            <w:pPr>
              <w:snapToGrid w:val="0"/>
              <w:spacing w:before="0" w:after="0" w:line="240" w:lineRule="auto"/>
              <w:ind w:left="0" w:leftChars="0" w:right="0" w:rightChars="0" w:firstLine="0" w:firstLineChars="0"/>
              <w:jc w:val="center"/>
              <w:rPr>
                <w:rFonts w:ascii="Times New Roman" w:eastAsia="Times New Roman"/>
                <w:b/>
                <w:sz w:val="18"/>
              </w:rPr>
            </w:pPr>
            <w:r>
              <w:rPr>
                <w:rFonts w:ascii="Times New Roman" w:hAnsi="Times New Roman" w:eastAsia="Times New Roman"/>
                <w:b/>
                <w:sz w:val="18"/>
              </w:rPr>
              <w:t>r</w:t>
            </w:r>
          </w:p>
        </w:tc>
        <w:tc>
          <w:tcPr>
            <w:tcW w:w="2107" w:type="dxa"/>
            <w:tcMar>
              <w:top w:w="60" w:type="dxa"/>
              <w:left w:w="70" w:type="dxa"/>
              <w:bottom w:w="60" w:type="dxa"/>
              <w:right w:w="70" w:type="dxa"/>
            </w:tcMar>
            <w:vAlign w:val="center"/>
          </w:tcPr>
          <w:p w14:paraId="6875EFE8">
            <w:pPr>
              <w:snapToGrid w:val="0"/>
              <w:spacing w:before="0" w:after="0" w:line="240" w:lineRule="auto"/>
              <w:ind w:left="0" w:leftChars="0" w:right="0" w:rightChars="0" w:firstLine="0" w:firstLineChars="0"/>
              <w:jc w:val="center"/>
              <w:rPr>
                <w:rFonts w:ascii="Times New Roman" w:eastAsia="Times New Roman"/>
                <w:b/>
                <w:sz w:val="18"/>
              </w:rPr>
            </w:pPr>
            <w:r>
              <w:rPr>
                <w:rFonts w:ascii="Times New Roman" w:hAnsi="Times New Roman" w:eastAsia="Times New Roman"/>
                <w:b/>
                <w:sz w:val="18"/>
              </w:rPr>
              <w:t>95% CI</w:t>
            </w:r>
          </w:p>
        </w:tc>
      </w:tr>
      <w:tr w14:paraId="3CC11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7558F2DC">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APHV</w:t>
            </w:r>
          </w:p>
        </w:tc>
        <w:tc>
          <w:tcPr>
            <w:tcW w:w="1914" w:type="dxa"/>
            <w:tcMar>
              <w:top w:w="60" w:type="dxa"/>
              <w:left w:w="70" w:type="dxa"/>
              <w:bottom w:w="60" w:type="dxa"/>
              <w:right w:w="70" w:type="dxa"/>
            </w:tcMar>
            <w:vAlign w:val="center"/>
          </w:tcPr>
          <w:p w14:paraId="7069DAC7">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U12</w:t>
            </w:r>
          </w:p>
        </w:tc>
        <w:tc>
          <w:tcPr>
            <w:tcW w:w="2875" w:type="dxa"/>
            <w:tcMar>
              <w:top w:w="60" w:type="dxa"/>
              <w:left w:w="70" w:type="dxa"/>
              <w:bottom w:w="60" w:type="dxa"/>
              <w:right w:w="70" w:type="dxa"/>
            </w:tcMar>
            <w:vAlign w:val="center"/>
          </w:tcPr>
          <w:p w14:paraId="27FB040C">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Mirwald–Moore</w:t>
            </w:r>
          </w:p>
        </w:tc>
        <w:tc>
          <w:tcPr>
            <w:tcW w:w="1106" w:type="dxa"/>
            <w:tcMar>
              <w:top w:w="60" w:type="dxa"/>
              <w:left w:w="70" w:type="dxa"/>
              <w:bottom w:w="60" w:type="dxa"/>
              <w:right w:w="70" w:type="dxa"/>
            </w:tcMar>
            <w:vAlign w:val="center"/>
          </w:tcPr>
          <w:p w14:paraId="63D70EA8">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0.918</w:t>
            </w:r>
          </w:p>
        </w:tc>
        <w:tc>
          <w:tcPr>
            <w:tcW w:w="2107" w:type="dxa"/>
            <w:tcMar>
              <w:top w:w="60" w:type="dxa"/>
              <w:left w:w="70" w:type="dxa"/>
              <w:bottom w:w="60" w:type="dxa"/>
              <w:right w:w="70" w:type="dxa"/>
            </w:tcMar>
            <w:vAlign w:val="center"/>
          </w:tcPr>
          <w:p w14:paraId="4C5A3C1D">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0.885–0.942</w:t>
            </w:r>
          </w:p>
        </w:tc>
      </w:tr>
      <w:tr w14:paraId="5748E9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55F9575F">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APHV</w:t>
            </w:r>
          </w:p>
        </w:tc>
        <w:tc>
          <w:tcPr>
            <w:tcW w:w="1914" w:type="dxa"/>
            <w:tcMar>
              <w:top w:w="60" w:type="dxa"/>
              <w:left w:w="70" w:type="dxa"/>
              <w:bottom w:w="60" w:type="dxa"/>
              <w:right w:w="70" w:type="dxa"/>
            </w:tcMar>
            <w:vAlign w:val="center"/>
          </w:tcPr>
          <w:p w14:paraId="5999A882">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U12</w:t>
            </w:r>
          </w:p>
        </w:tc>
        <w:tc>
          <w:tcPr>
            <w:tcW w:w="2875" w:type="dxa"/>
            <w:tcMar>
              <w:top w:w="60" w:type="dxa"/>
              <w:left w:w="70" w:type="dxa"/>
              <w:bottom w:w="60" w:type="dxa"/>
              <w:right w:w="70" w:type="dxa"/>
            </w:tcMar>
            <w:vAlign w:val="center"/>
          </w:tcPr>
          <w:p w14:paraId="76E26AA0">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Mirwald–Fransen</w:t>
            </w:r>
          </w:p>
        </w:tc>
        <w:tc>
          <w:tcPr>
            <w:tcW w:w="1106" w:type="dxa"/>
            <w:tcMar>
              <w:top w:w="60" w:type="dxa"/>
              <w:left w:w="70" w:type="dxa"/>
              <w:bottom w:w="60" w:type="dxa"/>
              <w:right w:w="70" w:type="dxa"/>
            </w:tcMar>
            <w:vAlign w:val="center"/>
          </w:tcPr>
          <w:p w14:paraId="67216F70">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0.995</w:t>
            </w:r>
          </w:p>
        </w:tc>
        <w:tc>
          <w:tcPr>
            <w:tcW w:w="2107" w:type="dxa"/>
            <w:tcMar>
              <w:top w:w="60" w:type="dxa"/>
              <w:left w:w="70" w:type="dxa"/>
              <w:bottom w:w="60" w:type="dxa"/>
              <w:right w:w="70" w:type="dxa"/>
            </w:tcMar>
            <w:vAlign w:val="center"/>
          </w:tcPr>
          <w:p w14:paraId="08BD0A83">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0.993–0.996</w:t>
            </w:r>
          </w:p>
        </w:tc>
      </w:tr>
      <w:tr w14:paraId="4B208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2332D042">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APHV</w:t>
            </w:r>
          </w:p>
        </w:tc>
        <w:tc>
          <w:tcPr>
            <w:tcW w:w="1914" w:type="dxa"/>
            <w:tcMar>
              <w:top w:w="60" w:type="dxa"/>
              <w:left w:w="70" w:type="dxa"/>
              <w:bottom w:w="60" w:type="dxa"/>
              <w:right w:w="70" w:type="dxa"/>
            </w:tcMar>
            <w:vAlign w:val="center"/>
          </w:tcPr>
          <w:p w14:paraId="6F6C3802">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U12</w:t>
            </w:r>
          </w:p>
        </w:tc>
        <w:tc>
          <w:tcPr>
            <w:tcW w:w="2875" w:type="dxa"/>
            <w:tcMar>
              <w:top w:w="60" w:type="dxa"/>
              <w:left w:w="70" w:type="dxa"/>
              <w:bottom w:w="60" w:type="dxa"/>
              <w:right w:w="70" w:type="dxa"/>
            </w:tcMar>
            <w:vAlign w:val="center"/>
          </w:tcPr>
          <w:p w14:paraId="25ADA23C">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Moore–Fransen</w:t>
            </w:r>
          </w:p>
        </w:tc>
        <w:tc>
          <w:tcPr>
            <w:tcW w:w="1106" w:type="dxa"/>
            <w:tcMar>
              <w:top w:w="60" w:type="dxa"/>
              <w:left w:w="70" w:type="dxa"/>
              <w:bottom w:w="60" w:type="dxa"/>
              <w:right w:w="70" w:type="dxa"/>
            </w:tcMar>
            <w:vAlign w:val="center"/>
          </w:tcPr>
          <w:p w14:paraId="113594DE">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0.929</w:t>
            </w:r>
          </w:p>
        </w:tc>
        <w:tc>
          <w:tcPr>
            <w:tcW w:w="2107" w:type="dxa"/>
            <w:tcMar>
              <w:top w:w="60" w:type="dxa"/>
              <w:left w:w="70" w:type="dxa"/>
              <w:bottom w:w="60" w:type="dxa"/>
              <w:right w:w="70" w:type="dxa"/>
            </w:tcMar>
            <w:vAlign w:val="center"/>
          </w:tcPr>
          <w:p w14:paraId="4F9CBD8C">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0.899–0.950</w:t>
            </w:r>
          </w:p>
        </w:tc>
      </w:tr>
      <w:tr w14:paraId="02035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39E1BDEC">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APHV</w:t>
            </w:r>
          </w:p>
        </w:tc>
        <w:tc>
          <w:tcPr>
            <w:tcW w:w="1914" w:type="dxa"/>
            <w:tcMar>
              <w:top w:w="60" w:type="dxa"/>
              <w:left w:w="70" w:type="dxa"/>
              <w:bottom w:w="60" w:type="dxa"/>
              <w:right w:w="70" w:type="dxa"/>
            </w:tcMar>
            <w:vAlign w:val="center"/>
          </w:tcPr>
          <w:p w14:paraId="243FDC14">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U13</w:t>
            </w:r>
          </w:p>
        </w:tc>
        <w:tc>
          <w:tcPr>
            <w:tcW w:w="2875" w:type="dxa"/>
            <w:tcMar>
              <w:top w:w="60" w:type="dxa"/>
              <w:left w:w="70" w:type="dxa"/>
              <w:bottom w:w="60" w:type="dxa"/>
              <w:right w:w="70" w:type="dxa"/>
            </w:tcMar>
            <w:vAlign w:val="center"/>
          </w:tcPr>
          <w:p w14:paraId="40EAC0D6">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Mirwald–Moore</w:t>
            </w:r>
          </w:p>
        </w:tc>
        <w:tc>
          <w:tcPr>
            <w:tcW w:w="1106" w:type="dxa"/>
            <w:tcMar>
              <w:top w:w="60" w:type="dxa"/>
              <w:left w:w="70" w:type="dxa"/>
              <w:bottom w:w="60" w:type="dxa"/>
              <w:right w:w="70" w:type="dxa"/>
            </w:tcMar>
            <w:vAlign w:val="center"/>
          </w:tcPr>
          <w:p w14:paraId="08F495DB">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0.775</w:t>
            </w:r>
          </w:p>
        </w:tc>
        <w:tc>
          <w:tcPr>
            <w:tcW w:w="2107" w:type="dxa"/>
            <w:tcMar>
              <w:top w:w="60" w:type="dxa"/>
              <w:left w:w="70" w:type="dxa"/>
              <w:bottom w:w="60" w:type="dxa"/>
              <w:right w:w="70" w:type="dxa"/>
            </w:tcMar>
            <w:vAlign w:val="center"/>
          </w:tcPr>
          <w:p w14:paraId="2A25AA4F">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0.711–0.826</w:t>
            </w:r>
          </w:p>
        </w:tc>
      </w:tr>
      <w:tr w14:paraId="0DC54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545D22B5">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APHV</w:t>
            </w:r>
          </w:p>
        </w:tc>
        <w:tc>
          <w:tcPr>
            <w:tcW w:w="1914" w:type="dxa"/>
            <w:tcMar>
              <w:top w:w="60" w:type="dxa"/>
              <w:left w:w="70" w:type="dxa"/>
              <w:bottom w:w="60" w:type="dxa"/>
              <w:right w:w="70" w:type="dxa"/>
            </w:tcMar>
            <w:vAlign w:val="center"/>
          </w:tcPr>
          <w:p w14:paraId="14095D57">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U13</w:t>
            </w:r>
          </w:p>
        </w:tc>
        <w:tc>
          <w:tcPr>
            <w:tcW w:w="2875" w:type="dxa"/>
            <w:tcMar>
              <w:top w:w="60" w:type="dxa"/>
              <w:left w:w="70" w:type="dxa"/>
              <w:bottom w:w="60" w:type="dxa"/>
              <w:right w:w="70" w:type="dxa"/>
            </w:tcMar>
            <w:vAlign w:val="center"/>
          </w:tcPr>
          <w:p w14:paraId="464E8615">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Mirwald–Fransen</w:t>
            </w:r>
          </w:p>
        </w:tc>
        <w:tc>
          <w:tcPr>
            <w:tcW w:w="1106" w:type="dxa"/>
            <w:tcMar>
              <w:top w:w="60" w:type="dxa"/>
              <w:left w:w="70" w:type="dxa"/>
              <w:bottom w:w="60" w:type="dxa"/>
              <w:right w:w="70" w:type="dxa"/>
            </w:tcMar>
            <w:vAlign w:val="center"/>
          </w:tcPr>
          <w:p w14:paraId="4D7AA54D">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0.962</w:t>
            </w:r>
          </w:p>
        </w:tc>
        <w:tc>
          <w:tcPr>
            <w:tcW w:w="2107" w:type="dxa"/>
            <w:tcMar>
              <w:top w:w="60" w:type="dxa"/>
              <w:left w:w="70" w:type="dxa"/>
              <w:bottom w:w="60" w:type="dxa"/>
              <w:right w:w="70" w:type="dxa"/>
            </w:tcMar>
            <w:vAlign w:val="center"/>
          </w:tcPr>
          <w:p w14:paraId="7524545C">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0.950–0.972</w:t>
            </w:r>
          </w:p>
        </w:tc>
      </w:tr>
      <w:tr w14:paraId="21B94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638238D7">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APHV</w:t>
            </w:r>
          </w:p>
        </w:tc>
        <w:tc>
          <w:tcPr>
            <w:tcW w:w="1914" w:type="dxa"/>
            <w:tcMar>
              <w:top w:w="60" w:type="dxa"/>
              <w:left w:w="70" w:type="dxa"/>
              <w:bottom w:w="60" w:type="dxa"/>
              <w:right w:w="70" w:type="dxa"/>
            </w:tcMar>
            <w:vAlign w:val="center"/>
          </w:tcPr>
          <w:p w14:paraId="15CB8273">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U13</w:t>
            </w:r>
          </w:p>
        </w:tc>
        <w:tc>
          <w:tcPr>
            <w:tcW w:w="2875" w:type="dxa"/>
            <w:tcMar>
              <w:top w:w="60" w:type="dxa"/>
              <w:left w:w="70" w:type="dxa"/>
              <w:bottom w:w="60" w:type="dxa"/>
              <w:right w:w="70" w:type="dxa"/>
            </w:tcMar>
            <w:vAlign w:val="center"/>
          </w:tcPr>
          <w:p w14:paraId="3B58304C">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Moore–Fransen</w:t>
            </w:r>
          </w:p>
        </w:tc>
        <w:tc>
          <w:tcPr>
            <w:tcW w:w="1106" w:type="dxa"/>
            <w:tcMar>
              <w:top w:w="60" w:type="dxa"/>
              <w:left w:w="70" w:type="dxa"/>
              <w:bottom w:w="60" w:type="dxa"/>
              <w:right w:w="70" w:type="dxa"/>
            </w:tcMar>
            <w:vAlign w:val="center"/>
          </w:tcPr>
          <w:p w14:paraId="4141A821">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0.672</w:t>
            </w:r>
          </w:p>
        </w:tc>
        <w:tc>
          <w:tcPr>
            <w:tcW w:w="2107" w:type="dxa"/>
            <w:tcMar>
              <w:top w:w="60" w:type="dxa"/>
              <w:left w:w="70" w:type="dxa"/>
              <w:bottom w:w="60" w:type="dxa"/>
              <w:right w:w="70" w:type="dxa"/>
            </w:tcMar>
            <w:vAlign w:val="center"/>
          </w:tcPr>
          <w:p w14:paraId="0EDBCFA2">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0.585–0.743</w:t>
            </w:r>
          </w:p>
        </w:tc>
      </w:tr>
      <w:tr w14:paraId="5AE92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5B963873">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MO</w:t>
            </w:r>
          </w:p>
        </w:tc>
        <w:tc>
          <w:tcPr>
            <w:tcW w:w="1914" w:type="dxa"/>
            <w:tcMar>
              <w:top w:w="60" w:type="dxa"/>
              <w:left w:w="70" w:type="dxa"/>
              <w:bottom w:w="60" w:type="dxa"/>
              <w:right w:w="70" w:type="dxa"/>
            </w:tcMar>
            <w:vAlign w:val="center"/>
          </w:tcPr>
          <w:p w14:paraId="2D007363">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U12</w:t>
            </w:r>
          </w:p>
        </w:tc>
        <w:tc>
          <w:tcPr>
            <w:tcW w:w="2875" w:type="dxa"/>
            <w:tcMar>
              <w:top w:w="60" w:type="dxa"/>
              <w:left w:w="70" w:type="dxa"/>
              <w:bottom w:w="60" w:type="dxa"/>
              <w:right w:w="70" w:type="dxa"/>
            </w:tcMar>
            <w:vAlign w:val="center"/>
          </w:tcPr>
          <w:p w14:paraId="05576E1E">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Mirwald–Moore</w:t>
            </w:r>
          </w:p>
        </w:tc>
        <w:tc>
          <w:tcPr>
            <w:tcW w:w="1106" w:type="dxa"/>
            <w:tcMar>
              <w:top w:w="60" w:type="dxa"/>
              <w:left w:w="70" w:type="dxa"/>
              <w:bottom w:w="60" w:type="dxa"/>
              <w:right w:w="70" w:type="dxa"/>
            </w:tcMar>
            <w:vAlign w:val="center"/>
          </w:tcPr>
          <w:p w14:paraId="06281D83">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0.883</w:t>
            </w:r>
          </w:p>
        </w:tc>
        <w:tc>
          <w:tcPr>
            <w:tcW w:w="2107" w:type="dxa"/>
            <w:tcMar>
              <w:top w:w="60" w:type="dxa"/>
              <w:left w:w="70" w:type="dxa"/>
              <w:bottom w:w="60" w:type="dxa"/>
              <w:right w:w="70" w:type="dxa"/>
            </w:tcMar>
            <w:vAlign w:val="center"/>
          </w:tcPr>
          <w:p w14:paraId="4C00EF4C">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0.836–0.917</w:t>
            </w:r>
          </w:p>
        </w:tc>
      </w:tr>
      <w:tr w14:paraId="0C1F00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3D679813">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MO</w:t>
            </w:r>
          </w:p>
        </w:tc>
        <w:tc>
          <w:tcPr>
            <w:tcW w:w="1914" w:type="dxa"/>
            <w:tcMar>
              <w:top w:w="60" w:type="dxa"/>
              <w:left w:w="70" w:type="dxa"/>
              <w:bottom w:w="60" w:type="dxa"/>
              <w:right w:w="70" w:type="dxa"/>
            </w:tcMar>
            <w:vAlign w:val="center"/>
          </w:tcPr>
          <w:p w14:paraId="4A41E891">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U12</w:t>
            </w:r>
          </w:p>
        </w:tc>
        <w:tc>
          <w:tcPr>
            <w:tcW w:w="2875" w:type="dxa"/>
            <w:tcMar>
              <w:top w:w="60" w:type="dxa"/>
              <w:left w:w="70" w:type="dxa"/>
              <w:bottom w:w="60" w:type="dxa"/>
              <w:right w:w="70" w:type="dxa"/>
            </w:tcMar>
            <w:vAlign w:val="center"/>
          </w:tcPr>
          <w:p w14:paraId="5D83F072">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Mirwald–Fransen</w:t>
            </w:r>
          </w:p>
        </w:tc>
        <w:tc>
          <w:tcPr>
            <w:tcW w:w="1106" w:type="dxa"/>
            <w:tcMar>
              <w:top w:w="60" w:type="dxa"/>
              <w:left w:w="70" w:type="dxa"/>
              <w:bottom w:w="60" w:type="dxa"/>
              <w:right w:w="70" w:type="dxa"/>
            </w:tcMar>
            <w:vAlign w:val="center"/>
          </w:tcPr>
          <w:p w14:paraId="29AC233A">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0.990</w:t>
            </w:r>
          </w:p>
        </w:tc>
        <w:tc>
          <w:tcPr>
            <w:tcW w:w="2107" w:type="dxa"/>
            <w:tcMar>
              <w:top w:w="60" w:type="dxa"/>
              <w:left w:w="70" w:type="dxa"/>
              <w:bottom w:w="60" w:type="dxa"/>
              <w:right w:w="70" w:type="dxa"/>
            </w:tcMar>
            <w:vAlign w:val="center"/>
          </w:tcPr>
          <w:p w14:paraId="4BD02B6E">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0.985–0.993</w:t>
            </w:r>
          </w:p>
        </w:tc>
      </w:tr>
      <w:tr w14:paraId="257DD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1C543A9E">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MO</w:t>
            </w:r>
          </w:p>
        </w:tc>
        <w:tc>
          <w:tcPr>
            <w:tcW w:w="1914" w:type="dxa"/>
            <w:tcMar>
              <w:top w:w="60" w:type="dxa"/>
              <w:left w:w="70" w:type="dxa"/>
              <w:bottom w:w="60" w:type="dxa"/>
              <w:right w:w="70" w:type="dxa"/>
            </w:tcMar>
            <w:vAlign w:val="center"/>
          </w:tcPr>
          <w:p w14:paraId="66599052">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U12</w:t>
            </w:r>
          </w:p>
        </w:tc>
        <w:tc>
          <w:tcPr>
            <w:tcW w:w="2875" w:type="dxa"/>
            <w:tcMar>
              <w:top w:w="60" w:type="dxa"/>
              <w:left w:w="70" w:type="dxa"/>
              <w:bottom w:w="60" w:type="dxa"/>
              <w:right w:w="70" w:type="dxa"/>
            </w:tcMar>
            <w:vAlign w:val="center"/>
          </w:tcPr>
          <w:p w14:paraId="15027A3A">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Moore–Fransen</w:t>
            </w:r>
          </w:p>
        </w:tc>
        <w:tc>
          <w:tcPr>
            <w:tcW w:w="1106" w:type="dxa"/>
            <w:tcMar>
              <w:top w:w="60" w:type="dxa"/>
              <w:left w:w="70" w:type="dxa"/>
              <w:bottom w:w="60" w:type="dxa"/>
              <w:right w:w="70" w:type="dxa"/>
            </w:tcMar>
            <w:vAlign w:val="center"/>
          </w:tcPr>
          <w:p w14:paraId="1B17ADC8">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0.882</w:t>
            </w:r>
          </w:p>
        </w:tc>
        <w:tc>
          <w:tcPr>
            <w:tcW w:w="2107" w:type="dxa"/>
            <w:tcMar>
              <w:top w:w="60" w:type="dxa"/>
              <w:left w:w="70" w:type="dxa"/>
              <w:bottom w:w="60" w:type="dxa"/>
              <w:right w:w="70" w:type="dxa"/>
            </w:tcMar>
            <w:vAlign w:val="center"/>
          </w:tcPr>
          <w:p w14:paraId="767299A9">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0.836–0.916</w:t>
            </w:r>
          </w:p>
        </w:tc>
      </w:tr>
      <w:tr w14:paraId="30781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67C4849C">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MO</w:t>
            </w:r>
          </w:p>
        </w:tc>
        <w:tc>
          <w:tcPr>
            <w:tcW w:w="1914" w:type="dxa"/>
            <w:tcMar>
              <w:top w:w="60" w:type="dxa"/>
              <w:left w:w="70" w:type="dxa"/>
              <w:bottom w:w="60" w:type="dxa"/>
              <w:right w:w="70" w:type="dxa"/>
            </w:tcMar>
            <w:vAlign w:val="center"/>
          </w:tcPr>
          <w:p w14:paraId="79203CD2">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U13</w:t>
            </w:r>
          </w:p>
        </w:tc>
        <w:tc>
          <w:tcPr>
            <w:tcW w:w="2875" w:type="dxa"/>
            <w:tcMar>
              <w:top w:w="60" w:type="dxa"/>
              <w:left w:w="70" w:type="dxa"/>
              <w:bottom w:w="60" w:type="dxa"/>
              <w:right w:w="70" w:type="dxa"/>
            </w:tcMar>
            <w:vAlign w:val="center"/>
          </w:tcPr>
          <w:p w14:paraId="64CA308F">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Mirwald–Moore</w:t>
            </w:r>
          </w:p>
        </w:tc>
        <w:tc>
          <w:tcPr>
            <w:tcW w:w="1106" w:type="dxa"/>
            <w:tcMar>
              <w:top w:w="60" w:type="dxa"/>
              <w:left w:w="70" w:type="dxa"/>
              <w:bottom w:w="60" w:type="dxa"/>
              <w:right w:w="70" w:type="dxa"/>
            </w:tcMar>
            <w:vAlign w:val="center"/>
          </w:tcPr>
          <w:p w14:paraId="3BB5C9EC">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0.697</w:t>
            </w:r>
          </w:p>
        </w:tc>
        <w:tc>
          <w:tcPr>
            <w:tcW w:w="2107" w:type="dxa"/>
            <w:tcMar>
              <w:top w:w="60" w:type="dxa"/>
              <w:left w:w="70" w:type="dxa"/>
              <w:bottom w:w="60" w:type="dxa"/>
              <w:right w:w="70" w:type="dxa"/>
            </w:tcMar>
            <w:vAlign w:val="center"/>
          </w:tcPr>
          <w:p w14:paraId="481032C2">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0.616–0.764</w:t>
            </w:r>
          </w:p>
        </w:tc>
      </w:tr>
      <w:tr w14:paraId="317105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09F1739E">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MO</w:t>
            </w:r>
          </w:p>
        </w:tc>
        <w:tc>
          <w:tcPr>
            <w:tcW w:w="1914" w:type="dxa"/>
            <w:tcMar>
              <w:top w:w="60" w:type="dxa"/>
              <w:left w:w="70" w:type="dxa"/>
              <w:bottom w:w="60" w:type="dxa"/>
              <w:right w:w="70" w:type="dxa"/>
            </w:tcMar>
            <w:vAlign w:val="center"/>
          </w:tcPr>
          <w:p w14:paraId="0EED37EA">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U13</w:t>
            </w:r>
          </w:p>
        </w:tc>
        <w:tc>
          <w:tcPr>
            <w:tcW w:w="2875" w:type="dxa"/>
            <w:tcMar>
              <w:top w:w="60" w:type="dxa"/>
              <w:left w:w="70" w:type="dxa"/>
              <w:bottom w:w="60" w:type="dxa"/>
              <w:right w:w="70" w:type="dxa"/>
            </w:tcMar>
            <w:vAlign w:val="center"/>
          </w:tcPr>
          <w:p w14:paraId="3D86B25F">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Mirwald–Fransen</w:t>
            </w:r>
          </w:p>
        </w:tc>
        <w:tc>
          <w:tcPr>
            <w:tcW w:w="1106" w:type="dxa"/>
            <w:tcMar>
              <w:top w:w="60" w:type="dxa"/>
              <w:left w:w="70" w:type="dxa"/>
              <w:bottom w:w="60" w:type="dxa"/>
              <w:right w:w="70" w:type="dxa"/>
            </w:tcMar>
            <w:vAlign w:val="center"/>
          </w:tcPr>
          <w:p w14:paraId="7375C059">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0.947</w:t>
            </w:r>
          </w:p>
        </w:tc>
        <w:tc>
          <w:tcPr>
            <w:tcW w:w="2107" w:type="dxa"/>
            <w:tcMar>
              <w:top w:w="60" w:type="dxa"/>
              <w:left w:w="70" w:type="dxa"/>
              <w:bottom w:w="60" w:type="dxa"/>
              <w:right w:w="70" w:type="dxa"/>
            </w:tcMar>
            <w:vAlign w:val="center"/>
          </w:tcPr>
          <w:p w14:paraId="07610E5F">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0.930–0.960</w:t>
            </w:r>
          </w:p>
        </w:tc>
      </w:tr>
      <w:tr w14:paraId="20D82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0" w:hRule="atLeast"/>
          <w:jc w:val="center"/>
        </w:trPr>
        <w:tc>
          <w:tcPr>
            <w:tcW w:w="1741" w:type="dxa"/>
            <w:tcMar>
              <w:top w:w="60" w:type="dxa"/>
              <w:left w:w="70" w:type="dxa"/>
              <w:bottom w:w="60" w:type="dxa"/>
              <w:right w:w="70" w:type="dxa"/>
            </w:tcMar>
            <w:vAlign w:val="center"/>
          </w:tcPr>
          <w:p w14:paraId="57F40D19">
            <w:pPr>
              <w:snapToGrid w:val="0"/>
              <w:spacing w:before="0" w:after="0" w:line="240" w:lineRule="auto"/>
              <w:ind w:left="0" w:leftChars="0" w:right="0" w:rightChars="0" w:firstLine="0" w:firstLineChars="0"/>
              <w:jc w:val="left"/>
              <w:rPr>
                <w:rFonts w:ascii="Times New Roman" w:eastAsia="Times New Roman"/>
                <w:sz w:val="18"/>
              </w:rPr>
            </w:pPr>
            <w:r>
              <w:rPr>
                <w:rFonts w:ascii="Times New Roman" w:hAnsi="Times New Roman" w:eastAsia="Times New Roman"/>
                <w:sz w:val="18"/>
              </w:rPr>
              <w:t>MO</w:t>
            </w:r>
          </w:p>
        </w:tc>
        <w:tc>
          <w:tcPr>
            <w:tcW w:w="1914" w:type="dxa"/>
            <w:tcMar>
              <w:top w:w="60" w:type="dxa"/>
              <w:left w:w="70" w:type="dxa"/>
              <w:bottom w:w="60" w:type="dxa"/>
              <w:right w:w="70" w:type="dxa"/>
            </w:tcMar>
            <w:vAlign w:val="center"/>
          </w:tcPr>
          <w:p w14:paraId="48A761F5">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U13</w:t>
            </w:r>
          </w:p>
        </w:tc>
        <w:tc>
          <w:tcPr>
            <w:tcW w:w="2875" w:type="dxa"/>
            <w:tcMar>
              <w:top w:w="60" w:type="dxa"/>
              <w:left w:w="70" w:type="dxa"/>
              <w:bottom w:w="60" w:type="dxa"/>
              <w:right w:w="70" w:type="dxa"/>
            </w:tcMar>
            <w:vAlign w:val="center"/>
          </w:tcPr>
          <w:p w14:paraId="5865C0BB">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Moore–Fransen</w:t>
            </w:r>
          </w:p>
        </w:tc>
        <w:tc>
          <w:tcPr>
            <w:tcW w:w="1106" w:type="dxa"/>
            <w:tcMar>
              <w:top w:w="60" w:type="dxa"/>
              <w:left w:w="70" w:type="dxa"/>
              <w:bottom w:w="60" w:type="dxa"/>
              <w:right w:w="70" w:type="dxa"/>
            </w:tcMar>
            <w:vAlign w:val="center"/>
          </w:tcPr>
          <w:p w14:paraId="529F9FC6">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0.537</w:t>
            </w:r>
          </w:p>
        </w:tc>
        <w:tc>
          <w:tcPr>
            <w:tcW w:w="2107" w:type="dxa"/>
            <w:tcMar>
              <w:top w:w="60" w:type="dxa"/>
              <w:left w:w="70" w:type="dxa"/>
              <w:bottom w:w="60" w:type="dxa"/>
              <w:right w:w="70" w:type="dxa"/>
            </w:tcMar>
            <w:vAlign w:val="center"/>
          </w:tcPr>
          <w:p w14:paraId="50C1409A">
            <w:pPr>
              <w:snapToGrid w:val="0"/>
              <w:spacing w:before="0" w:after="0" w:line="240" w:lineRule="auto"/>
              <w:ind w:left="0" w:leftChars="0" w:right="0" w:rightChars="0" w:firstLine="0" w:firstLineChars="0"/>
              <w:jc w:val="center"/>
              <w:rPr>
                <w:rFonts w:ascii="Times New Roman" w:eastAsia="Times New Roman"/>
                <w:sz w:val="18"/>
              </w:rPr>
            </w:pPr>
            <w:r>
              <w:rPr>
                <w:rFonts w:ascii="Times New Roman" w:hAnsi="Times New Roman" w:eastAsia="Times New Roman"/>
                <w:sz w:val="18"/>
              </w:rPr>
              <w:t>0.428–0.631</w:t>
            </w:r>
          </w:p>
        </w:tc>
      </w:tr>
    </w:tbl>
    <w:p w14:paraId="20500A78">
      <w:pPr>
        <w:spacing w:after="120" w:line="240" w:lineRule="auto"/>
        <w:jc w:val="both"/>
      </w:pPr>
      <w:r>
        <w:rPr>
          <w:rFonts w:ascii="Times New Roman" w:hAnsi="Times New Roman" w:eastAsia="Times New Roman"/>
          <w:i/>
          <w:sz w:val="21"/>
        </w:rPr>
        <w:t>Note. All correlations were significant at p &lt; 0.001. Correlations quantify linear association, not interchangeability of absolute values: the Mirwald and Fransen models were almost perfectly correlated (r = 0.95–0.995) and ranked players very similarly, whereas the Moore model correlated less strongly with the other two, particularly in U13 (r as low as 0.54 for MO). Because the models also differ in mean, standard deviation, and range of predicted values (Table S2), high Pearson correlation does not imply that absolute APHV or MO values are interchangeable across models. APHV, age at peak height velocity; MO, maturity offset; CI, confidence interval.</w:t>
      </w:r>
    </w:p>
    <w:p w14:paraId="39AE6959">
      <w:pPr>
        <w:spacing w:before="160" w:after="80"/>
      </w:pPr>
      <w:r>
        <w:rPr>
          <w:rFonts w:ascii="Times New Roman" w:hAnsi="Times New Roman" w:eastAsia="Times New Roman"/>
          <w:b/>
          <w:sz w:val="22"/>
        </w:rPr>
        <w:t>Supplementary References</w:t>
      </w:r>
    </w:p>
    <w:p w14:paraId="730C474E">
      <w:pPr>
        <w:spacing w:after="60" w:line="240" w:lineRule="auto"/>
        <w:ind w:left="360" w:hanging="360"/>
      </w:pPr>
      <w:r>
        <w:rPr>
          <w:rFonts w:ascii="Times New Roman" w:hAnsi="Times New Roman" w:eastAsia="Times New Roman"/>
          <w:sz w:val="21"/>
        </w:rPr>
        <w:t>[1] Zhang SY, Liu LJ, Wu ZL, Liu G, Ma ZG, Shen XZ, Xu RL. Standards of TW3 skeletal maturity for Chinese children. Ann Hum Biol. 2008;35(3):349–354. https://doi.org/10.1080/03014460801953781.</w:t>
      </w:r>
    </w:p>
    <w:p w14:paraId="39188295">
      <w:pPr>
        <w:spacing w:after="60" w:line="240" w:lineRule="auto"/>
        <w:ind w:left="360" w:hanging="360"/>
      </w:pPr>
      <w:r>
        <w:rPr>
          <w:rFonts w:ascii="Times New Roman" w:hAnsi="Times New Roman" w:eastAsia="Times New Roman"/>
          <w:sz w:val="21"/>
        </w:rPr>
        <w:t>[2] Alshamrani K, Messina F, Offiah AC. Is the Greulich and Pyle atlas applicable to all ethnicities? A systematic review and meta-analysis. Eur Radiol. 2019;29(6):2910–2923. https://doi.org/10.1007/s00330-018-5792-5.</w:t>
      </w:r>
    </w:p>
    <w:p w14:paraId="7C5662B8">
      <w:pPr>
        <w:spacing w:after="60" w:line="240" w:lineRule="auto"/>
        <w:ind w:left="360" w:hanging="360"/>
      </w:pPr>
      <w:r>
        <w:rPr>
          <w:rFonts w:ascii="Times New Roman" w:hAnsi="Times New Roman" w:eastAsia="Times New Roman"/>
          <w:sz w:val="21"/>
        </w:rPr>
        <w:t>[3] Prokop-Piotrkowska M, Marszałek-Dziuba K, Moszczyńska E, Szalecki M, Jurkiewicz E. Traditional and new methods of bone age assessment—an overview. J Clin Res Pediatr Endocrinol. 2021;13(3):251–262. https://doi.org/10.4274/jcrpe.galenos.2020.2020.0091.</w:t>
      </w:r>
    </w:p>
    <w:p w14:paraId="19162FD2">
      <w:pPr>
        <w:spacing w:after="60" w:line="240" w:lineRule="auto"/>
        <w:ind w:left="360" w:hanging="360"/>
      </w:pPr>
      <w:r>
        <w:rPr>
          <w:rFonts w:ascii="Times New Roman" w:hAnsi="Times New Roman" w:eastAsia="Times New Roman"/>
          <w:sz w:val="21"/>
        </w:rPr>
        <w:t>[4] Pan QL, Zhang H, Zhou HK, Cai G. Comparison of the Greulich–Pyle method, the CHN method and the China 05 method for assessing bone age in children and adolescents. Chin J Tissue Eng Res. 2021;25(5):662–667. https://doi.org/10.3969/j.issn.2095-4344.2995.</w:t>
      </w:r>
    </w:p>
    <w:sectPr>
      <w:headerReference r:id="rId5" w:type="default"/>
      <w:footerReference r:id="rId6" w:type="default"/>
      <w:pgSz w:w="12240" w:h="15840"/>
      <w:pgMar w:top="1247" w:right="1247" w:bottom="1247" w:left="124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7D1F4">
    <w:pPr>
      <w:pStyle w:val="2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C80E7">
    <w:pPr>
      <w:pStyle w:val="2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4765"/>
    <w:rsid w:val="000572A8"/>
    <w:rsid w:val="0006063C"/>
    <w:rsid w:val="0015074B"/>
    <w:rsid w:val="0029639D"/>
    <w:rsid w:val="00326F90"/>
    <w:rsid w:val="007471EA"/>
    <w:rsid w:val="00AA1D8D"/>
    <w:rsid w:val="00AE3209"/>
    <w:rsid w:val="00B47730"/>
    <w:rsid w:val="00CB0664"/>
    <w:rsid w:val="00FC693F"/>
    <w:rsid w:val="4CC731A2"/>
    <w:rsid w:val="5ADA201D"/>
    <w:rsid w:val="62E3366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uiPriority="99" w:semiHidden="0" w:name="List Bullet"/>
    <w:lsdException w:qFormat="1" w:uiPriority="99" w:semiHidden="0" w:name="List Number"/>
    <w:lsdException w:qFormat="1" w:uiPriority="99" w:semiHidden="0" w:name="List 2"/>
    <w:lsdException w:uiPriority="99" w:semiHidden="0" w:name="List 3"/>
    <w:lsdException w:uiPriority="99" w:name="List 4"/>
    <w:lsdException w:uiPriority="99" w:name="List 5"/>
    <w:lsdException w:uiPriority="99" w:semiHidden="0" w:name="List Bullet 2"/>
    <w:lsdException w:qFormat="1"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qFormat="1"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qFormat="1" w:unhideWhenUsed="0" w:uiPriority="65" w:semiHidden="0" w:name="Medium List 1"/>
    <w:lsdException w:qFormat="1" w:unhideWhenUsed="0" w:uiPriority="66" w:semiHidden="0" w:name="Medium List 2"/>
    <w:lsdException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qFormat="1"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imes New Roman"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uiPriority w:val="99"/>
    <w:rPr>
      <w:sz w:val="16"/>
      <w:szCs w:val="16"/>
    </w:rPr>
  </w:style>
  <w:style w:type="character" w:customStyle="1" w:styleId="147">
    <w:name w:val="宏文本 字符"/>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3</Pages>
  <Words>1272</Words>
  <Characters>7844</Characters>
  <Lines>64</Lines>
  <Paragraphs>18</Paragraphs>
  <TotalTime>32</TotalTime>
  <ScaleCrop>false</ScaleCrop>
  <LinksUpToDate>false</LinksUpToDate>
  <CharactersWithSpaces>8895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2026-06-03T00:00:00Z</dcterms:created>
  <dc:creator>冰月～</dc:creator>
  <cp:lastModifiedBy>冰月～</cp:lastModifiedBy>
  <dcterms:modified xsi:type="dcterms:W3CDTF">2026-07-31T03:13:05Z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166C314143964D3891F7C76325B0F771_13</vt:lpwstr>
  </property>
  <property fmtid="{D5CDD505-2E9C-101B-9397-08002B2CF9AE}" pid="4" name="KSOTemplateDocerSaveRecord">
    <vt:lpwstr>eyJoZGlkIjoiOWY5ODU5MDMzMTgzMjA1ODAzYTJmZGRhYWNkMThiOWIiLCJ1c2VySWQiOiIzMzEwNDAwODYifQ==</vt:lpwstr>
  </property>
</Properties>
</file>