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3C574">
      <w:pPr>
        <w:spacing w:after="120"/>
        <w:jc w:val="center"/>
        <w:rPr>
          <w:rFonts w:hint="default" w:ascii="Times New Roman" w:hAnsi="Times New Roman" w:cs="Times New Roman"/>
          <w:sz w:val="18"/>
          <w:szCs w:val="18"/>
        </w:rPr>
      </w:pPr>
      <w:r>
        <w:rPr>
          <w:rFonts w:hint="default" w:ascii="Times New Roman" w:hAnsi="Times New Roman" w:cs="Times New Roman"/>
          <w:b/>
          <w:bCs/>
          <w:sz w:val="18"/>
          <w:szCs w:val="18"/>
        </w:rPr>
        <w:t>Supplementary Table S3. Contextual whole-body volleyball injury studies reporting shoulder-related information but not retained in the main shoulder-outcome synthesis</w:t>
      </w:r>
    </w:p>
    <w:p w14:paraId="6FB350C2">
      <w:pPr>
        <w:spacing w:after="160"/>
        <w:rPr>
          <w:rFonts w:hint="default" w:ascii="Times New Roman" w:hAnsi="Times New Roman" w:cs="Times New Roman"/>
          <w:sz w:val="18"/>
          <w:szCs w:val="18"/>
        </w:rPr>
      </w:pPr>
      <w:r>
        <w:rPr>
          <w:rFonts w:hint="default" w:ascii="Times New Roman" w:hAnsi="Times New Roman" w:cs="Times New Roman"/>
          <w:sz w:val="18"/>
          <w:szCs w:val="18"/>
        </w:rPr>
        <w:t>Note. This table lists 12 broad whole-body volleyball injury epidemiology or surveillance studies that were not retained in the main shoulder-outcome synthesis but were retained as contextual evidence. In each study, the shoulder had no shoulder-</w:t>
      </w:r>
      <w:bookmarkStart w:id="0" w:name="_GoBack"/>
      <w:bookmarkEnd w:id="0"/>
      <w:r>
        <w:rPr>
          <w:rFonts w:hint="default" w:ascii="Times New Roman" w:hAnsi="Times New Roman" w:cs="Times New Roman"/>
          <w:sz w:val="18"/>
          <w:szCs w:val="18"/>
        </w:rPr>
        <w:t>specific case definition and appeared only as an anatomical-site, diagnostic, or body-region entry within a whole-body injury profile, so none met the single eligibility rule defined in the Methods (Section 2.3); the corresponding full-text exclusion records are listed in Supplementary Table S2. Shoulder-specific information is reported only when explicitly extractable from the original report. These studies were used only for contextual comparison with the main burden findings and were not included in the count of main included studies, the risk-of-bias synthesis or the associated-factor conclusions.</w:t>
      </w:r>
    </w:p>
    <w:tbl>
      <w:tblPr>
        <w:tblStyle w:val="11"/>
        <w:tblW w:w="12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00"/>
        <w:gridCol w:w="3400"/>
        <w:gridCol w:w="4560"/>
        <w:gridCol w:w="3300"/>
      </w:tblGrid>
      <w:tr w14:paraId="7A09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700" w:type="dxa"/>
            <w:tcBorders>
              <w:top w:val="single" w:color="BFBFBF" w:sz="0" w:space="0"/>
              <w:left w:val="single" w:color="BFBFBF" w:sz="0" w:space="0"/>
              <w:bottom w:val="single" w:color="BFBFBF" w:sz="0" w:space="0"/>
              <w:right w:val="single" w:color="BFBFBF" w:sz="0" w:space="0"/>
            </w:tcBorders>
            <w:shd w:val="clear" w:color="auto" w:fill="D9E2F3"/>
            <w:tcMar>
              <w:top w:w="60" w:type="dxa"/>
              <w:left w:w="100" w:type="dxa"/>
              <w:bottom w:w="60" w:type="dxa"/>
              <w:right w:w="100" w:type="dxa"/>
            </w:tcMar>
            <w:vAlign w:val="center"/>
          </w:tcPr>
          <w:p w14:paraId="2175D920">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bCs/>
                <w:sz w:val="18"/>
                <w:szCs w:val="18"/>
              </w:rPr>
              <w:t>Study</w:t>
            </w:r>
          </w:p>
        </w:tc>
        <w:tc>
          <w:tcPr>
            <w:tcW w:w="3400" w:type="dxa"/>
            <w:tcBorders>
              <w:top w:val="single" w:color="BFBFBF" w:sz="0" w:space="0"/>
              <w:left w:val="single" w:color="BFBFBF" w:sz="0" w:space="0"/>
              <w:bottom w:val="single" w:color="BFBFBF" w:sz="0" w:space="0"/>
              <w:right w:val="single" w:color="BFBFBF" w:sz="0" w:space="0"/>
            </w:tcBorders>
            <w:shd w:val="clear" w:color="auto" w:fill="D9E2F3"/>
            <w:tcMar>
              <w:top w:w="60" w:type="dxa"/>
              <w:left w:w="100" w:type="dxa"/>
              <w:bottom w:w="60" w:type="dxa"/>
              <w:right w:w="100" w:type="dxa"/>
            </w:tcMar>
            <w:vAlign w:val="center"/>
          </w:tcPr>
          <w:p w14:paraId="5C9B6D36">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bCs/>
                <w:sz w:val="18"/>
                <w:szCs w:val="18"/>
              </w:rPr>
              <w:t>Design / population</w:t>
            </w:r>
          </w:p>
        </w:tc>
        <w:tc>
          <w:tcPr>
            <w:tcW w:w="4560" w:type="dxa"/>
            <w:tcBorders>
              <w:top w:val="single" w:color="BFBFBF" w:sz="0" w:space="0"/>
              <w:left w:val="single" w:color="BFBFBF" w:sz="0" w:space="0"/>
              <w:bottom w:val="single" w:color="BFBFBF" w:sz="0" w:space="0"/>
              <w:right w:val="single" w:color="BFBFBF" w:sz="0" w:space="0"/>
            </w:tcBorders>
            <w:shd w:val="clear" w:color="auto" w:fill="D9E2F3"/>
            <w:tcMar>
              <w:top w:w="60" w:type="dxa"/>
              <w:left w:w="100" w:type="dxa"/>
              <w:bottom w:w="60" w:type="dxa"/>
              <w:right w:w="100" w:type="dxa"/>
            </w:tcMar>
            <w:vAlign w:val="center"/>
          </w:tcPr>
          <w:p w14:paraId="529E2D54">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bCs/>
                <w:sz w:val="18"/>
                <w:szCs w:val="18"/>
              </w:rPr>
              <w:t>Shoulder-related information reported in the original report</w:t>
            </w:r>
          </w:p>
        </w:tc>
        <w:tc>
          <w:tcPr>
            <w:tcW w:w="3300" w:type="dxa"/>
            <w:tcBorders>
              <w:top w:val="single" w:color="BFBFBF" w:sz="0" w:space="0"/>
              <w:left w:val="single" w:color="BFBFBF" w:sz="0" w:space="0"/>
              <w:bottom w:val="single" w:color="BFBFBF" w:sz="0" w:space="0"/>
              <w:right w:val="single" w:color="BFBFBF" w:sz="0" w:space="0"/>
            </w:tcBorders>
            <w:shd w:val="clear" w:color="auto" w:fill="D9E2F3"/>
            <w:tcMar>
              <w:top w:w="60" w:type="dxa"/>
              <w:left w:w="100" w:type="dxa"/>
              <w:bottom w:w="60" w:type="dxa"/>
              <w:right w:w="100" w:type="dxa"/>
            </w:tcMar>
            <w:vAlign w:val="center"/>
          </w:tcPr>
          <w:p w14:paraId="2C078C56">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bCs/>
                <w:sz w:val="18"/>
                <w:szCs w:val="18"/>
              </w:rPr>
              <w:t>Reason not retained in the main synthesis</w:t>
            </w:r>
          </w:p>
        </w:tc>
      </w:tr>
      <w:tr w14:paraId="444B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FD3654F">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Aagaard &amp; Jørgensen (1996)</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6FE041DD">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Retrospective whole-body injury epidemiology study in Danish elite indoor volleyball players during the 1993-1994 season, with female and male elite players and comparison with earlier male elite data.</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1E0EA3B9">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 injuries were reported as one of the typical injury locations in elite volleyball and were mainly overuse-related. In the 1993-1994 season, shoulder injuries accounted for 22% of injuries in female players and 13% in male players; 30 shoulder injuries were reported in total across female and male players. The study also reported that most shoulder injuries were overuse injuries and that shoulder injuries tended to be more severe in female players than in male players.</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0D8B67C6">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7AD1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54C73EF2">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Aagaard et al. (1997)</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525EDCE1">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Questionnaire-based epidemiological comparison of injury patterns in indoor and beach volleyball, including elite and recreational players of both sexes.</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362890C4">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The report compared 286 indoor-volleyball injuries and 24 beach-volleyball injuries. Shoulder was identified as one of the typical volleyball injury sites and was mainly overuse-related. Shoulder injuries were more frequent in beach volleyball than in indoor volleyball (p = 0.004). Indoor shoulder-specific information was mainly presented graphically as part of whole-body injury-pattern comparisons rather than as a separate shoulder-outcome estimate.</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9E31E82">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5CED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42617327">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Agel et al. (2007)</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15AB4DA2">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Descriptive NCAA women's volleyball injury surveillance study using NCAA Injury Surveillance System data from 1988-1989 through 2003-2004.</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3D6216CC">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Shoulder-related diagnoses appeared in common injury tables. In games, shoulder muscle-tendon strain was reported for 82 injuries (5.2%; 0.17/1000 AEs), shoulder subluxation for 38 injuries (2.4%; 0.08/1000 AEs), and shoulder tendinitis for 36 injuries (2.3%; 0.07/1000 AEs). In practices, shoulder muscle-tendon strain was reported for 181 injuries (5.6%; 0.16/1000 AEs), shoulder tendinitis for 154 injuries (4.7%; 0.13/1000 AEs), and shoulder subluxation for 48 injuries (1.5%; 0.04/1000 AEs).</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DF7787A">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7201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81A48DD">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Augustsson et al. (2006)</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AD6FF17">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Retrospective questionnaire-based injury and prevention survey among elite Swedish volleyball players; 158 players responded, and 82 players reported 121 injuries.</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31C5C62F">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 injuries were reported by body region: 15 shoulder injuries in total, including 5 in women and 10 in men. Gradual-onset injuries were mostly located in the knee (33%), shoulder (20%), and back (18%).</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14AFAC6">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14B4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025225AD">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Bahr &amp; Bahr (1997)</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54AAC2E4">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Prospective cohort study of acute volleyball injuries in Norwegian volleyball during one indoor season, with emphasis on injury mechanisms and ankle-injury risk factors.</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6512431">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 was reported as one of several injured regions in the overall body-region distribution of 89 acute injuries; shoulder injuries accounted for 8% of injuries. The study primarily quantified acute injury incidence and mechanisms, with emphasis on ankle injuries and reinjury risk.</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61C3E7AC">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5732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836ACED">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Baugh et al. (2018)</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F4CBC0C">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Descriptive injury surveillance study of NCAA men's and women's volleyball, 2013-2014 to 2014-2015, using the NCAA Injury Surveillance Program.</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1A159327">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 information appeared within time-loss and non-time-loss body-part surveillance tables. Men: time-loss shoulder injuries, 2 (6.5%; 0.11/1000 AEs; 95% CI 0.00-0.27); non-time-loss shoulder injuries, 10 (19.6%; 0.57/1000 AEs; 95% CI 0.21-0.92). Women: time-loss shoulder injuries, 8 (4.2%; 0.11/1000 AEs; 95% CI 0.03-0.19); non-time-loss shoulder injuries, 32 (10.5%; 0.44/1000 AEs; 95% CI 0.29-0.60). The study otherwise summarised whole-body injury patterns by sex, event type, time loss, and mechanism.</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F21DF58">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382A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6BECFD86">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Beneka et al. (2009)</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3E9D2369">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Prospective whole-body injury epidemiology study in Greek male volleyball players across youth, junior, and senior championship categories; 407 players were followed weekly during the 2005-2006 period.</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4CDE93D6">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The study recorded injury incidence, severity, diagnosis, and anatomical location for the whole championship period. Among 221 analysed injuries, shoulder injuries accounted for 28 injuries (12.7%), including 19 acute injuries and 9 overuse syndromes. The study also reported overall injury incidence by age group, training/competition context, season period, severity, diagnosis, playing position, and general injury factors.</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5C6CA6B">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224B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63678BA5">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Rajabi et al. (2009)</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0E9BF99">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Descriptive field study of Iranian Super League male volleyball players; 60 players with at least three years of volleyball experience were assessed using questionnaire and interview-based data from the 2005 season.</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A3A74BD">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Shoulder-related data were reported within whole-body injury-location tables. Shoulder joint injuries accounted for 6.8% of injuries during training and 3.4% during competition; scapula injuries accounted for 3.4% during training and 2.3% during competition. Upper-limb injuries were also reported at the region level, but shoulder problems were not analysed as a distinct outcome.</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0C40CEBE">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1B3A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13D1CC10">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Reeser et al. (2015)</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528F58C2">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Surveillance-based comparison of women's collegiate and girls' high-school volleyball time-loss injury data collected prospectively from NCAA ISS and HS RIO systems over four years.</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48899D89">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The shoulder was the third most frequently injured body part among collegiate athletes and fourth among high-school athletes. College shoulder injury rates were higher than high-school rates in practice (IRR 3.7; 95% CI 2.6-5.2) and competition (IRR 4.0; 95% CI 2.2-7.3). Shoulder injuries included rotator cuff tendinosis, musculotendinous strain, and glenohumeral subluxation/dislocation. Spiking was the predominant shoulder injury-inciting activity in both groups.</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355A88B">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34B3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601A0770">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Schafle et al. (1990)</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59515495">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Tournament injury surveillance study from the 1987 United States Volleyball Association National Amateur Volleyball Tournament.</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8D77778">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Shoulder was the fourth most commonly injured site, accounting for 13 of 154 injuries (8.4%). Ten shoulder injuries were overuse injuries, two were recurrent shoulder dislocations, and one was a sprain. The authors noted that overuse injuries of the shoulder and knee were probably more common than the reported numbers indicated.</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454068D6">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5417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DCE51D3">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Verhagen et al. (2004)</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FACACD6">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One-season prospective cohort study of volleyball injuries among 486 Dutch second- and third-division players.</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29AEACB7">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Nine shoulder injuries were reported overall (0.2/1000 h; 95% CI 0.1-0.3). One was acute and eight were overuse injuries; shoulder injuries accounted for 32% of overuse injuries. Mean absence was 7.9 weeks overall for shoulder injuries and 6.2 weeks for overuse shoulder injuries. The study focused mainly on overall injury incidence and ankle-sprain risk.</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3316610C">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r w14:paraId="2613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7E6068A6">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Watkins &amp; Green (1992)</w:t>
            </w:r>
          </w:p>
        </w:tc>
        <w:tc>
          <w:tcPr>
            <w:tcW w:w="34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3C6CEA94">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Questionnaire survey of injuries among male players in the first division of the Scottish National League during the 1989-1990 season.</w:t>
            </w:r>
          </w:p>
        </w:tc>
        <w:tc>
          <w:tcPr>
            <w:tcW w:w="456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12F2FC64">
            <w:pPr>
              <w:spacing w:after="0" w:line="252" w:lineRule="auto"/>
              <w:jc w:val="center"/>
              <w:rPr>
                <w:rFonts w:hint="default" w:ascii="Times New Roman" w:hAnsi="Times New Roman" w:cs="Times New Roman"/>
                <w:sz w:val="18"/>
                <w:szCs w:val="18"/>
              </w:rPr>
            </w:pPr>
            <w:r>
              <w:rPr>
                <w:rFonts w:hint="default" w:ascii="Times New Roman" w:hAnsi="Times New Roman" w:cs="Times New Roman"/>
                <w:b w:val="0"/>
                <w:bCs w:val="0"/>
                <w:sz w:val="18"/>
                <w:szCs w:val="18"/>
              </w:rPr>
              <w:t>Forty-six injuries were reported. Shoulder injuries were reported only in the body-part distribution table, where shoulder represented 2% of injuries in the present study. Blocking and spiking were the main injury-causing activities overall, but shoulder-specific mechanisms were not analysed separately.</w:t>
            </w:r>
          </w:p>
        </w:tc>
        <w:tc>
          <w:tcPr>
            <w:tcW w:w="3300" w:type="dxa"/>
            <w:tcBorders>
              <w:top w:val="single" w:color="BFBFBF" w:sz="0" w:space="0"/>
              <w:left w:val="single" w:color="BFBFBF" w:sz="0" w:space="0"/>
              <w:bottom w:val="single" w:color="BFBFBF" w:sz="0" w:space="0"/>
              <w:right w:val="single" w:color="BFBFBF" w:sz="0" w:space="0"/>
            </w:tcBorders>
            <w:tcMar>
              <w:top w:w="60" w:type="dxa"/>
              <w:left w:w="100" w:type="dxa"/>
              <w:bottom w:w="60" w:type="dxa"/>
              <w:right w:w="100" w:type="dxa"/>
            </w:tcMar>
            <w:vAlign w:val="center"/>
          </w:tcPr>
          <w:p w14:paraId="4BCBEA55">
            <w:pPr>
              <w:jc w:val="center"/>
              <w:rPr>
                <w:rFonts w:hint="default" w:ascii="Times New Roman" w:hAnsi="Times New Roman" w:cs="Times New Roman"/>
                <w:sz w:val="18"/>
                <w:szCs w:val="18"/>
              </w:rPr>
            </w:pPr>
            <w:r>
              <w:rPr>
                <w:rFonts w:hint="default" w:ascii="Times New Roman" w:hAnsi="Times New Roman" w:cs="Times New Roman"/>
                <w:sz w:val="18"/>
                <w:szCs w:val="18"/>
              </w:rPr>
              <w:t>Whole-body volleyball injury epidemiology or surveillance study; the shoulder had no shoulder-specific case definition and was reported only as an anatomical-site, diagnostic, or secondary injury-pattern entry within a broader whole-body injury profile. Cross-referenced in Supplementary Table S2; not counted among the included studies and not used in the risk-of-bias assessment or main evidence synthesis.</w:t>
            </w:r>
          </w:p>
        </w:tc>
      </w:tr>
    </w:tbl>
    <w:p w14:paraId="6807830C">
      <w:pPr>
        <w:spacing w:before="160"/>
        <w:rPr>
          <w:rFonts w:hint="default" w:ascii="Times New Roman" w:hAnsi="Times New Roman" w:cs="Times New Roman"/>
          <w:sz w:val="18"/>
          <w:szCs w:val="18"/>
        </w:rPr>
      </w:pPr>
      <w:r>
        <w:rPr>
          <w:rFonts w:hint="default" w:ascii="Times New Roman" w:hAnsi="Times New Roman" w:cs="Times New Roman"/>
          <w:sz w:val="18"/>
          <w:szCs w:val="18"/>
        </w:rPr>
        <w:t>Abbreviations. AE, athlete-exposure; CI, confidence interval; HS RIO, High School Reporting Information Online; IRR, injury rate ratio; NCAA ISP, National Collegiate Athletic Association Injury Surveillance Program; NCAA ISS, National Collegiate Athletic Association Injury Surveillance System.</w:t>
      </w:r>
    </w:p>
    <w:sectPr>
      <w:pgSz w:w="15840" w:h="12240" w:orient="landscape"/>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0D785306"/>
    <w:rsid w:val="22D7584E"/>
    <w:rsid w:val="449357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Arial" w:cs="Arial"/>
      <w:sz w:val="18"/>
      <w:szCs w:val="18"/>
    </w:rPr>
  </w:style>
  <w:style w:type="paragraph" w:styleId="2">
    <w:name w:val="heading 1"/>
    <w:next w:val="1"/>
    <w:qFormat/>
    <w:uiPriority w:val="0"/>
    <w:rPr>
      <w:rFonts w:ascii="Arial" w:hAnsi="Arial" w:eastAsia="Arial" w:cs="Arial"/>
      <w:color w:val="2E74B5"/>
      <w:sz w:val="32"/>
      <w:szCs w:val="32"/>
    </w:rPr>
  </w:style>
  <w:style w:type="paragraph" w:styleId="3">
    <w:name w:val="heading 2"/>
    <w:next w:val="1"/>
    <w:qFormat/>
    <w:uiPriority w:val="0"/>
    <w:rPr>
      <w:rFonts w:ascii="Arial" w:hAnsi="Arial" w:eastAsia="Arial" w:cs="Arial"/>
      <w:color w:val="2E74B5"/>
      <w:sz w:val="26"/>
      <w:szCs w:val="26"/>
    </w:rPr>
  </w:style>
  <w:style w:type="paragraph" w:styleId="4">
    <w:name w:val="heading 3"/>
    <w:next w:val="1"/>
    <w:qFormat/>
    <w:uiPriority w:val="0"/>
    <w:rPr>
      <w:rFonts w:ascii="Arial" w:hAnsi="Arial" w:eastAsia="Arial" w:cs="Arial"/>
      <w:color w:val="1F4D78"/>
      <w:sz w:val="24"/>
      <w:szCs w:val="24"/>
    </w:rPr>
  </w:style>
  <w:style w:type="paragraph" w:styleId="5">
    <w:name w:val="heading 4"/>
    <w:next w:val="1"/>
    <w:qFormat/>
    <w:uiPriority w:val="0"/>
    <w:rPr>
      <w:rFonts w:ascii="Arial" w:hAnsi="Arial" w:eastAsia="Arial" w:cs="Arial"/>
      <w:i/>
      <w:iCs/>
      <w:color w:val="2E74B5"/>
      <w:sz w:val="18"/>
      <w:szCs w:val="18"/>
    </w:rPr>
  </w:style>
  <w:style w:type="paragraph" w:styleId="6">
    <w:name w:val="heading 5"/>
    <w:next w:val="1"/>
    <w:qFormat/>
    <w:uiPriority w:val="0"/>
    <w:rPr>
      <w:rFonts w:ascii="Arial" w:hAnsi="Arial" w:eastAsia="Arial" w:cs="Arial"/>
      <w:color w:val="2E74B5"/>
      <w:sz w:val="18"/>
      <w:szCs w:val="18"/>
    </w:rPr>
  </w:style>
  <w:style w:type="paragraph" w:styleId="7">
    <w:name w:val="heading 6"/>
    <w:next w:val="1"/>
    <w:qFormat/>
    <w:uiPriority w:val="0"/>
    <w:rPr>
      <w:rFonts w:ascii="Arial" w:hAnsi="Arial" w:eastAsia="Arial" w:cs="Arial"/>
      <w:color w:val="1F4D78"/>
      <w:sz w:val="18"/>
      <w:szCs w:val="1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Arial" w:hAnsi="Arial" w:eastAsia="Arial" w:cs="Arial"/>
      <w:sz w:val="20"/>
      <w:szCs w:val="20"/>
    </w:rPr>
  </w:style>
  <w:style w:type="paragraph" w:styleId="9">
    <w:name w:val="footnote text"/>
    <w:link w:val="17"/>
    <w:semiHidden/>
    <w:unhideWhenUsed/>
    <w:qFormat/>
    <w:uiPriority w:val="99"/>
    <w:pPr>
      <w:spacing w:after="0" w:line="240" w:lineRule="auto"/>
    </w:pPr>
    <w:rPr>
      <w:rFonts w:ascii="Arial" w:hAnsi="Arial" w:eastAsia="Arial" w:cs="Arial"/>
      <w:sz w:val="20"/>
      <w:szCs w:val="20"/>
    </w:rPr>
  </w:style>
  <w:style w:type="paragraph" w:styleId="10">
    <w:name w:val="Title"/>
    <w:qFormat/>
    <w:uiPriority w:val="0"/>
    <w:rPr>
      <w:rFonts w:ascii="Arial" w:hAnsi="Arial" w:eastAsia="Arial" w:cs="Arial"/>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Arial" w:hAnsi="Arial" w:eastAsia="Arial" w:cs="Arial"/>
      <w:sz w:val="18"/>
      <w:szCs w:val="18"/>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977</Words>
  <Characters>6175</Characters>
  <TotalTime>0</TotalTime>
  <ScaleCrop>false</ScaleCrop>
  <LinksUpToDate>false</LinksUpToDate>
  <CharactersWithSpaces>7122</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2026-06-07T05:35:00Z</dcterms:created>
  <dc:creator>Un-named</dc:creator>
  <cp:lastModifiedBy> </cp:lastModifiedBy>
  <dcterms:modified xsi:type="dcterms:W3CDTF">2026-06-09T09:01:12Z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585F7F8863204F7BBA6F31C9FAED0031_13</vt:lpwstr>
  </property>
  <property fmtid="{D5CDD505-2E9C-101B-9397-08002B2CF9AE}" pid="4" name="KSOTemplateDocerSaveRecord">
    <vt:lpwstr>eyJoZGlkIjoiZTIxNDE0OGI0NzhjY2YyOTRlM2FmYzIwNjdkYjRhNDMiLCJ1c2VySWQiOiIxMTYwMzk5MjE3In0=</vt:lpwstr>
  </property>
</Properties>
</file>