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8CCF0">
      <w:pPr>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Supplementary Table S4. Feasibility assessment of quantitative pooling for shoulder-burden and burden-like outcome strata</w:t>
      </w:r>
    </w:p>
    <w:p w14:paraId="288F2CE3">
      <w:pPr>
        <w:spacing w:after="80"/>
        <w:rPr>
          <w:rFonts w:hint="default" w:ascii="Times New Roman" w:hAnsi="Times New Roman" w:cs="Times New Roman"/>
          <w:sz w:val="18"/>
          <w:szCs w:val="18"/>
        </w:rPr>
      </w:pPr>
      <w:r>
        <w:rPr>
          <w:rFonts w:hint="default" w:ascii="Times New Roman" w:hAnsi="Times New Roman" w:eastAsia="Arial" w:cs="Times New Roman"/>
          <w:sz w:val="18"/>
          <w:szCs w:val="18"/>
        </w:rPr>
        <w:t>This table covers all 27 studies included in the main synthesis. The n column refers to the number of studies within each candidate stratum, not participant sample size.</w:t>
      </w:r>
    </w:p>
    <w:tbl>
      <w:tblPr>
        <w:tblStyle w:val="32"/>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1978"/>
        <w:gridCol w:w="1978"/>
        <w:gridCol w:w="1978"/>
        <w:gridCol w:w="1978"/>
        <w:gridCol w:w="1978"/>
        <w:gridCol w:w="1978"/>
        <w:gridCol w:w="1978"/>
        <w:gridCol w:w="1978"/>
      </w:tblGrid>
      <w:tr w14:paraId="646506C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tblHeader/>
          <w:jc w:val="center"/>
        </w:trPr>
        <w:tc>
          <w:tcPr>
            <w:tcW w:w="2232" w:type="dxa"/>
            <w:shd w:val="clear" w:color="auto" w:fill="D9EAF7"/>
            <w:tcMar>
              <w:top w:w="45" w:type="dxa"/>
              <w:left w:w="45" w:type="dxa"/>
              <w:bottom w:w="45" w:type="dxa"/>
              <w:right w:w="45" w:type="dxa"/>
            </w:tcMar>
            <w:vAlign w:val="center"/>
          </w:tcPr>
          <w:p w14:paraId="4E98B5E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Candidate outcome stratum</w:t>
            </w:r>
          </w:p>
        </w:tc>
        <w:tc>
          <w:tcPr>
            <w:tcW w:w="1728" w:type="dxa"/>
            <w:shd w:val="clear" w:color="auto" w:fill="D9EAF7"/>
            <w:tcMar>
              <w:top w:w="45" w:type="dxa"/>
              <w:left w:w="45" w:type="dxa"/>
              <w:bottom w:w="45" w:type="dxa"/>
              <w:right w:w="45" w:type="dxa"/>
            </w:tcMar>
            <w:vAlign w:val="center"/>
          </w:tcPr>
          <w:p w14:paraId="4DD09E2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Population stratum</w:t>
            </w:r>
          </w:p>
        </w:tc>
        <w:tc>
          <w:tcPr>
            <w:tcW w:w="2736" w:type="dxa"/>
            <w:shd w:val="clear" w:color="auto" w:fill="D9EAF7"/>
            <w:tcMar>
              <w:top w:w="45" w:type="dxa"/>
              <w:left w:w="45" w:type="dxa"/>
              <w:bottom w:w="45" w:type="dxa"/>
              <w:right w:w="45" w:type="dxa"/>
            </w:tcMar>
            <w:vAlign w:val="center"/>
          </w:tcPr>
          <w:p w14:paraId="0C6375C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Outcome / case definition</w:t>
            </w:r>
          </w:p>
        </w:tc>
        <w:tc>
          <w:tcPr>
            <w:tcW w:w="2160" w:type="dxa"/>
            <w:shd w:val="clear" w:color="auto" w:fill="D9EAF7"/>
            <w:tcMar>
              <w:top w:w="45" w:type="dxa"/>
              <w:left w:w="45" w:type="dxa"/>
              <w:bottom w:w="45" w:type="dxa"/>
              <w:right w:w="45" w:type="dxa"/>
            </w:tcMar>
            <w:vAlign w:val="center"/>
          </w:tcPr>
          <w:p w14:paraId="40BF94C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Recall or follow-up window</w:t>
            </w:r>
          </w:p>
        </w:tc>
        <w:tc>
          <w:tcPr>
            <w:tcW w:w="1944" w:type="dxa"/>
            <w:shd w:val="clear" w:color="auto" w:fill="D9EAF7"/>
            <w:tcMar>
              <w:top w:w="45" w:type="dxa"/>
              <w:left w:w="45" w:type="dxa"/>
              <w:bottom w:w="45" w:type="dxa"/>
              <w:right w:w="45" w:type="dxa"/>
            </w:tcMar>
            <w:vAlign w:val="center"/>
          </w:tcPr>
          <w:p w14:paraId="5447329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Study design</w:t>
            </w:r>
          </w:p>
        </w:tc>
        <w:tc>
          <w:tcPr>
            <w:tcW w:w="1800" w:type="dxa"/>
            <w:shd w:val="clear" w:color="auto" w:fill="D9EAF7"/>
            <w:tcMar>
              <w:top w:w="45" w:type="dxa"/>
              <w:left w:w="45" w:type="dxa"/>
              <w:bottom w:w="45" w:type="dxa"/>
              <w:right w:w="45" w:type="dxa"/>
            </w:tcMar>
            <w:vAlign w:val="center"/>
          </w:tcPr>
          <w:p w14:paraId="0B3D1B6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Studies in stratum</w:t>
            </w:r>
          </w:p>
        </w:tc>
        <w:tc>
          <w:tcPr>
            <w:tcW w:w="503" w:type="dxa"/>
            <w:shd w:val="clear" w:color="auto" w:fill="D9EAF7"/>
            <w:tcMar>
              <w:top w:w="45" w:type="dxa"/>
              <w:left w:w="45" w:type="dxa"/>
              <w:bottom w:w="45" w:type="dxa"/>
              <w:right w:w="45" w:type="dxa"/>
            </w:tcMar>
            <w:vAlign w:val="center"/>
          </w:tcPr>
          <w:p w14:paraId="7869C71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n</w:t>
            </w:r>
          </w:p>
        </w:tc>
        <w:tc>
          <w:tcPr>
            <w:tcW w:w="3168" w:type="dxa"/>
            <w:shd w:val="clear" w:color="auto" w:fill="D9EAF7"/>
            <w:tcMar>
              <w:top w:w="45" w:type="dxa"/>
              <w:left w:w="45" w:type="dxa"/>
              <w:bottom w:w="45" w:type="dxa"/>
              <w:right w:w="45" w:type="dxa"/>
            </w:tcMar>
            <w:vAlign w:val="center"/>
          </w:tcPr>
          <w:p w14:paraId="37EEB67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sz w:val="18"/>
                <w:szCs w:val="18"/>
              </w:rPr>
              <w:t>Pooling decision</w:t>
            </w:r>
          </w:p>
        </w:tc>
      </w:tr>
      <w:tr w14:paraId="7E4B0B8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1BBC8B4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history and GIRD/TROM comparison in professional players</w:t>
            </w:r>
          </w:p>
        </w:tc>
        <w:tc>
          <w:tcPr>
            <w:tcW w:w="1728" w:type="dxa"/>
            <w:tcMar>
              <w:top w:w="40" w:type="dxa"/>
              <w:left w:w="45" w:type="dxa"/>
              <w:bottom w:w="40" w:type="dxa"/>
              <w:right w:w="45" w:type="dxa"/>
            </w:tcMar>
            <w:vAlign w:val="center"/>
          </w:tcPr>
          <w:p w14:paraId="5EDA7CC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Sex not reported; professional volleyball players</w:t>
            </w:r>
          </w:p>
        </w:tc>
        <w:tc>
          <w:tcPr>
            <w:tcW w:w="2736" w:type="dxa"/>
            <w:tcMar>
              <w:top w:w="40" w:type="dxa"/>
              <w:left w:w="45" w:type="dxa"/>
              <w:bottom w:w="40" w:type="dxa"/>
              <w:right w:w="45" w:type="dxa"/>
            </w:tcMar>
            <w:vAlign w:val="center"/>
          </w:tcPr>
          <w:p w14:paraId="236E800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History of shoulder pain and glenohumeral internal rotation deficit. The pain-</w:t>
            </w:r>
            <w:bookmarkStart w:id="0" w:name="_GoBack"/>
            <w:bookmarkEnd w:id="0"/>
            <w:r>
              <w:rPr>
                <w:rFonts w:hint="default" w:ascii="Times New Roman" w:hAnsi="Times New Roman" w:eastAsia="Arial" w:cs="Times New Roman"/>
                <w:b w:val="0"/>
                <w:sz w:val="18"/>
                <w:szCs w:val="18"/>
              </w:rPr>
              <w:t>history group comprised players with shoulder pain causing absence from at least one match or training session.</w:t>
            </w:r>
          </w:p>
        </w:tc>
        <w:tc>
          <w:tcPr>
            <w:tcW w:w="2160" w:type="dxa"/>
            <w:tcMar>
              <w:top w:w="40" w:type="dxa"/>
              <w:left w:w="45" w:type="dxa"/>
              <w:bottom w:w="40" w:type="dxa"/>
              <w:right w:w="45" w:type="dxa"/>
            </w:tcMar>
            <w:vAlign w:val="center"/>
          </w:tcPr>
          <w:p w14:paraId="3FFF5FC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history within previous 6 months; cross-sectional ROM assessment</w:t>
            </w:r>
          </w:p>
        </w:tc>
        <w:tc>
          <w:tcPr>
            <w:tcW w:w="1944" w:type="dxa"/>
            <w:tcMar>
              <w:top w:w="40" w:type="dxa"/>
              <w:left w:w="45" w:type="dxa"/>
              <w:bottom w:w="40" w:type="dxa"/>
              <w:right w:w="45" w:type="dxa"/>
            </w:tcMar>
            <w:vAlign w:val="center"/>
          </w:tcPr>
          <w:p w14:paraId="29F4579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comparative study</w:t>
            </w:r>
          </w:p>
        </w:tc>
        <w:tc>
          <w:tcPr>
            <w:tcW w:w="1800" w:type="dxa"/>
            <w:tcMar>
              <w:top w:w="40" w:type="dxa"/>
              <w:left w:w="45" w:type="dxa"/>
              <w:bottom w:w="40" w:type="dxa"/>
              <w:right w:w="45" w:type="dxa"/>
            </w:tcMar>
            <w:vAlign w:val="center"/>
          </w:tcPr>
          <w:p w14:paraId="7FCBD5C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Alqarni et al. (2022)</w:t>
            </w:r>
          </w:p>
        </w:tc>
        <w:tc>
          <w:tcPr>
            <w:tcW w:w="503" w:type="dxa"/>
            <w:tcMar>
              <w:top w:w="40" w:type="dxa"/>
              <w:left w:w="45" w:type="dxa"/>
              <w:bottom w:w="40" w:type="dxa"/>
              <w:right w:w="45" w:type="dxa"/>
            </w:tcMar>
            <w:vAlign w:val="center"/>
          </w:tcPr>
          <w:p w14:paraId="68CFEC0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2503B11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The selected pain-history and no-pain comparison groups were not interpreted as prevalence denominators.</w:t>
            </w:r>
          </w:p>
        </w:tc>
      </w:tr>
      <w:tr w14:paraId="0E3619B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3E44279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prevalence and functional disability in adult competitive players</w:t>
            </w:r>
          </w:p>
        </w:tc>
        <w:tc>
          <w:tcPr>
            <w:tcW w:w="1728" w:type="dxa"/>
            <w:shd w:val="clear" w:color="auto" w:fill="F7F7F7"/>
            <w:tcMar>
              <w:top w:w="40" w:type="dxa"/>
              <w:left w:w="45" w:type="dxa"/>
              <w:bottom w:w="40" w:type="dxa"/>
              <w:right w:w="45" w:type="dxa"/>
            </w:tcMar>
            <w:vAlign w:val="center"/>
          </w:tcPr>
          <w:p w14:paraId="2E9CC6B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Sex not clearly reported; Premier League / competitive players</w:t>
            </w:r>
          </w:p>
        </w:tc>
        <w:tc>
          <w:tcPr>
            <w:tcW w:w="2736" w:type="dxa"/>
            <w:shd w:val="clear" w:color="auto" w:fill="F7F7F7"/>
            <w:tcMar>
              <w:top w:w="40" w:type="dxa"/>
              <w:left w:w="45" w:type="dxa"/>
              <w:bottom w:w="40" w:type="dxa"/>
              <w:right w:w="45" w:type="dxa"/>
            </w:tcMar>
            <w:vAlign w:val="center"/>
          </w:tcPr>
          <w:p w14:paraId="3685EAB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prevalence and DASH-defined functional disability</w:t>
            </w:r>
          </w:p>
        </w:tc>
        <w:tc>
          <w:tcPr>
            <w:tcW w:w="2160" w:type="dxa"/>
            <w:shd w:val="clear" w:color="auto" w:fill="F7F7F7"/>
            <w:tcMar>
              <w:top w:w="40" w:type="dxa"/>
              <w:left w:w="45" w:type="dxa"/>
              <w:bottom w:w="40" w:type="dxa"/>
              <w:right w:w="45" w:type="dxa"/>
            </w:tcMar>
            <w:vAlign w:val="center"/>
          </w:tcPr>
          <w:p w14:paraId="620D04D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Point, 6-month, 12-month, and lifetime prevalence</w:t>
            </w:r>
          </w:p>
        </w:tc>
        <w:tc>
          <w:tcPr>
            <w:tcW w:w="1944" w:type="dxa"/>
            <w:shd w:val="clear" w:color="auto" w:fill="F7F7F7"/>
            <w:tcMar>
              <w:top w:w="40" w:type="dxa"/>
              <w:left w:w="45" w:type="dxa"/>
              <w:bottom w:w="40" w:type="dxa"/>
              <w:right w:w="45" w:type="dxa"/>
            </w:tcMar>
            <w:vAlign w:val="center"/>
          </w:tcPr>
          <w:p w14:paraId="16CC090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prevalence study</w:t>
            </w:r>
          </w:p>
        </w:tc>
        <w:tc>
          <w:tcPr>
            <w:tcW w:w="1800" w:type="dxa"/>
            <w:shd w:val="clear" w:color="auto" w:fill="F7F7F7"/>
            <w:tcMar>
              <w:top w:w="40" w:type="dxa"/>
              <w:left w:w="45" w:type="dxa"/>
              <w:bottom w:w="40" w:type="dxa"/>
              <w:right w:w="45" w:type="dxa"/>
            </w:tcMar>
            <w:vAlign w:val="center"/>
          </w:tcPr>
          <w:p w14:paraId="1697CA2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Bandpei et al. (2012)</w:t>
            </w:r>
          </w:p>
        </w:tc>
        <w:tc>
          <w:tcPr>
            <w:tcW w:w="503" w:type="dxa"/>
            <w:shd w:val="clear" w:color="auto" w:fill="F7F7F7"/>
            <w:tcMar>
              <w:top w:w="40" w:type="dxa"/>
              <w:left w:w="45" w:type="dxa"/>
              <w:bottom w:w="40" w:type="dxa"/>
              <w:right w:w="45" w:type="dxa"/>
            </w:tcMar>
            <w:vAlign w:val="center"/>
          </w:tcPr>
          <w:p w14:paraId="69B68B3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2CFB9D1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00FA823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7BF59E8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Position-specific shoulder injury and pain/disability in elite youth male players</w:t>
            </w:r>
          </w:p>
        </w:tc>
        <w:tc>
          <w:tcPr>
            <w:tcW w:w="1728" w:type="dxa"/>
            <w:tcMar>
              <w:top w:w="40" w:type="dxa"/>
              <w:left w:w="45" w:type="dxa"/>
              <w:bottom w:w="40" w:type="dxa"/>
              <w:right w:w="45" w:type="dxa"/>
            </w:tcMar>
            <w:vAlign w:val="center"/>
          </w:tcPr>
          <w:p w14:paraId="3FE1916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elite youth players</w:t>
            </w:r>
          </w:p>
        </w:tc>
        <w:tc>
          <w:tcPr>
            <w:tcW w:w="2736" w:type="dxa"/>
            <w:tcMar>
              <w:top w:w="40" w:type="dxa"/>
              <w:left w:w="45" w:type="dxa"/>
              <w:bottom w:w="40" w:type="dxa"/>
              <w:right w:w="45" w:type="dxa"/>
            </w:tcMar>
            <w:vAlign w:val="center"/>
          </w:tcPr>
          <w:p w14:paraId="60BCEAF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Acute shoulder injury, chronic shoulder injury, and shoulder pain/disability by playing position</w:t>
            </w:r>
          </w:p>
        </w:tc>
        <w:tc>
          <w:tcPr>
            <w:tcW w:w="2160" w:type="dxa"/>
            <w:tcMar>
              <w:top w:w="40" w:type="dxa"/>
              <w:left w:w="45" w:type="dxa"/>
              <w:bottom w:w="40" w:type="dxa"/>
              <w:right w:w="45" w:type="dxa"/>
            </w:tcMar>
            <w:vAlign w:val="center"/>
          </w:tcPr>
          <w:p w14:paraId="73CAAFC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Retrospective injury and symptom history</w:t>
            </w:r>
          </w:p>
        </w:tc>
        <w:tc>
          <w:tcPr>
            <w:tcW w:w="1944" w:type="dxa"/>
            <w:tcMar>
              <w:top w:w="40" w:type="dxa"/>
              <w:left w:w="45" w:type="dxa"/>
              <w:bottom w:w="40" w:type="dxa"/>
              <w:right w:w="45" w:type="dxa"/>
            </w:tcMar>
            <w:vAlign w:val="center"/>
          </w:tcPr>
          <w:p w14:paraId="6796EF5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Retrospective descriptive study</w:t>
            </w:r>
          </w:p>
        </w:tc>
        <w:tc>
          <w:tcPr>
            <w:tcW w:w="1800" w:type="dxa"/>
            <w:tcMar>
              <w:top w:w="40" w:type="dxa"/>
              <w:left w:w="45" w:type="dxa"/>
              <w:bottom w:w="40" w:type="dxa"/>
              <w:right w:w="45" w:type="dxa"/>
            </w:tcMar>
            <w:vAlign w:val="center"/>
          </w:tcPr>
          <w:p w14:paraId="72818F6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Babaei Khorzoghi et al. (2021)</w:t>
            </w:r>
          </w:p>
        </w:tc>
        <w:tc>
          <w:tcPr>
            <w:tcW w:w="503" w:type="dxa"/>
            <w:tcMar>
              <w:top w:w="40" w:type="dxa"/>
              <w:left w:w="45" w:type="dxa"/>
              <w:bottom w:w="40" w:type="dxa"/>
              <w:right w:w="45" w:type="dxa"/>
            </w:tcMar>
            <w:vAlign w:val="center"/>
          </w:tcPr>
          <w:p w14:paraId="36462F5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423AF62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and outcome was reported descriptively by playing position.</w:t>
            </w:r>
          </w:p>
        </w:tc>
      </w:tr>
      <w:tr w14:paraId="4AE77DE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0344571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experience in competitive players</w:t>
            </w:r>
          </w:p>
        </w:tc>
        <w:tc>
          <w:tcPr>
            <w:tcW w:w="1728" w:type="dxa"/>
            <w:shd w:val="clear" w:color="auto" w:fill="F7F7F7"/>
            <w:tcMar>
              <w:top w:w="40" w:type="dxa"/>
              <w:left w:w="45" w:type="dxa"/>
              <w:bottom w:w="40" w:type="dxa"/>
              <w:right w:w="45" w:type="dxa"/>
            </w:tcMar>
            <w:vAlign w:val="center"/>
          </w:tcPr>
          <w:p w14:paraId="400BD03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Sex not clearly reported; competitive volleyball players</w:t>
            </w:r>
          </w:p>
        </w:tc>
        <w:tc>
          <w:tcPr>
            <w:tcW w:w="2736" w:type="dxa"/>
            <w:shd w:val="clear" w:color="auto" w:fill="F7F7F7"/>
            <w:tcMar>
              <w:top w:w="40" w:type="dxa"/>
              <w:left w:w="45" w:type="dxa"/>
              <w:bottom w:w="40" w:type="dxa"/>
              <w:right w:w="45" w:type="dxa"/>
            </w:tcMar>
            <w:vAlign w:val="center"/>
          </w:tcPr>
          <w:p w14:paraId="68AE5FD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experience examined alongside shoulder ROM and dynamic stability</w:t>
            </w:r>
          </w:p>
        </w:tc>
        <w:tc>
          <w:tcPr>
            <w:tcW w:w="2160" w:type="dxa"/>
            <w:shd w:val="clear" w:color="auto" w:fill="F7F7F7"/>
            <w:tcMar>
              <w:top w:w="40" w:type="dxa"/>
              <w:left w:w="45" w:type="dxa"/>
              <w:bottom w:w="40" w:type="dxa"/>
              <w:right w:w="45" w:type="dxa"/>
            </w:tcMar>
            <w:vAlign w:val="center"/>
          </w:tcPr>
          <w:p w14:paraId="155CF55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with retrospective shoulder injury history</w:t>
            </w:r>
          </w:p>
        </w:tc>
        <w:tc>
          <w:tcPr>
            <w:tcW w:w="1944" w:type="dxa"/>
            <w:shd w:val="clear" w:color="auto" w:fill="F7F7F7"/>
            <w:tcMar>
              <w:top w:w="40" w:type="dxa"/>
              <w:left w:w="45" w:type="dxa"/>
              <w:bottom w:w="40" w:type="dxa"/>
              <w:right w:w="45" w:type="dxa"/>
            </w:tcMar>
            <w:vAlign w:val="center"/>
          </w:tcPr>
          <w:p w14:paraId="684A0F0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study</w:t>
            </w:r>
          </w:p>
        </w:tc>
        <w:tc>
          <w:tcPr>
            <w:tcW w:w="1800" w:type="dxa"/>
            <w:shd w:val="clear" w:color="auto" w:fill="F7F7F7"/>
            <w:tcMar>
              <w:top w:w="40" w:type="dxa"/>
              <w:left w:w="45" w:type="dxa"/>
              <w:bottom w:w="40" w:type="dxa"/>
              <w:right w:w="45" w:type="dxa"/>
            </w:tcMar>
            <w:vAlign w:val="center"/>
          </w:tcPr>
          <w:p w14:paraId="5ED46B9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Kim et al. (2023)</w:t>
            </w:r>
          </w:p>
        </w:tc>
        <w:tc>
          <w:tcPr>
            <w:tcW w:w="503" w:type="dxa"/>
            <w:shd w:val="clear" w:color="auto" w:fill="F7F7F7"/>
            <w:tcMar>
              <w:top w:w="40" w:type="dxa"/>
              <w:left w:w="45" w:type="dxa"/>
              <w:bottom w:w="40" w:type="dxa"/>
              <w:right w:w="45" w:type="dxa"/>
            </w:tcMar>
            <w:vAlign w:val="center"/>
          </w:tcPr>
          <w:p w14:paraId="0F4F7F5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4980B74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The outcome was burden-like injury-history information used with associated-factor measures rather than a standalone prevalence estimate.</w:t>
            </w:r>
          </w:p>
        </w:tc>
      </w:tr>
      <w:tr w14:paraId="27D3736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25CAE20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history and rotator strength asymmetry in high-level players</w:t>
            </w:r>
          </w:p>
        </w:tc>
        <w:tc>
          <w:tcPr>
            <w:tcW w:w="1728" w:type="dxa"/>
            <w:tcMar>
              <w:top w:w="40" w:type="dxa"/>
              <w:left w:w="45" w:type="dxa"/>
              <w:bottom w:w="40" w:type="dxa"/>
              <w:right w:w="45" w:type="dxa"/>
            </w:tcMar>
            <w:vAlign w:val="center"/>
          </w:tcPr>
          <w:p w14:paraId="4FEEEEB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high-level / professional volleyball players</w:t>
            </w:r>
          </w:p>
        </w:tc>
        <w:tc>
          <w:tcPr>
            <w:tcW w:w="2736" w:type="dxa"/>
            <w:tcMar>
              <w:top w:w="40" w:type="dxa"/>
              <w:left w:w="45" w:type="dxa"/>
              <w:bottom w:w="40" w:type="dxa"/>
              <w:right w:w="45" w:type="dxa"/>
            </w:tcMar>
            <w:vAlign w:val="center"/>
          </w:tcPr>
          <w:p w14:paraId="492B8AA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history, ER/IR ratio, and shoulder strength asymmetry</w:t>
            </w:r>
          </w:p>
        </w:tc>
        <w:tc>
          <w:tcPr>
            <w:tcW w:w="2160" w:type="dxa"/>
            <w:tcMar>
              <w:top w:w="40" w:type="dxa"/>
              <w:left w:w="45" w:type="dxa"/>
              <w:bottom w:w="40" w:type="dxa"/>
              <w:right w:w="45" w:type="dxa"/>
            </w:tcMar>
            <w:vAlign w:val="center"/>
          </w:tcPr>
          <w:p w14:paraId="68F08BB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with retrospective shoulder injury history</w:t>
            </w:r>
          </w:p>
        </w:tc>
        <w:tc>
          <w:tcPr>
            <w:tcW w:w="1944" w:type="dxa"/>
            <w:tcMar>
              <w:top w:w="40" w:type="dxa"/>
              <w:left w:w="45" w:type="dxa"/>
              <w:bottom w:w="40" w:type="dxa"/>
              <w:right w:w="45" w:type="dxa"/>
            </w:tcMar>
            <w:vAlign w:val="center"/>
          </w:tcPr>
          <w:p w14:paraId="58E5DB0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laboratory study</w:t>
            </w:r>
          </w:p>
        </w:tc>
        <w:tc>
          <w:tcPr>
            <w:tcW w:w="1800" w:type="dxa"/>
            <w:tcMar>
              <w:top w:w="40" w:type="dxa"/>
              <w:left w:w="45" w:type="dxa"/>
              <w:bottom w:w="40" w:type="dxa"/>
              <w:right w:w="45" w:type="dxa"/>
            </w:tcMar>
            <w:vAlign w:val="center"/>
          </w:tcPr>
          <w:p w14:paraId="4B88C04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Hadzic et al. (2014)</w:t>
            </w:r>
          </w:p>
        </w:tc>
        <w:tc>
          <w:tcPr>
            <w:tcW w:w="503" w:type="dxa"/>
            <w:tcMar>
              <w:top w:w="40" w:type="dxa"/>
              <w:left w:w="45" w:type="dxa"/>
              <w:bottom w:w="40" w:type="dxa"/>
              <w:right w:w="45" w:type="dxa"/>
            </w:tcMar>
            <w:vAlign w:val="center"/>
          </w:tcPr>
          <w:p w14:paraId="4365CFE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28BBEE3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and shoulder history was used primarily as an associated-factor grouping variable.</w:t>
            </w:r>
          </w:p>
        </w:tc>
      </w:tr>
      <w:tr w14:paraId="56DEF65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5CE8B1D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Suprascapular neuropathy in male high-level or professional players</w:t>
            </w:r>
          </w:p>
        </w:tc>
        <w:tc>
          <w:tcPr>
            <w:tcW w:w="1728" w:type="dxa"/>
            <w:shd w:val="clear" w:color="auto" w:fill="F7F7F7"/>
            <w:tcMar>
              <w:top w:w="40" w:type="dxa"/>
              <w:left w:w="45" w:type="dxa"/>
              <w:bottom w:w="40" w:type="dxa"/>
              <w:right w:w="45" w:type="dxa"/>
            </w:tcMar>
            <w:vAlign w:val="center"/>
          </w:tcPr>
          <w:p w14:paraId="590BADE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high-level or professional volleyball players</w:t>
            </w:r>
          </w:p>
        </w:tc>
        <w:tc>
          <w:tcPr>
            <w:tcW w:w="2736" w:type="dxa"/>
            <w:shd w:val="clear" w:color="auto" w:fill="F7F7F7"/>
            <w:tcMar>
              <w:top w:w="40" w:type="dxa"/>
              <w:left w:w="45" w:type="dxa"/>
              <w:bottom w:w="40" w:type="dxa"/>
              <w:right w:w="45" w:type="dxa"/>
            </w:tcMar>
            <w:vAlign w:val="center"/>
          </w:tcPr>
          <w:p w14:paraId="2A024FC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Latent, manifest, or severe suprascapular neuropathy</w:t>
            </w:r>
          </w:p>
        </w:tc>
        <w:tc>
          <w:tcPr>
            <w:tcW w:w="2160" w:type="dxa"/>
            <w:shd w:val="clear" w:color="auto" w:fill="F7F7F7"/>
            <w:tcMar>
              <w:top w:w="40" w:type="dxa"/>
              <w:left w:w="45" w:type="dxa"/>
              <w:bottom w:w="40" w:type="dxa"/>
              <w:right w:w="45" w:type="dxa"/>
            </w:tcMar>
            <w:vAlign w:val="center"/>
          </w:tcPr>
          <w:p w14:paraId="6D67085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Clinical and/or electrophysiological assessment</w:t>
            </w:r>
          </w:p>
        </w:tc>
        <w:tc>
          <w:tcPr>
            <w:tcW w:w="1944" w:type="dxa"/>
            <w:shd w:val="clear" w:color="auto" w:fill="F7F7F7"/>
            <w:tcMar>
              <w:top w:w="40" w:type="dxa"/>
              <w:left w:w="45" w:type="dxa"/>
              <w:bottom w:w="40" w:type="dxa"/>
              <w:right w:w="45" w:type="dxa"/>
            </w:tcMar>
            <w:vAlign w:val="center"/>
          </w:tcPr>
          <w:p w14:paraId="6BF4C38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Clinical cross-sectional studies</w:t>
            </w:r>
          </w:p>
        </w:tc>
        <w:tc>
          <w:tcPr>
            <w:tcW w:w="1800" w:type="dxa"/>
            <w:shd w:val="clear" w:color="auto" w:fill="F7F7F7"/>
            <w:tcMar>
              <w:top w:w="40" w:type="dxa"/>
              <w:left w:w="45" w:type="dxa"/>
              <w:bottom w:w="40" w:type="dxa"/>
              <w:right w:w="45" w:type="dxa"/>
            </w:tcMar>
            <w:vAlign w:val="center"/>
          </w:tcPr>
          <w:p w14:paraId="78BE77E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Holzgraefe et al. (1994); Witvrouw et al. (2000)</w:t>
            </w:r>
          </w:p>
        </w:tc>
        <w:tc>
          <w:tcPr>
            <w:tcW w:w="503" w:type="dxa"/>
            <w:shd w:val="clear" w:color="auto" w:fill="F7F7F7"/>
            <w:tcMar>
              <w:top w:w="40" w:type="dxa"/>
              <w:left w:w="45" w:type="dxa"/>
              <w:bottom w:w="40" w:type="dxa"/>
              <w:right w:w="45" w:type="dxa"/>
            </w:tcMar>
            <w:vAlign w:val="center"/>
          </w:tcPr>
          <w:p w14:paraId="3DE7535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2</w:t>
            </w:r>
          </w:p>
        </w:tc>
        <w:tc>
          <w:tcPr>
            <w:tcW w:w="3168" w:type="dxa"/>
            <w:shd w:val="clear" w:color="auto" w:fill="F7F7F7"/>
            <w:tcMar>
              <w:top w:w="40" w:type="dxa"/>
              <w:left w:w="45" w:type="dxa"/>
              <w:bottom w:w="40" w:type="dxa"/>
              <w:right w:w="45" w:type="dxa"/>
            </w:tcMar>
            <w:vAlign w:val="center"/>
          </w:tcPr>
          <w:p w14:paraId="54D07B1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Both studies addressed suprascapular neuropathy in male volleyball players, but they differed in diagnostic emphasis, sampling, and reported pathology definition, and the number of studies was below the minimum of three.</w:t>
            </w:r>
          </w:p>
        </w:tc>
      </w:tr>
      <w:tr w14:paraId="2F7E81A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64B04F8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Non-traumatic or self-reported shoulder pain in female high-school players</w:t>
            </w:r>
          </w:p>
        </w:tc>
        <w:tc>
          <w:tcPr>
            <w:tcW w:w="1728" w:type="dxa"/>
            <w:tcMar>
              <w:top w:w="40" w:type="dxa"/>
              <w:left w:w="45" w:type="dxa"/>
              <w:bottom w:w="40" w:type="dxa"/>
              <w:right w:w="45" w:type="dxa"/>
            </w:tcMar>
            <w:vAlign w:val="center"/>
          </w:tcPr>
          <w:p w14:paraId="4E47280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Female; high-school volleyball players</w:t>
            </w:r>
          </w:p>
        </w:tc>
        <w:tc>
          <w:tcPr>
            <w:tcW w:w="2736" w:type="dxa"/>
            <w:tcMar>
              <w:top w:w="40" w:type="dxa"/>
              <w:left w:w="45" w:type="dxa"/>
              <w:bottom w:w="40" w:type="dxa"/>
              <w:right w:w="45" w:type="dxa"/>
            </w:tcMar>
            <w:vAlign w:val="center"/>
          </w:tcPr>
          <w:p w14:paraId="67D96F5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Non-traumatic shoulder pain or self-reported volleyball-related shoulder pain</w:t>
            </w:r>
          </w:p>
        </w:tc>
        <w:tc>
          <w:tcPr>
            <w:tcW w:w="2160" w:type="dxa"/>
            <w:tcMar>
              <w:top w:w="40" w:type="dxa"/>
              <w:left w:w="45" w:type="dxa"/>
              <w:bottom w:w="40" w:type="dxa"/>
              <w:right w:w="45" w:type="dxa"/>
            </w:tcMar>
            <w:vAlign w:val="center"/>
          </w:tcPr>
          <w:p w14:paraId="2C31A80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Mizoguchi et al.: previous 24 h during attacking or serving; Frisch et al.: retrospective shoulder pain history</w:t>
            </w:r>
          </w:p>
        </w:tc>
        <w:tc>
          <w:tcPr>
            <w:tcW w:w="1944" w:type="dxa"/>
            <w:tcMar>
              <w:top w:w="40" w:type="dxa"/>
              <w:left w:w="45" w:type="dxa"/>
              <w:bottom w:w="40" w:type="dxa"/>
              <w:right w:w="45" w:type="dxa"/>
            </w:tcMar>
            <w:vAlign w:val="center"/>
          </w:tcPr>
          <w:p w14:paraId="2846463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 self-report survey</w:t>
            </w:r>
          </w:p>
        </w:tc>
        <w:tc>
          <w:tcPr>
            <w:tcW w:w="1800" w:type="dxa"/>
            <w:tcMar>
              <w:top w:w="40" w:type="dxa"/>
              <w:left w:w="45" w:type="dxa"/>
              <w:bottom w:w="40" w:type="dxa"/>
              <w:right w:w="45" w:type="dxa"/>
            </w:tcMar>
            <w:vAlign w:val="center"/>
          </w:tcPr>
          <w:p w14:paraId="65B1661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Frisch et al. (2017); Mizoguchi et al. (2025)</w:t>
            </w:r>
          </w:p>
        </w:tc>
        <w:tc>
          <w:tcPr>
            <w:tcW w:w="503" w:type="dxa"/>
            <w:tcMar>
              <w:top w:w="40" w:type="dxa"/>
              <w:left w:w="45" w:type="dxa"/>
              <w:bottom w:w="40" w:type="dxa"/>
              <w:right w:w="45" w:type="dxa"/>
            </w:tcMar>
            <w:vAlign w:val="center"/>
          </w:tcPr>
          <w:p w14:paraId="1E2AF04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2</w:t>
            </w:r>
          </w:p>
        </w:tc>
        <w:tc>
          <w:tcPr>
            <w:tcW w:w="3168" w:type="dxa"/>
            <w:tcMar>
              <w:top w:w="40" w:type="dxa"/>
              <w:left w:w="45" w:type="dxa"/>
              <w:bottom w:w="40" w:type="dxa"/>
              <w:right w:w="45" w:type="dxa"/>
            </w:tcMar>
            <w:vAlign w:val="center"/>
          </w:tcPr>
          <w:p w14:paraId="6E4C9E9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This was one of the largest potentially comparable burden-like clusters, but the case definitions and recall windows differed, and the number of studies was below the prespecified minimum of three.</w:t>
            </w:r>
          </w:p>
        </w:tc>
      </w:tr>
      <w:tr w14:paraId="0E18046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31E0BA1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impingement syndrome in professional male players</w:t>
            </w:r>
          </w:p>
        </w:tc>
        <w:tc>
          <w:tcPr>
            <w:tcW w:w="1728" w:type="dxa"/>
            <w:shd w:val="clear" w:color="auto" w:fill="F7F7F7"/>
            <w:tcMar>
              <w:top w:w="40" w:type="dxa"/>
              <w:left w:w="45" w:type="dxa"/>
              <w:bottom w:w="40" w:type="dxa"/>
              <w:right w:w="45" w:type="dxa"/>
            </w:tcMar>
            <w:vAlign w:val="center"/>
          </w:tcPr>
          <w:p w14:paraId="19052D3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professional players</w:t>
            </w:r>
          </w:p>
        </w:tc>
        <w:tc>
          <w:tcPr>
            <w:tcW w:w="2736" w:type="dxa"/>
            <w:shd w:val="clear" w:color="auto" w:fill="F7F7F7"/>
            <w:tcMar>
              <w:top w:w="40" w:type="dxa"/>
              <w:left w:w="45" w:type="dxa"/>
              <w:bottom w:w="40" w:type="dxa"/>
              <w:right w:w="45" w:type="dxa"/>
            </w:tcMar>
            <w:vAlign w:val="center"/>
          </w:tcPr>
          <w:p w14:paraId="41D0529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impingement syndrome, posture, ROM, and shoulder-girdle strength</w:t>
            </w:r>
          </w:p>
        </w:tc>
        <w:tc>
          <w:tcPr>
            <w:tcW w:w="2160" w:type="dxa"/>
            <w:shd w:val="clear" w:color="auto" w:fill="F7F7F7"/>
            <w:tcMar>
              <w:top w:w="40" w:type="dxa"/>
              <w:left w:w="45" w:type="dxa"/>
              <w:bottom w:w="40" w:type="dxa"/>
              <w:right w:w="45" w:type="dxa"/>
            </w:tcMar>
            <w:vAlign w:val="center"/>
          </w:tcPr>
          <w:p w14:paraId="6C73C62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case-control assessment</w:t>
            </w:r>
          </w:p>
        </w:tc>
        <w:tc>
          <w:tcPr>
            <w:tcW w:w="1944" w:type="dxa"/>
            <w:shd w:val="clear" w:color="auto" w:fill="F7F7F7"/>
            <w:tcMar>
              <w:top w:w="40" w:type="dxa"/>
              <w:left w:w="45" w:type="dxa"/>
              <w:bottom w:w="40" w:type="dxa"/>
              <w:right w:w="45" w:type="dxa"/>
            </w:tcMar>
            <w:vAlign w:val="center"/>
          </w:tcPr>
          <w:p w14:paraId="0664285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Case-control study</w:t>
            </w:r>
          </w:p>
        </w:tc>
        <w:tc>
          <w:tcPr>
            <w:tcW w:w="1800" w:type="dxa"/>
            <w:shd w:val="clear" w:color="auto" w:fill="F7F7F7"/>
            <w:tcMar>
              <w:top w:w="40" w:type="dxa"/>
              <w:left w:w="45" w:type="dxa"/>
              <w:bottom w:w="40" w:type="dxa"/>
              <w:right w:w="45" w:type="dxa"/>
            </w:tcMar>
            <w:vAlign w:val="center"/>
          </w:tcPr>
          <w:p w14:paraId="59CA645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Mousavi Sadati and Yazdani (2020)</w:t>
            </w:r>
          </w:p>
        </w:tc>
        <w:tc>
          <w:tcPr>
            <w:tcW w:w="503" w:type="dxa"/>
            <w:shd w:val="clear" w:color="auto" w:fill="F7F7F7"/>
            <w:tcMar>
              <w:top w:w="40" w:type="dxa"/>
              <w:left w:w="45" w:type="dxa"/>
              <w:bottom w:w="40" w:type="dxa"/>
              <w:right w:w="45" w:type="dxa"/>
            </w:tcMar>
            <w:vAlign w:val="center"/>
          </w:tcPr>
          <w:p w14:paraId="6EE92D9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3B39213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selected case-control sample without a prevalence denominator.</w:t>
            </w:r>
          </w:p>
        </w:tc>
      </w:tr>
      <w:tr w14:paraId="0D223B2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34AEEBE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history and rotator peak torque in young male players</w:t>
            </w:r>
          </w:p>
        </w:tc>
        <w:tc>
          <w:tcPr>
            <w:tcW w:w="1728" w:type="dxa"/>
            <w:tcMar>
              <w:top w:w="40" w:type="dxa"/>
              <w:left w:w="45" w:type="dxa"/>
              <w:bottom w:w="40" w:type="dxa"/>
              <w:right w:w="45" w:type="dxa"/>
            </w:tcMar>
            <w:vAlign w:val="center"/>
          </w:tcPr>
          <w:p w14:paraId="1551BD3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youth / competitive players</w:t>
            </w:r>
          </w:p>
        </w:tc>
        <w:tc>
          <w:tcPr>
            <w:tcW w:w="2736" w:type="dxa"/>
            <w:tcMar>
              <w:top w:w="40" w:type="dxa"/>
              <w:left w:w="45" w:type="dxa"/>
              <w:bottom w:w="40" w:type="dxa"/>
              <w:right w:w="45" w:type="dxa"/>
            </w:tcMar>
            <w:vAlign w:val="center"/>
          </w:tcPr>
          <w:p w14:paraId="4D17110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Previous shoulder injury history and peak torque of shoulder rotators</w:t>
            </w:r>
          </w:p>
        </w:tc>
        <w:tc>
          <w:tcPr>
            <w:tcW w:w="2160" w:type="dxa"/>
            <w:tcMar>
              <w:top w:w="40" w:type="dxa"/>
              <w:left w:w="45" w:type="dxa"/>
              <w:bottom w:w="40" w:type="dxa"/>
              <w:right w:w="45" w:type="dxa"/>
            </w:tcMar>
            <w:vAlign w:val="center"/>
          </w:tcPr>
          <w:p w14:paraId="67E9273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with retrospective shoulder injury history</w:t>
            </w:r>
          </w:p>
        </w:tc>
        <w:tc>
          <w:tcPr>
            <w:tcW w:w="1944" w:type="dxa"/>
            <w:tcMar>
              <w:top w:w="40" w:type="dxa"/>
              <w:left w:w="45" w:type="dxa"/>
              <w:bottom w:w="40" w:type="dxa"/>
              <w:right w:w="45" w:type="dxa"/>
            </w:tcMar>
            <w:vAlign w:val="center"/>
          </w:tcPr>
          <w:p w14:paraId="4D81F38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Comparative cross-sectional study</w:t>
            </w:r>
          </w:p>
        </w:tc>
        <w:tc>
          <w:tcPr>
            <w:tcW w:w="1800" w:type="dxa"/>
            <w:tcMar>
              <w:top w:w="40" w:type="dxa"/>
              <w:left w:w="45" w:type="dxa"/>
              <w:bottom w:w="40" w:type="dxa"/>
              <w:right w:w="45" w:type="dxa"/>
            </w:tcMar>
            <w:vAlign w:val="center"/>
          </w:tcPr>
          <w:p w14:paraId="25CA7E4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Nascimento et al. (2018)</w:t>
            </w:r>
          </w:p>
        </w:tc>
        <w:tc>
          <w:tcPr>
            <w:tcW w:w="503" w:type="dxa"/>
            <w:tcMar>
              <w:top w:w="40" w:type="dxa"/>
              <w:left w:w="45" w:type="dxa"/>
              <w:bottom w:w="40" w:type="dxa"/>
              <w:right w:w="45" w:type="dxa"/>
            </w:tcMar>
            <w:vAlign w:val="center"/>
          </w:tcPr>
          <w:p w14:paraId="10AD4DD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1301243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Shoulder injury history was used as a comparison variable rather than a directly poolable burden estimate.</w:t>
            </w:r>
          </w:p>
        </w:tc>
      </w:tr>
      <w:tr w14:paraId="5C888DA8">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0DB449C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Postero-superior impingement and GIRD-related pathology in male competitive players</w:t>
            </w:r>
          </w:p>
        </w:tc>
        <w:tc>
          <w:tcPr>
            <w:tcW w:w="1728" w:type="dxa"/>
            <w:shd w:val="clear" w:color="auto" w:fill="F7F7F7"/>
            <w:tcMar>
              <w:top w:w="40" w:type="dxa"/>
              <w:left w:w="45" w:type="dxa"/>
              <w:bottom w:w="40" w:type="dxa"/>
              <w:right w:w="45" w:type="dxa"/>
            </w:tcMar>
            <w:vAlign w:val="center"/>
          </w:tcPr>
          <w:p w14:paraId="20A38A3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competitive volleyball subgroup</w:t>
            </w:r>
          </w:p>
        </w:tc>
        <w:tc>
          <w:tcPr>
            <w:tcW w:w="2736" w:type="dxa"/>
            <w:shd w:val="clear" w:color="auto" w:fill="F7F7F7"/>
            <w:tcMar>
              <w:top w:w="40" w:type="dxa"/>
              <w:left w:w="45" w:type="dxa"/>
              <w:bottom w:w="40" w:type="dxa"/>
              <w:right w:w="45" w:type="dxa"/>
            </w:tcMar>
            <w:vAlign w:val="center"/>
          </w:tcPr>
          <w:p w14:paraId="678275F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GIRD, PSI, training years, and shoulder pathology</w:t>
            </w:r>
          </w:p>
        </w:tc>
        <w:tc>
          <w:tcPr>
            <w:tcW w:w="2160" w:type="dxa"/>
            <w:shd w:val="clear" w:color="auto" w:fill="F7F7F7"/>
            <w:tcMar>
              <w:top w:w="40" w:type="dxa"/>
              <w:left w:w="45" w:type="dxa"/>
              <w:bottom w:w="40" w:type="dxa"/>
              <w:right w:w="45" w:type="dxa"/>
            </w:tcMar>
            <w:vAlign w:val="center"/>
          </w:tcPr>
          <w:p w14:paraId="5925271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clinical assessment</w:t>
            </w:r>
          </w:p>
        </w:tc>
        <w:tc>
          <w:tcPr>
            <w:tcW w:w="1944" w:type="dxa"/>
            <w:shd w:val="clear" w:color="auto" w:fill="F7F7F7"/>
            <w:tcMar>
              <w:top w:w="40" w:type="dxa"/>
              <w:left w:w="45" w:type="dxa"/>
              <w:bottom w:w="40" w:type="dxa"/>
              <w:right w:w="45" w:type="dxa"/>
            </w:tcMar>
            <w:vAlign w:val="center"/>
          </w:tcPr>
          <w:p w14:paraId="78F0C81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clinical study</w:t>
            </w:r>
          </w:p>
        </w:tc>
        <w:tc>
          <w:tcPr>
            <w:tcW w:w="1800" w:type="dxa"/>
            <w:shd w:val="clear" w:color="auto" w:fill="F7F7F7"/>
            <w:tcMar>
              <w:top w:w="40" w:type="dxa"/>
              <w:left w:w="45" w:type="dxa"/>
              <w:bottom w:w="40" w:type="dxa"/>
              <w:right w:w="45" w:type="dxa"/>
            </w:tcMar>
            <w:vAlign w:val="center"/>
          </w:tcPr>
          <w:p w14:paraId="112B513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Schmalzl et al. (2022)</w:t>
            </w:r>
          </w:p>
        </w:tc>
        <w:tc>
          <w:tcPr>
            <w:tcW w:w="503" w:type="dxa"/>
            <w:shd w:val="clear" w:color="auto" w:fill="F7F7F7"/>
            <w:tcMar>
              <w:top w:w="40" w:type="dxa"/>
              <w:left w:w="45" w:type="dxa"/>
              <w:bottom w:w="40" w:type="dxa"/>
              <w:right w:w="45" w:type="dxa"/>
            </w:tcMar>
            <w:vAlign w:val="center"/>
          </w:tcPr>
          <w:p w14:paraId="1AC6433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424BEB3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438D944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2E77D2F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and spike kinematics in collegiate players</w:t>
            </w:r>
          </w:p>
        </w:tc>
        <w:tc>
          <w:tcPr>
            <w:tcW w:w="1728" w:type="dxa"/>
            <w:tcMar>
              <w:top w:w="40" w:type="dxa"/>
              <w:left w:w="45" w:type="dxa"/>
              <w:bottom w:w="40" w:type="dxa"/>
              <w:right w:w="45" w:type="dxa"/>
            </w:tcMar>
            <w:vAlign w:val="center"/>
          </w:tcPr>
          <w:p w14:paraId="62B6811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amateur collegiate / competitive players</w:t>
            </w:r>
          </w:p>
        </w:tc>
        <w:tc>
          <w:tcPr>
            <w:tcW w:w="2736" w:type="dxa"/>
            <w:tcMar>
              <w:top w:w="40" w:type="dxa"/>
              <w:left w:w="45" w:type="dxa"/>
              <w:bottom w:w="40" w:type="dxa"/>
              <w:right w:w="45" w:type="dxa"/>
            </w:tcMar>
            <w:vAlign w:val="center"/>
          </w:tcPr>
          <w:p w14:paraId="27A6B59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status and spike kinematics; selected pain and matched control groups</w:t>
            </w:r>
          </w:p>
        </w:tc>
        <w:tc>
          <w:tcPr>
            <w:tcW w:w="2160" w:type="dxa"/>
            <w:tcMar>
              <w:top w:w="40" w:type="dxa"/>
              <w:left w:w="45" w:type="dxa"/>
              <w:bottom w:w="40" w:type="dxa"/>
              <w:right w:w="45" w:type="dxa"/>
            </w:tcMar>
            <w:vAlign w:val="center"/>
          </w:tcPr>
          <w:p w14:paraId="1ACB72C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grouped by shoulder pain status</w:t>
            </w:r>
          </w:p>
        </w:tc>
        <w:tc>
          <w:tcPr>
            <w:tcW w:w="1944" w:type="dxa"/>
            <w:tcMar>
              <w:top w:w="40" w:type="dxa"/>
              <w:left w:w="45" w:type="dxa"/>
              <w:bottom w:w="40" w:type="dxa"/>
              <w:right w:w="45" w:type="dxa"/>
            </w:tcMar>
            <w:vAlign w:val="center"/>
          </w:tcPr>
          <w:p w14:paraId="125D90A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biomechanical comparison study</w:t>
            </w:r>
          </w:p>
        </w:tc>
        <w:tc>
          <w:tcPr>
            <w:tcW w:w="1800" w:type="dxa"/>
            <w:tcMar>
              <w:top w:w="40" w:type="dxa"/>
              <w:left w:w="45" w:type="dxa"/>
              <w:bottom w:w="40" w:type="dxa"/>
              <w:right w:w="45" w:type="dxa"/>
            </w:tcMar>
            <w:vAlign w:val="center"/>
          </w:tcPr>
          <w:p w14:paraId="67163C4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Shih and Wang (2019)</w:t>
            </w:r>
          </w:p>
        </w:tc>
        <w:tc>
          <w:tcPr>
            <w:tcW w:w="503" w:type="dxa"/>
            <w:tcMar>
              <w:top w:w="40" w:type="dxa"/>
              <w:left w:w="45" w:type="dxa"/>
              <w:bottom w:w="40" w:type="dxa"/>
              <w:right w:w="45" w:type="dxa"/>
            </w:tcMar>
            <w:vAlign w:val="center"/>
          </w:tcPr>
          <w:p w14:paraId="7F08864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6447E33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selected pain and control groups were not interpreted as prevalence denominators.</w:t>
            </w:r>
          </w:p>
        </w:tc>
      </w:tr>
      <w:tr w14:paraId="51943E8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3EB0926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Shoulder-related limited participation in NCAA female players</w:t>
            </w:r>
          </w:p>
        </w:tc>
        <w:tc>
          <w:tcPr>
            <w:tcW w:w="1728" w:type="dxa"/>
            <w:shd w:val="clear" w:color="auto" w:fill="F7F7F7"/>
            <w:tcMar>
              <w:top w:w="40" w:type="dxa"/>
              <w:left w:w="45" w:type="dxa"/>
              <w:bottom w:w="40" w:type="dxa"/>
              <w:right w:w="45" w:type="dxa"/>
            </w:tcMar>
            <w:vAlign w:val="center"/>
          </w:tcPr>
          <w:p w14:paraId="6D5CC63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Female; NCAA Division I players</w:t>
            </w:r>
          </w:p>
        </w:tc>
        <w:tc>
          <w:tcPr>
            <w:tcW w:w="2736" w:type="dxa"/>
            <w:shd w:val="clear" w:color="auto" w:fill="F7F7F7"/>
            <w:tcMar>
              <w:top w:w="40" w:type="dxa"/>
              <w:left w:w="45" w:type="dxa"/>
              <w:bottom w:w="40" w:type="dxa"/>
              <w:right w:w="45" w:type="dxa"/>
            </w:tcMar>
            <w:vAlign w:val="center"/>
          </w:tcPr>
          <w:p w14:paraId="756B561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Shoulder-related musculoskeletal injury / limited participation in relation to swing volume</w:t>
            </w:r>
          </w:p>
        </w:tc>
        <w:tc>
          <w:tcPr>
            <w:tcW w:w="2160" w:type="dxa"/>
            <w:shd w:val="clear" w:color="auto" w:fill="F7F7F7"/>
            <w:tcMar>
              <w:top w:w="40" w:type="dxa"/>
              <w:left w:w="45" w:type="dxa"/>
              <w:bottom w:w="40" w:type="dxa"/>
              <w:right w:w="45" w:type="dxa"/>
            </w:tcMar>
            <w:vAlign w:val="center"/>
          </w:tcPr>
          <w:p w14:paraId="0086643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season monitoring</w:t>
            </w:r>
          </w:p>
        </w:tc>
        <w:tc>
          <w:tcPr>
            <w:tcW w:w="1944" w:type="dxa"/>
            <w:shd w:val="clear" w:color="auto" w:fill="F7F7F7"/>
            <w:tcMar>
              <w:top w:w="40" w:type="dxa"/>
              <w:left w:w="45" w:type="dxa"/>
              <w:bottom w:w="40" w:type="dxa"/>
              <w:right w:w="45" w:type="dxa"/>
            </w:tcMar>
            <w:vAlign w:val="center"/>
          </w:tcPr>
          <w:p w14:paraId="174B3D2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surveillance / load-monitoring study</w:t>
            </w:r>
          </w:p>
        </w:tc>
        <w:tc>
          <w:tcPr>
            <w:tcW w:w="1800" w:type="dxa"/>
            <w:shd w:val="clear" w:color="auto" w:fill="F7F7F7"/>
            <w:tcMar>
              <w:top w:w="40" w:type="dxa"/>
              <w:left w:w="45" w:type="dxa"/>
              <w:bottom w:w="40" w:type="dxa"/>
              <w:right w:w="45" w:type="dxa"/>
            </w:tcMar>
            <w:vAlign w:val="center"/>
          </w:tcPr>
          <w:p w14:paraId="007DC9A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Wolfe et al. (2019)</w:t>
            </w:r>
          </w:p>
        </w:tc>
        <w:tc>
          <w:tcPr>
            <w:tcW w:w="503" w:type="dxa"/>
            <w:shd w:val="clear" w:color="auto" w:fill="F7F7F7"/>
            <w:tcMar>
              <w:top w:w="40" w:type="dxa"/>
              <w:left w:w="45" w:type="dxa"/>
              <w:bottom w:w="40" w:type="dxa"/>
              <w:right w:w="45" w:type="dxa"/>
            </w:tcMar>
            <w:vAlign w:val="center"/>
          </w:tcPr>
          <w:p w14:paraId="674CDAE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267F216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and outcome was limited participation rather than pain or injury prevalence.</w:t>
            </w:r>
          </w:p>
        </w:tc>
      </w:tr>
      <w:tr w14:paraId="5539574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2D2EF9E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Anterior shoulder instability in competitive female players</w:t>
            </w:r>
          </w:p>
        </w:tc>
        <w:tc>
          <w:tcPr>
            <w:tcW w:w="1728" w:type="dxa"/>
            <w:tcMar>
              <w:top w:w="40" w:type="dxa"/>
              <w:left w:w="45" w:type="dxa"/>
              <w:bottom w:w="40" w:type="dxa"/>
              <w:right w:w="45" w:type="dxa"/>
            </w:tcMar>
            <w:vAlign w:val="center"/>
          </w:tcPr>
          <w:p w14:paraId="682F713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Female; competitive players</w:t>
            </w:r>
          </w:p>
        </w:tc>
        <w:tc>
          <w:tcPr>
            <w:tcW w:w="2736" w:type="dxa"/>
            <w:tcMar>
              <w:top w:w="40" w:type="dxa"/>
              <w:left w:w="45" w:type="dxa"/>
              <w:bottom w:w="40" w:type="dxa"/>
              <w:right w:w="45" w:type="dxa"/>
            </w:tcMar>
            <w:vAlign w:val="center"/>
          </w:tcPr>
          <w:p w14:paraId="4557DE3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Anterior shoulder instability and core muscular endurance</w:t>
            </w:r>
          </w:p>
        </w:tc>
        <w:tc>
          <w:tcPr>
            <w:tcW w:w="2160" w:type="dxa"/>
            <w:tcMar>
              <w:top w:w="40" w:type="dxa"/>
              <w:left w:w="45" w:type="dxa"/>
              <w:bottom w:w="40" w:type="dxa"/>
              <w:right w:w="45" w:type="dxa"/>
            </w:tcMar>
            <w:vAlign w:val="center"/>
          </w:tcPr>
          <w:p w14:paraId="3220CA2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case-control assessment</w:t>
            </w:r>
          </w:p>
        </w:tc>
        <w:tc>
          <w:tcPr>
            <w:tcW w:w="1944" w:type="dxa"/>
            <w:tcMar>
              <w:top w:w="40" w:type="dxa"/>
              <w:left w:w="45" w:type="dxa"/>
              <w:bottom w:w="40" w:type="dxa"/>
              <w:right w:w="45" w:type="dxa"/>
            </w:tcMar>
            <w:vAlign w:val="center"/>
          </w:tcPr>
          <w:p w14:paraId="6EE89B0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Case-control study</w:t>
            </w:r>
          </w:p>
        </w:tc>
        <w:tc>
          <w:tcPr>
            <w:tcW w:w="1800" w:type="dxa"/>
            <w:tcMar>
              <w:top w:w="40" w:type="dxa"/>
              <w:left w:w="45" w:type="dxa"/>
              <w:bottom w:w="40" w:type="dxa"/>
              <w:right w:w="45" w:type="dxa"/>
            </w:tcMar>
            <w:vAlign w:val="center"/>
          </w:tcPr>
          <w:p w14:paraId="660A187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Zandi et al. (2018)</w:t>
            </w:r>
          </w:p>
        </w:tc>
        <w:tc>
          <w:tcPr>
            <w:tcW w:w="503" w:type="dxa"/>
            <w:tcMar>
              <w:top w:w="40" w:type="dxa"/>
              <w:left w:w="45" w:type="dxa"/>
              <w:bottom w:w="40" w:type="dxa"/>
              <w:right w:w="45" w:type="dxa"/>
            </w:tcMar>
            <w:vAlign w:val="center"/>
          </w:tcPr>
          <w:p w14:paraId="4478BD9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1D2C6C2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selected case-control sample without a prevalence denominator.</w:t>
            </w:r>
          </w:p>
        </w:tc>
      </w:tr>
      <w:tr w14:paraId="462F20A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1C45F4E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dominant-shoulder pain in adolescent male players</w:t>
            </w:r>
          </w:p>
        </w:tc>
        <w:tc>
          <w:tcPr>
            <w:tcW w:w="1728" w:type="dxa"/>
            <w:shd w:val="clear" w:color="auto" w:fill="F7F7F7"/>
            <w:tcMar>
              <w:top w:w="40" w:type="dxa"/>
              <w:left w:w="45" w:type="dxa"/>
              <w:bottom w:w="40" w:type="dxa"/>
              <w:right w:w="45" w:type="dxa"/>
            </w:tcMar>
            <w:vAlign w:val="center"/>
          </w:tcPr>
          <w:p w14:paraId="29F3266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adolescent elite / training-centre players</w:t>
            </w:r>
          </w:p>
        </w:tc>
        <w:tc>
          <w:tcPr>
            <w:tcW w:w="2736" w:type="dxa"/>
            <w:shd w:val="clear" w:color="auto" w:fill="F7F7F7"/>
            <w:tcMar>
              <w:top w:w="40" w:type="dxa"/>
              <w:left w:w="45" w:type="dxa"/>
              <w:bottom w:w="40" w:type="dxa"/>
              <w:right w:w="45" w:type="dxa"/>
            </w:tcMar>
            <w:vAlign w:val="center"/>
          </w:tcPr>
          <w:p w14:paraId="3B1605C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Dominant-side shoulder pain defined as NRS &gt;3 during follow-up</w:t>
            </w:r>
          </w:p>
        </w:tc>
        <w:tc>
          <w:tcPr>
            <w:tcW w:w="2160" w:type="dxa"/>
            <w:shd w:val="clear" w:color="auto" w:fill="F7F7F7"/>
            <w:tcMar>
              <w:top w:w="40" w:type="dxa"/>
              <w:left w:w="45" w:type="dxa"/>
              <w:bottom w:w="40" w:type="dxa"/>
              <w:right w:w="45" w:type="dxa"/>
            </w:tcMar>
            <w:vAlign w:val="center"/>
          </w:tcPr>
          <w:p w14:paraId="3E4116F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16-week follow-up</w:t>
            </w:r>
          </w:p>
        </w:tc>
        <w:tc>
          <w:tcPr>
            <w:tcW w:w="1944" w:type="dxa"/>
            <w:shd w:val="clear" w:color="auto" w:fill="F7F7F7"/>
            <w:tcMar>
              <w:top w:w="40" w:type="dxa"/>
              <w:left w:w="45" w:type="dxa"/>
              <w:bottom w:w="40" w:type="dxa"/>
              <w:right w:w="45" w:type="dxa"/>
            </w:tcMar>
            <w:vAlign w:val="center"/>
          </w:tcPr>
          <w:p w14:paraId="1F8809A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observational cohort study</w:t>
            </w:r>
          </w:p>
        </w:tc>
        <w:tc>
          <w:tcPr>
            <w:tcW w:w="1800" w:type="dxa"/>
            <w:shd w:val="clear" w:color="auto" w:fill="F7F7F7"/>
            <w:tcMar>
              <w:top w:w="40" w:type="dxa"/>
              <w:left w:w="45" w:type="dxa"/>
              <w:bottom w:w="40" w:type="dxa"/>
              <w:right w:w="45" w:type="dxa"/>
            </w:tcMar>
            <w:vAlign w:val="center"/>
          </w:tcPr>
          <w:p w14:paraId="5F77AC3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de Lira et al. (2023)</w:t>
            </w:r>
          </w:p>
        </w:tc>
        <w:tc>
          <w:tcPr>
            <w:tcW w:w="503" w:type="dxa"/>
            <w:shd w:val="clear" w:color="auto" w:fill="F7F7F7"/>
            <w:tcMar>
              <w:top w:w="40" w:type="dxa"/>
              <w:left w:w="45" w:type="dxa"/>
              <w:bottom w:w="40" w:type="dxa"/>
              <w:right w:w="45" w:type="dxa"/>
            </w:tcMar>
            <w:vAlign w:val="center"/>
          </w:tcPr>
          <w:p w14:paraId="27FA98F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653D80C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1DC1C57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44CDC32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shoulder pain, injury, and functional disability in adult volleyball athletes</w:t>
            </w:r>
          </w:p>
        </w:tc>
        <w:tc>
          <w:tcPr>
            <w:tcW w:w="1728" w:type="dxa"/>
            <w:tcMar>
              <w:top w:w="40" w:type="dxa"/>
              <w:left w:w="45" w:type="dxa"/>
              <w:bottom w:w="40" w:type="dxa"/>
              <w:right w:w="45" w:type="dxa"/>
            </w:tcMar>
            <w:vAlign w:val="center"/>
          </w:tcPr>
          <w:p w14:paraId="4299495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professional and masters-level players</w:t>
            </w:r>
          </w:p>
        </w:tc>
        <w:tc>
          <w:tcPr>
            <w:tcW w:w="2736" w:type="dxa"/>
            <w:tcMar>
              <w:top w:w="40" w:type="dxa"/>
              <w:left w:w="45" w:type="dxa"/>
              <w:bottom w:w="40" w:type="dxa"/>
              <w:right w:w="45" w:type="dxa"/>
            </w:tcMar>
            <w:vAlign w:val="center"/>
          </w:tcPr>
          <w:p w14:paraId="6B43DA9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defined as VAS &gt;0; injury defined as at least 1 day of absence; shoulder-related functional disability defined as ASES &lt;100</w:t>
            </w:r>
          </w:p>
        </w:tc>
        <w:tc>
          <w:tcPr>
            <w:tcW w:w="2160" w:type="dxa"/>
            <w:tcMar>
              <w:top w:w="40" w:type="dxa"/>
              <w:left w:w="45" w:type="dxa"/>
              <w:bottom w:w="40" w:type="dxa"/>
              <w:right w:w="45" w:type="dxa"/>
            </w:tcMar>
            <w:vAlign w:val="center"/>
          </w:tcPr>
          <w:p w14:paraId="0602C40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8-month follow-up across three seasons</w:t>
            </w:r>
          </w:p>
        </w:tc>
        <w:tc>
          <w:tcPr>
            <w:tcW w:w="1944" w:type="dxa"/>
            <w:tcMar>
              <w:top w:w="40" w:type="dxa"/>
              <w:left w:w="45" w:type="dxa"/>
              <w:bottom w:w="40" w:type="dxa"/>
              <w:right w:w="45" w:type="dxa"/>
            </w:tcMar>
            <w:vAlign w:val="center"/>
          </w:tcPr>
          <w:p w14:paraId="0786B87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cohort study</w:t>
            </w:r>
          </w:p>
        </w:tc>
        <w:tc>
          <w:tcPr>
            <w:tcW w:w="1800" w:type="dxa"/>
            <w:tcMar>
              <w:top w:w="40" w:type="dxa"/>
              <w:left w:w="45" w:type="dxa"/>
              <w:bottom w:w="40" w:type="dxa"/>
              <w:right w:w="45" w:type="dxa"/>
            </w:tcMar>
            <w:vAlign w:val="center"/>
          </w:tcPr>
          <w:p w14:paraId="6214268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de Toledo et al. (2025)</w:t>
            </w:r>
          </w:p>
        </w:tc>
        <w:tc>
          <w:tcPr>
            <w:tcW w:w="503" w:type="dxa"/>
            <w:tcMar>
              <w:top w:w="40" w:type="dxa"/>
              <w:left w:w="45" w:type="dxa"/>
              <w:bottom w:w="40" w:type="dxa"/>
              <w:right w:w="45" w:type="dxa"/>
            </w:tcMar>
            <w:vAlign w:val="center"/>
          </w:tcPr>
          <w:p w14:paraId="37B4ED4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243C4CC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58D6602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2C40265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dominant-side shoulder pain in high-level players</w:t>
            </w:r>
          </w:p>
        </w:tc>
        <w:tc>
          <w:tcPr>
            <w:tcW w:w="1728" w:type="dxa"/>
            <w:shd w:val="clear" w:color="auto" w:fill="F7F7F7"/>
            <w:tcMar>
              <w:top w:w="40" w:type="dxa"/>
              <w:left w:w="45" w:type="dxa"/>
              <w:bottom w:w="40" w:type="dxa"/>
              <w:right w:w="45" w:type="dxa"/>
            </w:tcMar>
            <w:vAlign w:val="center"/>
          </w:tcPr>
          <w:p w14:paraId="0B25F5A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high-level volleyball players</w:t>
            </w:r>
          </w:p>
        </w:tc>
        <w:tc>
          <w:tcPr>
            <w:tcW w:w="2736" w:type="dxa"/>
            <w:shd w:val="clear" w:color="auto" w:fill="F7F7F7"/>
            <w:tcMar>
              <w:top w:w="40" w:type="dxa"/>
              <w:left w:w="45" w:type="dxa"/>
              <w:bottom w:w="40" w:type="dxa"/>
              <w:right w:w="45" w:type="dxa"/>
            </w:tcMar>
            <w:vAlign w:val="center"/>
          </w:tcPr>
          <w:p w14:paraId="511368E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Dominant-side shoulder pain during the competitive season; preseason strength and morphostatic features</w:t>
            </w:r>
          </w:p>
        </w:tc>
        <w:tc>
          <w:tcPr>
            <w:tcW w:w="2160" w:type="dxa"/>
            <w:shd w:val="clear" w:color="auto" w:fill="F7F7F7"/>
            <w:tcMar>
              <w:top w:w="40" w:type="dxa"/>
              <w:left w:w="45" w:type="dxa"/>
              <w:bottom w:w="40" w:type="dxa"/>
              <w:right w:w="45" w:type="dxa"/>
            </w:tcMar>
            <w:vAlign w:val="center"/>
          </w:tcPr>
          <w:p w14:paraId="6130B4F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6-month follow-up</w:t>
            </w:r>
          </w:p>
        </w:tc>
        <w:tc>
          <w:tcPr>
            <w:tcW w:w="1944" w:type="dxa"/>
            <w:shd w:val="clear" w:color="auto" w:fill="F7F7F7"/>
            <w:tcMar>
              <w:top w:w="40" w:type="dxa"/>
              <w:left w:w="45" w:type="dxa"/>
              <w:bottom w:w="40" w:type="dxa"/>
              <w:right w:w="45" w:type="dxa"/>
            </w:tcMar>
            <w:vAlign w:val="center"/>
          </w:tcPr>
          <w:p w14:paraId="74D93E7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cohort study</w:t>
            </w:r>
          </w:p>
        </w:tc>
        <w:tc>
          <w:tcPr>
            <w:tcW w:w="1800" w:type="dxa"/>
            <w:shd w:val="clear" w:color="auto" w:fill="F7F7F7"/>
            <w:tcMar>
              <w:top w:w="40" w:type="dxa"/>
              <w:left w:w="45" w:type="dxa"/>
              <w:bottom w:w="40" w:type="dxa"/>
              <w:right w:w="45" w:type="dxa"/>
            </w:tcMar>
            <w:vAlign w:val="center"/>
          </w:tcPr>
          <w:p w14:paraId="4E3DF5D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Forthomme et al. (2013)</w:t>
            </w:r>
          </w:p>
        </w:tc>
        <w:tc>
          <w:tcPr>
            <w:tcW w:w="503" w:type="dxa"/>
            <w:shd w:val="clear" w:color="auto" w:fill="F7F7F7"/>
            <w:tcMar>
              <w:top w:w="40" w:type="dxa"/>
              <w:left w:w="45" w:type="dxa"/>
              <w:bottom w:w="40" w:type="dxa"/>
              <w:right w:w="45" w:type="dxa"/>
            </w:tcMar>
            <w:vAlign w:val="center"/>
          </w:tcPr>
          <w:p w14:paraId="155464E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5E2D1BB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The outcome was prospective shoulder pain but differed from other cohorts in population, exposure window, and measured predictors.</w:t>
            </w:r>
          </w:p>
        </w:tc>
      </w:tr>
      <w:tr w14:paraId="4CBDC73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2DAFE05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problems and pain/dysfunction in collegiate club players</w:t>
            </w:r>
          </w:p>
        </w:tc>
        <w:tc>
          <w:tcPr>
            <w:tcW w:w="1728" w:type="dxa"/>
            <w:tcMar>
              <w:top w:w="40" w:type="dxa"/>
              <w:left w:w="45" w:type="dxa"/>
              <w:bottom w:w="40" w:type="dxa"/>
              <w:right w:w="45" w:type="dxa"/>
            </w:tcMar>
            <w:vAlign w:val="center"/>
          </w:tcPr>
          <w:p w14:paraId="3FF8D97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collegiate club players</w:t>
            </w:r>
          </w:p>
        </w:tc>
        <w:tc>
          <w:tcPr>
            <w:tcW w:w="2736" w:type="dxa"/>
            <w:tcMar>
              <w:top w:w="40" w:type="dxa"/>
              <w:left w:w="45" w:type="dxa"/>
              <w:bottom w:w="40" w:type="dxa"/>
              <w:right w:w="45" w:type="dxa"/>
            </w:tcMar>
            <w:vAlign w:val="center"/>
          </w:tcPr>
          <w:p w14:paraId="24016DB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History of shoulder problems, shoulder pain/dysfunction, SST score, VAS score, and associated physical factors</w:t>
            </w:r>
          </w:p>
        </w:tc>
        <w:tc>
          <w:tcPr>
            <w:tcW w:w="2160" w:type="dxa"/>
            <w:tcMar>
              <w:top w:w="40" w:type="dxa"/>
              <w:left w:w="45" w:type="dxa"/>
              <w:bottom w:w="40" w:type="dxa"/>
              <w:right w:w="45" w:type="dxa"/>
            </w:tcMar>
            <w:vAlign w:val="center"/>
          </w:tcPr>
          <w:p w14:paraId="6C90725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previous season and shoulder-problem history</w:t>
            </w:r>
          </w:p>
        </w:tc>
        <w:tc>
          <w:tcPr>
            <w:tcW w:w="1944" w:type="dxa"/>
            <w:tcMar>
              <w:top w:w="40" w:type="dxa"/>
              <w:left w:w="45" w:type="dxa"/>
              <w:bottom w:w="40" w:type="dxa"/>
              <w:right w:w="45" w:type="dxa"/>
            </w:tcMar>
            <w:vAlign w:val="center"/>
          </w:tcPr>
          <w:p w14:paraId="2D149B4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observational study</w:t>
            </w:r>
          </w:p>
        </w:tc>
        <w:tc>
          <w:tcPr>
            <w:tcW w:w="1800" w:type="dxa"/>
            <w:tcMar>
              <w:top w:w="40" w:type="dxa"/>
              <w:left w:w="45" w:type="dxa"/>
              <w:bottom w:w="40" w:type="dxa"/>
              <w:right w:w="45" w:type="dxa"/>
            </w:tcMar>
            <w:vAlign w:val="center"/>
          </w:tcPr>
          <w:p w14:paraId="64AF668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Reeser et al. (2010)</w:t>
            </w:r>
          </w:p>
        </w:tc>
        <w:tc>
          <w:tcPr>
            <w:tcW w:w="503" w:type="dxa"/>
            <w:tcMar>
              <w:top w:w="40" w:type="dxa"/>
              <w:left w:w="45" w:type="dxa"/>
              <w:bottom w:w="40" w:type="dxa"/>
              <w:right w:w="45" w:type="dxa"/>
            </w:tcMar>
            <w:vAlign w:val="center"/>
          </w:tcPr>
          <w:p w14:paraId="17359F7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71FF763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09C94ED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66BEC4A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All-complaints shoulder problems in male collegiate/professional players</w:t>
            </w:r>
          </w:p>
        </w:tc>
        <w:tc>
          <w:tcPr>
            <w:tcW w:w="1728" w:type="dxa"/>
            <w:shd w:val="clear" w:color="auto" w:fill="F7F7F7"/>
            <w:tcMar>
              <w:top w:w="40" w:type="dxa"/>
              <w:left w:w="45" w:type="dxa"/>
              <w:bottom w:w="40" w:type="dxa"/>
              <w:right w:w="45" w:type="dxa"/>
            </w:tcMar>
            <w:vAlign w:val="center"/>
          </w:tcPr>
          <w:p w14:paraId="43EF414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NCAA Division I and professional / premier-league players</w:t>
            </w:r>
          </w:p>
        </w:tc>
        <w:tc>
          <w:tcPr>
            <w:tcW w:w="2736" w:type="dxa"/>
            <w:shd w:val="clear" w:color="auto" w:fill="F7F7F7"/>
            <w:tcMar>
              <w:top w:w="40" w:type="dxa"/>
              <w:left w:w="45" w:type="dxa"/>
              <w:bottom w:w="40" w:type="dxa"/>
              <w:right w:w="45" w:type="dxa"/>
            </w:tcMar>
            <w:vAlign w:val="center"/>
          </w:tcPr>
          <w:p w14:paraId="3C8D95D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OSTRC-defined shoulder problems, including pain, aching, stiffness, looseness, or other complaints; substantial problems defined by reduced training volume/performance or inability to participate</w:t>
            </w:r>
          </w:p>
        </w:tc>
        <w:tc>
          <w:tcPr>
            <w:tcW w:w="2160" w:type="dxa"/>
            <w:shd w:val="clear" w:color="auto" w:fill="F7F7F7"/>
            <w:tcMar>
              <w:top w:w="40" w:type="dxa"/>
              <w:left w:w="45" w:type="dxa"/>
              <w:bottom w:w="40" w:type="dxa"/>
              <w:right w:w="45" w:type="dxa"/>
            </w:tcMar>
            <w:vAlign w:val="center"/>
          </w:tcPr>
          <w:p w14:paraId="28DF322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weekly monitoring across three seasons</w:t>
            </w:r>
          </w:p>
        </w:tc>
        <w:tc>
          <w:tcPr>
            <w:tcW w:w="1944" w:type="dxa"/>
            <w:shd w:val="clear" w:color="auto" w:fill="F7F7F7"/>
            <w:tcMar>
              <w:top w:w="40" w:type="dxa"/>
              <w:left w:w="45" w:type="dxa"/>
              <w:bottom w:w="40" w:type="dxa"/>
              <w:right w:w="45" w:type="dxa"/>
            </w:tcMar>
            <w:vAlign w:val="center"/>
          </w:tcPr>
          <w:p w14:paraId="76230E4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repeated-measures prevalence study</w:t>
            </w:r>
          </w:p>
        </w:tc>
        <w:tc>
          <w:tcPr>
            <w:tcW w:w="1800" w:type="dxa"/>
            <w:shd w:val="clear" w:color="auto" w:fill="F7F7F7"/>
            <w:tcMar>
              <w:top w:w="40" w:type="dxa"/>
              <w:left w:w="45" w:type="dxa"/>
              <w:bottom w:w="40" w:type="dxa"/>
              <w:right w:w="45" w:type="dxa"/>
            </w:tcMar>
            <w:vAlign w:val="center"/>
          </w:tcPr>
          <w:p w14:paraId="2B850EB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Skazalski et al. (2024)</w:t>
            </w:r>
          </w:p>
        </w:tc>
        <w:tc>
          <w:tcPr>
            <w:tcW w:w="503" w:type="dxa"/>
            <w:shd w:val="clear" w:color="auto" w:fill="F7F7F7"/>
            <w:tcMar>
              <w:top w:w="40" w:type="dxa"/>
              <w:left w:w="45" w:type="dxa"/>
              <w:bottom w:w="40" w:type="dxa"/>
              <w:right w:w="45" w:type="dxa"/>
            </w:tcMar>
            <w:vAlign w:val="center"/>
          </w:tcPr>
          <w:p w14:paraId="308F43A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22D738F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13432FB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17AF875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history, GIRD, ERG, and TROM asymmetry in professional/semi-professional players</w:t>
            </w:r>
          </w:p>
        </w:tc>
        <w:tc>
          <w:tcPr>
            <w:tcW w:w="1728" w:type="dxa"/>
            <w:tcMar>
              <w:top w:w="40" w:type="dxa"/>
              <w:left w:w="45" w:type="dxa"/>
              <w:bottom w:w="40" w:type="dxa"/>
              <w:right w:w="45" w:type="dxa"/>
            </w:tcMar>
            <w:vAlign w:val="center"/>
          </w:tcPr>
          <w:p w14:paraId="611FD3C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professional / semi-professional players</w:t>
            </w:r>
          </w:p>
        </w:tc>
        <w:tc>
          <w:tcPr>
            <w:tcW w:w="2736" w:type="dxa"/>
            <w:tcMar>
              <w:top w:w="40" w:type="dxa"/>
              <w:left w:w="45" w:type="dxa"/>
              <w:bottom w:w="40" w:type="dxa"/>
              <w:right w:w="45" w:type="dxa"/>
            </w:tcMar>
            <w:vAlign w:val="center"/>
          </w:tcPr>
          <w:p w14:paraId="3C47DB9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history within the previous year with impact on strength and performance; GIRD, ERG, TROM, and TROM asymmetry examined in relation to pain</w:t>
            </w:r>
          </w:p>
        </w:tc>
        <w:tc>
          <w:tcPr>
            <w:tcW w:w="2160" w:type="dxa"/>
            <w:tcMar>
              <w:top w:w="40" w:type="dxa"/>
              <w:left w:w="45" w:type="dxa"/>
              <w:bottom w:w="40" w:type="dxa"/>
              <w:right w:w="45" w:type="dxa"/>
            </w:tcMar>
            <w:vAlign w:val="center"/>
          </w:tcPr>
          <w:p w14:paraId="4B495AF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shoulder pain history during the previous year</w:t>
            </w:r>
          </w:p>
        </w:tc>
        <w:tc>
          <w:tcPr>
            <w:tcW w:w="1944" w:type="dxa"/>
            <w:tcMar>
              <w:top w:w="40" w:type="dxa"/>
              <w:left w:w="45" w:type="dxa"/>
              <w:bottom w:w="40" w:type="dxa"/>
              <w:right w:w="45" w:type="dxa"/>
            </w:tcMar>
            <w:vAlign w:val="center"/>
          </w:tcPr>
          <w:p w14:paraId="1616979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study</w:t>
            </w:r>
          </w:p>
        </w:tc>
        <w:tc>
          <w:tcPr>
            <w:tcW w:w="1800" w:type="dxa"/>
            <w:tcMar>
              <w:top w:w="40" w:type="dxa"/>
              <w:left w:w="45" w:type="dxa"/>
              <w:bottom w:w="40" w:type="dxa"/>
              <w:right w:w="45" w:type="dxa"/>
            </w:tcMar>
            <w:vAlign w:val="center"/>
          </w:tcPr>
          <w:p w14:paraId="23CD32A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Sa et al. (2026)</w:t>
            </w:r>
          </w:p>
        </w:tc>
        <w:tc>
          <w:tcPr>
            <w:tcW w:w="503" w:type="dxa"/>
            <w:tcMar>
              <w:top w:w="40" w:type="dxa"/>
              <w:left w:w="45" w:type="dxa"/>
              <w:bottom w:w="40" w:type="dxa"/>
              <w:right w:w="45" w:type="dxa"/>
            </w:tcMar>
            <w:vAlign w:val="center"/>
          </w:tcPr>
          <w:p w14:paraId="2C03B12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5C17D9E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Pain-history proportion was burden-like but was analysed primarily in relation to ROM variables.</w:t>
            </w:r>
          </w:p>
        </w:tc>
      </w:tr>
      <w:tr w14:paraId="57D8029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4654DB6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Self-reported shoulder injury and symptoms by spike technique</w:t>
            </w:r>
          </w:p>
        </w:tc>
        <w:tc>
          <w:tcPr>
            <w:tcW w:w="1728" w:type="dxa"/>
            <w:shd w:val="clear" w:color="auto" w:fill="F7F7F7"/>
            <w:tcMar>
              <w:top w:w="40" w:type="dxa"/>
              <w:left w:w="45" w:type="dxa"/>
              <w:bottom w:w="40" w:type="dxa"/>
              <w:right w:w="45" w:type="dxa"/>
            </w:tcMar>
            <w:vAlign w:val="center"/>
          </w:tcPr>
          <w:p w14:paraId="1FE1C12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regional, national, and international competitive levels</w:t>
            </w:r>
          </w:p>
        </w:tc>
        <w:tc>
          <w:tcPr>
            <w:tcW w:w="2736" w:type="dxa"/>
            <w:shd w:val="clear" w:color="auto" w:fill="F7F7F7"/>
            <w:tcMar>
              <w:top w:w="40" w:type="dxa"/>
              <w:left w:w="45" w:type="dxa"/>
              <w:bottom w:w="40" w:type="dxa"/>
              <w:right w:w="45" w:type="dxa"/>
            </w:tcMar>
            <w:vAlign w:val="center"/>
          </w:tcPr>
          <w:p w14:paraId="42E666C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Self-reported shoulder injuries and shoulder symptoms in relation to spike technique; bow-and-arrow and circular techniques compared</w:t>
            </w:r>
          </w:p>
        </w:tc>
        <w:tc>
          <w:tcPr>
            <w:tcW w:w="2160" w:type="dxa"/>
            <w:shd w:val="clear" w:color="auto" w:fill="F7F7F7"/>
            <w:tcMar>
              <w:top w:w="40" w:type="dxa"/>
              <w:left w:w="45" w:type="dxa"/>
              <w:bottom w:w="40" w:type="dxa"/>
              <w:right w:w="45" w:type="dxa"/>
            </w:tcMar>
            <w:vAlign w:val="center"/>
          </w:tcPr>
          <w:p w14:paraId="11B79B8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Online questionnaire conducted from December 2024 to February 2025</w:t>
            </w:r>
          </w:p>
        </w:tc>
        <w:tc>
          <w:tcPr>
            <w:tcW w:w="1944" w:type="dxa"/>
            <w:shd w:val="clear" w:color="auto" w:fill="F7F7F7"/>
            <w:tcMar>
              <w:top w:w="40" w:type="dxa"/>
              <w:left w:w="45" w:type="dxa"/>
              <w:bottom w:w="40" w:type="dxa"/>
              <w:right w:w="45" w:type="dxa"/>
            </w:tcMar>
            <w:vAlign w:val="center"/>
          </w:tcPr>
          <w:p w14:paraId="5239686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online questionnaire study</w:t>
            </w:r>
          </w:p>
        </w:tc>
        <w:tc>
          <w:tcPr>
            <w:tcW w:w="1800" w:type="dxa"/>
            <w:shd w:val="clear" w:color="auto" w:fill="F7F7F7"/>
            <w:tcMar>
              <w:top w:w="40" w:type="dxa"/>
              <w:left w:w="45" w:type="dxa"/>
              <w:bottom w:w="40" w:type="dxa"/>
              <w:right w:w="45" w:type="dxa"/>
            </w:tcMar>
            <w:vAlign w:val="center"/>
          </w:tcPr>
          <w:p w14:paraId="401FEC0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Tilp et al. (2026)</w:t>
            </w:r>
          </w:p>
        </w:tc>
        <w:tc>
          <w:tcPr>
            <w:tcW w:w="503" w:type="dxa"/>
            <w:shd w:val="clear" w:color="auto" w:fill="F7F7F7"/>
            <w:tcMar>
              <w:top w:w="40" w:type="dxa"/>
              <w:left w:w="45" w:type="dxa"/>
              <w:bottom w:w="40" w:type="dxa"/>
              <w:right w:w="45" w:type="dxa"/>
            </w:tcMar>
            <w:vAlign w:val="center"/>
          </w:tcPr>
          <w:p w14:paraId="494F522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2C1FD3C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and outcome was technique-stratified self-report.</w:t>
            </w:r>
          </w:p>
        </w:tc>
      </w:tr>
      <w:tr w14:paraId="025BB54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6D35BCB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injury incidence and characteristics in elite male players</w:t>
            </w:r>
          </w:p>
        </w:tc>
        <w:tc>
          <w:tcPr>
            <w:tcW w:w="1728" w:type="dxa"/>
            <w:tcMar>
              <w:top w:w="40" w:type="dxa"/>
              <w:left w:w="45" w:type="dxa"/>
              <w:bottom w:w="40" w:type="dxa"/>
              <w:right w:w="45" w:type="dxa"/>
            </w:tcMar>
            <w:vAlign w:val="center"/>
          </w:tcPr>
          <w:p w14:paraId="2AFBBCB6">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top-level / elite players</w:t>
            </w:r>
          </w:p>
        </w:tc>
        <w:tc>
          <w:tcPr>
            <w:tcW w:w="2736" w:type="dxa"/>
            <w:tcMar>
              <w:top w:w="40" w:type="dxa"/>
              <w:left w:w="45" w:type="dxa"/>
              <w:bottom w:w="40" w:type="dxa"/>
              <w:right w:w="45" w:type="dxa"/>
            </w:tcMar>
            <w:vAlign w:val="center"/>
          </w:tcPr>
          <w:p w14:paraId="0956DFE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injuries, including prevalence, incidence, injury type, and volleyball action associated with injury</w:t>
            </w:r>
          </w:p>
        </w:tc>
        <w:tc>
          <w:tcPr>
            <w:tcW w:w="2160" w:type="dxa"/>
            <w:tcMar>
              <w:top w:w="40" w:type="dxa"/>
              <w:left w:w="45" w:type="dxa"/>
              <w:bottom w:w="40" w:type="dxa"/>
              <w:right w:w="45" w:type="dxa"/>
            </w:tcMar>
            <w:vAlign w:val="center"/>
          </w:tcPr>
          <w:p w14:paraId="43BB7B1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Two-season follow-up</w:t>
            </w:r>
          </w:p>
        </w:tc>
        <w:tc>
          <w:tcPr>
            <w:tcW w:w="1944" w:type="dxa"/>
            <w:tcMar>
              <w:top w:w="40" w:type="dxa"/>
              <w:left w:w="45" w:type="dxa"/>
              <w:bottom w:w="40" w:type="dxa"/>
              <w:right w:w="45" w:type="dxa"/>
            </w:tcMar>
            <w:vAlign w:val="center"/>
          </w:tcPr>
          <w:p w14:paraId="09AAB48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Prospective descriptive epidemiological cohort study</w:t>
            </w:r>
          </w:p>
        </w:tc>
        <w:tc>
          <w:tcPr>
            <w:tcW w:w="1800" w:type="dxa"/>
            <w:tcMar>
              <w:top w:w="40" w:type="dxa"/>
              <w:left w:w="45" w:type="dxa"/>
              <w:bottom w:w="40" w:type="dxa"/>
              <w:right w:w="45" w:type="dxa"/>
            </w:tcMar>
            <w:vAlign w:val="center"/>
          </w:tcPr>
          <w:p w14:paraId="3A31314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Wang and Cochrane (2001a)</w:t>
            </w:r>
          </w:p>
        </w:tc>
        <w:tc>
          <w:tcPr>
            <w:tcW w:w="503" w:type="dxa"/>
            <w:tcMar>
              <w:top w:w="40" w:type="dxa"/>
              <w:left w:w="45" w:type="dxa"/>
              <w:bottom w:w="40" w:type="dxa"/>
              <w:right w:w="45" w:type="dxa"/>
            </w:tcMar>
            <w:vAlign w:val="center"/>
          </w:tcPr>
          <w:p w14:paraId="5E0F7BF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209F2E60">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w:t>
            </w:r>
          </w:p>
        </w:tc>
      </w:tr>
      <w:tr w14:paraId="40E10FB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303BC7B3">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injury and/or pain with mobility, strength imbalance, and scapular asymmetry in elite male players</w:t>
            </w:r>
          </w:p>
        </w:tc>
        <w:tc>
          <w:tcPr>
            <w:tcW w:w="1728" w:type="dxa"/>
            <w:shd w:val="clear" w:color="auto" w:fill="F7F7F7"/>
            <w:tcMar>
              <w:top w:w="40" w:type="dxa"/>
              <w:left w:w="45" w:type="dxa"/>
              <w:bottom w:w="40" w:type="dxa"/>
              <w:right w:w="45" w:type="dxa"/>
            </w:tcMar>
            <w:vAlign w:val="center"/>
          </w:tcPr>
          <w:p w14:paraId="6A651F4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elite players</w:t>
            </w:r>
          </w:p>
        </w:tc>
        <w:tc>
          <w:tcPr>
            <w:tcW w:w="2736" w:type="dxa"/>
            <w:shd w:val="clear" w:color="auto" w:fill="F7F7F7"/>
            <w:tcMar>
              <w:top w:w="40" w:type="dxa"/>
              <w:left w:w="45" w:type="dxa"/>
              <w:bottom w:w="40" w:type="dxa"/>
              <w:right w:w="45" w:type="dxa"/>
            </w:tcMar>
            <w:vAlign w:val="center"/>
          </w:tcPr>
          <w:p w14:paraId="129E1F4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injury and/or pain associated with shoulder mobility, muscle imbalance, muscle weakness, and scapular asymmetry</w:t>
            </w:r>
          </w:p>
        </w:tc>
        <w:tc>
          <w:tcPr>
            <w:tcW w:w="2160" w:type="dxa"/>
            <w:shd w:val="clear" w:color="auto" w:fill="F7F7F7"/>
            <w:tcMar>
              <w:top w:w="40" w:type="dxa"/>
              <w:left w:w="45" w:type="dxa"/>
              <w:bottom w:w="40" w:type="dxa"/>
              <w:right w:w="45" w:type="dxa"/>
            </w:tcMar>
            <w:vAlign w:val="center"/>
          </w:tcPr>
          <w:p w14:paraId="7207079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w:t>
            </w:r>
          </w:p>
        </w:tc>
        <w:tc>
          <w:tcPr>
            <w:tcW w:w="1944" w:type="dxa"/>
            <w:shd w:val="clear" w:color="auto" w:fill="F7F7F7"/>
            <w:tcMar>
              <w:top w:w="40" w:type="dxa"/>
              <w:left w:w="45" w:type="dxa"/>
              <w:bottom w:w="40" w:type="dxa"/>
              <w:right w:w="45" w:type="dxa"/>
            </w:tcMar>
            <w:vAlign w:val="center"/>
          </w:tcPr>
          <w:p w14:paraId="329F81A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Small-sample cross-sectional / case-control-style functional assessment</w:t>
            </w:r>
          </w:p>
        </w:tc>
        <w:tc>
          <w:tcPr>
            <w:tcW w:w="1800" w:type="dxa"/>
            <w:shd w:val="clear" w:color="auto" w:fill="F7F7F7"/>
            <w:tcMar>
              <w:top w:w="40" w:type="dxa"/>
              <w:left w:w="45" w:type="dxa"/>
              <w:bottom w:w="40" w:type="dxa"/>
              <w:right w:w="45" w:type="dxa"/>
            </w:tcMar>
            <w:vAlign w:val="center"/>
          </w:tcPr>
          <w:p w14:paraId="62CD8D5F">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Wang and Cochrane (2001b)</w:t>
            </w:r>
          </w:p>
        </w:tc>
        <w:tc>
          <w:tcPr>
            <w:tcW w:w="503" w:type="dxa"/>
            <w:shd w:val="clear" w:color="auto" w:fill="F7F7F7"/>
            <w:tcMar>
              <w:top w:w="40" w:type="dxa"/>
              <w:left w:w="45" w:type="dxa"/>
              <w:bottom w:w="40" w:type="dxa"/>
              <w:right w:w="45" w:type="dxa"/>
            </w:tcMar>
            <w:vAlign w:val="center"/>
          </w:tcPr>
          <w:p w14:paraId="21212BB8">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0FFA565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small study only and no compatible burden denominator for quantitative pooling.</w:t>
            </w:r>
          </w:p>
        </w:tc>
      </w:tr>
      <w:tr w14:paraId="0360FD4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08463C4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injury history and rotator strength ratios in adolescent female players</w:t>
            </w:r>
          </w:p>
        </w:tc>
        <w:tc>
          <w:tcPr>
            <w:tcW w:w="1728" w:type="dxa"/>
            <w:tcMar>
              <w:top w:w="40" w:type="dxa"/>
              <w:left w:w="45" w:type="dxa"/>
              <w:bottom w:w="40" w:type="dxa"/>
              <w:right w:w="45" w:type="dxa"/>
            </w:tcMar>
            <w:vAlign w:val="center"/>
          </w:tcPr>
          <w:p w14:paraId="2763F5E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Female; adolescent club / competitive players</w:t>
            </w:r>
          </w:p>
        </w:tc>
        <w:tc>
          <w:tcPr>
            <w:tcW w:w="2736" w:type="dxa"/>
            <w:tcMar>
              <w:top w:w="40" w:type="dxa"/>
              <w:left w:w="45" w:type="dxa"/>
              <w:bottom w:w="40" w:type="dxa"/>
              <w:right w:w="45" w:type="dxa"/>
            </w:tcMar>
            <w:vAlign w:val="center"/>
          </w:tcPr>
          <w:p w14:paraId="29E50A3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injury history and isokinetic peak torque ratios</w:t>
            </w:r>
          </w:p>
        </w:tc>
        <w:tc>
          <w:tcPr>
            <w:tcW w:w="2160" w:type="dxa"/>
            <w:tcMar>
              <w:top w:w="40" w:type="dxa"/>
              <w:left w:w="45" w:type="dxa"/>
              <w:bottom w:w="40" w:type="dxa"/>
              <w:right w:w="45" w:type="dxa"/>
            </w:tcMar>
            <w:vAlign w:val="center"/>
          </w:tcPr>
          <w:p w14:paraId="09E7DFA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with retrospective shoulder injury history</w:t>
            </w:r>
          </w:p>
        </w:tc>
        <w:tc>
          <w:tcPr>
            <w:tcW w:w="1944" w:type="dxa"/>
            <w:tcMar>
              <w:top w:w="40" w:type="dxa"/>
              <w:left w:w="45" w:type="dxa"/>
              <w:bottom w:w="40" w:type="dxa"/>
              <w:right w:w="45" w:type="dxa"/>
            </w:tcMar>
            <w:vAlign w:val="center"/>
          </w:tcPr>
          <w:p w14:paraId="5C8C7DD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study</w:t>
            </w:r>
          </w:p>
        </w:tc>
        <w:tc>
          <w:tcPr>
            <w:tcW w:w="1800" w:type="dxa"/>
            <w:tcMar>
              <w:top w:w="40" w:type="dxa"/>
              <w:left w:w="45" w:type="dxa"/>
              <w:bottom w:w="40" w:type="dxa"/>
              <w:right w:w="45" w:type="dxa"/>
            </w:tcMar>
            <w:vAlign w:val="center"/>
          </w:tcPr>
          <w:p w14:paraId="006E205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Stickley et al. (2008)</w:t>
            </w:r>
          </w:p>
        </w:tc>
        <w:tc>
          <w:tcPr>
            <w:tcW w:w="503" w:type="dxa"/>
            <w:tcMar>
              <w:top w:w="40" w:type="dxa"/>
              <w:left w:w="45" w:type="dxa"/>
              <w:bottom w:w="40" w:type="dxa"/>
              <w:right w:w="45" w:type="dxa"/>
            </w:tcMar>
            <w:vAlign w:val="center"/>
          </w:tcPr>
          <w:p w14:paraId="04056B0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18B24247">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single study only and injury history was used mainly for group comparison.</w:t>
            </w:r>
          </w:p>
        </w:tc>
      </w:tr>
      <w:tr w14:paraId="6E05523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shd w:val="clear" w:color="auto" w:fill="F7F7F7"/>
            <w:tcMar>
              <w:top w:w="40" w:type="dxa"/>
              <w:left w:w="45" w:type="dxa"/>
              <w:bottom w:w="40" w:type="dxa"/>
              <w:right w:w="45" w:type="dxa"/>
            </w:tcMar>
            <w:vAlign w:val="center"/>
          </w:tcPr>
          <w:p w14:paraId="03237669">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and scapular/strength/capsular findings in competitive attackers</w:t>
            </w:r>
          </w:p>
        </w:tc>
        <w:tc>
          <w:tcPr>
            <w:tcW w:w="1728" w:type="dxa"/>
            <w:shd w:val="clear" w:color="auto" w:fill="F7F7F7"/>
            <w:tcMar>
              <w:top w:w="40" w:type="dxa"/>
              <w:left w:w="45" w:type="dxa"/>
              <w:bottom w:w="40" w:type="dxa"/>
              <w:right w:w="45" w:type="dxa"/>
            </w:tcMar>
            <w:vAlign w:val="center"/>
          </w:tcPr>
          <w:p w14:paraId="7794AD7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and female; competitive volleyball attackers and recreational non-overhead controls</w:t>
            </w:r>
          </w:p>
        </w:tc>
        <w:tc>
          <w:tcPr>
            <w:tcW w:w="2736" w:type="dxa"/>
            <w:shd w:val="clear" w:color="auto" w:fill="F7F7F7"/>
            <w:tcMar>
              <w:top w:w="40" w:type="dxa"/>
              <w:left w:w="45" w:type="dxa"/>
              <w:bottom w:w="40" w:type="dxa"/>
              <w:right w:w="45" w:type="dxa"/>
            </w:tcMar>
            <w:vAlign w:val="center"/>
          </w:tcPr>
          <w:p w14:paraId="01DE7A2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Shoulder pain associated with muscular imbalance, scapular position, and capsular tightness</w:t>
            </w:r>
          </w:p>
        </w:tc>
        <w:tc>
          <w:tcPr>
            <w:tcW w:w="2160" w:type="dxa"/>
            <w:shd w:val="clear" w:color="auto" w:fill="F7F7F7"/>
            <w:tcMar>
              <w:top w:w="40" w:type="dxa"/>
              <w:left w:w="45" w:type="dxa"/>
              <w:bottom w:w="40" w:type="dxa"/>
              <w:right w:w="45" w:type="dxa"/>
            </w:tcMar>
            <w:vAlign w:val="center"/>
          </w:tcPr>
          <w:p w14:paraId="0A8AB64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grouped by shoulder pain status</w:t>
            </w:r>
          </w:p>
        </w:tc>
        <w:tc>
          <w:tcPr>
            <w:tcW w:w="1944" w:type="dxa"/>
            <w:shd w:val="clear" w:color="auto" w:fill="F7F7F7"/>
            <w:tcMar>
              <w:top w:w="40" w:type="dxa"/>
              <w:left w:w="45" w:type="dxa"/>
              <w:bottom w:w="40" w:type="dxa"/>
              <w:right w:w="45" w:type="dxa"/>
            </w:tcMar>
            <w:vAlign w:val="center"/>
          </w:tcPr>
          <w:p w14:paraId="4B83DB75">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Case-control-type cross-sectional study</w:t>
            </w:r>
          </w:p>
        </w:tc>
        <w:tc>
          <w:tcPr>
            <w:tcW w:w="1800" w:type="dxa"/>
            <w:shd w:val="clear" w:color="auto" w:fill="F7F7F7"/>
            <w:tcMar>
              <w:top w:w="40" w:type="dxa"/>
              <w:left w:w="45" w:type="dxa"/>
              <w:bottom w:w="40" w:type="dxa"/>
              <w:right w:w="45" w:type="dxa"/>
            </w:tcMar>
            <w:vAlign w:val="center"/>
          </w:tcPr>
          <w:p w14:paraId="5F7F15CD">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Kugler et al. (1996)</w:t>
            </w:r>
          </w:p>
        </w:tc>
        <w:tc>
          <w:tcPr>
            <w:tcW w:w="503" w:type="dxa"/>
            <w:shd w:val="clear" w:color="auto" w:fill="F7F7F7"/>
            <w:tcMar>
              <w:top w:w="40" w:type="dxa"/>
              <w:left w:w="45" w:type="dxa"/>
              <w:bottom w:w="40" w:type="dxa"/>
              <w:right w:w="45" w:type="dxa"/>
            </w:tcMar>
            <w:vAlign w:val="center"/>
          </w:tcPr>
          <w:p w14:paraId="201E501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shd w:val="clear" w:color="auto" w:fill="F7F7F7"/>
            <w:tcMar>
              <w:top w:w="40" w:type="dxa"/>
              <w:left w:w="45" w:type="dxa"/>
              <w:bottom w:w="40" w:type="dxa"/>
              <w:right w:w="45" w:type="dxa"/>
            </w:tcMar>
            <w:vAlign w:val="center"/>
          </w:tcPr>
          <w:p w14:paraId="03A2C29A">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selected pain-status groups and external controls were not interpreted as a prevalence denominator.</w:t>
            </w:r>
          </w:p>
        </w:tc>
      </w:tr>
      <w:tr w14:paraId="60B2F73B">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cantSplit/>
          <w:jc w:val="center"/>
        </w:trPr>
        <w:tc>
          <w:tcPr>
            <w:tcW w:w="2232" w:type="dxa"/>
            <w:tcMar>
              <w:top w:w="40" w:type="dxa"/>
              <w:left w:w="45" w:type="dxa"/>
              <w:bottom w:w="40" w:type="dxa"/>
              <w:right w:w="45" w:type="dxa"/>
            </w:tcMar>
            <w:vAlign w:val="center"/>
          </w:tcPr>
          <w:p w14:paraId="71BEE76B">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Spike kinematics by shoulder injury history in elite players</w:t>
            </w:r>
          </w:p>
        </w:tc>
        <w:tc>
          <w:tcPr>
            <w:tcW w:w="1728" w:type="dxa"/>
            <w:tcMar>
              <w:top w:w="40" w:type="dxa"/>
              <w:left w:w="45" w:type="dxa"/>
              <w:bottom w:w="40" w:type="dxa"/>
              <w:right w:w="45" w:type="dxa"/>
            </w:tcMar>
            <w:vAlign w:val="center"/>
          </w:tcPr>
          <w:p w14:paraId="46A28804">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Male; elite players</w:t>
            </w:r>
          </w:p>
        </w:tc>
        <w:tc>
          <w:tcPr>
            <w:tcW w:w="2736" w:type="dxa"/>
            <w:tcMar>
              <w:top w:w="40" w:type="dxa"/>
              <w:left w:w="45" w:type="dxa"/>
              <w:bottom w:w="40" w:type="dxa"/>
              <w:right w:w="45" w:type="dxa"/>
            </w:tcMar>
            <w:vAlign w:val="center"/>
          </w:tcPr>
          <w:p w14:paraId="1162988E">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Spike kinematic differences between players with and without a history of shoulder injury</w:t>
            </w:r>
          </w:p>
        </w:tc>
        <w:tc>
          <w:tcPr>
            <w:tcW w:w="2160" w:type="dxa"/>
            <w:tcMar>
              <w:top w:w="40" w:type="dxa"/>
              <w:left w:w="45" w:type="dxa"/>
              <w:bottom w:w="40" w:type="dxa"/>
              <w:right w:w="45" w:type="dxa"/>
            </w:tcMar>
            <w:vAlign w:val="center"/>
          </w:tcPr>
          <w:p w14:paraId="6375287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assessment grouped by shoulder injury history</w:t>
            </w:r>
          </w:p>
        </w:tc>
        <w:tc>
          <w:tcPr>
            <w:tcW w:w="1944" w:type="dxa"/>
            <w:tcMar>
              <w:top w:w="40" w:type="dxa"/>
              <w:left w:w="45" w:type="dxa"/>
              <w:bottom w:w="40" w:type="dxa"/>
              <w:right w:w="45" w:type="dxa"/>
            </w:tcMar>
            <w:vAlign w:val="center"/>
          </w:tcPr>
          <w:p w14:paraId="4B105EA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Cross-sectional biomechanical comparison / case-control-style grouping</w:t>
            </w:r>
          </w:p>
        </w:tc>
        <w:tc>
          <w:tcPr>
            <w:tcW w:w="1800" w:type="dxa"/>
            <w:tcMar>
              <w:top w:w="40" w:type="dxa"/>
              <w:left w:w="45" w:type="dxa"/>
              <w:bottom w:w="40" w:type="dxa"/>
              <w:right w:w="45" w:type="dxa"/>
            </w:tcMar>
            <w:vAlign w:val="center"/>
          </w:tcPr>
          <w:p w14:paraId="68CB62C1">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Mitchinson et al. (2013)</w:t>
            </w:r>
          </w:p>
        </w:tc>
        <w:tc>
          <w:tcPr>
            <w:tcW w:w="503" w:type="dxa"/>
            <w:tcMar>
              <w:top w:w="40" w:type="dxa"/>
              <w:left w:w="45" w:type="dxa"/>
              <w:bottom w:w="40" w:type="dxa"/>
              <w:right w:w="45" w:type="dxa"/>
            </w:tcMar>
            <w:vAlign w:val="center"/>
          </w:tcPr>
          <w:p w14:paraId="6844ABCC">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1</w:t>
            </w:r>
          </w:p>
        </w:tc>
        <w:tc>
          <w:tcPr>
            <w:tcW w:w="3168" w:type="dxa"/>
            <w:tcMar>
              <w:top w:w="40" w:type="dxa"/>
              <w:left w:w="45" w:type="dxa"/>
              <w:bottom w:w="40" w:type="dxa"/>
              <w:right w:w="45" w:type="dxa"/>
            </w:tcMar>
            <w:vAlign w:val="center"/>
          </w:tcPr>
          <w:p w14:paraId="4BC14AF2">
            <w:pPr>
              <w:spacing w:before="0" w:after="0" w:line="240" w:lineRule="auto"/>
              <w:jc w:val="center"/>
              <w:rPr>
                <w:rFonts w:hint="default" w:ascii="Times New Roman" w:hAnsi="Times New Roman" w:cs="Times New Roman"/>
                <w:sz w:val="18"/>
                <w:szCs w:val="18"/>
              </w:rPr>
            </w:pPr>
            <w:r>
              <w:rPr>
                <w:rFonts w:hint="default" w:ascii="Times New Roman" w:hAnsi="Times New Roman" w:eastAsia="Arial" w:cs="Times New Roman"/>
                <w:b w:val="0"/>
                <w:sz w:val="18"/>
                <w:szCs w:val="18"/>
              </w:rPr>
              <w:t>Not pooled; selected injury-history groups and biomechanical outcomes were not compatible with burden pooling.</w:t>
            </w:r>
          </w:p>
        </w:tc>
      </w:tr>
    </w:tbl>
    <w:p w14:paraId="4F8ED166">
      <w:pPr>
        <w:spacing w:before="120" w:after="0"/>
        <w:rPr>
          <w:rFonts w:hint="default" w:ascii="Times New Roman" w:hAnsi="Times New Roman" w:cs="Times New Roman"/>
          <w:sz w:val="18"/>
          <w:szCs w:val="18"/>
        </w:rPr>
      </w:pPr>
      <w:r>
        <w:rPr>
          <w:rFonts w:hint="default" w:ascii="Times New Roman" w:hAnsi="Times New Roman" w:eastAsia="Arial" w:cs="Times New Roman"/>
          <w:b/>
          <w:sz w:val="18"/>
          <w:szCs w:val="18"/>
        </w:rPr>
        <w:t xml:space="preserve">Note. </w:t>
      </w:r>
      <w:r>
        <w:rPr>
          <w:rFonts w:hint="default" w:ascii="Times New Roman" w:hAnsi="Times New Roman" w:eastAsia="Arial" w:cs="Times New Roman"/>
          <w:sz w:val="18"/>
          <w:szCs w:val="18"/>
        </w:rPr>
        <w:t>Pooling was considered feasible only when at least three studies shared the same population stratum, outcome/case definition, recall or follow-up window, study design, and compatible effect measure. Burden-like strata included shoulder status used as an outcome, grouping variable, or denominator; selected case-control or comparative groups were listed for transparency but were not interpreted as prevalence estimates. No stratum met the threshold for quantitative pooling. DASH, Disabilities of the Arm, Shoulder and Hand; SST, Simple Shoulder Test; VAS, visual analogue scale; OSTRC, Oslo Sports Trauma Research Centre; ASES, American Shoulder and Elbow Surgeons score; NRS, Numerical Rating Scale; ROM, range of motion; GIRD, glenohumeral internal rotation deficit; ERG, external rotation gain; TROM, total range of motion; PSI, postero-superior impingement; ER/IR, external/internal rotation; NCAA, National Collegiate Athletic Association.</w:t>
      </w:r>
    </w:p>
    <w:sectPr>
      <w:pgSz w:w="16834" w:h="11909" w:orient="landscape"/>
      <w:pgMar w:top="504" w:right="504" w:bottom="504" w:left="50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1D93478"/>
    <w:rsid w:val="349E11B7"/>
    <w:rsid w:val="4B252AC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6"/>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1595</Words>
  <Characters>10627</Characters>
  <Lines>0</Lines>
  <Paragraphs>0</Paragraphs>
  <TotalTime>0</TotalTime>
  <ScaleCrop>false</ScaleCrop>
  <LinksUpToDate>false</LinksUpToDate>
  <CharactersWithSpaces>12011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 </cp:lastModifiedBy>
  <dcterms:modified xsi:type="dcterms:W3CDTF">2026-06-09T08:59:51Z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AC4ACC66E8934F3AA4E1CA422F5364D5_13</vt:lpwstr>
  </property>
  <property fmtid="{D5CDD505-2E9C-101B-9397-08002B2CF9AE}" pid="4" name="KSOTemplateDocerSaveRecord">
    <vt:lpwstr>eyJoZGlkIjoiZTIxNDE0OGI0NzhjY2YyOTRlM2FmYzIwNjdkYjRhNDMiLCJ1c2VySWQiOiIxMTYwMzk5MjE3In0=</vt:lpwstr>
  </property>
</Properties>
</file>