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826E7">
      <w:pPr>
        <w:jc w:val="center"/>
        <w:rPr>
          <w:rFonts w:hint="default" w:ascii="Times New Roman" w:hAnsi="Times New Roman" w:cs="Times New Roman"/>
          <w:sz w:val="18"/>
          <w:szCs w:val="18"/>
        </w:rPr>
      </w:pPr>
      <w:r>
        <w:rPr>
          <w:rFonts w:hint="default" w:ascii="Times New Roman" w:hAnsi="Times New Roman" w:cs="Times New Roman"/>
          <w:b/>
          <w:sz w:val="18"/>
          <w:szCs w:val="18"/>
        </w:rPr>
        <w:t>Supplementary File 6. Detailed tables moved from the main manuscript</w:t>
      </w:r>
    </w:p>
    <w:p w14:paraId="5B37D3E8">
      <w:pPr>
        <w:rPr>
          <w:rFonts w:hint="default" w:ascii="Times New Roman" w:hAnsi="Times New Roman" w:cs="Times New Roman"/>
          <w:sz w:val="18"/>
          <w:szCs w:val="18"/>
        </w:rPr>
      </w:pPr>
      <w:r>
        <w:rPr>
          <w:rFonts w:hint="default" w:ascii="Times New Roman" w:hAnsi="Times New Roman" w:cs="Times New Roman"/>
          <w:sz w:val="18"/>
          <w:szCs w:val="18"/>
        </w:rPr>
        <w:t>This supplementary file contains the full study-level tables moved out of the main manuscript to improve readability. The main manuscript retains condensed tables and graphical summaries.</w:t>
      </w:r>
    </w:p>
    <w:p w14:paraId="4981A37D">
      <w:pPr>
        <w:jc w:val="center"/>
        <w:rPr>
          <w:rFonts w:hint="default" w:ascii="Times New Roman" w:hAnsi="Times New Roman" w:cs="Times New Roman"/>
          <w:sz w:val="18"/>
          <w:szCs w:val="18"/>
        </w:rPr>
      </w:pPr>
      <w:r>
        <w:rPr>
          <w:rFonts w:hint="default" w:ascii="Times New Roman" w:hAnsi="Times New Roman" w:cs="Times New Roman"/>
          <w:b/>
          <w:sz w:val="18"/>
          <w:szCs w:val="18"/>
        </w:rPr>
        <w:t>Supplementary Table S5. Detailed characteristics of included studies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9"/>
        <w:gridCol w:w="1609"/>
        <w:gridCol w:w="1609"/>
        <w:gridCol w:w="1680"/>
        <w:gridCol w:w="1609"/>
        <w:gridCol w:w="1609"/>
        <w:gridCol w:w="1609"/>
        <w:gridCol w:w="1609"/>
        <w:gridCol w:w="1609"/>
      </w:tblGrid>
      <w:tr w14:paraId="57F8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09" w:type="dxa"/>
            <w:tcMar>
              <w:top w:w="40" w:type="dxa"/>
              <w:left w:w="40" w:type="dxa"/>
              <w:bottom w:w="40" w:type="dxa"/>
              <w:right w:w="40" w:type="dxa"/>
            </w:tcMar>
            <w:vAlign w:val="top"/>
          </w:tcPr>
          <w:p w14:paraId="422B78DD">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Study</w:t>
            </w:r>
          </w:p>
        </w:tc>
        <w:tc>
          <w:tcPr>
            <w:tcW w:w="1609" w:type="dxa"/>
            <w:tcMar>
              <w:top w:w="40" w:type="dxa"/>
              <w:left w:w="40" w:type="dxa"/>
              <w:bottom w:w="40" w:type="dxa"/>
              <w:right w:w="40" w:type="dxa"/>
            </w:tcMar>
            <w:vAlign w:val="top"/>
          </w:tcPr>
          <w:p w14:paraId="5BC7239E">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Country/Region</w:t>
            </w:r>
          </w:p>
        </w:tc>
        <w:tc>
          <w:tcPr>
            <w:tcW w:w="1609" w:type="dxa"/>
            <w:tcMar>
              <w:top w:w="40" w:type="dxa"/>
              <w:left w:w="40" w:type="dxa"/>
              <w:bottom w:w="40" w:type="dxa"/>
              <w:right w:w="40" w:type="dxa"/>
            </w:tcMar>
            <w:vAlign w:val="top"/>
          </w:tcPr>
          <w:p w14:paraId="5579DC99">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Design</w:t>
            </w:r>
          </w:p>
        </w:tc>
        <w:tc>
          <w:tcPr>
            <w:tcW w:w="1609" w:type="dxa"/>
            <w:tcMar>
              <w:top w:w="40" w:type="dxa"/>
              <w:left w:w="40" w:type="dxa"/>
              <w:bottom w:w="40" w:type="dxa"/>
              <w:right w:w="40" w:type="dxa"/>
            </w:tcMar>
            <w:vAlign w:val="top"/>
          </w:tcPr>
          <w:p w14:paraId="19D062C9">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Sample</w:t>
            </w:r>
          </w:p>
        </w:tc>
        <w:tc>
          <w:tcPr>
            <w:tcW w:w="1609" w:type="dxa"/>
            <w:tcMar>
              <w:top w:w="40" w:type="dxa"/>
              <w:left w:w="40" w:type="dxa"/>
              <w:bottom w:w="40" w:type="dxa"/>
              <w:right w:w="40" w:type="dxa"/>
            </w:tcMar>
            <w:vAlign w:val="top"/>
          </w:tcPr>
          <w:p w14:paraId="32CFB9F9">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Sex</w:t>
            </w:r>
          </w:p>
        </w:tc>
        <w:tc>
          <w:tcPr>
            <w:tcW w:w="1609" w:type="dxa"/>
            <w:tcMar>
              <w:top w:w="40" w:type="dxa"/>
              <w:left w:w="40" w:type="dxa"/>
              <w:bottom w:w="40" w:type="dxa"/>
              <w:right w:w="40" w:type="dxa"/>
            </w:tcMar>
            <w:vAlign w:val="top"/>
          </w:tcPr>
          <w:p w14:paraId="41A8C49E">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Competitive level</w:t>
            </w:r>
          </w:p>
        </w:tc>
        <w:tc>
          <w:tcPr>
            <w:tcW w:w="1609" w:type="dxa"/>
            <w:tcMar>
              <w:top w:w="40" w:type="dxa"/>
              <w:left w:w="40" w:type="dxa"/>
              <w:bottom w:w="40" w:type="dxa"/>
              <w:right w:w="40" w:type="dxa"/>
            </w:tcMar>
            <w:vAlign w:val="top"/>
          </w:tcPr>
          <w:p w14:paraId="7628D173">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Shoulder outcome and definition</w:t>
            </w:r>
          </w:p>
        </w:tc>
        <w:tc>
          <w:tcPr>
            <w:tcW w:w="1609" w:type="dxa"/>
            <w:tcMar>
              <w:top w:w="40" w:type="dxa"/>
              <w:left w:w="40" w:type="dxa"/>
              <w:bottom w:w="40" w:type="dxa"/>
              <w:right w:w="40" w:type="dxa"/>
            </w:tcMar>
            <w:vAlign w:val="top"/>
          </w:tcPr>
          <w:p w14:paraId="23F97CDB">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Recall / follow-up</w:t>
            </w:r>
          </w:p>
        </w:tc>
        <w:tc>
          <w:tcPr>
            <w:tcW w:w="1609" w:type="dxa"/>
            <w:tcMar>
              <w:top w:w="40" w:type="dxa"/>
              <w:left w:w="40" w:type="dxa"/>
              <w:bottom w:w="40" w:type="dxa"/>
              <w:right w:w="40" w:type="dxa"/>
            </w:tcMar>
            <w:vAlign w:val="top"/>
          </w:tcPr>
          <w:p w14:paraId="52543BD9">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Source</w:t>
            </w:r>
          </w:p>
        </w:tc>
      </w:tr>
      <w:tr w14:paraId="2B49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58D665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Bandpei et al. [8]</w:t>
            </w:r>
          </w:p>
        </w:tc>
        <w:tc>
          <w:tcPr>
            <w:tcW w:w="1609" w:type="dxa"/>
            <w:tcMar>
              <w:top w:w="40" w:type="dxa"/>
              <w:left w:w="40" w:type="dxa"/>
              <w:bottom w:w="40" w:type="dxa"/>
              <w:right w:w="40" w:type="dxa"/>
            </w:tcMar>
            <w:vAlign w:val="top"/>
          </w:tcPr>
          <w:p w14:paraId="3995287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Iran</w:t>
            </w:r>
          </w:p>
        </w:tc>
        <w:tc>
          <w:tcPr>
            <w:tcW w:w="1609" w:type="dxa"/>
            <w:tcMar>
              <w:top w:w="40" w:type="dxa"/>
              <w:left w:w="40" w:type="dxa"/>
              <w:bottom w:w="40" w:type="dxa"/>
              <w:right w:w="40" w:type="dxa"/>
            </w:tcMar>
            <w:vAlign w:val="top"/>
          </w:tcPr>
          <w:p w14:paraId="774C067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354EC84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103 Premier League volleyball players</w:t>
            </w:r>
          </w:p>
        </w:tc>
        <w:tc>
          <w:tcPr>
            <w:tcW w:w="1609" w:type="dxa"/>
            <w:tcMar>
              <w:top w:w="40" w:type="dxa"/>
              <w:left w:w="40" w:type="dxa"/>
              <w:bottom w:w="40" w:type="dxa"/>
              <w:right w:w="40" w:type="dxa"/>
            </w:tcMar>
            <w:vAlign w:val="top"/>
          </w:tcPr>
          <w:p w14:paraId="23B94CF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Not clearly reported</w:t>
            </w:r>
          </w:p>
        </w:tc>
        <w:tc>
          <w:tcPr>
            <w:tcW w:w="1609" w:type="dxa"/>
            <w:tcMar>
              <w:top w:w="40" w:type="dxa"/>
              <w:left w:w="40" w:type="dxa"/>
              <w:bottom w:w="40" w:type="dxa"/>
              <w:right w:w="40" w:type="dxa"/>
            </w:tcMar>
            <w:vAlign w:val="top"/>
          </w:tcPr>
          <w:p w14:paraId="7C1FDF4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Premier League</w:t>
            </w:r>
          </w:p>
        </w:tc>
        <w:tc>
          <w:tcPr>
            <w:tcW w:w="1609" w:type="dxa"/>
            <w:tcMar>
              <w:top w:w="40" w:type="dxa"/>
              <w:left w:w="40" w:type="dxa"/>
              <w:bottom w:w="40" w:type="dxa"/>
              <w:right w:w="40" w:type="dxa"/>
            </w:tcMar>
            <w:vAlign w:val="top"/>
          </w:tcPr>
          <w:p w14:paraId="6196090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and functional disability assessed using DASH; point, 6-month, 12-month, and lifetime prevalence</w:t>
            </w:r>
          </w:p>
        </w:tc>
        <w:tc>
          <w:tcPr>
            <w:tcW w:w="1609" w:type="dxa"/>
            <w:tcMar>
              <w:top w:w="40" w:type="dxa"/>
              <w:left w:w="40" w:type="dxa"/>
              <w:bottom w:w="40" w:type="dxa"/>
              <w:right w:w="40" w:type="dxa"/>
            </w:tcMar>
            <w:vAlign w:val="top"/>
          </w:tcPr>
          <w:p w14:paraId="2C78BBF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with retrospective prevalence recall</w:t>
            </w:r>
          </w:p>
        </w:tc>
        <w:tc>
          <w:tcPr>
            <w:tcW w:w="1609" w:type="dxa"/>
            <w:tcMar>
              <w:top w:w="40" w:type="dxa"/>
              <w:left w:w="40" w:type="dxa"/>
              <w:bottom w:w="40" w:type="dxa"/>
              <w:right w:w="40" w:type="dxa"/>
            </w:tcMar>
            <w:vAlign w:val="top"/>
          </w:tcPr>
          <w:p w14:paraId="668711B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7BC3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FC55FE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Babaei Khorzoghi et al. [26]</w:t>
            </w:r>
          </w:p>
        </w:tc>
        <w:tc>
          <w:tcPr>
            <w:tcW w:w="1609" w:type="dxa"/>
            <w:tcMar>
              <w:top w:w="40" w:type="dxa"/>
              <w:left w:w="40" w:type="dxa"/>
              <w:bottom w:w="40" w:type="dxa"/>
              <w:right w:w="40" w:type="dxa"/>
            </w:tcMar>
            <w:vAlign w:val="top"/>
          </w:tcPr>
          <w:p w14:paraId="688D513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Iran</w:t>
            </w:r>
          </w:p>
        </w:tc>
        <w:tc>
          <w:tcPr>
            <w:tcW w:w="1609" w:type="dxa"/>
            <w:tcMar>
              <w:top w:w="40" w:type="dxa"/>
              <w:left w:w="40" w:type="dxa"/>
              <w:bottom w:w="40" w:type="dxa"/>
              <w:right w:w="40" w:type="dxa"/>
            </w:tcMar>
            <w:vAlign w:val="top"/>
          </w:tcPr>
          <w:p w14:paraId="13766C9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Retrospective descriptive study</w:t>
            </w:r>
          </w:p>
        </w:tc>
        <w:tc>
          <w:tcPr>
            <w:tcW w:w="1609" w:type="dxa"/>
            <w:tcMar>
              <w:top w:w="40" w:type="dxa"/>
              <w:left w:w="40" w:type="dxa"/>
              <w:bottom w:w="40" w:type="dxa"/>
              <w:right w:w="40" w:type="dxa"/>
            </w:tcMar>
            <w:vAlign w:val="top"/>
          </w:tcPr>
          <w:p w14:paraId="740792B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81 elite youth male volleyball players</w:t>
            </w:r>
          </w:p>
        </w:tc>
        <w:tc>
          <w:tcPr>
            <w:tcW w:w="1609" w:type="dxa"/>
            <w:tcMar>
              <w:top w:w="40" w:type="dxa"/>
              <w:left w:w="40" w:type="dxa"/>
              <w:bottom w:w="40" w:type="dxa"/>
              <w:right w:w="40" w:type="dxa"/>
            </w:tcMar>
            <w:vAlign w:val="top"/>
          </w:tcPr>
          <w:p w14:paraId="0D81EF9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7EC02D6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Elite youth</w:t>
            </w:r>
          </w:p>
        </w:tc>
        <w:tc>
          <w:tcPr>
            <w:tcW w:w="1609" w:type="dxa"/>
            <w:tcMar>
              <w:top w:w="40" w:type="dxa"/>
              <w:left w:w="40" w:type="dxa"/>
              <w:bottom w:w="40" w:type="dxa"/>
              <w:right w:w="40" w:type="dxa"/>
            </w:tcMar>
            <w:vAlign w:val="top"/>
          </w:tcPr>
          <w:p w14:paraId="0978DA4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Position-specific acute and chronic shoulder injury, pain, and disability</w:t>
            </w:r>
          </w:p>
        </w:tc>
        <w:tc>
          <w:tcPr>
            <w:tcW w:w="1609" w:type="dxa"/>
            <w:tcMar>
              <w:top w:w="40" w:type="dxa"/>
              <w:left w:w="40" w:type="dxa"/>
              <w:bottom w:w="40" w:type="dxa"/>
              <w:right w:w="40" w:type="dxa"/>
            </w:tcMar>
            <w:vAlign w:val="top"/>
          </w:tcPr>
          <w:p w14:paraId="22C606C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Retrospective injury and symptom history</w:t>
            </w:r>
          </w:p>
        </w:tc>
        <w:tc>
          <w:tcPr>
            <w:tcW w:w="1609" w:type="dxa"/>
            <w:tcMar>
              <w:top w:w="40" w:type="dxa"/>
              <w:left w:w="40" w:type="dxa"/>
              <w:bottom w:w="40" w:type="dxa"/>
              <w:right w:w="40" w:type="dxa"/>
            </w:tcMar>
            <w:vAlign w:val="top"/>
          </w:tcPr>
          <w:p w14:paraId="2356D7B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3E9B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B57210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Kim et al. [9]</w:t>
            </w:r>
          </w:p>
        </w:tc>
        <w:tc>
          <w:tcPr>
            <w:tcW w:w="1609" w:type="dxa"/>
            <w:tcMar>
              <w:top w:w="40" w:type="dxa"/>
              <w:left w:w="40" w:type="dxa"/>
              <w:bottom w:w="40" w:type="dxa"/>
              <w:right w:w="40" w:type="dxa"/>
            </w:tcMar>
            <w:vAlign w:val="top"/>
          </w:tcPr>
          <w:p w14:paraId="1260F27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Korea</w:t>
            </w:r>
          </w:p>
        </w:tc>
        <w:tc>
          <w:tcPr>
            <w:tcW w:w="1609" w:type="dxa"/>
            <w:tcMar>
              <w:top w:w="40" w:type="dxa"/>
              <w:left w:w="40" w:type="dxa"/>
              <w:bottom w:w="40" w:type="dxa"/>
              <w:right w:w="40" w:type="dxa"/>
            </w:tcMar>
            <w:vAlign w:val="top"/>
          </w:tcPr>
          <w:p w14:paraId="0DC1D29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2473C34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519 volleyball players</w:t>
            </w:r>
          </w:p>
        </w:tc>
        <w:tc>
          <w:tcPr>
            <w:tcW w:w="1609" w:type="dxa"/>
            <w:tcMar>
              <w:top w:w="40" w:type="dxa"/>
              <w:left w:w="40" w:type="dxa"/>
              <w:bottom w:w="40" w:type="dxa"/>
              <w:right w:w="40" w:type="dxa"/>
            </w:tcMar>
            <w:vAlign w:val="top"/>
          </w:tcPr>
          <w:p w14:paraId="29E2D0F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Not clearly reported</w:t>
            </w:r>
          </w:p>
        </w:tc>
        <w:tc>
          <w:tcPr>
            <w:tcW w:w="1609" w:type="dxa"/>
            <w:tcMar>
              <w:top w:w="40" w:type="dxa"/>
              <w:left w:w="40" w:type="dxa"/>
              <w:bottom w:w="40" w:type="dxa"/>
              <w:right w:w="40" w:type="dxa"/>
            </w:tcMar>
            <w:vAlign w:val="top"/>
          </w:tcPr>
          <w:p w14:paraId="5A9FEDD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Competitive</w:t>
            </w:r>
          </w:p>
        </w:tc>
        <w:tc>
          <w:tcPr>
            <w:tcW w:w="1609" w:type="dxa"/>
            <w:tcMar>
              <w:top w:w="40" w:type="dxa"/>
              <w:left w:w="40" w:type="dxa"/>
              <w:bottom w:w="40" w:type="dxa"/>
              <w:right w:w="40" w:type="dxa"/>
            </w:tcMar>
            <w:vAlign w:val="top"/>
          </w:tcPr>
          <w:p w14:paraId="0851C5C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shoulder injury experience, shoulder ROM, and dynamic stability</w:t>
            </w:r>
          </w:p>
        </w:tc>
        <w:tc>
          <w:tcPr>
            <w:tcW w:w="1609" w:type="dxa"/>
            <w:tcMar>
              <w:top w:w="40" w:type="dxa"/>
              <w:left w:w="40" w:type="dxa"/>
              <w:bottom w:w="40" w:type="dxa"/>
              <w:right w:w="40" w:type="dxa"/>
            </w:tcMar>
            <w:vAlign w:val="top"/>
          </w:tcPr>
          <w:p w14:paraId="441C8F7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with retrospective shoulder injury history</w:t>
            </w:r>
          </w:p>
        </w:tc>
        <w:tc>
          <w:tcPr>
            <w:tcW w:w="1609" w:type="dxa"/>
            <w:tcMar>
              <w:top w:w="40" w:type="dxa"/>
              <w:left w:w="40" w:type="dxa"/>
              <w:bottom w:w="40" w:type="dxa"/>
              <w:right w:w="40" w:type="dxa"/>
            </w:tcMar>
            <w:vAlign w:val="top"/>
          </w:tcPr>
          <w:p w14:paraId="6B14A00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7895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119BFDC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Hadzic et al. [27]</w:t>
            </w:r>
          </w:p>
        </w:tc>
        <w:tc>
          <w:tcPr>
            <w:tcW w:w="1609" w:type="dxa"/>
            <w:tcMar>
              <w:top w:w="40" w:type="dxa"/>
              <w:left w:w="40" w:type="dxa"/>
              <w:bottom w:w="40" w:type="dxa"/>
              <w:right w:w="40" w:type="dxa"/>
            </w:tcMar>
            <w:vAlign w:val="top"/>
          </w:tcPr>
          <w:p w14:paraId="1EF78C2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Slovenia</w:t>
            </w:r>
          </w:p>
        </w:tc>
        <w:tc>
          <w:tcPr>
            <w:tcW w:w="1609" w:type="dxa"/>
            <w:tcMar>
              <w:top w:w="40" w:type="dxa"/>
              <w:left w:w="40" w:type="dxa"/>
              <w:bottom w:w="40" w:type="dxa"/>
              <w:right w:w="40" w:type="dxa"/>
            </w:tcMar>
            <w:vAlign w:val="top"/>
          </w:tcPr>
          <w:p w14:paraId="75BEC16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32CEE8F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183 high-level volleyball players</w:t>
            </w:r>
          </w:p>
        </w:tc>
        <w:tc>
          <w:tcPr>
            <w:tcW w:w="1609" w:type="dxa"/>
            <w:tcMar>
              <w:top w:w="40" w:type="dxa"/>
              <w:left w:w="40" w:type="dxa"/>
              <w:bottom w:w="40" w:type="dxa"/>
              <w:right w:w="40" w:type="dxa"/>
            </w:tcMar>
            <w:vAlign w:val="top"/>
          </w:tcPr>
          <w:p w14:paraId="38782B0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1B8729A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High-level / professional</w:t>
            </w:r>
          </w:p>
        </w:tc>
        <w:tc>
          <w:tcPr>
            <w:tcW w:w="1609" w:type="dxa"/>
            <w:tcMar>
              <w:top w:w="40" w:type="dxa"/>
              <w:left w:w="40" w:type="dxa"/>
              <w:bottom w:w="40" w:type="dxa"/>
              <w:right w:w="40" w:type="dxa"/>
            </w:tcMar>
            <w:vAlign w:val="top"/>
          </w:tcPr>
          <w:p w14:paraId="00EE6AC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shoulder injury history, ER/IR ratio, and shoulder strength asymmetry</w:t>
            </w:r>
          </w:p>
        </w:tc>
        <w:tc>
          <w:tcPr>
            <w:tcW w:w="1609" w:type="dxa"/>
            <w:tcMar>
              <w:top w:w="40" w:type="dxa"/>
              <w:left w:w="40" w:type="dxa"/>
              <w:bottom w:w="40" w:type="dxa"/>
              <w:right w:w="40" w:type="dxa"/>
            </w:tcMar>
            <w:vAlign w:val="top"/>
          </w:tcPr>
          <w:p w14:paraId="2146160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with retrospective shoulder injury history</w:t>
            </w:r>
          </w:p>
        </w:tc>
        <w:tc>
          <w:tcPr>
            <w:tcW w:w="1609" w:type="dxa"/>
            <w:tcMar>
              <w:top w:w="40" w:type="dxa"/>
              <w:left w:w="40" w:type="dxa"/>
              <w:bottom w:w="40" w:type="dxa"/>
              <w:right w:w="40" w:type="dxa"/>
            </w:tcMar>
            <w:vAlign w:val="top"/>
          </w:tcPr>
          <w:p w14:paraId="4265D03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74D7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3FC1638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Holzgraefe et al. [28]</w:t>
            </w:r>
          </w:p>
        </w:tc>
        <w:tc>
          <w:tcPr>
            <w:tcW w:w="1609" w:type="dxa"/>
            <w:tcMar>
              <w:top w:w="40" w:type="dxa"/>
              <w:left w:w="40" w:type="dxa"/>
              <w:bottom w:w="40" w:type="dxa"/>
              <w:right w:w="40" w:type="dxa"/>
            </w:tcMar>
            <w:vAlign w:val="top"/>
          </w:tcPr>
          <w:p w14:paraId="005A4A9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Germany</w:t>
            </w:r>
          </w:p>
        </w:tc>
        <w:tc>
          <w:tcPr>
            <w:tcW w:w="1609" w:type="dxa"/>
            <w:tcMar>
              <w:top w:w="40" w:type="dxa"/>
              <w:left w:w="40" w:type="dxa"/>
              <w:bottom w:w="40" w:type="dxa"/>
              <w:right w:w="40" w:type="dxa"/>
            </w:tcMar>
            <w:vAlign w:val="top"/>
          </w:tcPr>
          <w:p w14:paraId="15A3F1C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Clinical cross-section</w:t>
            </w:r>
            <w:bookmarkStart w:id="0" w:name="_GoBack"/>
            <w:bookmarkEnd w:id="0"/>
            <w:r>
              <w:rPr>
                <w:rFonts w:hint="default" w:ascii="Times New Roman" w:hAnsi="Times New Roman" w:cs="Times New Roman"/>
                <w:sz w:val="18"/>
                <w:szCs w:val="18"/>
              </w:rPr>
              <w:t>al study</w:t>
            </w:r>
          </w:p>
        </w:tc>
        <w:tc>
          <w:tcPr>
            <w:tcW w:w="1609" w:type="dxa"/>
            <w:tcMar>
              <w:top w:w="40" w:type="dxa"/>
              <w:left w:w="40" w:type="dxa"/>
              <w:bottom w:w="40" w:type="dxa"/>
              <w:right w:w="40" w:type="dxa"/>
            </w:tcMar>
            <w:vAlign w:val="top"/>
          </w:tcPr>
          <w:p w14:paraId="0A92CEF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High-level male volleyball players; 30 examined electrophysiologically and additional 36 examined clinically</w:t>
            </w:r>
          </w:p>
        </w:tc>
        <w:tc>
          <w:tcPr>
            <w:tcW w:w="1609" w:type="dxa"/>
            <w:tcMar>
              <w:top w:w="40" w:type="dxa"/>
              <w:left w:w="40" w:type="dxa"/>
              <w:bottom w:w="40" w:type="dxa"/>
              <w:right w:w="40" w:type="dxa"/>
            </w:tcMar>
            <w:vAlign w:val="top"/>
          </w:tcPr>
          <w:p w14:paraId="76A0869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5C28361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High-level</w:t>
            </w:r>
          </w:p>
        </w:tc>
        <w:tc>
          <w:tcPr>
            <w:tcW w:w="1609" w:type="dxa"/>
            <w:tcMar>
              <w:top w:w="40" w:type="dxa"/>
              <w:left w:w="40" w:type="dxa"/>
              <w:bottom w:w="40" w:type="dxa"/>
              <w:right w:w="40" w:type="dxa"/>
            </w:tcMar>
            <w:vAlign w:val="top"/>
          </w:tcPr>
          <w:p w14:paraId="320A964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Latent and manifest suprascapular neuropathy</w:t>
            </w:r>
          </w:p>
        </w:tc>
        <w:tc>
          <w:tcPr>
            <w:tcW w:w="1609" w:type="dxa"/>
            <w:tcMar>
              <w:top w:w="40" w:type="dxa"/>
              <w:left w:w="40" w:type="dxa"/>
              <w:bottom w:w="40" w:type="dxa"/>
              <w:right w:w="40" w:type="dxa"/>
            </w:tcMar>
            <w:vAlign w:val="top"/>
          </w:tcPr>
          <w:p w14:paraId="0581ADC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Clinical and electrophysiological assessment</w:t>
            </w:r>
          </w:p>
        </w:tc>
        <w:tc>
          <w:tcPr>
            <w:tcW w:w="1609" w:type="dxa"/>
            <w:tcMar>
              <w:top w:w="40" w:type="dxa"/>
              <w:left w:w="40" w:type="dxa"/>
              <w:bottom w:w="40" w:type="dxa"/>
              <w:right w:w="40" w:type="dxa"/>
            </w:tcMar>
            <w:vAlign w:val="top"/>
          </w:tcPr>
          <w:p w14:paraId="0A9B6D1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3964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6D9C778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Mizoguchi et al. [10]</w:t>
            </w:r>
          </w:p>
        </w:tc>
        <w:tc>
          <w:tcPr>
            <w:tcW w:w="1609" w:type="dxa"/>
            <w:tcMar>
              <w:top w:w="40" w:type="dxa"/>
              <w:left w:w="40" w:type="dxa"/>
              <w:bottom w:w="40" w:type="dxa"/>
              <w:right w:w="40" w:type="dxa"/>
            </w:tcMar>
            <w:vAlign w:val="top"/>
          </w:tcPr>
          <w:p w14:paraId="66E45D4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Japan</w:t>
            </w:r>
          </w:p>
        </w:tc>
        <w:tc>
          <w:tcPr>
            <w:tcW w:w="1609" w:type="dxa"/>
            <w:tcMar>
              <w:top w:w="40" w:type="dxa"/>
              <w:left w:w="40" w:type="dxa"/>
              <w:bottom w:w="40" w:type="dxa"/>
              <w:right w:w="40" w:type="dxa"/>
            </w:tcMar>
            <w:vAlign w:val="top"/>
          </w:tcPr>
          <w:p w14:paraId="4E60F3B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15D023E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59 female high-school volleyball players</w:t>
            </w:r>
          </w:p>
        </w:tc>
        <w:tc>
          <w:tcPr>
            <w:tcW w:w="1609" w:type="dxa"/>
            <w:tcMar>
              <w:top w:w="40" w:type="dxa"/>
              <w:left w:w="40" w:type="dxa"/>
              <w:bottom w:w="40" w:type="dxa"/>
              <w:right w:w="40" w:type="dxa"/>
            </w:tcMar>
            <w:vAlign w:val="top"/>
          </w:tcPr>
          <w:p w14:paraId="35FD069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Female</w:t>
            </w:r>
          </w:p>
        </w:tc>
        <w:tc>
          <w:tcPr>
            <w:tcW w:w="1609" w:type="dxa"/>
            <w:tcMar>
              <w:top w:w="40" w:type="dxa"/>
              <w:left w:w="40" w:type="dxa"/>
              <w:bottom w:w="40" w:type="dxa"/>
              <w:right w:w="40" w:type="dxa"/>
            </w:tcMar>
            <w:vAlign w:val="top"/>
          </w:tcPr>
          <w:p w14:paraId="6697049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 school</w:t>
            </w:r>
          </w:p>
        </w:tc>
        <w:tc>
          <w:tcPr>
            <w:tcW w:w="1609" w:type="dxa"/>
            <w:tcMar>
              <w:top w:w="40" w:type="dxa"/>
              <w:left w:w="40" w:type="dxa"/>
              <w:bottom w:w="40" w:type="dxa"/>
              <w:right w:w="40" w:type="dxa"/>
            </w:tcMar>
            <w:vAlign w:val="top"/>
          </w:tcPr>
          <w:p w14:paraId="4C039E5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Non-traumatic shoulder pain during attacking or serving, proprioception, and dynamic stability</w:t>
            </w:r>
          </w:p>
        </w:tc>
        <w:tc>
          <w:tcPr>
            <w:tcW w:w="1609" w:type="dxa"/>
            <w:tcMar>
              <w:top w:w="40" w:type="dxa"/>
              <w:left w:w="40" w:type="dxa"/>
              <w:bottom w:w="40" w:type="dxa"/>
              <w:right w:w="40" w:type="dxa"/>
            </w:tcMar>
            <w:vAlign w:val="top"/>
          </w:tcPr>
          <w:p w14:paraId="107BD1A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during attacking or serving within the previous 24 hours</w:t>
            </w:r>
          </w:p>
        </w:tc>
        <w:tc>
          <w:tcPr>
            <w:tcW w:w="1609" w:type="dxa"/>
            <w:tcMar>
              <w:top w:w="40" w:type="dxa"/>
              <w:left w:w="40" w:type="dxa"/>
              <w:bottom w:w="40" w:type="dxa"/>
              <w:right w:w="40" w:type="dxa"/>
            </w:tcMar>
            <w:vAlign w:val="top"/>
          </w:tcPr>
          <w:p w14:paraId="342368B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7067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62D1ABA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Mousavi Sadati and Yazdani [11]</w:t>
            </w:r>
          </w:p>
        </w:tc>
        <w:tc>
          <w:tcPr>
            <w:tcW w:w="1609" w:type="dxa"/>
            <w:tcMar>
              <w:top w:w="40" w:type="dxa"/>
              <w:left w:w="40" w:type="dxa"/>
              <w:bottom w:w="40" w:type="dxa"/>
              <w:right w:w="40" w:type="dxa"/>
            </w:tcMar>
            <w:vAlign w:val="top"/>
          </w:tcPr>
          <w:p w14:paraId="7CF203E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Iran</w:t>
            </w:r>
          </w:p>
        </w:tc>
        <w:tc>
          <w:tcPr>
            <w:tcW w:w="1609" w:type="dxa"/>
            <w:tcMar>
              <w:top w:w="40" w:type="dxa"/>
              <w:left w:w="40" w:type="dxa"/>
              <w:bottom w:w="40" w:type="dxa"/>
              <w:right w:w="40" w:type="dxa"/>
            </w:tcMar>
            <w:vAlign w:val="top"/>
          </w:tcPr>
          <w:p w14:paraId="7E21B58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 study</w:t>
            </w:r>
          </w:p>
        </w:tc>
        <w:tc>
          <w:tcPr>
            <w:tcW w:w="1609" w:type="dxa"/>
            <w:tcMar>
              <w:top w:w="40" w:type="dxa"/>
              <w:left w:w="40" w:type="dxa"/>
              <w:bottom w:w="40" w:type="dxa"/>
              <w:right w:w="40" w:type="dxa"/>
            </w:tcMar>
            <w:vAlign w:val="top"/>
          </w:tcPr>
          <w:p w14:paraId="2A1AB48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22 professional male volleyball players; 11 cases and 11 controls</w:t>
            </w:r>
          </w:p>
        </w:tc>
        <w:tc>
          <w:tcPr>
            <w:tcW w:w="1609" w:type="dxa"/>
            <w:tcMar>
              <w:top w:w="40" w:type="dxa"/>
              <w:left w:w="40" w:type="dxa"/>
              <w:bottom w:w="40" w:type="dxa"/>
              <w:right w:w="40" w:type="dxa"/>
            </w:tcMar>
            <w:vAlign w:val="top"/>
          </w:tcPr>
          <w:p w14:paraId="146CE61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4A16FF4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Professional</w:t>
            </w:r>
          </w:p>
        </w:tc>
        <w:tc>
          <w:tcPr>
            <w:tcW w:w="1609" w:type="dxa"/>
            <w:tcMar>
              <w:top w:w="40" w:type="dxa"/>
              <w:left w:w="40" w:type="dxa"/>
              <w:bottom w:w="40" w:type="dxa"/>
              <w:right w:w="40" w:type="dxa"/>
            </w:tcMar>
            <w:vAlign w:val="top"/>
          </w:tcPr>
          <w:p w14:paraId="043E1D9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impingement syndrome, posture, ROM, and shoulder girdle strength</w:t>
            </w:r>
          </w:p>
        </w:tc>
        <w:tc>
          <w:tcPr>
            <w:tcW w:w="1609" w:type="dxa"/>
            <w:tcMar>
              <w:top w:w="40" w:type="dxa"/>
              <w:left w:w="40" w:type="dxa"/>
              <w:bottom w:w="40" w:type="dxa"/>
              <w:right w:w="40" w:type="dxa"/>
            </w:tcMar>
            <w:vAlign w:val="top"/>
          </w:tcPr>
          <w:p w14:paraId="2E28EDE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case-control assessment</w:t>
            </w:r>
          </w:p>
        </w:tc>
        <w:tc>
          <w:tcPr>
            <w:tcW w:w="1609" w:type="dxa"/>
            <w:tcMar>
              <w:top w:w="40" w:type="dxa"/>
              <w:left w:w="40" w:type="dxa"/>
              <w:bottom w:w="40" w:type="dxa"/>
              <w:right w:w="40" w:type="dxa"/>
            </w:tcMar>
            <w:vAlign w:val="top"/>
          </w:tcPr>
          <w:p w14:paraId="1363743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2297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0B588A6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Nascimento et al. [29]</w:t>
            </w:r>
          </w:p>
        </w:tc>
        <w:tc>
          <w:tcPr>
            <w:tcW w:w="1609" w:type="dxa"/>
            <w:tcMar>
              <w:top w:w="40" w:type="dxa"/>
              <w:left w:w="40" w:type="dxa"/>
              <w:bottom w:w="40" w:type="dxa"/>
              <w:right w:w="40" w:type="dxa"/>
            </w:tcMar>
            <w:vAlign w:val="top"/>
          </w:tcPr>
          <w:p w14:paraId="30C7F58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Brazil</w:t>
            </w:r>
          </w:p>
        </w:tc>
        <w:tc>
          <w:tcPr>
            <w:tcW w:w="1609" w:type="dxa"/>
            <w:tcMar>
              <w:top w:w="40" w:type="dxa"/>
              <w:left w:w="40" w:type="dxa"/>
              <w:bottom w:w="40" w:type="dxa"/>
              <w:right w:w="40" w:type="dxa"/>
            </w:tcMar>
            <w:vAlign w:val="top"/>
          </w:tcPr>
          <w:p w14:paraId="3B98215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Comparative study</w:t>
            </w:r>
          </w:p>
        </w:tc>
        <w:tc>
          <w:tcPr>
            <w:tcW w:w="1609" w:type="dxa"/>
            <w:tcMar>
              <w:top w:w="40" w:type="dxa"/>
              <w:left w:w="40" w:type="dxa"/>
              <w:bottom w:w="40" w:type="dxa"/>
              <w:right w:w="40" w:type="dxa"/>
            </w:tcMar>
            <w:vAlign w:val="top"/>
          </w:tcPr>
          <w:p w14:paraId="3F83C9B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21 young male volleyball players; 8 with a history of shoulder injury and 13 without injury history.</w:t>
            </w:r>
          </w:p>
        </w:tc>
        <w:tc>
          <w:tcPr>
            <w:tcW w:w="1609" w:type="dxa"/>
            <w:tcMar>
              <w:top w:w="40" w:type="dxa"/>
              <w:left w:w="40" w:type="dxa"/>
              <w:bottom w:w="40" w:type="dxa"/>
              <w:right w:w="40" w:type="dxa"/>
            </w:tcMar>
            <w:vAlign w:val="top"/>
          </w:tcPr>
          <w:p w14:paraId="42E4FA0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213AC03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Youth / competitive</w:t>
            </w:r>
          </w:p>
        </w:tc>
        <w:tc>
          <w:tcPr>
            <w:tcW w:w="1609" w:type="dxa"/>
            <w:tcMar>
              <w:top w:w="40" w:type="dxa"/>
              <w:left w:w="40" w:type="dxa"/>
              <w:bottom w:w="40" w:type="dxa"/>
              <w:right w:w="40" w:type="dxa"/>
            </w:tcMar>
            <w:vAlign w:val="top"/>
          </w:tcPr>
          <w:p w14:paraId="1C5F40F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shoulder injury history and peak torque of shoulder rotators</w:t>
            </w:r>
          </w:p>
        </w:tc>
        <w:tc>
          <w:tcPr>
            <w:tcW w:w="1609" w:type="dxa"/>
            <w:tcMar>
              <w:top w:w="40" w:type="dxa"/>
              <w:left w:w="40" w:type="dxa"/>
              <w:bottom w:w="40" w:type="dxa"/>
              <w:right w:w="40" w:type="dxa"/>
            </w:tcMar>
            <w:vAlign w:val="top"/>
          </w:tcPr>
          <w:p w14:paraId="2796700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with retrospective shoulder injury history</w:t>
            </w:r>
          </w:p>
        </w:tc>
        <w:tc>
          <w:tcPr>
            <w:tcW w:w="1609" w:type="dxa"/>
            <w:tcMar>
              <w:top w:w="40" w:type="dxa"/>
              <w:left w:w="40" w:type="dxa"/>
              <w:bottom w:w="40" w:type="dxa"/>
              <w:right w:w="40" w:type="dxa"/>
            </w:tcMar>
            <w:vAlign w:val="top"/>
          </w:tcPr>
          <w:p w14:paraId="1C13387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406F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291FE3D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Schmalzl et al. [12]</w:t>
            </w:r>
          </w:p>
        </w:tc>
        <w:tc>
          <w:tcPr>
            <w:tcW w:w="1609" w:type="dxa"/>
            <w:tcMar>
              <w:top w:w="40" w:type="dxa"/>
              <w:left w:w="40" w:type="dxa"/>
              <w:bottom w:w="40" w:type="dxa"/>
              <w:right w:w="40" w:type="dxa"/>
            </w:tcMar>
            <w:vAlign w:val="top"/>
          </w:tcPr>
          <w:p w14:paraId="4822DE4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Germany</w:t>
            </w:r>
          </w:p>
        </w:tc>
        <w:tc>
          <w:tcPr>
            <w:tcW w:w="1609" w:type="dxa"/>
            <w:tcMar>
              <w:top w:w="40" w:type="dxa"/>
              <w:left w:w="40" w:type="dxa"/>
              <w:bottom w:w="40" w:type="dxa"/>
              <w:right w:w="40" w:type="dxa"/>
            </w:tcMar>
            <w:vAlign w:val="top"/>
          </w:tcPr>
          <w:p w14:paraId="16B3088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6F55C37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volleyball subgroup; n = 67</w:t>
            </w:r>
          </w:p>
        </w:tc>
        <w:tc>
          <w:tcPr>
            <w:tcW w:w="1609" w:type="dxa"/>
            <w:tcMar>
              <w:top w:w="40" w:type="dxa"/>
              <w:left w:w="40" w:type="dxa"/>
              <w:bottom w:w="40" w:type="dxa"/>
              <w:right w:w="40" w:type="dxa"/>
            </w:tcMar>
            <w:vAlign w:val="top"/>
          </w:tcPr>
          <w:p w14:paraId="4E4739B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68F65C3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Competitive</w:t>
            </w:r>
          </w:p>
        </w:tc>
        <w:tc>
          <w:tcPr>
            <w:tcW w:w="1609" w:type="dxa"/>
            <w:tcMar>
              <w:top w:w="40" w:type="dxa"/>
              <w:left w:w="40" w:type="dxa"/>
              <w:bottom w:w="40" w:type="dxa"/>
              <w:right w:w="40" w:type="dxa"/>
            </w:tcMar>
            <w:vAlign w:val="top"/>
          </w:tcPr>
          <w:p w14:paraId="7B96031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GIRD, PSI, training years, and shoulder pathology</w:t>
            </w:r>
          </w:p>
        </w:tc>
        <w:tc>
          <w:tcPr>
            <w:tcW w:w="1609" w:type="dxa"/>
            <w:tcMar>
              <w:top w:w="40" w:type="dxa"/>
              <w:left w:w="40" w:type="dxa"/>
              <w:bottom w:w="40" w:type="dxa"/>
              <w:right w:w="40" w:type="dxa"/>
            </w:tcMar>
            <w:vAlign w:val="top"/>
          </w:tcPr>
          <w:p w14:paraId="7563066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clinical assessment</w:t>
            </w:r>
          </w:p>
        </w:tc>
        <w:tc>
          <w:tcPr>
            <w:tcW w:w="1609" w:type="dxa"/>
            <w:tcMar>
              <w:top w:w="40" w:type="dxa"/>
              <w:left w:w="40" w:type="dxa"/>
              <w:bottom w:w="40" w:type="dxa"/>
              <w:right w:w="40" w:type="dxa"/>
            </w:tcMar>
            <w:vAlign w:val="top"/>
          </w:tcPr>
          <w:p w14:paraId="5FA4610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3F6A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3DC581D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Shih and Wang [30]</w:t>
            </w:r>
          </w:p>
        </w:tc>
        <w:tc>
          <w:tcPr>
            <w:tcW w:w="1609" w:type="dxa"/>
            <w:tcMar>
              <w:top w:w="40" w:type="dxa"/>
              <w:left w:w="40" w:type="dxa"/>
              <w:bottom w:w="40" w:type="dxa"/>
              <w:right w:w="40" w:type="dxa"/>
            </w:tcMar>
            <w:vAlign w:val="top"/>
          </w:tcPr>
          <w:p w14:paraId="6AD549A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Taiwan, China</w:t>
            </w:r>
          </w:p>
        </w:tc>
        <w:tc>
          <w:tcPr>
            <w:tcW w:w="1609" w:type="dxa"/>
            <w:tcMar>
              <w:top w:w="40" w:type="dxa"/>
              <w:left w:w="40" w:type="dxa"/>
              <w:bottom w:w="40" w:type="dxa"/>
              <w:right w:w="40" w:type="dxa"/>
            </w:tcMar>
            <w:vAlign w:val="top"/>
          </w:tcPr>
          <w:p w14:paraId="03111B3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comparison study</w:t>
            </w:r>
          </w:p>
        </w:tc>
        <w:tc>
          <w:tcPr>
            <w:tcW w:w="1609" w:type="dxa"/>
            <w:tcMar>
              <w:top w:w="40" w:type="dxa"/>
              <w:left w:w="40" w:type="dxa"/>
              <w:bottom w:w="40" w:type="dxa"/>
              <w:right w:w="40" w:type="dxa"/>
            </w:tcMar>
            <w:vAlign w:val="top"/>
          </w:tcPr>
          <w:p w14:paraId="1DF8DDE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40 amateur collegiate volleyball players; 20 with shoulder pain and 20 age-, sex-, and experience-matched asymptomatic controls.</w:t>
            </w:r>
          </w:p>
        </w:tc>
        <w:tc>
          <w:tcPr>
            <w:tcW w:w="1609" w:type="dxa"/>
            <w:tcMar>
              <w:top w:w="40" w:type="dxa"/>
              <w:left w:w="40" w:type="dxa"/>
              <w:bottom w:w="40" w:type="dxa"/>
              <w:right w:w="40" w:type="dxa"/>
            </w:tcMar>
            <w:vAlign w:val="top"/>
          </w:tcPr>
          <w:p w14:paraId="049CDE9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 each group included 12 men and 8 women.</w:t>
            </w:r>
          </w:p>
        </w:tc>
        <w:tc>
          <w:tcPr>
            <w:tcW w:w="1609" w:type="dxa"/>
            <w:tcMar>
              <w:top w:w="40" w:type="dxa"/>
              <w:left w:w="40" w:type="dxa"/>
              <w:bottom w:w="40" w:type="dxa"/>
              <w:right w:w="40" w:type="dxa"/>
            </w:tcMar>
            <w:vAlign w:val="top"/>
          </w:tcPr>
          <w:p w14:paraId="3515F05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Competitive</w:t>
            </w:r>
          </w:p>
        </w:tc>
        <w:tc>
          <w:tcPr>
            <w:tcW w:w="1609" w:type="dxa"/>
            <w:tcMar>
              <w:top w:w="40" w:type="dxa"/>
              <w:left w:w="40" w:type="dxa"/>
              <w:bottom w:w="40" w:type="dxa"/>
              <w:right w:w="40" w:type="dxa"/>
            </w:tcMar>
            <w:vAlign w:val="top"/>
          </w:tcPr>
          <w:p w14:paraId="280816C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and spike kinematics</w:t>
            </w:r>
          </w:p>
        </w:tc>
        <w:tc>
          <w:tcPr>
            <w:tcW w:w="1609" w:type="dxa"/>
            <w:tcMar>
              <w:top w:w="40" w:type="dxa"/>
              <w:left w:w="40" w:type="dxa"/>
              <w:bottom w:w="40" w:type="dxa"/>
              <w:right w:w="40" w:type="dxa"/>
            </w:tcMar>
            <w:vAlign w:val="top"/>
          </w:tcPr>
          <w:p w14:paraId="568C614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grouped by shoulder pain status</w:t>
            </w:r>
          </w:p>
        </w:tc>
        <w:tc>
          <w:tcPr>
            <w:tcW w:w="1609" w:type="dxa"/>
            <w:tcMar>
              <w:top w:w="40" w:type="dxa"/>
              <w:left w:w="40" w:type="dxa"/>
              <w:bottom w:w="40" w:type="dxa"/>
              <w:right w:w="40" w:type="dxa"/>
            </w:tcMar>
            <w:vAlign w:val="top"/>
          </w:tcPr>
          <w:p w14:paraId="7B7611C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3AEC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2C2AA0E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Witvrouw et al. [31]</w:t>
            </w:r>
          </w:p>
        </w:tc>
        <w:tc>
          <w:tcPr>
            <w:tcW w:w="1609" w:type="dxa"/>
            <w:tcMar>
              <w:top w:w="40" w:type="dxa"/>
              <w:left w:w="40" w:type="dxa"/>
              <w:bottom w:w="40" w:type="dxa"/>
              <w:right w:w="40" w:type="dxa"/>
            </w:tcMar>
            <w:vAlign w:val="top"/>
          </w:tcPr>
          <w:p w14:paraId="0A99009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Belgium</w:t>
            </w:r>
          </w:p>
        </w:tc>
        <w:tc>
          <w:tcPr>
            <w:tcW w:w="1609" w:type="dxa"/>
            <w:tcMar>
              <w:top w:w="40" w:type="dxa"/>
              <w:left w:w="40" w:type="dxa"/>
              <w:bottom w:w="40" w:type="dxa"/>
              <w:right w:w="40" w:type="dxa"/>
            </w:tcMar>
            <w:vAlign w:val="top"/>
          </w:tcPr>
          <w:p w14:paraId="1747BFA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Clinical cross-sectional study</w:t>
            </w:r>
          </w:p>
        </w:tc>
        <w:tc>
          <w:tcPr>
            <w:tcW w:w="1609" w:type="dxa"/>
            <w:tcMar>
              <w:top w:w="40" w:type="dxa"/>
              <w:left w:w="40" w:type="dxa"/>
              <w:bottom w:w="40" w:type="dxa"/>
              <w:right w:w="40" w:type="dxa"/>
            </w:tcMar>
            <w:vAlign w:val="top"/>
          </w:tcPr>
          <w:p w14:paraId="7020FA0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16 professional male volleyball players</w:t>
            </w:r>
          </w:p>
        </w:tc>
        <w:tc>
          <w:tcPr>
            <w:tcW w:w="1609" w:type="dxa"/>
            <w:tcMar>
              <w:top w:w="40" w:type="dxa"/>
              <w:left w:w="40" w:type="dxa"/>
              <w:bottom w:w="40" w:type="dxa"/>
              <w:right w:w="40" w:type="dxa"/>
            </w:tcMar>
            <w:vAlign w:val="top"/>
          </w:tcPr>
          <w:p w14:paraId="5671BEE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0FAD24C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Professional</w:t>
            </w:r>
          </w:p>
        </w:tc>
        <w:tc>
          <w:tcPr>
            <w:tcW w:w="1609" w:type="dxa"/>
            <w:tcMar>
              <w:top w:w="40" w:type="dxa"/>
              <w:left w:w="40" w:type="dxa"/>
              <w:bottom w:w="40" w:type="dxa"/>
              <w:right w:w="40" w:type="dxa"/>
            </w:tcMar>
            <w:vAlign w:val="top"/>
          </w:tcPr>
          <w:p w14:paraId="479BE4D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Suprascapular neuropathy and shoulder ROM differences</w:t>
            </w:r>
          </w:p>
        </w:tc>
        <w:tc>
          <w:tcPr>
            <w:tcW w:w="1609" w:type="dxa"/>
            <w:tcMar>
              <w:top w:w="40" w:type="dxa"/>
              <w:left w:w="40" w:type="dxa"/>
              <w:bottom w:w="40" w:type="dxa"/>
              <w:right w:w="40" w:type="dxa"/>
            </w:tcMar>
            <w:vAlign w:val="top"/>
          </w:tcPr>
          <w:p w14:paraId="68F0A1B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Clinical and ROM assessment</w:t>
            </w:r>
          </w:p>
        </w:tc>
        <w:tc>
          <w:tcPr>
            <w:tcW w:w="1609" w:type="dxa"/>
            <w:tcMar>
              <w:top w:w="40" w:type="dxa"/>
              <w:left w:w="40" w:type="dxa"/>
              <w:bottom w:w="40" w:type="dxa"/>
              <w:right w:w="40" w:type="dxa"/>
            </w:tcMar>
            <w:vAlign w:val="top"/>
          </w:tcPr>
          <w:p w14:paraId="2CCB29C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77AA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4DCF899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Wolfe et al. [32]</w:t>
            </w:r>
          </w:p>
        </w:tc>
        <w:tc>
          <w:tcPr>
            <w:tcW w:w="1609" w:type="dxa"/>
            <w:tcMar>
              <w:top w:w="40" w:type="dxa"/>
              <w:left w:w="40" w:type="dxa"/>
              <w:bottom w:w="40" w:type="dxa"/>
              <w:right w:w="40" w:type="dxa"/>
            </w:tcMar>
            <w:vAlign w:val="top"/>
          </w:tcPr>
          <w:p w14:paraId="7F48D53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United States</w:t>
            </w:r>
          </w:p>
        </w:tc>
        <w:tc>
          <w:tcPr>
            <w:tcW w:w="1609" w:type="dxa"/>
            <w:tcMar>
              <w:top w:w="40" w:type="dxa"/>
              <w:left w:w="40" w:type="dxa"/>
              <w:bottom w:w="40" w:type="dxa"/>
              <w:right w:w="40" w:type="dxa"/>
            </w:tcMar>
            <w:vAlign w:val="top"/>
          </w:tcPr>
          <w:p w14:paraId="168541A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surveillance study</w:t>
            </w:r>
          </w:p>
        </w:tc>
        <w:tc>
          <w:tcPr>
            <w:tcW w:w="1609" w:type="dxa"/>
            <w:tcMar>
              <w:top w:w="40" w:type="dxa"/>
              <w:left w:w="40" w:type="dxa"/>
              <w:bottom w:w="40" w:type="dxa"/>
              <w:right w:w="40" w:type="dxa"/>
            </w:tcMar>
            <w:vAlign w:val="top"/>
          </w:tcPr>
          <w:p w14:paraId="5CF1E29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19 NCAA Division I female volleyball players</w:t>
            </w:r>
          </w:p>
        </w:tc>
        <w:tc>
          <w:tcPr>
            <w:tcW w:w="1609" w:type="dxa"/>
            <w:tcMar>
              <w:top w:w="40" w:type="dxa"/>
              <w:left w:w="40" w:type="dxa"/>
              <w:bottom w:w="40" w:type="dxa"/>
              <w:right w:w="40" w:type="dxa"/>
            </w:tcMar>
            <w:vAlign w:val="top"/>
          </w:tcPr>
          <w:p w14:paraId="692D96D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Female</w:t>
            </w:r>
          </w:p>
        </w:tc>
        <w:tc>
          <w:tcPr>
            <w:tcW w:w="1609" w:type="dxa"/>
            <w:tcMar>
              <w:top w:w="40" w:type="dxa"/>
              <w:left w:w="40" w:type="dxa"/>
              <w:bottom w:w="40" w:type="dxa"/>
              <w:right w:w="40" w:type="dxa"/>
            </w:tcMar>
            <w:vAlign w:val="top"/>
          </w:tcPr>
          <w:p w14:paraId="249EEAF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NCAA Division I</w:t>
            </w:r>
          </w:p>
        </w:tc>
        <w:tc>
          <w:tcPr>
            <w:tcW w:w="1609" w:type="dxa"/>
            <w:tcMar>
              <w:top w:w="40" w:type="dxa"/>
              <w:left w:w="40" w:type="dxa"/>
              <w:bottom w:w="40" w:type="dxa"/>
              <w:right w:w="40" w:type="dxa"/>
            </w:tcMar>
            <w:vAlign w:val="top"/>
          </w:tcPr>
          <w:p w14:paraId="602BE85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Swing volume and shoulder-related limited participation</w:t>
            </w:r>
          </w:p>
        </w:tc>
        <w:tc>
          <w:tcPr>
            <w:tcW w:w="1609" w:type="dxa"/>
            <w:tcMar>
              <w:top w:w="40" w:type="dxa"/>
              <w:left w:w="40" w:type="dxa"/>
              <w:bottom w:w="40" w:type="dxa"/>
              <w:right w:w="40" w:type="dxa"/>
            </w:tcMar>
            <w:vAlign w:val="top"/>
          </w:tcPr>
          <w:p w14:paraId="3A24CB5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load and participation monitoring across the season</w:t>
            </w:r>
          </w:p>
        </w:tc>
        <w:tc>
          <w:tcPr>
            <w:tcW w:w="1609" w:type="dxa"/>
            <w:tcMar>
              <w:top w:w="40" w:type="dxa"/>
              <w:left w:w="40" w:type="dxa"/>
              <w:bottom w:w="40" w:type="dxa"/>
              <w:right w:w="40" w:type="dxa"/>
            </w:tcMar>
            <w:vAlign w:val="top"/>
          </w:tcPr>
          <w:p w14:paraId="3C65661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0002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6367F45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Zandi et al. [13]</w:t>
            </w:r>
          </w:p>
        </w:tc>
        <w:tc>
          <w:tcPr>
            <w:tcW w:w="1609" w:type="dxa"/>
            <w:tcMar>
              <w:top w:w="40" w:type="dxa"/>
              <w:left w:w="40" w:type="dxa"/>
              <w:bottom w:w="40" w:type="dxa"/>
              <w:right w:w="40" w:type="dxa"/>
            </w:tcMar>
            <w:vAlign w:val="top"/>
          </w:tcPr>
          <w:p w14:paraId="7242B8A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Iran</w:t>
            </w:r>
          </w:p>
        </w:tc>
        <w:tc>
          <w:tcPr>
            <w:tcW w:w="1609" w:type="dxa"/>
            <w:tcMar>
              <w:top w:w="40" w:type="dxa"/>
              <w:left w:w="40" w:type="dxa"/>
              <w:bottom w:w="40" w:type="dxa"/>
              <w:right w:w="40" w:type="dxa"/>
            </w:tcMar>
            <w:vAlign w:val="top"/>
          </w:tcPr>
          <w:p w14:paraId="6BB6027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 study</w:t>
            </w:r>
          </w:p>
        </w:tc>
        <w:tc>
          <w:tcPr>
            <w:tcW w:w="1609" w:type="dxa"/>
            <w:tcMar>
              <w:top w:w="40" w:type="dxa"/>
              <w:left w:w="40" w:type="dxa"/>
              <w:bottom w:w="40" w:type="dxa"/>
              <w:right w:w="40" w:type="dxa"/>
            </w:tcMar>
            <w:vAlign w:val="top"/>
          </w:tcPr>
          <w:p w14:paraId="19FEB8A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14 female volleyball players with ASI and 14 controls</w:t>
            </w:r>
          </w:p>
        </w:tc>
        <w:tc>
          <w:tcPr>
            <w:tcW w:w="1609" w:type="dxa"/>
            <w:tcMar>
              <w:top w:w="40" w:type="dxa"/>
              <w:left w:w="40" w:type="dxa"/>
              <w:bottom w:w="40" w:type="dxa"/>
              <w:right w:w="40" w:type="dxa"/>
            </w:tcMar>
            <w:vAlign w:val="top"/>
          </w:tcPr>
          <w:p w14:paraId="6A3B61B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Female</w:t>
            </w:r>
          </w:p>
        </w:tc>
        <w:tc>
          <w:tcPr>
            <w:tcW w:w="1609" w:type="dxa"/>
            <w:tcMar>
              <w:top w:w="40" w:type="dxa"/>
              <w:left w:w="40" w:type="dxa"/>
              <w:bottom w:w="40" w:type="dxa"/>
              <w:right w:w="40" w:type="dxa"/>
            </w:tcMar>
            <w:vAlign w:val="top"/>
          </w:tcPr>
          <w:p w14:paraId="0D80BCD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Competitive</w:t>
            </w:r>
          </w:p>
        </w:tc>
        <w:tc>
          <w:tcPr>
            <w:tcW w:w="1609" w:type="dxa"/>
            <w:tcMar>
              <w:top w:w="40" w:type="dxa"/>
              <w:left w:w="40" w:type="dxa"/>
              <w:bottom w:w="40" w:type="dxa"/>
              <w:right w:w="40" w:type="dxa"/>
            </w:tcMar>
            <w:vAlign w:val="top"/>
          </w:tcPr>
          <w:p w14:paraId="61B81FD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Anterior shoulder instability and core muscular endurance</w:t>
            </w:r>
          </w:p>
        </w:tc>
        <w:tc>
          <w:tcPr>
            <w:tcW w:w="1609" w:type="dxa"/>
            <w:tcMar>
              <w:top w:w="40" w:type="dxa"/>
              <w:left w:w="40" w:type="dxa"/>
              <w:bottom w:w="40" w:type="dxa"/>
              <w:right w:w="40" w:type="dxa"/>
            </w:tcMar>
            <w:vAlign w:val="top"/>
          </w:tcPr>
          <w:p w14:paraId="0E8EFDB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case-control assessment</w:t>
            </w:r>
          </w:p>
        </w:tc>
        <w:tc>
          <w:tcPr>
            <w:tcW w:w="1609" w:type="dxa"/>
            <w:tcMar>
              <w:top w:w="40" w:type="dxa"/>
              <w:left w:w="40" w:type="dxa"/>
              <w:bottom w:w="40" w:type="dxa"/>
              <w:right w:w="40" w:type="dxa"/>
            </w:tcMar>
            <w:vAlign w:val="top"/>
          </w:tcPr>
          <w:p w14:paraId="3BEA728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63D8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96A006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 Lira et al. [33]</w:t>
            </w:r>
          </w:p>
        </w:tc>
        <w:tc>
          <w:tcPr>
            <w:tcW w:w="1609" w:type="dxa"/>
            <w:tcMar>
              <w:top w:w="40" w:type="dxa"/>
              <w:left w:w="40" w:type="dxa"/>
              <w:bottom w:w="40" w:type="dxa"/>
              <w:right w:w="40" w:type="dxa"/>
            </w:tcMar>
            <w:vAlign w:val="top"/>
          </w:tcPr>
          <w:p w14:paraId="2111659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Brazil</w:t>
            </w:r>
          </w:p>
        </w:tc>
        <w:tc>
          <w:tcPr>
            <w:tcW w:w="1609" w:type="dxa"/>
            <w:tcMar>
              <w:top w:w="40" w:type="dxa"/>
              <w:left w:w="40" w:type="dxa"/>
              <w:bottom w:w="40" w:type="dxa"/>
              <w:right w:w="40" w:type="dxa"/>
            </w:tcMar>
            <w:vAlign w:val="top"/>
          </w:tcPr>
          <w:p w14:paraId="14C8B0B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observational study</w:t>
            </w:r>
          </w:p>
        </w:tc>
        <w:tc>
          <w:tcPr>
            <w:tcW w:w="1609" w:type="dxa"/>
            <w:tcMar>
              <w:top w:w="40" w:type="dxa"/>
              <w:left w:w="40" w:type="dxa"/>
              <w:bottom w:w="40" w:type="dxa"/>
              <w:right w:w="40" w:type="dxa"/>
            </w:tcMar>
            <w:vAlign w:val="top"/>
          </w:tcPr>
          <w:p w14:paraId="6AF42C7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28 adolescent volleyball players aged 14–18 years</w:t>
            </w:r>
          </w:p>
        </w:tc>
        <w:tc>
          <w:tcPr>
            <w:tcW w:w="1609" w:type="dxa"/>
            <w:tcMar>
              <w:top w:w="40" w:type="dxa"/>
              <w:left w:w="40" w:type="dxa"/>
              <w:bottom w:w="40" w:type="dxa"/>
              <w:right w:w="40" w:type="dxa"/>
            </w:tcMar>
            <w:vAlign w:val="top"/>
          </w:tcPr>
          <w:p w14:paraId="1617C41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447FF48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Adolescent elite / training centre</w:t>
            </w:r>
          </w:p>
        </w:tc>
        <w:tc>
          <w:tcPr>
            <w:tcW w:w="1609" w:type="dxa"/>
            <w:tcMar>
              <w:top w:w="40" w:type="dxa"/>
              <w:left w:w="40" w:type="dxa"/>
              <w:bottom w:w="40" w:type="dxa"/>
              <w:right w:w="40" w:type="dxa"/>
            </w:tcMar>
            <w:vAlign w:val="top"/>
          </w:tcPr>
          <w:p w14:paraId="59E25E1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Dominant-side shoulder pain, defined as NRS &gt; 3 during follow-up</w:t>
            </w:r>
          </w:p>
        </w:tc>
        <w:tc>
          <w:tcPr>
            <w:tcW w:w="1609" w:type="dxa"/>
            <w:tcMar>
              <w:top w:w="40" w:type="dxa"/>
              <w:left w:w="40" w:type="dxa"/>
              <w:bottom w:w="40" w:type="dxa"/>
              <w:right w:w="40" w:type="dxa"/>
            </w:tcMar>
            <w:vAlign w:val="top"/>
          </w:tcPr>
          <w:p w14:paraId="4E6406A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16-week follow-up</w:t>
            </w:r>
          </w:p>
        </w:tc>
        <w:tc>
          <w:tcPr>
            <w:tcW w:w="1609" w:type="dxa"/>
            <w:tcMar>
              <w:top w:w="40" w:type="dxa"/>
              <w:left w:w="40" w:type="dxa"/>
              <w:bottom w:w="40" w:type="dxa"/>
              <w:right w:w="40" w:type="dxa"/>
            </w:tcMar>
            <w:vAlign w:val="top"/>
          </w:tcPr>
          <w:p w14:paraId="1C61AAD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7EEB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A24C14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Wang and Cochrane [34]</w:t>
            </w:r>
          </w:p>
        </w:tc>
        <w:tc>
          <w:tcPr>
            <w:tcW w:w="1609" w:type="dxa"/>
            <w:tcMar>
              <w:top w:w="40" w:type="dxa"/>
              <w:left w:w="40" w:type="dxa"/>
              <w:bottom w:w="40" w:type="dxa"/>
              <w:right w:w="40" w:type="dxa"/>
            </w:tcMar>
            <w:vAlign w:val="top"/>
          </w:tcPr>
          <w:p w14:paraId="77FFD0E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United Kingdom</w:t>
            </w:r>
          </w:p>
        </w:tc>
        <w:tc>
          <w:tcPr>
            <w:tcW w:w="1609" w:type="dxa"/>
            <w:tcMar>
              <w:top w:w="40" w:type="dxa"/>
              <w:left w:w="40" w:type="dxa"/>
              <w:bottom w:w="40" w:type="dxa"/>
              <w:right w:w="40" w:type="dxa"/>
            </w:tcMar>
            <w:vAlign w:val="top"/>
          </w:tcPr>
          <w:p w14:paraId="4BFE42E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descriptive epidemiological (cohort) study, two-season follow-up</w:t>
            </w:r>
          </w:p>
        </w:tc>
        <w:tc>
          <w:tcPr>
            <w:tcW w:w="1609" w:type="dxa"/>
            <w:tcMar>
              <w:top w:w="40" w:type="dxa"/>
              <w:left w:w="40" w:type="dxa"/>
              <w:bottom w:w="40" w:type="dxa"/>
              <w:right w:w="40" w:type="dxa"/>
            </w:tcMar>
            <w:vAlign w:val="top"/>
          </w:tcPr>
          <w:p w14:paraId="32E9F1A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59 top-level English male volleyball players recruited from English Volleyball Federation Division One; 75 players were eligible.</w:t>
            </w:r>
          </w:p>
        </w:tc>
        <w:tc>
          <w:tcPr>
            <w:tcW w:w="1609" w:type="dxa"/>
            <w:tcMar>
              <w:top w:w="40" w:type="dxa"/>
              <w:left w:w="40" w:type="dxa"/>
              <w:bottom w:w="40" w:type="dxa"/>
              <w:right w:w="40" w:type="dxa"/>
            </w:tcMar>
            <w:vAlign w:val="top"/>
          </w:tcPr>
          <w:p w14:paraId="2B05542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320CA7A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Elite</w:t>
            </w:r>
          </w:p>
        </w:tc>
        <w:tc>
          <w:tcPr>
            <w:tcW w:w="1609" w:type="dxa"/>
            <w:tcMar>
              <w:top w:w="40" w:type="dxa"/>
              <w:left w:w="40" w:type="dxa"/>
              <w:bottom w:w="40" w:type="dxa"/>
              <w:right w:w="40" w:type="dxa"/>
            </w:tcMar>
            <w:vAlign w:val="top"/>
          </w:tcPr>
          <w:p w14:paraId="1A7B35E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injuries, including prevalence, incidence, injury type, and volleyball action associated with injury</w:t>
            </w:r>
          </w:p>
        </w:tc>
        <w:tc>
          <w:tcPr>
            <w:tcW w:w="1609" w:type="dxa"/>
            <w:tcMar>
              <w:top w:w="40" w:type="dxa"/>
              <w:left w:w="40" w:type="dxa"/>
              <w:bottom w:w="40" w:type="dxa"/>
              <w:right w:w="40" w:type="dxa"/>
            </w:tcMar>
            <w:vAlign w:val="top"/>
          </w:tcPr>
          <w:p w14:paraId="629277F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Two-season follow-up, 1997–1998 and 1998–1999 seasons</w:t>
            </w:r>
          </w:p>
        </w:tc>
        <w:tc>
          <w:tcPr>
            <w:tcW w:w="1609" w:type="dxa"/>
            <w:tcMar>
              <w:top w:w="40" w:type="dxa"/>
              <w:left w:w="40" w:type="dxa"/>
              <w:bottom w:w="40" w:type="dxa"/>
              <w:right w:w="40" w:type="dxa"/>
            </w:tcMar>
            <w:vAlign w:val="top"/>
          </w:tcPr>
          <w:p w14:paraId="2C35FC8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5A81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6277B7B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Wang and Cochrane [35]</w:t>
            </w:r>
          </w:p>
        </w:tc>
        <w:tc>
          <w:tcPr>
            <w:tcW w:w="1609" w:type="dxa"/>
            <w:tcMar>
              <w:top w:w="40" w:type="dxa"/>
              <w:left w:w="40" w:type="dxa"/>
              <w:bottom w:w="40" w:type="dxa"/>
              <w:right w:w="40" w:type="dxa"/>
            </w:tcMar>
            <w:vAlign w:val="top"/>
          </w:tcPr>
          <w:p w14:paraId="6BD860B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United Kingdom</w:t>
            </w:r>
          </w:p>
        </w:tc>
        <w:tc>
          <w:tcPr>
            <w:tcW w:w="1609" w:type="dxa"/>
            <w:tcMar>
              <w:top w:w="40" w:type="dxa"/>
              <w:left w:w="40" w:type="dxa"/>
              <w:bottom w:w="40" w:type="dxa"/>
              <w:right w:w="40" w:type="dxa"/>
            </w:tcMar>
            <w:vAlign w:val="top"/>
          </w:tcPr>
          <w:p w14:paraId="39A1C2B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 case-control-style study</w:t>
            </w:r>
          </w:p>
        </w:tc>
        <w:tc>
          <w:tcPr>
            <w:tcW w:w="1609" w:type="dxa"/>
            <w:tcMar>
              <w:top w:w="40" w:type="dxa"/>
              <w:left w:w="40" w:type="dxa"/>
              <w:bottom w:w="40" w:type="dxa"/>
              <w:right w:w="40" w:type="dxa"/>
            </w:tcMar>
            <w:vAlign w:val="top"/>
          </w:tcPr>
          <w:p w14:paraId="33E36F9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16 elite male volleyball players.</w:t>
            </w:r>
          </w:p>
        </w:tc>
        <w:tc>
          <w:tcPr>
            <w:tcW w:w="1609" w:type="dxa"/>
            <w:tcMar>
              <w:top w:w="40" w:type="dxa"/>
              <w:left w:w="40" w:type="dxa"/>
              <w:bottom w:w="40" w:type="dxa"/>
              <w:right w:w="40" w:type="dxa"/>
            </w:tcMar>
            <w:vAlign w:val="top"/>
          </w:tcPr>
          <w:p w14:paraId="764F0E1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71532DB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Elite</w:t>
            </w:r>
          </w:p>
        </w:tc>
        <w:tc>
          <w:tcPr>
            <w:tcW w:w="1609" w:type="dxa"/>
            <w:tcMar>
              <w:top w:w="40" w:type="dxa"/>
              <w:left w:w="40" w:type="dxa"/>
              <w:bottom w:w="40" w:type="dxa"/>
              <w:right w:w="40" w:type="dxa"/>
            </w:tcMar>
            <w:vAlign w:val="top"/>
          </w:tcPr>
          <w:p w14:paraId="21BF0F5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injury and/or pain associated with shoulder mobility, muscle imbalance, muscle weakness, and scapular asymmetry</w:t>
            </w:r>
          </w:p>
        </w:tc>
        <w:tc>
          <w:tcPr>
            <w:tcW w:w="1609" w:type="dxa"/>
            <w:tcMar>
              <w:top w:w="40" w:type="dxa"/>
              <w:left w:w="40" w:type="dxa"/>
              <w:bottom w:w="40" w:type="dxa"/>
              <w:right w:w="40" w:type="dxa"/>
            </w:tcMar>
            <w:vAlign w:val="top"/>
          </w:tcPr>
          <w:p w14:paraId="0A6B013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w:t>
            </w:r>
          </w:p>
        </w:tc>
        <w:tc>
          <w:tcPr>
            <w:tcW w:w="1609" w:type="dxa"/>
            <w:tcMar>
              <w:top w:w="40" w:type="dxa"/>
              <w:left w:w="40" w:type="dxa"/>
              <w:bottom w:w="40" w:type="dxa"/>
              <w:right w:w="40" w:type="dxa"/>
            </w:tcMar>
            <w:vAlign w:val="top"/>
          </w:tcPr>
          <w:p w14:paraId="4110144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2E24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349B9ED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Stickley et al. [36]</w:t>
            </w:r>
          </w:p>
        </w:tc>
        <w:tc>
          <w:tcPr>
            <w:tcW w:w="1609" w:type="dxa"/>
            <w:tcMar>
              <w:top w:w="40" w:type="dxa"/>
              <w:left w:w="40" w:type="dxa"/>
              <w:bottom w:w="40" w:type="dxa"/>
              <w:right w:w="40" w:type="dxa"/>
            </w:tcMar>
            <w:vAlign w:val="top"/>
          </w:tcPr>
          <w:p w14:paraId="45E082F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United States</w:t>
            </w:r>
          </w:p>
        </w:tc>
        <w:tc>
          <w:tcPr>
            <w:tcW w:w="1609" w:type="dxa"/>
            <w:tcMar>
              <w:top w:w="40" w:type="dxa"/>
              <w:left w:w="40" w:type="dxa"/>
              <w:bottom w:w="40" w:type="dxa"/>
              <w:right w:w="40" w:type="dxa"/>
            </w:tcMar>
            <w:vAlign w:val="top"/>
          </w:tcPr>
          <w:p w14:paraId="6988B7D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44BC75A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38 adolescent female club volleyball athletes aged 10–15 years</w:t>
            </w:r>
          </w:p>
        </w:tc>
        <w:tc>
          <w:tcPr>
            <w:tcW w:w="1609" w:type="dxa"/>
            <w:tcMar>
              <w:top w:w="40" w:type="dxa"/>
              <w:left w:w="40" w:type="dxa"/>
              <w:bottom w:w="40" w:type="dxa"/>
              <w:right w:w="40" w:type="dxa"/>
            </w:tcMar>
            <w:vAlign w:val="top"/>
          </w:tcPr>
          <w:p w14:paraId="5CF5BBB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Female</w:t>
            </w:r>
          </w:p>
        </w:tc>
        <w:tc>
          <w:tcPr>
            <w:tcW w:w="1609" w:type="dxa"/>
            <w:tcMar>
              <w:top w:w="40" w:type="dxa"/>
              <w:left w:w="40" w:type="dxa"/>
              <w:bottom w:w="40" w:type="dxa"/>
              <w:right w:w="40" w:type="dxa"/>
            </w:tcMar>
            <w:vAlign w:val="top"/>
          </w:tcPr>
          <w:p w14:paraId="3F459CA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Adolescent club / competitive</w:t>
            </w:r>
          </w:p>
        </w:tc>
        <w:tc>
          <w:tcPr>
            <w:tcW w:w="1609" w:type="dxa"/>
            <w:tcMar>
              <w:top w:w="40" w:type="dxa"/>
              <w:left w:w="40" w:type="dxa"/>
              <w:bottom w:w="40" w:type="dxa"/>
              <w:right w:w="40" w:type="dxa"/>
            </w:tcMar>
            <w:vAlign w:val="top"/>
          </w:tcPr>
          <w:p w14:paraId="5760550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injury history and isokinetic peak torque ratios</w:t>
            </w:r>
          </w:p>
        </w:tc>
        <w:tc>
          <w:tcPr>
            <w:tcW w:w="1609" w:type="dxa"/>
            <w:tcMar>
              <w:top w:w="40" w:type="dxa"/>
              <w:left w:w="40" w:type="dxa"/>
              <w:bottom w:w="40" w:type="dxa"/>
              <w:right w:w="40" w:type="dxa"/>
            </w:tcMar>
            <w:vAlign w:val="top"/>
          </w:tcPr>
          <w:p w14:paraId="57512E8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with retrospective shoulder injury history</w:t>
            </w:r>
          </w:p>
        </w:tc>
        <w:tc>
          <w:tcPr>
            <w:tcW w:w="1609" w:type="dxa"/>
            <w:tcMar>
              <w:top w:w="40" w:type="dxa"/>
              <w:left w:w="40" w:type="dxa"/>
              <w:bottom w:w="40" w:type="dxa"/>
              <w:right w:w="40" w:type="dxa"/>
            </w:tcMar>
            <w:vAlign w:val="top"/>
          </w:tcPr>
          <w:p w14:paraId="3310560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09FC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7E6CB2B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Kugler et al. [37]</w:t>
            </w:r>
          </w:p>
        </w:tc>
        <w:tc>
          <w:tcPr>
            <w:tcW w:w="1609" w:type="dxa"/>
            <w:tcMar>
              <w:top w:w="40" w:type="dxa"/>
              <w:left w:w="40" w:type="dxa"/>
              <w:bottom w:w="40" w:type="dxa"/>
              <w:right w:w="40" w:type="dxa"/>
            </w:tcMar>
            <w:vAlign w:val="top"/>
          </w:tcPr>
          <w:p w14:paraId="5512B7C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Germany</w:t>
            </w:r>
          </w:p>
        </w:tc>
        <w:tc>
          <w:tcPr>
            <w:tcW w:w="1609" w:type="dxa"/>
            <w:tcMar>
              <w:top w:w="40" w:type="dxa"/>
              <w:left w:w="40" w:type="dxa"/>
              <w:bottom w:w="40" w:type="dxa"/>
              <w:right w:w="40" w:type="dxa"/>
            </w:tcMar>
            <w:vAlign w:val="top"/>
          </w:tcPr>
          <w:p w14:paraId="04C7C9F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 / cross-sectional study</w:t>
            </w:r>
          </w:p>
        </w:tc>
        <w:tc>
          <w:tcPr>
            <w:tcW w:w="1609" w:type="dxa"/>
            <w:tcMar>
              <w:top w:w="40" w:type="dxa"/>
              <w:left w:w="40" w:type="dxa"/>
              <w:bottom w:w="40" w:type="dxa"/>
              <w:right w:w="40" w:type="dxa"/>
            </w:tcMar>
            <w:vAlign w:val="top"/>
          </w:tcPr>
          <w:p w14:paraId="1CADB2B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30 competitive volleyball attackers and 15 recreational non-overhead athletes</w:t>
            </w:r>
          </w:p>
        </w:tc>
        <w:tc>
          <w:tcPr>
            <w:tcW w:w="1609" w:type="dxa"/>
            <w:tcMar>
              <w:top w:w="40" w:type="dxa"/>
              <w:left w:w="40" w:type="dxa"/>
              <w:bottom w:w="40" w:type="dxa"/>
              <w:right w:w="40" w:type="dxa"/>
            </w:tcMar>
            <w:vAlign w:val="top"/>
          </w:tcPr>
          <w:p w14:paraId="0A91B0A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58492D6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Competitive</w:t>
            </w:r>
          </w:p>
        </w:tc>
        <w:tc>
          <w:tcPr>
            <w:tcW w:w="1609" w:type="dxa"/>
            <w:tcMar>
              <w:top w:w="40" w:type="dxa"/>
              <w:left w:w="40" w:type="dxa"/>
              <w:bottom w:w="40" w:type="dxa"/>
              <w:right w:w="40" w:type="dxa"/>
            </w:tcMar>
            <w:vAlign w:val="top"/>
          </w:tcPr>
          <w:p w14:paraId="0F3AAB2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associated with muscular imbalance, scapular position, and capsular tightness</w:t>
            </w:r>
          </w:p>
        </w:tc>
        <w:tc>
          <w:tcPr>
            <w:tcW w:w="1609" w:type="dxa"/>
            <w:tcMar>
              <w:top w:w="40" w:type="dxa"/>
              <w:left w:w="40" w:type="dxa"/>
              <w:bottom w:w="40" w:type="dxa"/>
              <w:right w:w="40" w:type="dxa"/>
            </w:tcMar>
            <w:vAlign w:val="top"/>
          </w:tcPr>
          <w:p w14:paraId="2A45CF1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grouped by shoulder pain status</w:t>
            </w:r>
          </w:p>
        </w:tc>
        <w:tc>
          <w:tcPr>
            <w:tcW w:w="1609" w:type="dxa"/>
            <w:tcMar>
              <w:top w:w="40" w:type="dxa"/>
              <w:left w:w="40" w:type="dxa"/>
              <w:bottom w:w="40" w:type="dxa"/>
              <w:right w:w="40" w:type="dxa"/>
            </w:tcMar>
            <w:vAlign w:val="top"/>
          </w:tcPr>
          <w:p w14:paraId="7C384CC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7831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3B917C6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Mitchinson et al. [38]</w:t>
            </w:r>
          </w:p>
        </w:tc>
        <w:tc>
          <w:tcPr>
            <w:tcW w:w="1609" w:type="dxa"/>
            <w:tcMar>
              <w:top w:w="40" w:type="dxa"/>
              <w:left w:w="40" w:type="dxa"/>
              <w:bottom w:w="40" w:type="dxa"/>
              <w:right w:w="40" w:type="dxa"/>
            </w:tcMar>
            <w:vAlign w:val="top"/>
          </w:tcPr>
          <w:p w14:paraId="1F80B7F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Australia</w:t>
            </w:r>
          </w:p>
        </w:tc>
        <w:tc>
          <w:tcPr>
            <w:tcW w:w="1609" w:type="dxa"/>
            <w:tcMar>
              <w:top w:w="40" w:type="dxa"/>
              <w:left w:w="40" w:type="dxa"/>
              <w:bottom w:w="40" w:type="dxa"/>
              <w:right w:w="40" w:type="dxa"/>
            </w:tcMar>
            <w:vAlign w:val="top"/>
          </w:tcPr>
          <w:p w14:paraId="454CC83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biomechanical comparison; case-control-style grouping</w:t>
            </w:r>
          </w:p>
        </w:tc>
        <w:tc>
          <w:tcPr>
            <w:tcW w:w="1609" w:type="dxa"/>
            <w:tcMar>
              <w:top w:w="40" w:type="dxa"/>
              <w:left w:w="40" w:type="dxa"/>
              <w:bottom w:w="40" w:type="dxa"/>
              <w:right w:w="40" w:type="dxa"/>
            </w:tcMar>
            <w:vAlign w:val="top"/>
          </w:tcPr>
          <w:p w14:paraId="7780309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24 elite volleyball players</w:t>
            </w:r>
          </w:p>
        </w:tc>
        <w:tc>
          <w:tcPr>
            <w:tcW w:w="1609" w:type="dxa"/>
            <w:tcMar>
              <w:top w:w="40" w:type="dxa"/>
              <w:left w:w="40" w:type="dxa"/>
              <w:bottom w:w="40" w:type="dxa"/>
              <w:right w:w="40" w:type="dxa"/>
            </w:tcMar>
            <w:vAlign w:val="top"/>
          </w:tcPr>
          <w:p w14:paraId="7D9A59A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629BA55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Elite</w:t>
            </w:r>
          </w:p>
        </w:tc>
        <w:tc>
          <w:tcPr>
            <w:tcW w:w="1609" w:type="dxa"/>
            <w:tcMar>
              <w:top w:w="40" w:type="dxa"/>
              <w:left w:w="40" w:type="dxa"/>
              <w:bottom w:w="40" w:type="dxa"/>
              <w:right w:w="40" w:type="dxa"/>
            </w:tcMar>
            <w:vAlign w:val="top"/>
          </w:tcPr>
          <w:p w14:paraId="4049B5B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Spike kinematic differences between players with and without a history of shoulder injury</w:t>
            </w:r>
          </w:p>
        </w:tc>
        <w:tc>
          <w:tcPr>
            <w:tcW w:w="1609" w:type="dxa"/>
            <w:tcMar>
              <w:top w:w="40" w:type="dxa"/>
              <w:left w:w="40" w:type="dxa"/>
              <w:bottom w:w="40" w:type="dxa"/>
              <w:right w:w="40" w:type="dxa"/>
            </w:tcMar>
            <w:vAlign w:val="top"/>
          </w:tcPr>
          <w:p w14:paraId="7D70539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grouped by shoulder injury history</w:t>
            </w:r>
          </w:p>
        </w:tc>
        <w:tc>
          <w:tcPr>
            <w:tcW w:w="1609" w:type="dxa"/>
            <w:tcMar>
              <w:top w:w="40" w:type="dxa"/>
              <w:left w:w="40" w:type="dxa"/>
              <w:bottom w:w="40" w:type="dxa"/>
              <w:right w:w="40" w:type="dxa"/>
            </w:tcMar>
            <w:vAlign w:val="top"/>
          </w:tcPr>
          <w:p w14:paraId="3A26CE6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3CB4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086148D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Forthomme et al. [3]</w:t>
            </w:r>
          </w:p>
        </w:tc>
        <w:tc>
          <w:tcPr>
            <w:tcW w:w="1609" w:type="dxa"/>
            <w:tcMar>
              <w:top w:w="40" w:type="dxa"/>
              <w:left w:w="40" w:type="dxa"/>
              <w:bottom w:w="40" w:type="dxa"/>
              <w:right w:w="40" w:type="dxa"/>
            </w:tcMar>
            <w:vAlign w:val="top"/>
          </w:tcPr>
          <w:p w14:paraId="402D180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Belgium, France, Netherlands, and Luxembourg</w:t>
            </w:r>
          </w:p>
        </w:tc>
        <w:tc>
          <w:tcPr>
            <w:tcW w:w="1609" w:type="dxa"/>
            <w:tcMar>
              <w:top w:w="40" w:type="dxa"/>
              <w:left w:w="40" w:type="dxa"/>
              <w:bottom w:w="40" w:type="dxa"/>
              <w:right w:w="40" w:type="dxa"/>
            </w:tcMar>
            <w:vAlign w:val="top"/>
          </w:tcPr>
          <w:p w14:paraId="3D52EC0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study</w:t>
            </w:r>
          </w:p>
        </w:tc>
        <w:tc>
          <w:tcPr>
            <w:tcW w:w="1609" w:type="dxa"/>
            <w:tcMar>
              <w:top w:w="40" w:type="dxa"/>
              <w:left w:w="40" w:type="dxa"/>
              <w:bottom w:w="40" w:type="dxa"/>
              <w:right w:w="40" w:type="dxa"/>
            </w:tcMar>
            <w:vAlign w:val="top"/>
          </w:tcPr>
          <w:p w14:paraId="70F5AB8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66 high-level volleyball players; 34 men and 32 women</w:t>
            </w:r>
          </w:p>
        </w:tc>
        <w:tc>
          <w:tcPr>
            <w:tcW w:w="1609" w:type="dxa"/>
            <w:tcMar>
              <w:top w:w="40" w:type="dxa"/>
              <w:left w:w="40" w:type="dxa"/>
              <w:bottom w:w="40" w:type="dxa"/>
              <w:right w:w="40" w:type="dxa"/>
            </w:tcMar>
            <w:vAlign w:val="top"/>
          </w:tcPr>
          <w:p w14:paraId="3F8F0D6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5A1C004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High-level</w:t>
            </w:r>
          </w:p>
        </w:tc>
        <w:tc>
          <w:tcPr>
            <w:tcW w:w="1609" w:type="dxa"/>
            <w:tcMar>
              <w:top w:w="40" w:type="dxa"/>
              <w:left w:w="40" w:type="dxa"/>
              <w:bottom w:w="40" w:type="dxa"/>
              <w:right w:w="40" w:type="dxa"/>
            </w:tcMar>
            <w:vAlign w:val="top"/>
          </w:tcPr>
          <w:p w14:paraId="1F7BD1F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Dominant-side shoulder pain reported during the competitive season; preseason shoulder strength and morphostatic features</w:t>
            </w:r>
          </w:p>
        </w:tc>
        <w:tc>
          <w:tcPr>
            <w:tcW w:w="1609" w:type="dxa"/>
            <w:tcMar>
              <w:top w:w="40" w:type="dxa"/>
              <w:left w:w="40" w:type="dxa"/>
              <w:bottom w:w="40" w:type="dxa"/>
              <w:right w:w="40" w:type="dxa"/>
            </w:tcMar>
            <w:vAlign w:val="top"/>
          </w:tcPr>
          <w:p w14:paraId="2B354F2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6-month follow-up</w:t>
            </w:r>
          </w:p>
        </w:tc>
        <w:tc>
          <w:tcPr>
            <w:tcW w:w="1609" w:type="dxa"/>
            <w:tcMar>
              <w:top w:w="40" w:type="dxa"/>
              <w:left w:w="40" w:type="dxa"/>
              <w:bottom w:w="40" w:type="dxa"/>
              <w:right w:w="40" w:type="dxa"/>
            </w:tcMar>
            <w:vAlign w:val="top"/>
          </w:tcPr>
          <w:p w14:paraId="7A713B3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3694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592CB4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Reeser et al. [2]</w:t>
            </w:r>
          </w:p>
        </w:tc>
        <w:tc>
          <w:tcPr>
            <w:tcW w:w="1609" w:type="dxa"/>
            <w:tcMar>
              <w:top w:w="40" w:type="dxa"/>
              <w:left w:w="40" w:type="dxa"/>
              <w:bottom w:w="40" w:type="dxa"/>
              <w:right w:w="40" w:type="dxa"/>
            </w:tcMar>
            <w:vAlign w:val="top"/>
          </w:tcPr>
          <w:p w14:paraId="4350D65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United States</w:t>
            </w:r>
          </w:p>
        </w:tc>
        <w:tc>
          <w:tcPr>
            <w:tcW w:w="1609" w:type="dxa"/>
            <w:tcMar>
              <w:top w:w="40" w:type="dxa"/>
              <w:left w:w="40" w:type="dxa"/>
              <w:bottom w:w="40" w:type="dxa"/>
              <w:right w:w="40" w:type="dxa"/>
            </w:tcMar>
            <w:vAlign w:val="top"/>
          </w:tcPr>
          <w:p w14:paraId="225FA7A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observational study</w:t>
            </w:r>
          </w:p>
        </w:tc>
        <w:tc>
          <w:tcPr>
            <w:tcW w:w="1609" w:type="dxa"/>
            <w:tcMar>
              <w:top w:w="40" w:type="dxa"/>
              <w:left w:w="40" w:type="dxa"/>
              <w:bottom w:w="40" w:type="dxa"/>
              <w:right w:w="40" w:type="dxa"/>
            </w:tcMar>
            <w:vAlign w:val="top"/>
          </w:tcPr>
          <w:p w14:paraId="04F0C1A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422 athletes completed questionnaires; 276 underwent physical examination</w:t>
            </w:r>
          </w:p>
        </w:tc>
        <w:tc>
          <w:tcPr>
            <w:tcW w:w="1609" w:type="dxa"/>
            <w:tcMar>
              <w:top w:w="40" w:type="dxa"/>
              <w:left w:w="40" w:type="dxa"/>
              <w:bottom w:w="40" w:type="dxa"/>
              <w:right w:w="40" w:type="dxa"/>
            </w:tcMar>
            <w:vAlign w:val="top"/>
          </w:tcPr>
          <w:p w14:paraId="0FA683E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29D538D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Collegiate club</w:t>
            </w:r>
          </w:p>
        </w:tc>
        <w:tc>
          <w:tcPr>
            <w:tcW w:w="1609" w:type="dxa"/>
            <w:tcMar>
              <w:top w:w="40" w:type="dxa"/>
              <w:left w:w="40" w:type="dxa"/>
              <w:bottom w:w="40" w:type="dxa"/>
              <w:right w:w="40" w:type="dxa"/>
            </w:tcMar>
            <w:vAlign w:val="top"/>
          </w:tcPr>
          <w:p w14:paraId="0045327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History of shoulder problems, shoulder pain/dysfunction, SST score, VAS score, and associated physical factors</w:t>
            </w:r>
          </w:p>
        </w:tc>
        <w:tc>
          <w:tcPr>
            <w:tcW w:w="1609" w:type="dxa"/>
            <w:tcMar>
              <w:top w:w="40" w:type="dxa"/>
              <w:left w:w="40" w:type="dxa"/>
              <w:bottom w:w="40" w:type="dxa"/>
              <w:right w:w="40" w:type="dxa"/>
            </w:tcMar>
            <w:vAlign w:val="top"/>
          </w:tcPr>
          <w:p w14:paraId="65233DA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previous season and shoulder problem history</w:t>
            </w:r>
          </w:p>
        </w:tc>
        <w:tc>
          <w:tcPr>
            <w:tcW w:w="1609" w:type="dxa"/>
            <w:tcMar>
              <w:top w:w="40" w:type="dxa"/>
              <w:left w:w="40" w:type="dxa"/>
              <w:bottom w:w="40" w:type="dxa"/>
              <w:right w:w="40" w:type="dxa"/>
            </w:tcMar>
            <w:vAlign w:val="top"/>
          </w:tcPr>
          <w:p w14:paraId="69E14B6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5C4B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5BFDEB2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Frisch et al. [25]</w:t>
            </w:r>
          </w:p>
        </w:tc>
        <w:tc>
          <w:tcPr>
            <w:tcW w:w="1609" w:type="dxa"/>
            <w:tcMar>
              <w:top w:w="40" w:type="dxa"/>
              <w:left w:w="40" w:type="dxa"/>
              <w:bottom w:w="40" w:type="dxa"/>
              <w:right w:w="40" w:type="dxa"/>
            </w:tcMar>
            <w:vAlign w:val="top"/>
          </w:tcPr>
          <w:p w14:paraId="2489A3C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United States</w:t>
            </w:r>
          </w:p>
        </w:tc>
        <w:tc>
          <w:tcPr>
            <w:tcW w:w="1609" w:type="dxa"/>
            <w:tcMar>
              <w:top w:w="40" w:type="dxa"/>
              <w:left w:w="40" w:type="dxa"/>
              <w:bottom w:w="40" w:type="dxa"/>
              <w:right w:w="40" w:type="dxa"/>
            </w:tcMar>
            <w:vAlign w:val="top"/>
          </w:tcPr>
          <w:p w14:paraId="5690228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Descriptive epidemiology study; cross-sectional self-report survey</w:t>
            </w:r>
          </w:p>
        </w:tc>
        <w:tc>
          <w:tcPr>
            <w:tcW w:w="1609" w:type="dxa"/>
            <w:tcMar>
              <w:top w:w="40" w:type="dxa"/>
              <w:left w:w="40" w:type="dxa"/>
              <w:bottom w:w="40" w:type="dxa"/>
              <w:right w:w="40" w:type="dxa"/>
            </w:tcMar>
            <w:vAlign w:val="top"/>
          </w:tcPr>
          <w:p w14:paraId="54C4C2C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175 healthy, active female high-school volleyball players</w:t>
            </w:r>
          </w:p>
        </w:tc>
        <w:tc>
          <w:tcPr>
            <w:tcW w:w="1609" w:type="dxa"/>
            <w:tcMar>
              <w:top w:w="40" w:type="dxa"/>
              <w:left w:w="40" w:type="dxa"/>
              <w:bottom w:w="40" w:type="dxa"/>
              <w:right w:w="40" w:type="dxa"/>
            </w:tcMar>
            <w:vAlign w:val="top"/>
          </w:tcPr>
          <w:p w14:paraId="2E50AEE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Female</w:t>
            </w:r>
          </w:p>
        </w:tc>
        <w:tc>
          <w:tcPr>
            <w:tcW w:w="1609" w:type="dxa"/>
            <w:tcMar>
              <w:top w:w="40" w:type="dxa"/>
              <w:left w:w="40" w:type="dxa"/>
              <w:bottom w:w="40" w:type="dxa"/>
              <w:right w:w="40" w:type="dxa"/>
            </w:tcMar>
            <w:vAlign w:val="top"/>
          </w:tcPr>
          <w:p w14:paraId="45B46FF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 school</w:t>
            </w:r>
          </w:p>
        </w:tc>
        <w:tc>
          <w:tcPr>
            <w:tcW w:w="1609" w:type="dxa"/>
            <w:tcMar>
              <w:top w:w="40" w:type="dxa"/>
              <w:left w:w="40" w:type="dxa"/>
              <w:bottom w:w="40" w:type="dxa"/>
              <w:right w:w="40" w:type="dxa"/>
            </w:tcMar>
            <w:vAlign w:val="top"/>
          </w:tcPr>
          <w:p w14:paraId="7EE7292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Nontraumatic shoulder pain, defined as volleyball-related shoulder pain not caused by a traumatic event such as collision or fall; self-reported NTP prevalence was 40% (70/175)</w:t>
            </w:r>
          </w:p>
        </w:tc>
        <w:tc>
          <w:tcPr>
            <w:tcW w:w="1609" w:type="dxa"/>
            <w:tcMar>
              <w:top w:w="40" w:type="dxa"/>
              <w:left w:w="40" w:type="dxa"/>
              <w:bottom w:w="40" w:type="dxa"/>
              <w:right w:w="40" w:type="dxa"/>
            </w:tcMar>
            <w:vAlign w:val="top"/>
          </w:tcPr>
          <w:p w14:paraId="06D18D0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Retrospective recall of volleyball-related shoulder pain history, with current playing and training exposure recorded</w:t>
            </w:r>
          </w:p>
        </w:tc>
        <w:tc>
          <w:tcPr>
            <w:tcW w:w="1609" w:type="dxa"/>
            <w:tcMar>
              <w:top w:w="40" w:type="dxa"/>
              <w:left w:w="40" w:type="dxa"/>
              <w:bottom w:w="40" w:type="dxa"/>
              <w:right w:w="40" w:type="dxa"/>
            </w:tcMar>
            <w:vAlign w:val="top"/>
          </w:tcPr>
          <w:p w14:paraId="0EC89CB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6A63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05C4231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Skazalski et al. [39]</w:t>
            </w:r>
          </w:p>
        </w:tc>
        <w:tc>
          <w:tcPr>
            <w:tcW w:w="1609" w:type="dxa"/>
            <w:tcMar>
              <w:top w:w="40" w:type="dxa"/>
              <w:left w:w="40" w:type="dxa"/>
              <w:bottom w:w="40" w:type="dxa"/>
              <w:right w:w="40" w:type="dxa"/>
            </w:tcMar>
            <w:vAlign w:val="top"/>
          </w:tcPr>
          <w:p w14:paraId="39E113C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Japan, Qatar, Turkey, and United States</w:t>
            </w:r>
          </w:p>
        </w:tc>
        <w:tc>
          <w:tcPr>
            <w:tcW w:w="1609" w:type="dxa"/>
            <w:tcMar>
              <w:top w:w="40" w:type="dxa"/>
              <w:left w:w="40" w:type="dxa"/>
              <w:bottom w:w="40" w:type="dxa"/>
              <w:right w:w="40" w:type="dxa"/>
            </w:tcMar>
            <w:vAlign w:val="top"/>
          </w:tcPr>
          <w:p w14:paraId="114A47B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descriptive epidemiology study</w:t>
            </w:r>
          </w:p>
        </w:tc>
        <w:tc>
          <w:tcPr>
            <w:tcW w:w="1609" w:type="dxa"/>
            <w:tcMar>
              <w:top w:w="40" w:type="dxa"/>
              <w:left w:w="40" w:type="dxa"/>
              <w:bottom w:w="40" w:type="dxa"/>
              <w:right w:w="40" w:type="dxa"/>
            </w:tcMar>
            <w:vAlign w:val="top"/>
          </w:tcPr>
          <w:p w14:paraId="3518A72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75 male volleyball players; 120 player-seasons in total; main analysis included 102 non-libero player-seasons</w:t>
            </w:r>
          </w:p>
        </w:tc>
        <w:tc>
          <w:tcPr>
            <w:tcW w:w="1609" w:type="dxa"/>
            <w:tcMar>
              <w:top w:w="40" w:type="dxa"/>
              <w:left w:w="40" w:type="dxa"/>
              <w:bottom w:w="40" w:type="dxa"/>
              <w:right w:w="40" w:type="dxa"/>
            </w:tcMar>
            <w:vAlign w:val="top"/>
          </w:tcPr>
          <w:p w14:paraId="5839FAF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w:t>
            </w:r>
          </w:p>
        </w:tc>
        <w:tc>
          <w:tcPr>
            <w:tcW w:w="1609" w:type="dxa"/>
            <w:tcMar>
              <w:top w:w="40" w:type="dxa"/>
              <w:left w:w="40" w:type="dxa"/>
              <w:bottom w:w="40" w:type="dxa"/>
              <w:right w:w="40" w:type="dxa"/>
            </w:tcMar>
            <w:vAlign w:val="top"/>
          </w:tcPr>
          <w:p w14:paraId="35DA772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NCAA Division I and professional / premier-league level</w:t>
            </w:r>
          </w:p>
        </w:tc>
        <w:tc>
          <w:tcPr>
            <w:tcW w:w="1609" w:type="dxa"/>
            <w:tcMar>
              <w:top w:w="40" w:type="dxa"/>
              <w:left w:w="40" w:type="dxa"/>
              <w:bottom w:w="40" w:type="dxa"/>
              <w:right w:w="40" w:type="dxa"/>
            </w:tcMar>
            <w:vAlign w:val="top"/>
          </w:tcPr>
          <w:p w14:paraId="4219327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problems recorded using the OSTRC Overuse Injury Questionnaire; shoulder problems included sport-related pain, aching, stiffness, looseness, or other complaints; substantial problems were defined as problems causing moderate or severe reductions in training volume or performance or inability to participate</w:t>
            </w:r>
          </w:p>
        </w:tc>
        <w:tc>
          <w:tcPr>
            <w:tcW w:w="1609" w:type="dxa"/>
            <w:tcMar>
              <w:top w:w="40" w:type="dxa"/>
              <w:left w:w="40" w:type="dxa"/>
              <w:bottom w:w="40" w:type="dxa"/>
              <w:right w:w="40" w:type="dxa"/>
            </w:tcMar>
            <w:vAlign w:val="top"/>
          </w:tcPr>
          <w:p w14:paraId="59DACBD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weekly monitoring across three seasons; mean season length approximately 6.9 months</w:t>
            </w:r>
          </w:p>
        </w:tc>
        <w:tc>
          <w:tcPr>
            <w:tcW w:w="1609" w:type="dxa"/>
            <w:tcMar>
              <w:top w:w="40" w:type="dxa"/>
              <w:left w:w="40" w:type="dxa"/>
              <w:bottom w:w="40" w:type="dxa"/>
              <w:right w:w="40" w:type="dxa"/>
            </w:tcMar>
            <w:vAlign w:val="top"/>
          </w:tcPr>
          <w:p w14:paraId="19D7B8D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Citation searching</w:t>
            </w:r>
          </w:p>
        </w:tc>
      </w:tr>
      <w:tr w14:paraId="73C7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3E32860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 Toledo et al. [40]</w:t>
            </w:r>
          </w:p>
        </w:tc>
        <w:tc>
          <w:tcPr>
            <w:tcW w:w="1609" w:type="dxa"/>
            <w:tcMar>
              <w:top w:w="40" w:type="dxa"/>
              <w:left w:w="40" w:type="dxa"/>
              <w:bottom w:w="40" w:type="dxa"/>
              <w:right w:w="40" w:type="dxa"/>
            </w:tcMar>
            <w:vAlign w:val="top"/>
          </w:tcPr>
          <w:p w14:paraId="4D465CF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Brazil</w:t>
            </w:r>
          </w:p>
        </w:tc>
        <w:tc>
          <w:tcPr>
            <w:tcW w:w="1609" w:type="dxa"/>
            <w:tcMar>
              <w:top w:w="40" w:type="dxa"/>
              <w:left w:w="40" w:type="dxa"/>
              <w:bottom w:w="40" w:type="dxa"/>
              <w:right w:w="40" w:type="dxa"/>
            </w:tcMar>
            <w:vAlign w:val="top"/>
          </w:tcPr>
          <w:p w14:paraId="5F2B0CF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study</w:t>
            </w:r>
          </w:p>
        </w:tc>
        <w:tc>
          <w:tcPr>
            <w:tcW w:w="1609" w:type="dxa"/>
            <w:tcMar>
              <w:top w:w="40" w:type="dxa"/>
              <w:left w:w="40" w:type="dxa"/>
              <w:bottom w:w="40" w:type="dxa"/>
              <w:right w:w="40" w:type="dxa"/>
            </w:tcMar>
            <w:vAlign w:val="top"/>
          </w:tcPr>
          <w:p w14:paraId="312901D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95 volleyball athletes</w:t>
            </w:r>
          </w:p>
        </w:tc>
        <w:tc>
          <w:tcPr>
            <w:tcW w:w="1609" w:type="dxa"/>
            <w:tcMar>
              <w:top w:w="40" w:type="dxa"/>
              <w:left w:w="40" w:type="dxa"/>
              <w:bottom w:w="40" w:type="dxa"/>
              <w:right w:w="40" w:type="dxa"/>
            </w:tcMar>
            <w:vAlign w:val="top"/>
          </w:tcPr>
          <w:p w14:paraId="0E4D503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4406A5B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Professional and masters-level</w:t>
            </w:r>
          </w:p>
        </w:tc>
        <w:tc>
          <w:tcPr>
            <w:tcW w:w="1609" w:type="dxa"/>
            <w:tcMar>
              <w:top w:w="40" w:type="dxa"/>
              <w:left w:w="40" w:type="dxa"/>
              <w:bottom w:w="40" w:type="dxa"/>
              <w:right w:w="40" w:type="dxa"/>
            </w:tcMar>
            <w:vAlign w:val="top"/>
          </w:tcPr>
          <w:p w14:paraId="157E51C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Dominant-shoulder pain, injury, and shoulder-related functional disability. Pain was defined as any VAS score &gt;0; injury was defined as an event causing at least one day of absence from volleyball activities; dysfunction was defined as ASES score &lt;100.</w:t>
            </w:r>
          </w:p>
        </w:tc>
        <w:tc>
          <w:tcPr>
            <w:tcW w:w="1609" w:type="dxa"/>
            <w:tcMar>
              <w:top w:w="40" w:type="dxa"/>
              <w:left w:w="40" w:type="dxa"/>
              <w:bottom w:w="40" w:type="dxa"/>
              <w:right w:w="40" w:type="dxa"/>
            </w:tcMar>
            <w:vAlign w:val="top"/>
          </w:tcPr>
          <w:p w14:paraId="6F84C1A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8-month follow-up across three seasons</w:t>
            </w:r>
          </w:p>
        </w:tc>
        <w:tc>
          <w:tcPr>
            <w:tcW w:w="1609" w:type="dxa"/>
            <w:tcMar>
              <w:top w:w="40" w:type="dxa"/>
              <w:left w:w="40" w:type="dxa"/>
              <w:bottom w:w="40" w:type="dxa"/>
              <w:right w:w="40" w:type="dxa"/>
            </w:tcMar>
            <w:vAlign w:val="top"/>
          </w:tcPr>
          <w:p w14:paraId="1A5AE3E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56FE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76997D6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Sá et al. [41]</w:t>
            </w:r>
          </w:p>
        </w:tc>
        <w:tc>
          <w:tcPr>
            <w:tcW w:w="1609" w:type="dxa"/>
            <w:tcMar>
              <w:top w:w="40" w:type="dxa"/>
              <w:left w:w="40" w:type="dxa"/>
              <w:bottom w:w="40" w:type="dxa"/>
              <w:right w:w="40" w:type="dxa"/>
            </w:tcMar>
            <w:vAlign w:val="top"/>
          </w:tcPr>
          <w:p w14:paraId="09C9804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Portugal</w:t>
            </w:r>
          </w:p>
        </w:tc>
        <w:tc>
          <w:tcPr>
            <w:tcW w:w="1609" w:type="dxa"/>
            <w:tcMar>
              <w:top w:w="40" w:type="dxa"/>
              <w:left w:w="40" w:type="dxa"/>
              <w:bottom w:w="40" w:type="dxa"/>
              <w:right w:w="40" w:type="dxa"/>
            </w:tcMar>
            <w:vAlign w:val="top"/>
          </w:tcPr>
          <w:p w14:paraId="399A3E4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1609" w:type="dxa"/>
            <w:tcMar>
              <w:top w:w="40" w:type="dxa"/>
              <w:left w:w="40" w:type="dxa"/>
              <w:bottom w:w="40" w:type="dxa"/>
              <w:right w:w="40" w:type="dxa"/>
            </w:tcMar>
            <w:vAlign w:val="top"/>
          </w:tcPr>
          <w:p w14:paraId="1DF0868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84 professional and semi-professional volleyball players; 29 with history of shoulder pain and 55 without shoulder pain</w:t>
            </w:r>
          </w:p>
        </w:tc>
        <w:tc>
          <w:tcPr>
            <w:tcW w:w="1609" w:type="dxa"/>
            <w:tcMar>
              <w:top w:w="40" w:type="dxa"/>
              <w:left w:w="40" w:type="dxa"/>
              <w:bottom w:w="40" w:type="dxa"/>
              <w:right w:w="40" w:type="dxa"/>
            </w:tcMar>
            <w:vAlign w:val="top"/>
          </w:tcPr>
          <w:p w14:paraId="35D7AF6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1B4FC84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Professional / semi-professional</w:t>
            </w:r>
          </w:p>
        </w:tc>
        <w:tc>
          <w:tcPr>
            <w:tcW w:w="1609" w:type="dxa"/>
            <w:tcMar>
              <w:top w:w="40" w:type="dxa"/>
              <w:left w:w="40" w:type="dxa"/>
              <w:bottom w:w="40" w:type="dxa"/>
              <w:right w:w="40" w:type="dxa"/>
            </w:tcMar>
            <w:vAlign w:val="top"/>
          </w:tcPr>
          <w:p w14:paraId="3DB4BD5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history within the previous year with impact on strength and performance; GIRD, ERG, TROM, and TROM asymmetry were examined in relation to shoulder pain.</w:t>
            </w:r>
          </w:p>
        </w:tc>
        <w:tc>
          <w:tcPr>
            <w:tcW w:w="1609" w:type="dxa"/>
            <w:tcMar>
              <w:top w:w="40" w:type="dxa"/>
              <w:left w:w="40" w:type="dxa"/>
              <w:bottom w:w="40" w:type="dxa"/>
              <w:right w:w="40" w:type="dxa"/>
            </w:tcMar>
            <w:vAlign w:val="top"/>
          </w:tcPr>
          <w:p w14:paraId="47DBAF0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shoulder pain history during the previous year</w:t>
            </w:r>
          </w:p>
        </w:tc>
        <w:tc>
          <w:tcPr>
            <w:tcW w:w="1609" w:type="dxa"/>
            <w:tcMar>
              <w:top w:w="40" w:type="dxa"/>
              <w:left w:w="40" w:type="dxa"/>
              <w:bottom w:w="40" w:type="dxa"/>
              <w:right w:w="40" w:type="dxa"/>
            </w:tcMar>
            <w:vAlign w:val="top"/>
          </w:tcPr>
          <w:p w14:paraId="233C23D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0625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0BA58EC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Tilp et al. [42]</w:t>
            </w:r>
          </w:p>
        </w:tc>
        <w:tc>
          <w:tcPr>
            <w:tcW w:w="1609" w:type="dxa"/>
            <w:tcMar>
              <w:top w:w="40" w:type="dxa"/>
              <w:left w:w="40" w:type="dxa"/>
              <w:bottom w:w="40" w:type="dxa"/>
              <w:right w:w="40" w:type="dxa"/>
            </w:tcMar>
            <w:vAlign w:val="top"/>
          </w:tcPr>
          <w:p w14:paraId="755B2E5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Austria, Brazil, Germany, Greece, Portugal, and United States</w:t>
            </w:r>
          </w:p>
        </w:tc>
        <w:tc>
          <w:tcPr>
            <w:tcW w:w="1609" w:type="dxa"/>
            <w:tcMar>
              <w:top w:w="40" w:type="dxa"/>
              <w:left w:w="40" w:type="dxa"/>
              <w:bottom w:w="40" w:type="dxa"/>
              <w:right w:w="40" w:type="dxa"/>
            </w:tcMar>
            <w:vAlign w:val="top"/>
          </w:tcPr>
          <w:p w14:paraId="73E5BFA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online questionnaire; pilot study</w:t>
            </w:r>
          </w:p>
        </w:tc>
        <w:tc>
          <w:tcPr>
            <w:tcW w:w="1609" w:type="dxa"/>
            <w:tcMar>
              <w:top w:w="40" w:type="dxa"/>
              <w:left w:w="40" w:type="dxa"/>
              <w:bottom w:w="40" w:type="dxa"/>
              <w:right w:w="40" w:type="dxa"/>
            </w:tcMar>
            <w:vAlign w:val="top"/>
          </w:tcPr>
          <w:p w14:paraId="38BDCD5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175 competitive volleyball players; 90 female and 85 male</w:t>
            </w:r>
          </w:p>
        </w:tc>
        <w:tc>
          <w:tcPr>
            <w:tcW w:w="1609" w:type="dxa"/>
            <w:tcMar>
              <w:top w:w="40" w:type="dxa"/>
              <w:left w:w="40" w:type="dxa"/>
              <w:bottom w:w="40" w:type="dxa"/>
              <w:right w:w="40" w:type="dxa"/>
            </w:tcMar>
            <w:vAlign w:val="top"/>
          </w:tcPr>
          <w:p w14:paraId="055844C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Male and female</w:t>
            </w:r>
          </w:p>
        </w:tc>
        <w:tc>
          <w:tcPr>
            <w:tcW w:w="1609" w:type="dxa"/>
            <w:tcMar>
              <w:top w:w="40" w:type="dxa"/>
              <w:left w:w="40" w:type="dxa"/>
              <w:bottom w:w="40" w:type="dxa"/>
              <w:right w:w="40" w:type="dxa"/>
            </w:tcMar>
            <w:vAlign w:val="top"/>
          </w:tcPr>
          <w:p w14:paraId="431FFA2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Regional, national, and international competitive levels</w:t>
            </w:r>
          </w:p>
        </w:tc>
        <w:tc>
          <w:tcPr>
            <w:tcW w:w="1609" w:type="dxa"/>
            <w:tcMar>
              <w:top w:w="40" w:type="dxa"/>
              <w:left w:w="40" w:type="dxa"/>
              <w:bottom w:w="40" w:type="dxa"/>
              <w:right w:w="40" w:type="dxa"/>
            </w:tcMar>
            <w:vAlign w:val="top"/>
          </w:tcPr>
          <w:p w14:paraId="48F5C8B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Self-reported shoulder injuries and shoulder symptoms in relation to spike technique; bow-and-arrow and circular techniques were compared.</w:t>
            </w:r>
          </w:p>
        </w:tc>
        <w:tc>
          <w:tcPr>
            <w:tcW w:w="1609" w:type="dxa"/>
            <w:tcMar>
              <w:top w:w="40" w:type="dxa"/>
              <w:left w:w="40" w:type="dxa"/>
              <w:bottom w:w="40" w:type="dxa"/>
              <w:right w:w="40" w:type="dxa"/>
            </w:tcMar>
            <w:vAlign w:val="top"/>
          </w:tcPr>
          <w:p w14:paraId="1A91FBE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Online questionnaire conducted from December 2024 to February 2025</w:t>
            </w:r>
          </w:p>
        </w:tc>
        <w:tc>
          <w:tcPr>
            <w:tcW w:w="1609" w:type="dxa"/>
            <w:tcMar>
              <w:top w:w="40" w:type="dxa"/>
              <w:left w:w="40" w:type="dxa"/>
              <w:bottom w:w="40" w:type="dxa"/>
              <w:right w:w="40" w:type="dxa"/>
            </w:tcMar>
            <w:vAlign w:val="top"/>
          </w:tcPr>
          <w:p w14:paraId="21A04D5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r w14:paraId="36B8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tcMar>
              <w:top w:w="40" w:type="dxa"/>
              <w:left w:w="40" w:type="dxa"/>
              <w:bottom w:w="40" w:type="dxa"/>
              <w:right w:w="40" w:type="dxa"/>
            </w:tcMar>
            <w:vAlign w:val="top"/>
          </w:tcPr>
          <w:p w14:paraId="7CD02A1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Alqarni et al. [7]</w:t>
            </w:r>
          </w:p>
        </w:tc>
        <w:tc>
          <w:tcPr>
            <w:tcW w:w="1609" w:type="dxa"/>
            <w:tcMar>
              <w:top w:w="40" w:type="dxa"/>
              <w:left w:w="40" w:type="dxa"/>
              <w:bottom w:w="40" w:type="dxa"/>
              <w:right w:w="40" w:type="dxa"/>
            </w:tcMar>
            <w:vAlign w:val="top"/>
          </w:tcPr>
          <w:p w14:paraId="318970A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Saudi Arabia</w:t>
            </w:r>
          </w:p>
        </w:tc>
        <w:tc>
          <w:tcPr>
            <w:tcW w:w="1609" w:type="dxa"/>
            <w:tcMar>
              <w:top w:w="40" w:type="dxa"/>
              <w:left w:w="40" w:type="dxa"/>
              <w:bottom w:w="40" w:type="dxa"/>
              <w:right w:w="40" w:type="dxa"/>
            </w:tcMar>
            <w:vAlign w:val="top"/>
          </w:tcPr>
          <w:p w14:paraId="42FEADF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comparative study</w:t>
            </w:r>
          </w:p>
        </w:tc>
        <w:tc>
          <w:tcPr>
            <w:tcW w:w="1609" w:type="dxa"/>
            <w:tcMar>
              <w:top w:w="40" w:type="dxa"/>
              <w:left w:w="40" w:type="dxa"/>
              <w:bottom w:w="40" w:type="dxa"/>
              <w:right w:w="40" w:type="dxa"/>
            </w:tcMar>
            <w:vAlign w:val="top"/>
          </w:tcPr>
          <w:p w14:paraId="46926E9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36 professional volleyball players; 18 with a history of shoulder pain and 18 without shoulder pain</w:t>
            </w:r>
          </w:p>
        </w:tc>
        <w:tc>
          <w:tcPr>
            <w:tcW w:w="1609" w:type="dxa"/>
            <w:tcMar>
              <w:top w:w="40" w:type="dxa"/>
              <w:left w:w="40" w:type="dxa"/>
              <w:bottom w:w="40" w:type="dxa"/>
              <w:right w:w="40" w:type="dxa"/>
            </w:tcMar>
            <w:vAlign w:val="top"/>
          </w:tcPr>
          <w:p w14:paraId="4ED692B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Not reported</w:t>
            </w:r>
          </w:p>
        </w:tc>
        <w:tc>
          <w:tcPr>
            <w:tcW w:w="1609" w:type="dxa"/>
            <w:tcMar>
              <w:top w:w="40" w:type="dxa"/>
              <w:left w:w="40" w:type="dxa"/>
              <w:bottom w:w="40" w:type="dxa"/>
              <w:right w:w="40" w:type="dxa"/>
            </w:tcMar>
            <w:vAlign w:val="top"/>
          </w:tcPr>
          <w:p w14:paraId="7599BD0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Professional</w:t>
            </w:r>
          </w:p>
        </w:tc>
        <w:tc>
          <w:tcPr>
            <w:tcW w:w="1609" w:type="dxa"/>
            <w:tcMar>
              <w:top w:w="40" w:type="dxa"/>
              <w:left w:w="40" w:type="dxa"/>
              <w:bottom w:w="40" w:type="dxa"/>
              <w:right w:w="40" w:type="dxa"/>
            </w:tcMar>
            <w:vAlign w:val="top"/>
          </w:tcPr>
          <w:p w14:paraId="3E3634E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History of shoulder pain and glenohumeral internal rotation deficit. The pain group was defined as players with shoulder pain resulting in absence from at least one match or training session within the previous 6 months. Shoulder internal and external rotation ROM were measured with a digital inclinometer; GIRD, ERG, and TROM were calculated.</w:t>
            </w:r>
          </w:p>
        </w:tc>
        <w:tc>
          <w:tcPr>
            <w:tcW w:w="1609" w:type="dxa"/>
            <w:tcMar>
              <w:top w:w="40" w:type="dxa"/>
              <w:left w:w="40" w:type="dxa"/>
              <w:bottom w:w="40" w:type="dxa"/>
              <w:right w:w="40" w:type="dxa"/>
            </w:tcMar>
            <w:vAlign w:val="top"/>
          </w:tcPr>
          <w:p w14:paraId="0FEDDC8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assessment; shoulder pain history within the previous 6 months</w:t>
            </w:r>
          </w:p>
        </w:tc>
        <w:tc>
          <w:tcPr>
            <w:tcW w:w="1609" w:type="dxa"/>
            <w:tcMar>
              <w:top w:w="40" w:type="dxa"/>
              <w:left w:w="40" w:type="dxa"/>
              <w:bottom w:w="40" w:type="dxa"/>
              <w:right w:w="40" w:type="dxa"/>
            </w:tcMar>
            <w:vAlign w:val="top"/>
          </w:tcPr>
          <w:p w14:paraId="4D55775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Database searching</w:t>
            </w:r>
          </w:p>
        </w:tc>
      </w:tr>
    </w:tbl>
    <w:p w14:paraId="05CBDBDC">
      <w:pPr>
        <w:spacing w:before="120"/>
        <w:rPr>
          <w:rFonts w:hint="default" w:ascii="Times New Roman" w:hAnsi="Times New Roman" w:cs="Times New Roman"/>
          <w:sz w:val="18"/>
          <w:szCs w:val="18"/>
        </w:rPr>
      </w:pPr>
      <w:r>
        <w:rPr>
          <w:rFonts w:hint="default" w:ascii="Times New Roman" w:hAnsi="Times New Roman" w:cs="Times New Roman"/>
          <w:sz w:val="18"/>
          <w:szCs w:val="18"/>
        </w:rPr>
        <w:t>Note. Country/region refers to the study setting or participating teams as reported in the original publication. DASH, Disabilities of the Arm, Shoulder and Hand; ROM, range of motion; ER/IR, external/internal rotation strength ratio; GIRD, glenohumeral internal rotation deficit; ERG, external rotation gain; TROM, total range of motion; PSI, postero-superior impingement; ASI, anterior shoulder instability; NRS, Numerical Rating Scale; NCAA, National Collegiate Athletic Association; SST, Simple Shoulder Test; VAS, visual analogue scale; ASES, American Shoulder and Elbow Surgeons score; OSTRC, Oslo Sports Trauma Research Centre; NTP, nontraumatic shoulder pain.</w:t>
      </w:r>
    </w:p>
    <w:p w14:paraId="57B5F62F">
      <w:pPr>
        <w:rPr>
          <w:rFonts w:hint="default" w:ascii="Times New Roman" w:hAnsi="Times New Roman" w:cs="Times New Roman"/>
          <w:sz w:val="18"/>
          <w:szCs w:val="18"/>
        </w:rPr>
      </w:pPr>
      <w:r>
        <w:rPr>
          <w:rFonts w:hint="default" w:ascii="Times New Roman" w:hAnsi="Times New Roman" w:cs="Times New Roman"/>
          <w:sz w:val="18"/>
          <w:szCs w:val="18"/>
        </w:rPr>
        <w:br w:type="page"/>
      </w:r>
    </w:p>
    <w:p w14:paraId="5BCB9B48">
      <w:pPr>
        <w:jc w:val="center"/>
        <w:rPr>
          <w:rFonts w:hint="default" w:ascii="Times New Roman" w:hAnsi="Times New Roman" w:cs="Times New Roman"/>
          <w:sz w:val="18"/>
          <w:szCs w:val="18"/>
        </w:rPr>
      </w:pPr>
      <w:r>
        <w:rPr>
          <w:rFonts w:hint="default" w:ascii="Times New Roman" w:hAnsi="Times New Roman" w:cs="Times New Roman"/>
          <w:b/>
          <w:sz w:val="18"/>
          <w:szCs w:val="18"/>
        </w:rPr>
        <w:t>Supplementary Table S6. Shoulder-specific burden estimates and associated-factor findings in indoor competitive volleyball players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7"/>
        <w:gridCol w:w="4827"/>
        <w:gridCol w:w="4827"/>
      </w:tblGrid>
      <w:tr w14:paraId="77D5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27" w:type="dxa"/>
            <w:tcMar>
              <w:top w:w="40" w:type="dxa"/>
              <w:left w:w="40" w:type="dxa"/>
              <w:bottom w:w="40" w:type="dxa"/>
              <w:right w:w="40" w:type="dxa"/>
            </w:tcMar>
            <w:vAlign w:val="top"/>
          </w:tcPr>
          <w:p w14:paraId="07848D61">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Study</w:t>
            </w:r>
          </w:p>
        </w:tc>
        <w:tc>
          <w:tcPr>
            <w:tcW w:w="4827" w:type="dxa"/>
            <w:tcMar>
              <w:top w:w="40" w:type="dxa"/>
              <w:left w:w="40" w:type="dxa"/>
              <w:bottom w:w="40" w:type="dxa"/>
              <w:right w:w="40" w:type="dxa"/>
            </w:tcMar>
            <w:vAlign w:val="top"/>
          </w:tcPr>
          <w:p w14:paraId="4F285BB6">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Burden of shoulder problems / main findings</w:t>
            </w:r>
          </w:p>
        </w:tc>
        <w:tc>
          <w:tcPr>
            <w:tcW w:w="4827" w:type="dxa"/>
            <w:tcMar>
              <w:top w:w="40" w:type="dxa"/>
              <w:left w:w="40" w:type="dxa"/>
              <w:bottom w:w="40" w:type="dxa"/>
              <w:right w:w="40" w:type="dxa"/>
            </w:tcMar>
            <w:vAlign w:val="top"/>
          </w:tcPr>
          <w:p w14:paraId="0202D056">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Identified associated factors or group differences</w:t>
            </w:r>
          </w:p>
        </w:tc>
      </w:tr>
      <w:tr w14:paraId="68B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2A3BE6D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Bandpei et al. [8]</w:t>
            </w:r>
          </w:p>
        </w:tc>
        <w:tc>
          <w:tcPr>
            <w:tcW w:w="4827" w:type="dxa"/>
            <w:tcMar>
              <w:top w:w="40" w:type="dxa"/>
              <w:left w:w="40" w:type="dxa"/>
              <w:bottom w:w="40" w:type="dxa"/>
              <w:right w:w="40" w:type="dxa"/>
            </w:tcMar>
            <w:vAlign w:val="top"/>
          </w:tcPr>
          <w:p w14:paraId="2DD0ED5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Point, 6-month, 12-month, and lifetime shoulder-pain prevalence were 22%, 29%, 36%, and 38%, respectively; approximately 70% had some degree of functional disability.</w:t>
            </w:r>
          </w:p>
        </w:tc>
        <w:tc>
          <w:tcPr>
            <w:tcW w:w="4827" w:type="dxa"/>
            <w:tcMar>
              <w:top w:w="40" w:type="dxa"/>
              <w:left w:w="40" w:type="dxa"/>
              <w:bottom w:w="40" w:type="dxa"/>
              <w:right w:w="40" w:type="dxa"/>
            </w:tcMar>
            <w:vAlign w:val="top"/>
          </w:tcPr>
          <w:p w14:paraId="205A9D7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Body mass index (BMI), competition level, training days/week, training sessions/week, and training sessions/day (P&lt;0.05; no effect estimate reported).</w:t>
            </w:r>
          </w:p>
        </w:tc>
      </w:tr>
      <w:tr w14:paraId="400B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5604567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Mizoguchi et al. [10]</w:t>
            </w:r>
          </w:p>
        </w:tc>
        <w:tc>
          <w:tcPr>
            <w:tcW w:w="4827" w:type="dxa"/>
            <w:tcMar>
              <w:top w:w="40" w:type="dxa"/>
              <w:left w:w="40" w:type="dxa"/>
              <w:bottom w:w="40" w:type="dxa"/>
              <w:right w:w="40" w:type="dxa"/>
            </w:tcMar>
            <w:vAlign w:val="top"/>
          </w:tcPr>
          <w:p w14:paraId="4DD6AC8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Non-traumatic shoulder pain during attacking or serving within the previous 24 hours was reported by 32/59 players (54.2%; 95% CI, 40.6%–67.6%).</w:t>
            </w:r>
          </w:p>
        </w:tc>
        <w:tc>
          <w:tcPr>
            <w:tcW w:w="4827" w:type="dxa"/>
            <w:tcMar>
              <w:top w:w="40" w:type="dxa"/>
              <w:left w:w="40" w:type="dxa"/>
              <w:bottom w:w="40" w:type="dxa"/>
              <w:right w:w="40" w:type="dxa"/>
            </w:tcMar>
            <w:vAlign w:val="top"/>
          </w:tcPr>
          <w:p w14:paraId="02BA68D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Pain was associated with lower UQYBT-medial reach (OR=0.892, 95% CI 0.82–0.97; P=0.008) and greater internal-rotation joint-position-sense error (OR=1.411, 95% CI 1.03–1.93; P=0.031).</w:t>
            </w:r>
          </w:p>
        </w:tc>
      </w:tr>
      <w:tr w14:paraId="6B9F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77C7B92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Reeser et al. [2]</w:t>
            </w:r>
          </w:p>
        </w:tc>
        <w:tc>
          <w:tcPr>
            <w:tcW w:w="4827" w:type="dxa"/>
            <w:tcMar>
              <w:top w:w="40" w:type="dxa"/>
              <w:left w:w="40" w:type="dxa"/>
              <w:bottom w:w="40" w:type="dxa"/>
              <w:right w:w="40" w:type="dxa"/>
            </w:tcMar>
            <w:vAlign w:val="top"/>
          </w:tcPr>
          <w:p w14:paraId="7CECE09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problems were common among collegiate club volleyball players; non-time-loss shoulder problems outnumbered time-loss shoulder injuries by approximately 3:1. Among players with current-season shoulder problems, 28% sought medical attention and 37% reported weekly anti-inflammatory use.</w:t>
            </w:r>
          </w:p>
        </w:tc>
        <w:tc>
          <w:tcPr>
            <w:tcW w:w="4827" w:type="dxa"/>
            <w:tcMar>
              <w:top w:w="40" w:type="dxa"/>
              <w:left w:w="40" w:type="dxa"/>
              <w:bottom w:w="40" w:type="dxa"/>
              <w:right w:w="40" w:type="dxa"/>
            </w:tcMar>
            <w:vAlign w:val="top"/>
          </w:tcPr>
          <w:p w14:paraId="2FFB607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Attackers were more likely than setters/liberos to report current-season shoulder pain (64% vs 49%; estimated RR=1.3; P=0.017). Serving style was associated with previous shoulder problems (float serve 57%, jump serve 67%, other/topspin 79%; P=0.030). SICK scapula score ≥3 was associated with current-season shoulder problems (P=0.010), and postural instability was associated with higher SICK scapula scores (3.9 vs 2.9; P=0.038).</w:t>
            </w:r>
          </w:p>
        </w:tc>
      </w:tr>
      <w:tr w14:paraId="1E36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3A3F404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Frisch et al. [25]</w:t>
            </w:r>
          </w:p>
        </w:tc>
        <w:tc>
          <w:tcPr>
            <w:tcW w:w="4827" w:type="dxa"/>
            <w:tcMar>
              <w:top w:w="40" w:type="dxa"/>
              <w:left w:w="40" w:type="dxa"/>
              <w:bottom w:w="40" w:type="dxa"/>
              <w:right w:w="40" w:type="dxa"/>
            </w:tcMar>
            <w:vAlign w:val="top"/>
          </w:tcPr>
          <w:p w14:paraId="33720E0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Nontraumatic shoulder pain was reported by 70 of 175 female high-school volleyball players (40%).</w:t>
            </w:r>
          </w:p>
        </w:tc>
        <w:tc>
          <w:tcPr>
            <w:tcW w:w="4827" w:type="dxa"/>
            <w:tcMar>
              <w:top w:w="40" w:type="dxa"/>
              <w:left w:w="40" w:type="dxa"/>
              <w:bottom w:w="40" w:type="dxa"/>
              <w:right w:w="40" w:type="dxa"/>
            </w:tcMar>
            <w:vAlign w:val="top"/>
          </w:tcPr>
          <w:p w14:paraId="3E49DD7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Current playing and training exposure were recorded; no adjusted independent shoulder-risk estimates were reported.</w:t>
            </w:r>
          </w:p>
        </w:tc>
      </w:tr>
      <w:tr w14:paraId="5337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3FC79A7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Skazalski et al. [39]</w:t>
            </w:r>
          </w:p>
        </w:tc>
        <w:tc>
          <w:tcPr>
            <w:tcW w:w="4827" w:type="dxa"/>
            <w:tcMar>
              <w:top w:w="40" w:type="dxa"/>
              <w:left w:w="40" w:type="dxa"/>
              <w:bottom w:w="40" w:type="dxa"/>
              <w:right w:w="40" w:type="dxa"/>
            </w:tcMar>
            <w:vAlign w:val="top"/>
          </w:tcPr>
          <w:p w14:paraId="06964B6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problems were monitored prospectively with the OSTRC Overuse Injury Questionnaire across 120 player-seasons, capturing complaints beyond time-loss injuries.</w:t>
            </w:r>
          </w:p>
        </w:tc>
        <w:tc>
          <w:tcPr>
            <w:tcW w:w="4827" w:type="dxa"/>
            <w:tcMar>
              <w:top w:w="40" w:type="dxa"/>
              <w:left w:w="40" w:type="dxa"/>
              <w:bottom w:w="40" w:type="dxa"/>
              <w:right w:w="40" w:type="dxa"/>
            </w:tcMar>
            <w:vAlign w:val="top"/>
          </w:tcPr>
          <w:p w14:paraId="6876BBD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Position, team, and age subgroup differences were explored descriptively; findings support the relevance of repeated symptom monitoring for non-time-loss shoulder problems.</w:t>
            </w:r>
          </w:p>
        </w:tc>
      </w:tr>
      <w:tr w14:paraId="2E7D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7CECDA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 Toledo et al. [40]</w:t>
            </w:r>
          </w:p>
        </w:tc>
        <w:tc>
          <w:tcPr>
            <w:tcW w:w="4827" w:type="dxa"/>
            <w:tcMar>
              <w:top w:w="40" w:type="dxa"/>
              <w:left w:w="40" w:type="dxa"/>
              <w:bottom w:w="40" w:type="dxa"/>
              <w:right w:w="40" w:type="dxa"/>
            </w:tcMar>
            <w:vAlign w:val="top"/>
          </w:tcPr>
          <w:p w14:paraId="4D87680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 a prospective cohort of 95 volleyball athletes, the cumulative incidence of shoulder pain, shoulder injury, and shoulder-related functional disability was 52.6%, 38.9%, and 47.3%, respectively, over the follow-up period. Pain was defined as VAS &gt;0; injury was defined as at least one day of absence from volleyball activities; shoulder-related functional disability was defined as ASES score &lt;100.</w:t>
            </w:r>
          </w:p>
        </w:tc>
        <w:tc>
          <w:tcPr>
            <w:tcW w:w="4827" w:type="dxa"/>
            <w:tcMar>
              <w:top w:w="40" w:type="dxa"/>
              <w:left w:w="40" w:type="dxa"/>
              <w:bottom w:w="40" w:type="dxa"/>
              <w:right w:w="40" w:type="dxa"/>
            </w:tcMar>
            <w:vAlign w:val="top"/>
          </w:tcPr>
          <w:p w14:paraId="51A006E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Scapular dyskinesis was associated with increased odds of shoulder pain (OR=4.2, 95% CI, 1.7–10.4; P=0.001), shoulder injury (OR=3.5, 95% CI, 1.3–9.2; P=0.001), and lower ASES scores (P=0.003). Previous shoulder injury was associated with shoulder pain (OR=25.3, 95% CI, 8.15–78.7; P&lt;0.001), reinjury (OR=606, 95% CI, 33.1–11085; P&lt;0.001; very wide confidence interval, indicating an imprecise and unstable estimate that should be interpreted with caution), and lower ASES scores (P&lt;0.001).Strength imbalance at 90/90 was associated with shoulder injury (OR=2.6, 95% CI, 1.1–6.0; P=0.03). Being a starter was associated with shoulder injury (OR=2.7, 95% CI, 1.0–7.0; P=0.032) and lower ASES scores (P=0.01). Decreased humeral retroversion was reported as protective against injury (OR=0.2, 95% CI, 0.1–1.0; P=0.03); however, the confidence interval extends to unity, and this direction is contrary to the protective role usually attributed to humeral retroversion in overhead athletes. de Toledo et al. themselves described this as an unexpected finding, attributed it in part to their indirect ultrasound-based measurement, and advised cautious interpretation owing to potential confounding.</w:t>
            </w:r>
          </w:p>
        </w:tc>
      </w:tr>
      <w:tr w14:paraId="1A6F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040B1AA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Tilp et al. [42]</w:t>
            </w:r>
          </w:p>
        </w:tc>
        <w:tc>
          <w:tcPr>
            <w:tcW w:w="4827" w:type="dxa"/>
            <w:tcMar>
              <w:top w:w="40" w:type="dxa"/>
              <w:left w:w="40" w:type="dxa"/>
              <w:bottom w:w="40" w:type="dxa"/>
              <w:right w:w="40" w:type="dxa"/>
            </w:tcMar>
            <w:vAlign w:val="top"/>
          </w:tcPr>
          <w:p w14:paraId="297C9FD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 a pilot questionnaire study of 175 competitive volleyball players, 32% reported shoulder injuries and 44.7% reported shoulder symptoms.</w:t>
            </w:r>
          </w:p>
        </w:tc>
        <w:tc>
          <w:tcPr>
            <w:tcW w:w="4827" w:type="dxa"/>
            <w:tcMar>
              <w:top w:w="40" w:type="dxa"/>
              <w:left w:w="40" w:type="dxa"/>
              <w:bottom w:w="40" w:type="dxa"/>
              <w:right w:w="40" w:type="dxa"/>
            </w:tcMar>
            <w:vAlign w:val="top"/>
          </w:tcPr>
          <w:p w14:paraId="7DB9B86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 statistically significant differences in self-reported shoulder injury or symptom frequency were found between bow-and-arrow and circular spike techniques overall or within genders (P&gt;0.05). In females, the circular technique showed descriptively lower injury and symptom rates than the bow-and-arrow technique, but these differences were not statistically significant.</w:t>
            </w:r>
          </w:p>
        </w:tc>
      </w:tr>
      <w:tr w14:paraId="1B28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540D361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Holzgraefe et al. [28]</w:t>
            </w:r>
          </w:p>
        </w:tc>
        <w:tc>
          <w:tcPr>
            <w:tcW w:w="4827" w:type="dxa"/>
            <w:tcMar>
              <w:top w:w="40" w:type="dxa"/>
              <w:left w:w="40" w:type="dxa"/>
              <w:bottom w:w="40" w:type="dxa"/>
              <w:right w:w="40" w:type="dxa"/>
            </w:tcMar>
            <w:vAlign w:val="top"/>
          </w:tcPr>
          <w:p w14:paraId="3C20016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Latent or manifest suprascapular neuropathy was observed in 40% of high-performance male players assessed electrophysiologically; the proportion was approximately 33% when an additional clinically examined international-level group was included.</w:t>
            </w:r>
          </w:p>
        </w:tc>
        <w:tc>
          <w:tcPr>
            <w:tcW w:w="4827" w:type="dxa"/>
            <w:tcMar>
              <w:top w:w="40" w:type="dxa"/>
              <w:left w:w="40" w:type="dxa"/>
              <w:bottom w:w="40" w:type="dxa"/>
              <w:right w:w="40" w:type="dxa"/>
            </w:tcMar>
            <w:vAlign w:val="top"/>
          </w:tcPr>
          <w:p w14:paraId="2201D49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None formally evaluated; clinical and electrophysiological prevalence study.</w:t>
            </w:r>
          </w:p>
        </w:tc>
      </w:tr>
      <w:tr w14:paraId="012F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56FBCF3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Witvrouw et al. [31]</w:t>
            </w:r>
          </w:p>
        </w:tc>
        <w:tc>
          <w:tcPr>
            <w:tcW w:w="4827" w:type="dxa"/>
            <w:tcMar>
              <w:top w:w="40" w:type="dxa"/>
              <w:left w:w="40" w:type="dxa"/>
              <w:bottom w:w="40" w:type="dxa"/>
              <w:right w:w="40" w:type="dxa"/>
            </w:tcMar>
            <w:vAlign w:val="top"/>
          </w:tcPr>
          <w:p w14:paraId="4504FB8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Severe suprascapular neuropathy was present in approximately 25% of professional male volleyball players.</w:t>
            </w:r>
          </w:p>
        </w:tc>
        <w:tc>
          <w:tcPr>
            <w:tcW w:w="4827" w:type="dxa"/>
            <w:tcMar>
              <w:top w:w="40" w:type="dxa"/>
              <w:left w:w="40" w:type="dxa"/>
              <w:bottom w:w="40" w:type="dxa"/>
              <w:right w:w="40" w:type="dxa"/>
            </w:tcMar>
            <w:vAlign w:val="top"/>
          </w:tcPr>
          <w:p w14:paraId="285DE98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Greater total shoulder range of motion (ROM) was reported in relation to suprascapular neuropathy; interpretation is limited by the small and selected sample, and no independent effect estimate was reported.</w:t>
            </w:r>
          </w:p>
        </w:tc>
      </w:tr>
      <w:tr w14:paraId="54F3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517C3B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Schmalzl et al. [12]</w:t>
            </w:r>
          </w:p>
        </w:tc>
        <w:tc>
          <w:tcPr>
            <w:tcW w:w="4827" w:type="dxa"/>
            <w:tcMar>
              <w:top w:w="40" w:type="dxa"/>
              <w:left w:w="40" w:type="dxa"/>
              <w:bottom w:w="40" w:type="dxa"/>
              <w:right w:w="40" w:type="dxa"/>
            </w:tcMar>
            <w:vAlign w:val="top"/>
          </w:tcPr>
          <w:p w14:paraId="1697B8C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 the male volleyball subgroup, GIRD was reported in 63% and PSI in 25%. GIRD was interpreted as clinically relevant only in relation to total rotational ROM loss or PSI, not as an isolated pathological endpoint.</w:t>
            </w:r>
          </w:p>
        </w:tc>
        <w:tc>
          <w:tcPr>
            <w:tcW w:w="4827" w:type="dxa"/>
            <w:tcMar>
              <w:top w:w="40" w:type="dxa"/>
              <w:left w:w="40" w:type="dxa"/>
              <w:bottom w:w="40" w:type="dxa"/>
              <w:right w:w="40" w:type="dxa"/>
            </w:tcMar>
            <w:vAlign w:val="top"/>
          </w:tcPr>
          <w:p w14:paraId="4C0FBF1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 the broader overhead-athlete sample, GIRD &gt;10° was associated with decreased total rotational ROM in 74% of athletes; athletes with GIRD &gt;10° plus decreased total rotational ROM had higher PSI prevalence than those with GIRD &gt;10° without decreased total rotational ROM (41% vs 0%; OR=9.3).</w:t>
            </w:r>
          </w:p>
        </w:tc>
      </w:tr>
      <w:tr w14:paraId="4588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F6F69B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Mousavi Sadati &amp; Yazdani (2020)</w:t>
            </w:r>
          </w:p>
        </w:tc>
        <w:tc>
          <w:tcPr>
            <w:tcW w:w="4827" w:type="dxa"/>
            <w:tcMar>
              <w:top w:w="40" w:type="dxa"/>
              <w:left w:w="40" w:type="dxa"/>
              <w:bottom w:w="40" w:type="dxa"/>
              <w:right w:w="40" w:type="dxa"/>
            </w:tcMar>
            <w:vAlign w:val="top"/>
          </w:tcPr>
          <w:p w14:paraId="05DAB8C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Players with shoulder impingement syndrome showed greater thoracic kyphosis, greater distance between the spinal midline and the shoulder/scapular landmark, lower abduction ROM, and lower isometric shoulder-girdle strength.</w:t>
            </w:r>
            <w:r>
              <w:rPr>
                <w:rFonts w:hint="default" w:ascii="Times New Roman" w:hAnsi="Times New Roman" w:cs="Times New Roman"/>
                <w:sz w:val="18"/>
                <w:szCs w:val="18"/>
              </w:rPr>
              <w:br w:type="textWrapping"/>
            </w:r>
          </w:p>
        </w:tc>
        <w:tc>
          <w:tcPr>
            <w:tcW w:w="4827" w:type="dxa"/>
            <w:tcMar>
              <w:top w:w="40" w:type="dxa"/>
              <w:left w:w="40" w:type="dxa"/>
              <w:bottom w:w="40" w:type="dxa"/>
              <w:right w:w="40" w:type="dxa"/>
            </w:tcMar>
            <w:vAlign w:val="top"/>
          </w:tcPr>
          <w:p w14:paraId="196BD76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impingement group had greater thoracic kyphosis (49.75±4.93° vs 40.27±3.37°; P=0.001), greater spinal-midline-to-shoulder/scapular distance (13.15±0.202 cm vs 12.43±0.261 cm; P=0.001), and lower isometric strength in abduction, flexion, and extension. The abduction-ROM value was reported qualitatively because the published control value exceeds the conventional anatomical reference range.</w:t>
            </w:r>
          </w:p>
        </w:tc>
      </w:tr>
      <w:tr w14:paraId="3282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0607DE2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Zandi et al. [13]</w:t>
            </w:r>
          </w:p>
        </w:tc>
        <w:tc>
          <w:tcPr>
            <w:tcW w:w="4827" w:type="dxa"/>
            <w:tcMar>
              <w:top w:w="40" w:type="dxa"/>
              <w:left w:w="40" w:type="dxa"/>
              <w:bottom w:w="40" w:type="dxa"/>
              <w:right w:w="40" w:type="dxa"/>
            </w:tcMar>
            <w:vAlign w:val="top"/>
          </w:tcPr>
          <w:p w14:paraId="3AD7F63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Female volleyball players with anterior shoulder instability had lower trunk flexor endurance and poorer dominant-side bridge performance than asymptomatic controls.</w:t>
            </w:r>
          </w:p>
        </w:tc>
        <w:tc>
          <w:tcPr>
            <w:tcW w:w="4827" w:type="dxa"/>
            <w:tcMar>
              <w:top w:w="40" w:type="dxa"/>
              <w:left w:w="40" w:type="dxa"/>
              <w:bottom w:w="40" w:type="dxa"/>
              <w:right w:w="40" w:type="dxa"/>
            </w:tcMar>
            <w:vAlign w:val="top"/>
          </w:tcPr>
          <w:p w14:paraId="447E335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Trunk flexor endurance was lower in the instability group (92.14±9.469 s vs 114.14±12.990 s; t=-5.121, P=0.001; ES=2.323), as was dominant-side bridge endurance (62.07±6.557 s vs 76.29±5.121 s; t=-6.393, P=0.001; ES=2.168). Trunk extensor endurance did not differ significantly.</w:t>
            </w:r>
          </w:p>
        </w:tc>
      </w:tr>
      <w:tr w14:paraId="11A1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6628836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Kim et al. [9]</w:t>
            </w:r>
          </w:p>
        </w:tc>
        <w:tc>
          <w:tcPr>
            <w:tcW w:w="4827" w:type="dxa"/>
            <w:tcMar>
              <w:top w:w="40" w:type="dxa"/>
              <w:left w:w="40" w:type="dxa"/>
              <w:bottom w:w="40" w:type="dxa"/>
              <w:right w:w="40" w:type="dxa"/>
            </w:tcMar>
            <w:vAlign w:val="top"/>
          </w:tcPr>
          <w:p w14:paraId="7A89515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 history of shoulder injury was reported by 119 of 519 players. Shoulder internal rotation was lower in injured than non-injured elementary-school players (35.88° vs 47.31°) and middle-school players (42.04° vs 48.80°).</w:t>
            </w:r>
          </w:p>
        </w:tc>
        <w:tc>
          <w:tcPr>
            <w:tcW w:w="4827" w:type="dxa"/>
            <w:tcMar>
              <w:top w:w="40" w:type="dxa"/>
              <w:left w:w="40" w:type="dxa"/>
              <w:bottom w:w="40" w:type="dxa"/>
              <w:right w:w="40" w:type="dxa"/>
            </w:tcMar>
            <w:vAlign w:val="top"/>
          </w:tcPr>
          <w:p w14:paraId="5E200ED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Internal-rotation deficit and altered upper-extremity dynamic stability were associated with injury history in younger players; external rotation did not show a clear injury-history difference.</w:t>
            </w:r>
          </w:p>
        </w:tc>
      </w:tr>
      <w:tr w14:paraId="7156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2C1B5FA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Hadzic et al. [27]</w:t>
            </w:r>
          </w:p>
        </w:tc>
        <w:tc>
          <w:tcPr>
            <w:tcW w:w="4827" w:type="dxa"/>
            <w:tcMar>
              <w:top w:w="40" w:type="dxa"/>
              <w:left w:w="40" w:type="dxa"/>
              <w:bottom w:w="40" w:type="dxa"/>
              <w:right w:w="40" w:type="dxa"/>
            </w:tcMar>
            <w:vAlign w:val="top"/>
          </w:tcPr>
          <w:p w14:paraId="79AF928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shoulder injury history was reported in 9.1% of men and 7.1% of women; dominant-side internal-rotation strength asymmetry was observed.</w:t>
            </w:r>
          </w:p>
        </w:tc>
        <w:tc>
          <w:tcPr>
            <w:tcW w:w="4827" w:type="dxa"/>
            <w:tcMar>
              <w:top w:w="40" w:type="dxa"/>
              <w:left w:w="40" w:type="dxa"/>
              <w:bottom w:w="40" w:type="dxa"/>
              <w:right w:w="40" w:type="dxa"/>
            </w:tcMar>
            <w:vAlign w:val="top"/>
          </w:tcPr>
          <w:p w14:paraId="56DB115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 men, the dominant shoulder had lower ER/IR ratios than the nondominant shoulder in players without previous shoulder injury (0.61 vs 0.63; F=5.73, P&lt;0.05) and with previous shoulder injury (0.57 vs 0.65; F=8.99, P&lt;0.05). Playing position was not associated with abnormal strength ratio or strength asymmetry.</w:t>
            </w:r>
          </w:p>
        </w:tc>
      </w:tr>
      <w:tr w14:paraId="5F5E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2B240F2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Nascimento et al. [29]</w:t>
            </w:r>
          </w:p>
        </w:tc>
        <w:tc>
          <w:tcPr>
            <w:tcW w:w="4827" w:type="dxa"/>
            <w:tcMar>
              <w:top w:w="40" w:type="dxa"/>
              <w:left w:w="40" w:type="dxa"/>
              <w:bottom w:w="40" w:type="dxa"/>
              <w:right w:w="40" w:type="dxa"/>
            </w:tcMar>
            <w:vAlign w:val="top"/>
          </w:tcPr>
          <w:p w14:paraId="2C73191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Players with previous shoulder injury history had higher external-rotator peak torque at 60°/s and 180°/s; the ER/IR ratio was higher at 60°/s but not at 180°/s.</w:t>
            </w:r>
          </w:p>
        </w:tc>
        <w:tc>
          <w:tcPr>
            <w:tcW w:w="4827" w:type="dxa"/>
            <w:tcMar>
              <w:top w:w="40" w:type="dxa"/>
              <w:left w:w="40" w:type="dxa"/>
              <w:bottom w:w="40" w:type="dxa"/>
              <w:right w:w="40" w:type="dxa"/>
            </w:tcMar>
            <w:vAlign w:val="top"/>
          </w:tcPr>
          <w:p w14:paraId="590FFA0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External-rotator peak torque was higher in the injury-history group at 60°/s (50.7±6.6 vs 41.7±9.3 N·m; P=0.018) and 180°/s (47.6±6.7 vs 39.3±7.8 N·m; P=0.019). The ER/IR ratio was higher at 60°/s (0.87±0.10 vs 0.77±0.00; P=0.050), but not at 180°/s.</w:t>
            </w:r>
          </w:p>
        </w:tc>
      </w:tr>
      <w:tr w14:paraId="1CB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D8F809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Stickley et al. [36]</w:t>
            </w:r>
          </w:p>
        </w:tc>
        <w:tc>
          <w:tcPr>
            <w:tcW w:w="4827" w:type="dxa"/>
            <w:tcMar>
              <w:top w:w="40" w:type="dxa"/>
              <w:left w:w="40" w:type="dxa"/>
              <w:bottom w:w="40" w:type="dxa"/>
              <w:right w:w="40" w:type="dxa"/>
            </w:tcMar>
            <w:vAlign w:val="top"/>
          </w:tcPr>
          <w:p w14:paraId="699FEDA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injury history was examined in adolescent female club volleyball athletes using isokinetic peak torque ratios.</w:t>
            </w:r>
          </w:p>
        </w:tc>
        <w:tc>
          <w:tcPr>
            <w:tcW w:w="4827" w:type="dxa"/>
            <w:tcMar>
              <w:top w:w="40" w:type="dxa"/>
              <w:left w:w="40" w:type="dxa"/>
              <w:bottom w:w="40" w:type="dxa"/>
              <w:right w:w="40" w:type="dxa"/>
            </w:tcMar>
            <w:vAlign w:val="top"/>
          </w:tcPr>
          <w:p w14:paraId="51859ED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Isokinetic shoulder-rotator strength ratios were compared by injury history; exact independent effect estimates were not reported.</w:t>
            </w:r>
          </w:p>
        </w:tc>
      </w:tr>
      <w:tr w14:paraId="7231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7148154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Wang and Cochrane [35]</w:t>
            </w:r>
          </w:p>
        </w:tc>
        <w:tc>
          <w:tcPr>
            <w:tcW w:w="4827" w:type="dxa"/>
            <w:tcMar>
              <w:top w:w="40" w:type="dxa"/>
              <w:left w:w="40" w:type="dxa"/>
              <w:bottom w:w="40" w:type="dxa"/>
              <w:right w:w="40" w:type="dxa"/>
            </w:tcMar>
            <w:vAlign w:val="top"/>
          </w:tcPr>
          <w:p w14:paraId="3B887CE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injury and/or pain was examined in 16 elite male volleyball players in relation to shoulder mobility, muscle imbalance, muscle weakness, and scapular asymmetry.</w:t>
            </w:r>
          </w:p>
        </w:tc>
        <w:tc>
          <w:tcPr>
            <w:tcW w:w="4827" w:type="dxa"/>
            <w:tcMar>
              <w:top w:w="40" w:type="dxa"/>
              <w:left w:w="40" w:type="dxa"/>
              <w:bottom w:w="40" w:type="dxa"/>
              <w:right w:w="40" w:type="dxa"/>
            </w:tcMar>
            <w:vAlign w:val="top"/>
          </w:tcPr>
          <w:p w14:paraId="36094F0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Mobility, muscle imbalance, weakness, and scapular asymmetry were examined as functional correlates; findings should be interpreted cautiously because of the very small sample.</w:t>
            </w:r>
          </w:p>
        </w:tc>
      </w:tr>
      <w:tr w14:paraId="19DB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07D1BAB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 Lira et al. [33]</w:t>
            </w:r>
          </w:p>
        </w:tc>
        <w:tc>
          <w:tcPr>
            <w:tcW w:w="4827" w:type="dxa"/>
            <w:tcMar>
              <w:top w:w="40" w:type="dxa"/>
              <w:left w:w="40" w:type="dxa"/>
              <w:bottom w:w="40" w:type="dxa"/>
              <w:right w:w="40" w:type="dxa"/>
            </w:tcMar>
            <w:vAlign w:val="top"/>
          </w:tcPr>
          <w:p w14:paraId="5432D46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Dominant-side shoulder pain during the 16-week follow-up was examined in adolescent male volleyball players using an NRS &gt;3 threshold.</w:t>
            </w:r>
          </w:p>
        </w:tc>
        <w:tc>
          <w:tcPr>
            <w:tcW w:w="4827" w:type="dxa"/>
            <w:tcMar>
              <w:top w:w="40" w:type="dxa"/>
              <w:left w:w="40" w:type="dxa"/>
              <w:bottom w:w="40" w:type="dxa"/>
              <w:right w:w="40" w:type="dxa"/>
            </w:tcMar>
            <w:vAlign w:val="top"/>
          </w:tcPr>
          <w:p w14:paraId="6EF79F5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Higher internal-rotator peak torque at 240°/s was associated with greater odds of shoulder pain (52.6±11.7 vs 41.5±9.6 N·m; OR=1.113, 95% CI 1.006–1.232; P=0.038). An abnormal conventional strength ratio showed an imprecise, non-significant association with pain (OR=8.556, 95% CI 0.881–83.057; P=0.064).</w:t>
            </w:r>
          </w:p>
        </w:tc>
      </w:tr>
      <w:tr w14:paraId="00EC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6AF924F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Forthomme et al. [3]</w:t>
            </w:r>
          </w:p>
        </w:tc>
        <w:tc>
          <w:tcPr>
            <w:tcW w:w="4827" w:type="dxa"/>
            <w:tcMar>
              <w:top w:w="40" w:type="dxa"/>
              <w:left w:w="40" w:type="dxa"/>
              <w:bottom w:w="40" w:type="dxa"/>
              <w:right w:w="40" w:type="dxa"/>
            </w:tcMar>
            <w:vAlign w:val="top"/>
          </w:tcPr>
          <w:p w14:paraId="377AB91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Dominant-side shoulder pain occurred in 15 of 66 high-level players during the six-month competitive-season follow-up.</w:t>
            </w:r>
          </w:p>
        </w:tc>
        <w:tc>
          <w:tcPr>
            <w:tcW w:w="4827" w:type="dxa"/>
            <w:tcMar>
              <w:top w:w="40" w:type="dxa"/>
              <w:left w:w="40" w:type="dxa"/>
              <w:bottom w:w="40" w:type="dxa"/>
              <w:right w:w="40" w:type="dxa"/>
            </w:tcMar>
            <w:vAlign w:val="top"/>
          </w:tcPr>
          <w:p w14:paraId="16CADA7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dominant-shoulder pain or injury was associated with in-season shoulder pain (OR=9.286; P=0.006). Greater eccentric internal- and external-rotator strength was associated with lower odds of in-season shoulder pain, with ORs of 0.946 (P=0.01) and 0.940 (P=0.05), respectively, per 1 N·m increase.</w:t>
            </w:r>
          </w:p>
        </w:tc>
      </w:tr>
      <w:tr w14:paraId="7FAA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452B5FD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Sá et al. [41]</w:t>
            </w:r>
          </w:p>
        </w:tc>
        <w:tc>
          <w:tcPr>
            <w:tcW w:w="4827" w:type="dxa"/>
            <w:tcMar>
              <w:top w:w="40" w:type="dxa"/>
              <w:left w:w="40" w:type="dxa"/>
              <w:bottom w:w="40" w:type="dxa"/>
              <w:right w:w="40" w:type="dxa"/>
            </w:tcMar>
            <w:vAlign w:val="top"/>
          </w:tcPr>
          <w:p w14:paraId="2E5CCD2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Among 84 professional and semi-professional volleyball players, 29 had a history of shoulder pain and 55 had no shoulder pain. The pain group had higher GIRD than the no-pain group (median 18° vs 10°; P&lt;0.001) and greater TROM asymmetry (median 8° vs 4°; P=0.033).</w:t>
            </w:r>
          </w:p>
        </w:tc>
        <w:tc>
          <w:tcPr>
            <w:tcW w:w="4827" w:type="dxa"/>
            <w:tcMar>
              <w:top w:w="40" w:type="dxa"/>
              <w:left w:w="40" w:type="dxa"/>
              <w:bottom w:w="40" w:type="dxa"/>
              <w:right w:w="40" w:type="dxa"/>
            </w:tcMar>
            <w:vAlign w:val="top"/>
          </w:tcPr>
          <w:p w14:paraId="0212712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Multivariable logistic regression identified a weak but statistically significant association between GIRD and shoulder pain (OR=1.100; P=0.011) and a stronger association between attacking position and shoulder pain (OR=11.101; P=0.005). ROC analysis suggested cutoff values of 17° for pathological GIRD and 5° for pathological TROM asymmetry.</w:t>
            </w:r>
          </w:p>
        </w:tc>
      </w:tr>
      <w:tr w14:paraId="0A0D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65423A7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Alqarni et al. [7]</w:t>
            </w:r>
          </w:p>
        </w:tc>
        <w:tc>
          <w:tcPr>
            <w:tcW w:w="4827" w:type="dxa"/>
            <w:tcMar>
              <w:top w:w="40" w:type="dxa"/>
              <w:left w:w="40" w:type="dxa"/>
              <w:bottom w:w="40" w:type="dxa"/>
              <w:right w:w="40" w:type="dxa"/>
            </w:tcMar>
            <w:vAlign w:val="top"/>
          </w:tcPr>
          <w:p w14:paraId="635CBFC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In a cross-sectional comparative study of 36 professional volleyball players, 18 players with a history of shoulder pain were compared with 18 players without shoulder pain. The pain group had lower dominant shoulder internal-rotation ROM than the no-pain group (76.5° ± 7.15° vs 82.83° ± 7.97°; mean difference = 6.33°, 95% CI, 1.20–11.46; P=0.02). The pain group also showed higher GIRD than the no-pain group (15.56° ± 5.94° vs 9.06° ± 5.99°; P=0.004) and greater TROM difference (16.17° ± 7.97° vs 10.17° ± 8.98°; P=0.007).</w:t>
            </w:r>
          </w:p>
        </w:tc>
        <w:tc>
          <w:tcPr>
            <w:tcW w:w="4827" w:type="dxa"/>
            <w:tcMar>
              <w:top w:w="40" w:type="dxa"/>
              <w:left w:w="40" w:type="dxa"/>
              <w:bottom w:w="40" w:type="dxa"/>
              <w:right w:w="40" w:type="dxa"/>
            </w:tcMar>
            <w:vAlign w:val="top"/>
          </w:tcPr>
          <w:p w14:paraId="3CF7F42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History of shoulder pain was associated with greater GIRD and greater TROM asymmetry in unadjusted between-group comparisons. ERG did not differ significantly between groups (P=0.791), and pain level was not significantly correlated with GIRD, ERG, or TROM difference. The findings support interpreting GIRD and TROM asymmetry as candidate ROM-related correlates rather than independent causal or prognostic factors.</w:t>
            </w:r>
          </w:p>
        </w:tc>
      </w:tr>
      <w:tr w14:paraId="48B9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64E509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Shih &amp; Wang (2019)</w:t>
            </w:r>
          </w:p>
        </w:tc>
        <w:tc>
          <w:tcPr>
            <w:tcW w:w="4827" w:type="dxa"/>
            <w:tcMar>
              <w:top w:w="40" w:type="dxa"/>
              <w:left w:w="40" w:type="dxa"/>
              <w:bottom w:w="40" w:type="dxa"/>
              <w:right w:w="40" w:type="dxa"/>
            </w:tcMar>
            <w:vAlign w:val="top"/>
          </w:tcPr>
          <w:p w14:paraId="6BEB749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Players with shoulder pain demonstrated less scapular posterior tilt, more scapular internal rotation, and greater horizontal abduction during spiking.</w:t>
            </w:r>
          </w:p>
        </w:tc>
        <w:tc>
          <w:tcPr>
            <w:tcW w:w="4827" w:type="dxa"/>
            <w:tcMar>
              <w:top w:w="40" w:type="dxa"/>
              <w:left w:w="40" w:type="dxa"/>
              <w:bottom w:w="40" w:type="dxa"/>
              <w:right w:w="40" w:type="dxa"/>
            </w:tcMar>
            <w:vAlign w:val="top"/>
          </w:tcPr>
          <w:p w14:paraId="435A134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At ball contact, the shoulder-pain group showed greater glenohumeral horizontal abduction (P=0.008), increased scapular internal rotation (P=0.02), and decreased scapular posterior tilt (P=0.041).</w:t>
            </w:r>
          </w:p>
        </w:tc>
      </w:tr>
      <w:tr w14:paraId="43E3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65DB804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Wolfe et al. [32]</w:t>
            </w:r>
          </w:p>
        </w:tc>
        <w:tc>
          <w:tcPr>
            <w:tcW w:w="4827" w:type="dxa"/>
            <w:tcMar>
              <w:top w:w="40" w:type="dxa"/>
              <w:left w:w="40" w:type="dxa"/>
              <w:bottom w:w="40" w:type="dxa"/>
              <w:right w:w="40" w:type="dxa"/>
            </w:tcMar>
            <w:vAlign w:val="top"/>
          </w:tcPr>
          <w:p w14:paraId="78A8603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Shoulder-related limited participation was proportionally higher in the pre-season than during the competitive season (2.9% vs 1.1%; P&lt;0.027).</w:t>
            </w:r>
          </w:p>
        </w:tc>
        <w:tc>
          <w:tcPr>
            <w:tcW w:w="4827" w:type="dxa"/>
            <w:tcMar>
              <w:top w:w="40" w:type="dxa"/>
              <w:left w:w="40" w:type="dxa"/>
              <w:bottom w:w="40" w:type="dxa"/>
              <w:right w:w="40" w:type="dxa"/>
            </w:tcMar>
            <w:vAlign w:val="top"/>
          </w:tcPr>
          <w:p w14:paraId="4FBBB06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Players performed more serves in practice than in matches (23, 95% CI 22–24 vs 10, 95% CI 9–11; P&lt;0.001). Pre-season total swing volume was higher than competitive-season volume (47.1, 95% CI 44.1–50.1 vs 37.7, 95% CI 36.4–38.9 swings/session; mean difference 9.4, 95% CI 6.1–12.7; P&lt;0.001).</w:t>
            </w:r>
          </w:p>
        </w:tc>
      </w:tr>
      <w:tr w14:paraId="3C64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706B5E1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Babaei Khorzoghi et al. [26]</w:t>
            </w:r>
          </w:p>
        </w:tc>
        <w:tc>
          <w:tcPr>
            <w:tcW w:w="4827" w:type="dxa"/>
            <w:tcMar>
              <w:top w:w="40" w:type="dxa"/>
              <w:left w:w="40" w:type="dxa"/>
              <w:bottom w:w="40" w:type="dxa"/>
              <w:right w:w="40" w:type="dxa"/>
            </w:tcMar>
            <w:vAlign w:val="top"/>
          </w:tcPr>
          <w:p w14:paraId="23BC0A1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Shoulder-specific position distributions were reported for acute shoulder injury, chronic shoulder injury, and shoulder pain/disability in elite youth male players. The opposite position showed the highest shoulder involvement: 23.61%, 33.33%, and 63.01%, respectively.</w:t>
            </w:r>
          </w:p>
        </w:tc>
        <w:tc>
          <w:tcPr>
            <w:tcW w:w="4827" w:type="dxa"/>
            <w:tcMar>
              <w:top w:w="40" w:type="dxa"/>
              <w:left w:w="40" w:type="dxa"/>
              <w:bottom w:w="40" w:type="dxa"/>
              <w:right w:w="40" w:type="dxa"/>
            </w:tcMar>
            <w:vAlign w:val="top"/>
          </w:tcPr>
          <w:p w14:paraId="545DC97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Playing position was described in relation to anatomical distribution of injury and pain/disability; these were descriptive comparisons rather than inferential tests of position effects.</w:t>
            </w:r>
          </w:p>
        </w:tc>
      </w:tr>
      <w:tr w14:paraId="23A6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4FA0B44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Wang and Cochrane [34]</w:t>
            </w:r>
          </w:p>
        </w:tc>
        <w:tc>
          <w:tcPr>
            <w:tcW w:w="4827" w:type="dxa"/>
            <w:tcMar>
              <w:top w:w="40" w:type="dxa"/>
              <w:left w:w="40" w:type="dxa"/>
              <w:bottom w:w="40" w:type="dxa"/>
              <w:right w:w="40" w:type="dxa"/>
            </w:tcMar>
            <w:vAlign w:val="top"/>
          </w:tcPr>
          <w:p w14:paraId="31AA3EC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injuries were examined as the study’s shoulder-specific outcome over two seasons in top-level English male volleyball players, including prevalence, incidence, injury type, and volleyball action associated with injury.</w:t>
            </w:r>
          </w:p>
        </w:tc>
        <w:tc>
          <w:tcPr>
            <w:tcW w:w="4827" w:type="dxa"/>
            <w:tcMar>
              <w:top w:w="40" w:type="dxa"/>
              <w:left w:w="40" w:type="dxa"/>
              <w:bottom w:w="40" w:type="dxa"/>
              <w:right w:w="40" w:type="dxa"/>
            </w:tcMar>
            <w:vAlign w:val="top"/>
          </w:tcPr>
          <w:p w14:paraId="467AADC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Volleyball action and injury type were described, but independent shoulder-specific risk estimates were not reported.</w:t>
            </w:r>
          </w:p>
        </w:tc>
      </w:tr>
      <w:tr w14:paraId="7D98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F9CB9B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Kugler et al. [37]</w:t>
            </w:r>
          </w:p>
        </w:tc>
        <w:tc>
          <w:tcPr>
            <w:tcW w:w="4827" w:type="dxa"/>
            <w:tcMar>
              <w:top w:w="40" w:type="dxa"/>
              <w:left w:w="40" w:type="dxa"/>
              <w:bottom w:w="40" w:type="dxa"/>
              <w:right w:w="40" w:type="dxa"/>
            </w:tcMar>
            <w:vAlign w:val="top"/>
          </w:tcPr>
          <w:p w14:paraId="659038E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Competitive volleyball attackers with shoulder pain were compared with asymptomatic attackers and non-overhead recreational controls.</w:t>
            </w:r>
          </w:p>
        </w:tc>
        <w:tc>
          <w:tcPr>
            <w:tcW w:w="4827" w:type="dxa"/>
            <w:tcMar>
              <w:top w:w="40" w:type="dxa"/>
              <w:left w:w="40" w:type="dxa"/>
              <w:bottom w:w="40" w:type="dxa"/>
              <w:right w:w="40" w:type="dxa"/>
            </w:tcMar>
            <w:vAlign w:val="top"/>
          </w:tcPr>
          <w:p w14:paraId="778ED59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was examined in relation to muscular imbalance, scapular position, and capsular tightness; findings were based on small group comparisons.</w:t>
            </w:r>
          </w:p>
        </w:tc>
      </w:tr>
      <w:tr w14:paraId="7209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tcMar>
              <w:top w:w="40" w:type="dxa"/>
              <w:left w:w="40" w:type="dxa"/>
              <w:bottom w:w="40" w:type="dxa"/>
              <w:right w:w="40" w:type="dxa"/>
            </w:tcMar>
            <w:vAlign w:val="top"/>
          </w:tcPr>
          <w:p w14:paraId="10E99C0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Mitchinson et al. [38]</w:t>
            </w:r>
          </w:p>
        </w:tc>
        <w:tc>
          <w:tcPr>
            <w:tcW w:w="4827" w:type="dxa"/>
            <w:tcMar>
              <w:top w:w="40" w:type="dxa"/>
              <w:left w:w="40" w:type="dxa"/>
              <w:bottom w:w="40" w:type="dxa"/>
              <w:right w:w="40" w:type="dxa"/>
            </w:tcMar>
            <w:vAlign w:val="top"/>
          </w:tcPr>
          <w:p w14:paraId="20180D1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Spike kinematics were compared between elite players with and without a recent shoulder injury history.</w:t>
            </w:r>
          </w:p>
        </w:tc>
        <w:tc>
          <w:tcPr>
            <w:tcW w:w="4827" w:type="dxa"/>
            <w:tcMar>
              <w:top w:w="40" w:type="dxa"/>
              <w:left w:w="40" w:type="dxa"/>
              <w:bottom w:w="40" w:type="dxa"/>
              <w:right w:w="40" w:type="dxa"/>
            </w:tcMar>
            <w:vAlign w:val="top"/>
          </w:tcPr>
          <w:p w14:paraId="10C8DD6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 clear kinematic differences were found between players with and without recent shoulder injury history, contrasting with Shih and Wang’s findings in players with shoulder pain.</w:t>
            </w:r>
          </w:p>
        </w:tc>
      </w:tr>
    </w:tbl>
    <w:p w14:paraId="2E21028F">
      <w:pPr>
        <w:spacing w:before="120"/>
        <w:rPr>
          <w:rFonts w:hint="default" w:ascii="Times New Roman" w:hAnsi="Times New Roman" w:cs="Times New Roman"/>
          <w:sz w:val="18"/>
          <w:szCs w:val="18"/>
        </w:rPr>
      </w:pPr>
      <w:r>
        <w:rPr>
          <w:rFonts w:hint="default" w:ascii="Times New Roman" w:hAnsi="Times New Roman" w:cs="Times New Roman"/>
          <w:sz w:val="18"/>
          <w:szCs w:val="18"/>
        </w:rPr>
        <w:t>Note. Unless otherwise indicated, reported associations derive from descriptive, unadjusted, cross-sectional, case-control, or prospective analyses as reported in the original publications. Effect estimates, 95% confidence intervals, exact P values, and sample sizes are presented where available. Variables are described as associated factors or candidate factors rather than confirmed causal or independent prognostic risk factors unless supported by prospective evidence with adequate adjustment. VAS, visual analogue scale; ASES, American Shoulder and Elbow Surgeons score; DASH, Disabilities of the Arm, Shoulder and Hand; SST, Simple Shoulder Test; NRS, Numerical Rating Scale; ROM, range of motion; GIRD, glenohumeral internal rotation deficit; ERG, external rotation gain; TROM, total range of motion; PSI, postero-superior impingement; ASI, anterior shoulder instability; ER/IR, external/internal rotation; UQYBT, Upper Quarter Y-Balance Test; OSTRC, Oslo Sports Trauma Research Centre; NTP, nontraumatic shoulder pain; OR, odds ratio; CI, confidence interval; ES, effect size; ROC, receiver operating characteristic.</w:t>
      </w:r>
    </w:p>
    <w:p w14:paraId="7F9273CF">
      <w:pPr>
        <w:rPr>
          <w:rFonts w:hint="default" w:ascii="Times New Roman" w:hAnsi="Times New Roman" w:cs="Times New Roman"/>
          <w:sz w:val="18"/>
          <w:szCs w:val="18"/>
        </w:rPr>
      </w:pPr>
      <w:r>
        <w:rPr>
          <w:rFonts w:hint="default" w:ascii="Times New Roman" w:hAnsi="Times New Roman" w:cs="Times New Roman"/>
          <w:sz w:val="18"/>
          <w:szCs w:val="18"/>
        </w:rPr>
        <w:br w:type="page"/>
      </w:r>
    </w:p>
    <w:p w14:paraId="47DD87DE">
      <w:pPr>
        <w:jc w:val="center"/>
        <w:rPr>
          <w:rFonts w:hint="default" w:ascii="Times New Roman" w:hAnsi="Times New Roman" w:cs="Times New Roman"/>
          <w:sz w:val="18"/>
          <w:szCs w:val="18"/>
        </w:rPr>
      </w:pPr>
      <w:r>
        <w:rPr>
          <w:rFonts w:hint="default" w:ascii="Times New Roman" w:hAnsi="Times New Roman" w:cs="Times New Roman"/>
          <w:b/>
          <w:sz w:val="18"/>
          <w:szCs w:val="18"/>
        </w:rPr>
        <w:t>Supplementary Table S7. Study-level JBI risk-of-bias assessment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6"/>
        <w:gridCol w:w="2896"/>
        <w:gridCol w:w="2896"/>
        <w:gridCol w:w="2896"/>
        <w:gridCol w:w="2896"/>
      </w:tblGrid>
      <w:tr w14:paraId="32C6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96" w:type="dxa"/>
            <w:tcMar>
              <w:top w:w="40" w:type="dxa"/>
              <w:left w:w="40" w:type="dxa"/>
              <w:bottom w:w="40" w:type="dxa"/>
              <w:right w:w="40" w:type="dxa"/>
            </w:tcMar>
            <w:vAlign w:val="top"/>
          </w:tcPr>
          <w:p w14:paraId="27860CEC">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Study</w:t>
            </w:r>
          </w:p>
        </w:tc>
        <w:tc>
          <w:tcPr>
            <w:tcW w:w="2896" w:type="dxa"/>
            <w:tcMar>
              <w:top w:w="40" w:type="dxa"/>
              <w:left w:w="40" w:type="dxa"/>
              <w:bottom w:w="40" w:type="dxa"/>
              <w:right w:w="40" w:type="dxa"/>
            </w:tcMar>
            <w:vAlign w:val="top"/>
          </w:tcPr>
          <w:p w14:paraId="2F2EA456">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Study design</w:t>
            </w:r>
          </w:p>
        </w:tc>
        <w:tc>
          <w:tcPr>
            <w:tcW w:w="2896" w:type="dxa"/>
            <w:tcMar>
              <w:top w:w="40" w:type="dxa"/>
              <w:left w:w="40" w:type="dxa"/>
              <w:bottom w:w="40" w:type="dxa"/>
              <w:right w:w="40" w:type="dxa"/>
            </w:tcMar>
            <w:vAlign w:val="top"/>
          </w:tcPr>
          <w:p w14:paraId="75052881">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JBI tool applied</w:t>
            </w:r>
          </w:p>
        </w:tc>
        <w:tc>
          <w:tcPr>
            <w:tcW w:w="2896" w:type="dxa"/>
            <w:tcMar>
              <w:top w:w="40" w:type="dxa"/>
              <w:left w:w="40" w:type="dxa"/>
              <w:bottom w:w="40" w:type="dxa"/>
              <w:right w:w="40" w:type="dxa"/>
            </w:tcMar>
            <w:vAlign w:val="top"/>
          </w:tcPr>
          <w:p w14:paraId="423939D0">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Overall risk of bias</w:t>
            </w:r>
          </w:p>
        </w:tc>
        <w:tc>
          <w:tcPr>
            <w:tcW w:w="2896" w:type="dxa"/>
            <w:tcMar>
              <w:top w:w="40" w:type="dxa"/>
              <w:left w:w="40" w:type="dxa"/>
              <w:bottom w:w="40" w:type="dxa"/>
              <w:right w:w="40" w:type="dxa"/>
            </w:tcMar>
            <w:vAlign w:val="top"/>
          </w:tcPr>
          <w:p w14:paraId="7531F021">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Main rationale</w:t>
            </w:r>
          </w:p>
        </w:tc>
      </w:tr>
      <w:tr w14:paraId="6F6A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1301FA8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Alqarni et al. [7]</w:t>
            </w:r>
          </w:p>
        </w:tc>
        <w:tc>
          <w:tcPr>
            <w:tcW w:w="2896" w:type="dxa"/>
            <w:tcMar>
              <w:top w:w="40" w:type="dxa"/>
              <w:left w:w="40" w:type="dxa"/>
              <w:bottom w:w="40" w:type="dxa"/>
              <w:right w:w="40" w:type="dxa"/>
            </w:tcMar>
            <w:vAlign w:val="top"/>
          </w:tcPr>
          <w:p w14:paraId="59B963A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comparative study</w:t>
            </w:r>
          </w:p>
        </w:tc>
        <w:tc>
          <w:tcPr>
            <w:tcW w:w="2896" w:type="dxa"/>
            <w:tcMar>
              <w:top w:w="40" w:type="dxa"/>
              <w:left w:w="40" w:type="dxa"/>
              <w:bottom w:w="40" w:type="dxa"/>
              <w:right w:w="40" w:type="dxa"/>
            </w:tcMar>
            <w:vAlign w:val="top"/>
          </w:tcPr>
          <w:p w14:paraId="61DD1B0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analytical cross-sectional checklist</w:t>
            </w:r>
          </w:p>
        </w:tc>
        <w:tc>
          <w:tcPr>
            <w:tcW w:w="2896" w:type="dxa"/>
            <w:tcMar>
              <w:top w:w="40" w:type="dxa"/>
              <w:left w:w="40" w:type="dxa"/>
              <w:bottom w:w="40" w:type="dxa"/>
              <w:right w:w="40" w:type="dxa"/>
            </w:tcMar>
            <w:vAlign w:val="top"/>
          </w:tcPr>
          <w:p w14:paraId="42B2A78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010E628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compared professional volleyball players with and without a history of shoulder pain using matched groups and standardised ROM measurements with a digital inclinometer. However, shoulder pain history was self-reported, the examiner was not blinded to group allocation, no additional clinical examination was used to verify shoulder pain status, and the cross-sectional design prevents temporal or causal inference.</w:t>
            </w:r>
          </w:p>
        </w:tc>
      </w:tr>
      <w:tr w14:paraId="24F8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B9EB2E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Bandpei et al. [8]</w:t>
            </w:r>
          </w:p>
        </w:tc>
        <w:tc>
          <w:tcPr>
            <w:tcW w:w="2896" w:type="dxa"/>
            <w:tcMar>
              <w:top w:w="40" w:type="dxa"/>
              <w:left w:w="40" w:type="dxa"/>
              <w:bottom w:w="40" w:type="dxa"/>
              <w:right w:w="40" w:type="dxa"/>
            </w:tcMar>
            <w:vAlign w:val="top"/>
          </w:tcPr>
          <w:p w14:paraId="76FF403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prevalence study</w:t>
            </w:r>
          </w:p>
        </w:tc>
        <w:tc>
          <w:tcPr>
            <w:tcW w:w="2896" w:type="dxa"/>
            <w:tcMar>
              <w:top w:w="40" w:type="dxa"/>
              <w:left w:w="40" w:type="dxa"/>
              <w:bottom w:w="40" w:type="dxa"/>
              <w:right w:w="40" w:type="dxa"/>
            </w:tcMar>
            <w:vAlign w:val="top"/>
          </w:tcPr>
          <w:p w14:paraId="4CF68D9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prevalence studies</w:t>
            </w:r>
          </w:p>
        </w:tc>
        <w:tc>
          <w:tcPr>
            <w:tcW w:w="2896" w:type="dxa"/>
            <w:tcMar>
              <w:top w:w="40" w:type="dxa"/>
              <w:left w:w="40" w:type="dxa"/>
              <w:bottom w:w="40" w:type="dxa"/>
              <w:right w:w="40" w:type="dxa"/>
            </w:tcMar>
            <w:vAlign w:val="top"/>
          </w:tcPr>
          <w:p w14:paraId="1A7129D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3322472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clearly reported point, 6-month, 12-month and lifetime prevalence of shoulder pain and used VAS and DASH measures. However, the cross-sectional design and limited control of confounding restricted interpretation of associated factors.</w:t>
            </w:r>
          </w:p>
        </w:tc>
      </w:tr>
      <w:tr w14:paraId="20B4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59BB09B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 Lira et al. [33]</w:t>
            </w:r>
          </w:p>
        </w:tc>
        <w:tc>
          <w:tcPr>
            <w:tcW w:w="2896" w:type="dxa"/>
            <w:tcMar>
              <w:top w:w="40" w:type="dxa"/>
              <w:left w:w="40" w:type="dxa"/>
              <w:bottom w:w="40" w:type="dxa"/>
              <w:right w:w="40" w:type="dxa"/>
            </w:tcMar>
            <w:vAlign w:val="top"/>
          </w:tcPr>
          <w:p w14:paraId="0A37B92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study</w:t>
            </w:r>
          </w:p>
        </w:tc>
        <w:tc>
          <w:tcPr>
            <w:tcW w:w="2896" w:type="dxa"/>
            <w:tcMar>
              <w:top w:w="40" w:type="dxa"/>
              <w:left w:w="40" w:type="dxa"/>
              <w:bottom w:w="40" w:type="dxa"/>
              <w:right w:w="40" w:type="dxa"/>
            </w:tcMar>
            <w:vAlign w:val="top"/>
          </w:tcPr>
          <w:p w14:paraId="202639C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cohort studies</w:t>
            </w:r>
          </w:p>
        </w:tc>
        <w:tc>
          <w:tcPr>
            <w:tcW w:w="2896" w:type="dxa"/>
            <w:tcMar>
              <w:top w:w="40" w:type="dxa"/>
              <w:left w:w="40" w:type="dxa"/>
              <w:bottom w:w="40" w:type="dxa"/>
              <w:right w:w="40" w:type="dxa"/>
            </w:tcMar>
            <w:vAlign w:val="top"/>
          </w:tcPr>
          <w:p w14:paraId="6EE29CA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6A8E2B3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Preseason shoulder rotator strength was measured and players were followed for 16 weeks, allowing potential risk factors to be examined. However, the sample was small and only a limited number of shoulder-pain events occurred, reducing precision.</w:t>
            </w:r>
          </w:p>
        </w:tc>
      </w:tr>
      <w:tr w14:paraId="182C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5BD3311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Forthomme et al. [3]</w:t>
            </w:r>
          </w:p>
        </w:tc>
        <w:tc>
          <w:tcPr>
            <w:tcW w:w="2896" w:type="dxa"/>
            <w:tcMar>
              <w:top w:w="40" w:type="dxa"/>
              <w:left w:w="40" w:type="dxa"/>
              <w:bottom w:w="40" w:type="dxa"/>
              <w:right w:w="40" w:type="dxa"/>
            </w:tcMar>
            <w:vAlign w:val="top"/>
          </w:tcPr>
          <w:p w14:paraId="76D5F87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study</w:t>
            </w:r>
          </w:p>
        </w:tc>
        <w:tc>
          <w:tcPr>
            <w:tcW w:w="2896" w:type="dxa"/>
            <w:tcMar>
              <w:top w:w="40" w:type="dxa"/>
              <w:left w:w="40" w:type="dxa"/>
              <w:bottom w:w="40" w:type="dxa"/>
              <w:right w:w="40" w:type="dxa"/>
            </w:tcMar>
            <w:vAlign w:val="top"/>
          </w:tcPr>
          <w:p w14:paraId="68BC822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cohort studies</w:t>
            </w:r>
          </w:p>
        </w:tc>
        <w:tc>
          <w:tcPr>
            <w:tcW w:w="2896" w:type="dxa"/>
            <w:tcMar>
              <w:top w:w="40" w:type="dxa"/>
              <w:left w:w="40" w:type="dxa"/>
              <w:bottom w:w="40" w:type="dxa"/>
              <w:right w:w="40" w:type="dxa"/>
            </w:tcMar>
            <w:vAlign w:val="top"/>
          </w:tcPr>
          <w:p w14:paraId="3AAE69D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79323E9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included preseason strength and morphostatic measurements and weekly monitoring of shoulder pain over 6 months. However, the number of events was limited and some analyses had limited adjustment for confounding.</w:t>
            </w:r>
          </w:p>
        </w:tc>
      </w:tr>
      <w:tr w14:paraId="04A2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509D2B5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Frisch et al. [25]</w:t>
            </w:r>
          </w:p>
        </w:tc>
        <w:tc>
          <w:tcPr>
            <w:tcW w:w="2896" w:type="dxa"/>
            <w:tcMar>
              <w:top w:w="40" w:type="dxa"/>
              <w:left w:w="40" w:type="dxa"/>
              <w:bottom w:w="40" w:type="dxa"/>
              <w:right w:w="40" w:type="dxa"/>
            </w:tcMar>
            <w:vAlign w:val="top"/>
          </w:tcPr>
          <w:p w14:paraId="602768E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self-report survey</w:t>
            </w:r>
          </w:p>
        </w:tc>
        <w:tc>
          <w:tcPr>
            <w:tcW w:w="2896" w:type="dxa"/>
            <w:tcMar>
              <w:top w:w="40" w:type="dxa"/>
              <w:left w:w="40" w:type="dxa"/>
              <w:bottom w:w="40" w:type="dxa"/>
              <w:right w:w="40" w:type="dxa"/>
            </w:tcMar>
            <w:vAlign w:val="top"/>
          </w:tcPr>
          <w:p w14:paraId="5FCF5D9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prevalence studies</w:t>
            </w:r>
          </w:p>
        </w:tc>
        <w:tc>
          <w:tcPr>
            <w:tcW w:w="2896" w:type="dxa"/>
            <w:tcMar>
              <w:top w:w="40" w:type="dxa"/>
              <w:left w:w="40" w:type="dxa"/>
              <w:bottom w:w="40" w:type="dxa"/>
              <w:right w:w="40" w:type="dxa"/>
            </w:tcMar>
            <w:vAlign w:val="top"/>
          </w:tcPr>
          <w:p w14:paraId="17D38EF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23899F6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focused specifically on nontraumatic shoulder pain in female high-school volleyball players. However, the regional sample and retrospective self-report introduced concerns about representativeness and recall bias.</w:t>
            </w:r>
          </w:p>
        </w:tc>
      </w:tr>
      <w:tr w14:paraId="1AB3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DA0700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Hadzic et al. [27]</w:t>
            </w:r>
          </w:p>
        </w:tc>
        <w:tc>
          <w:tcPr>
            <w:tcW w:w="2896" w:type="dxa"/>
            <w:tcMar>
              <w:top w:w="40" w:type="dxa"/>
              <w:left w:w="40" w:type="dxa"/>
              <w:bottom w:w="40" w:type="dxa"/>
              <w:right w:w="40" w:type="dxa"/>
            </w:tcMar>
            <w:vAlign w:val="top"/>
          </w:tcPr>
          <w:p w14:paraId="24E8D0C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laboratory study</w:t>
            </w:r>
          </w:p>
        </w:tc>
        <w:tc>
          <w:tcPr>
            <w:tcW w:w="2896" w:type="dxa"/>
            <w:tcMar>
              <w:top w:w="40" w:type="dxa"/>
              <w:left w:w="40" w:type="dxa"/>
              <w:bottom w:w="40" w:type="dxa"/>
              <w:right w:w="40" w:type="dxa"/>
            </w:tcMar>
            <w:vAlign w:val="top"/>
          </w:tcPr>
          <w:p w14:paraId="489B57C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67D7AAA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6372AAD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included a relatively large sample and objective isokinetic strength testing. However, injury history was self-reported and the cross-sectional design prevented conclusions about directionality.</w:t>
            </w:r>
          </w:p>
        </w:tc>
      </w:tr>
      <w:tr w14:paraId="68EA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7A6ACD2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Holzgraefe et al. [28]</w:t>
            </w:r>
          </w:p>
        </w:tc>
        <w:tc>
          <w:tcPr>
            <w:tcW w:w="2896" w:type="dxa"/>
            <w:tcMar>
              <w:top w:w="40" w:type="dxa"/>
              <w:left w:w="40" w:type="dxa"/>
              <w:bottom w:w="40" w:type="dxa"/>
              <w:right w:w="40" w:type="dxa"/>
            </w:tcMar>
            <w:vAlign w:val="top"/>
          </w:tcPr>
          <w:p w14:paraId="5234C6D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clinical and electrophysiological screening study</w:t>
            </w:r>
          </w:p>
        </w:tc>
        <w:tc>
          <w:tcPr>
            <w:tcW w:w="2896" w:type="dxa"/>
            <w:tcMar>
              <w:top w:w="40" w:type="dxa"/>
              <w:left w:w="40" w:type="dxa"/>
              <w:bottom w:w="40" w:type="dxa"/>
              <w:right w:w="40" w:type="dxa"/>
            </w:tcMar>
            <w:vAlign w:val="top"/>
          </w:tcPr>
          <w:p w14:paraId="5885571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prevalence studies</w:t>
            </w:r>
          </w:p>
        </w:tc>
        <w:tc>
          <w:tcPr>
            <w:tcW w:w="2896" w:type="dxa"/>
            <w:tcMar>
              <w:top w:w="40" w:type="dxa"/>
              <w:left w:w="40" w:type="dxa"/>
              <w:bottom w:w="40" w:type="dxa"/>
              <w:right w:w="40" w:type="dxa"/>
            </w:tcMar>
            <w:vAlign w:val="top"/>
          </w:tcPr>
          <w:p w14:paraId="3DCC585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58FBAC3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Electromyographic assessment provided objective outcome measurement. However, the sample was highly selected, involving high-level male volleyball players, and part of the wider sample was assessed clinically only.</w:t>
            </w:r>
          </w:p>
        </w:tc>
      </w:tr>
      <w:tr w14:paraId="061F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7DFDF76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Babaei Khorzoghi et al. [26]</w:t>
            </w:r>
          </w:p>
        </w:tc>
        <w:tc>
          <w:tcPr>
            <w:tcW w:w="2896" w:type="dxa"/>
            <w:tcMar>
              <w:top w:w="40" w:type="dxa"/>
              <w:left w:w="40" w:type="dxa"/>
              <w:bottom w:w="40" w:type="dxa"/>
              <w:right w:w="40" w:type="dxa"/>
            </w:tcMar>
            <w:vAlign w:val="top"/>
          </w:tcPr>
          <w:p w14:paraId="19D7659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Retrospective descriptive study</w:t>
            </w:r>
          </w:p>
        </w:tc>
        <w:tc>
          <w:tcPr>
            <w:tcW w:w="2896" w:type="dxa"/>
            <w:tcMar>
              <w:top w:w="40" w:type="dxa"/>
              <w:left w:w="40" w:type="dxa"/>
              <w:bottom w:w="40" w:type="dxa"/>
              <w:right w:w="40" w:type="dxa"/>
            </w:tcMar>
            <w:vAlign w:val="top"/>
          </w:tcPr>
          <w:p w14:paraId="66F09EB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prevalence studies</w:t>
            </w:r>
          </w:p>
        </w:tc>
        <w:tc>
          <w:tcPr>
            <w:tcW w:w="2896" w:type="dxa"/>
            <w:tcMar>
              <w:top w:w="40" w:type="dxa"/>
              <w:left w:w="40" w:type="dxa"/>
              <w:bottom w:w="40" w:type="dxa"/>
              <w:right w:w="40" w:type="dxa"/>
            </w:tcMar>
            <w:vAlign w:val="top"/>
          </w:tcPr>
          <w:p w14:paraId="635EA46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w:t>
            </w:r>
          </w:p>
        </w:tc>
        <w:tc>
          <w:tcPr>
            <w:tcW w:w="2896" w:type="dxa"/>
            <w:tcMar>
              <w:top w:w="40" w:type="dxa"/>
              <w:left w:w="40" w:type="dxa"/>
              <w:bottom w:w="40" w:type="dxa"/>
              <w:right w:w="40" w:type="dxa"/>
            </w:tcMar>
            <w:vAlign w:val="top"/>
          </w:tcPr>
          <w:p w14:paraId="5E6DF5E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used retrospective questionnaires and interviews to describe injuries and pain by playing position. Sampling, outcome measurement and control of confounding were limited.</w:t>
            </w:r>
          </w:p>
        </w:tc>
      </w:tr>
      <w:tr w14:paraId="0D1B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3270F40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Kim et al. [9]</w:t>
            </w:r>
          </w:p>
        </w:tc>
        <w:tc>
          <w:tcPr>
            <w:tcW w:w="2896" w:type="dxa"/>
            <w:tcMar>
              <w:top w:w="40" w:type="dxa"/>
              <w:left w:w="40" w:type="dxa"/>
              <w:bottom w:w="40" w:type="dxa"/>
              <w:right w:w="40" w:type="dxa"/>
            </w:tcMar>
            <w:vAlign w:val="top"/>
          </w:tcPr>
          <w:p w14:paraId="2BB4F16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2896" w:type="dxa"/>
            <w:tcMar>
              <w:top w:w="40" w:type="dxa"/>
              <w:left w:w="40" w:type="dxa"/>
              <w:bottom w:w="40" w:type="dxa"/>
              <w:right w:w="40" w:type="dxa"/>
            </w:tcMar>
            <w:vAlign w:val="top"/>
          </w:tcPr>
          <w:p w14:paraId="180C8CE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43D6DC6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2CF43DE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had a large sample and used objective ROM and UQYBT measurements. However, shoulder injury history was self-reported and the cross-sectional design did not permit causal interpretation.</w:t>
            </w:r>
          </w:p>
        </w:tc>
      </w:tr>
      <w:tr w14:paraId="7227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6F37C93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Kugler et al. [37]</w:t>
            </w:r>
          </w:p>
        </w:tc>
        <w:tc>
          <w:tcPr>
            <w:tcW w:w="2896" w:type="dxa"/>
            <w:tcMar>
              <w:top w:w="40" w:type="dxa"/>
              <w:left w:w="40" w:type="dxa"/>
              <w:bottom w:w="40" w:type="dxa"/>
              <w:right w:w="40" w:type="dxa"/>
            </w:tcMar>
            <w:vAlign w:val="top"/>
          </w:tcPr>
          <w:p w14:paraId="6EAF5C5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Case-control-type cross-sectional study</w:t>
            </w:r>
          </w:p>
        </w:tc>
        <w:tc>
          <w:tcPr>
            <w:tcW w:w="2896" w:type="dxa"/>
            <w:tcMar>
              <w:top w:w="40" w:type="dxa"/>
              <w:left w:w="40" w:type="dxa"/>
              <w:bottom w:w="40" w:type="dxa"/>
              <w:right w:w="40" w:type="dxa"/>
            </w:tcMar>
            <w:vAlign w:val="top"/>
          </w:tcPr>
          <w:p w14:paraId="5EF2446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case-control studies</w:t>
            </w:r>
          </w:p>
        </w:tc>
        <w:tc>
          <w:tcPr>
            <w:tcW w:w="2896" w:type="dxa"/>
            <w:tcMar>
              <w:top w:w="40" w:type="dxa"/>
              <w:left w:w="40" w:type="dxa"/>
              <w:bottom w:w="40" w:type="dxa"/>
              <w:right w:w="40" w:type="dxa"/>
            </w:tcMar>
            <w:vAlign w:val="top"/>
          </w:tcPr>
          <w:p w14:paraId="7E49839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517FC99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compared volleyball attackers with shoulder pain, volleyball attackers without shoulder pain, and non-overhead recreational controls. However, each group was small and confounding control was limited.</w:t>
            </w:r>
          </w:p>
        </w:tc>
      </w:tr>
      <w:tr w14:paraId="27C9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2047691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Mitchinson et al. [38]</w:t>
            </w:r>
          </w:p>
        </w:tc>
        <w:tc>
          <w:tcPr>
            <w:tcW w:w="2896" w:type="dxa"/>
            <w:tcMar>
              <w:top w:w="40" w:type="dxa"/>
              <w:left w:w="40" w:type="dxa"/>
              <w:bottom w:w="40" w:type="dxa"/>
              <w:right w:w="40" w:type="dxa"/>
            </w:tcMar>
            <w:vAlign w:val="top"/>
          </w:tcPr>
          <w:p w14:paraId="3BF905C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Case-control-type biomechanical study</w:t>
            </w:r>
          </w:p>
        </w:tc>
        <w:tc>
          <w:tcPr>
            <w:tcW w:w="2896" w:type="dxa"/>
            <w:tcMar>
              <w:top w:w="40" w:type="dxa"/>
              <w:left w:w="40" w:type="dxa"/>
              <w:bottom w:w="40" w:type="dxa"/>
              <w:right w:w="40" w:type="dxa"/>
            </w:tcMar>
            <w:vAlign w:val="top"/>
          </w:tcPr>
          <w:p w14:paraId="085AC13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case-control studies</w:t>
            </w:r>
          </w:p>
        </w:tc>
        <w:tc>
          <w:tcPr>
            <w:tcW w:w="2896" w:type="dxa"/>
            <w:tcMar>
              <w:top w:w="40" w:type="dxa"/>
              <w:left w:w="40" w:type="dxa"/>
              <w:bottom w:w="40" w:type="dxa"/>
              <w:right w:w="40" w:type="dxa"/>
            </w:tcMar>
            <w:vAlign w:val="top"/>
          </w:tcPr>
          <w:p w14:paraId="7D4E66A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52B118B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Kinematic measurements were objective. However, the sample was small and the laboratory spike task may not fully reflect match-play conditions.</w:t>
            </w:r>
          </w:p>
        </w:tc>
      </w:tr>
      <w:tr w14:paraId="494B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641D7E4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Mizoguchi et al. [10]</w:t>
            </w:r>
          </w:p>
        </w:tc>
        <w:tc>
          <w:tcPr>
            <w:tcW w:w="2896" w:type="dxa"/>
            <w:tcMar>
              <w:top w:w="40" w:type="dxa"/>
              <w:left w:w="40" w:type="dxa"/>
              <w:bottom w:w="40" w:type="dxa"/>
              <w:right w:w="40" w:type="dxa"/>
            </w:tcMar>
            <w:vAlign w:val="top"/>
          </w:tcPr>
          <w:p w14:paraId="34CC2FB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2896" w:type="dxa"/>
            <w:tcMar>
              <w:top w:w="40" w:type="dxa"/>
              <w:left w:w="40" w:type="dxa"/>
              <w:bottom w:w="40" w:type="dxa"/>
              <w:right w:w="40" w:type="dxa"/>
            </w:tcMar>
            <w:vAlign w:val="top"/>
          </w:tcPr>
          <w:p w14:paraId="3389A63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6FFFF68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3667F4D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Nontraumatic shoulder pain was clearly defined, and ROM, strength, proprioception and dynamic stability were assessed, with logistic regression used for analysis. However, the sample was modest and the cross-sectional design did not establish the direction of associations.</w:t>
            </w:r>
          </w:p>
        </w:tc>
      </w:tr>
      <w:tr w14:paraId="31E9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1447560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Mousavi Sadati &amp; Yazdani, 2020</w:t>
            </w:r>
          </w:p>
        </w:tc>
        <w:tc>
          <w:tcPr>
            <w:tcW w:w="2896" w:type="dxa"/>
            <w:tcMar>
              <w:top w:w="40" w:type="dxa"/>
              <w:left w:w="40" w:type="dxa"/>
              <w:bottom w:w="40" w:type="dxa"/>
              <w:right w:w="40" w:type="dxa"/>
            </w:tcMar>
            <w:vAlign w:val="top"/>
          </w:tcPr>
          <w:p w14:paraId="728325B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 study</w:t>
            </w:r>
          </w:p>
        </w:tc>
        <w:tc>
          <w:tcPr>
            <w:tcW w:w="2896" w:type="dxa"/>
            <w:tcMar>
              <w:top w:w="40" w:type="dxa"/>
              <w:left w:w="40" w:type="dxa"/>
              <w:bottom w:w="40" w:type="dxa"/>
              <w:right w:w="40" w:type="dxa"/>
            </w:tcMar>
            <w:vAlign w:val="top"/>
          </w:tcPr>
          <w:p w14:paraId="30F1102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case-control studies</w:t>
            </w:r>
          </w:p>
        </w:tc>
        <w:tc>
          <w:tcPr>
            <w:tcW w:w="2896" w:type="dxa"/>
            <w:tcMar>
              <w:top w:w="40" w:type="dxa"/>
              <w:left w:w="40" w:type="dxa"/>
              <w:bottom w:w="40" w:type="dxa"/>
              <w:right w:w="40" w:type="dxa"/>
            </w:tcMar>
            <w:vAlign w:val="top"/>
          </w:tcPr>
          <w:p w14:paraId="100214F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w:t>
            </w:r>
          </w:p>
        </w:tc>
        <w:tc>
          <w:tcPr>
            <w:tcW w:w="2896" w:type="dxa"/>
            <w:tcMar>
              <w:top w:w="40" w:type="dxa"/>
              <w:left w:w="40" w:type="dxa"/>
              <w:bottom w:w="40" w:type="dxa"/>
              <w:right w:w="40" w:type="dxa"/>
            </w:tcMar>
            <w:vAlign w:val="top"/>
          </w:tcPr>
          <w:p w14:paraId="4159965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included only 22 male volleyball players and used convenience sampling. Control of confounding was limited, so the findings should be interpreted as exploratory.</w:t>
            </w:r>
          </w:p>
        </w:tc>
      </w:tr>
      <w:tr w14:paraId="00CD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1CF8AA1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Nascimento et al. [29]</w:t>
            </w:r>
          </w:p>
        </w:tc>
        <w:tc>
          <w:tcPr>
            <w:tcW w:w="2896" w:type="dxa"/>
            <w:tcMar>
              <w:top w:w="40" w:type="dxa"/>
              <w:left w:w="40" w:type="dxa"/>
              <w:bottom w:w="40" w:type="dxa"/>
              <w:right w:w="40" w:type="dxa"/>
            </w:tcMar>
            <w:vAlign w:val="top"/>
          </w:tcPr>
          <w:p w14:paraId="267638A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2896" w:type="dxa"/>
            <w:tcMar>
              <w:top w:w="40" w:type="dxa"/>
              <w:left w:w="40" w:type="dxa"/>
              <w:bottom w:w="40" w:type="dxa"/>
              <w:right w:w="40" w:type="dxa"/>
            </w:tcMar>
            <w:vAlign w:val="top"/>
          </w:tcPr>
          <w:p w14:paraId="7802714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07D3F92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w:t>
            </w:r>
          </w:p>
        </w:tc>
        <w:tc>
          <w:tcPr>
            <w:tcW w:w="2896" w:type="dxa"/>
            <w:tcMar>
              <w:top w:w="40" w:type="dxa"/>
              <w:left w:w="40" w:type="dxa"/>
              <w:bottom w:w="40" w:type="dxa"/>
              <w:right w:w="40" w:type="dxa"/>
            </w:tcMar>
            <w:vAlign w:val="top"/>
          </w:tcPr>
          <w:p w14:paraId="5E1B418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Isokinetic peak torque was objectively measured, but the sample was small, shoulder injury history was self-reported, and confounding was not adequately controlled.</w:t>
            </w:r>
          </w:p>
        </w:tc>
      </w:tr>
      <w:tr w14:paraId="43DE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158950A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Reeser et al. [2]</w:t>
            </w:r>
          </w:p>
        </w:tc>
        <w:tc>
          <w:tcPr>
            <w:tcW w:w="2896" w:type="dxa"/>
            <w:tcMar>
              <w:top w:w="40" w:type="dxa"/>
              <w:left w:w="40" w:type="dxa"/>
              <w:bottom w:w="40" w:type="dxa"/>
              <w:right w:w="40" w:type="dxa"/>
            </w:tcMar>
            <w:vAlign w:val="top"/>
          </w:tcPr>
          <w:p w14:paraId="381E2AE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observational study</w:t>
            </w:r>
          </w:p>
        </w:tc>
        <w:tc>
          <w:tcPr>
            <w:tcW w:w="2896" w:type="dxa"/>
            <w:tcMar>
              <w:top w:w="40" w:type="dxa"/>
              <w:left w:w="40" w:type="dxa"/>
              <w:bottom w:w="40" w:type="dxa"/>
              <w:right w:w="40" w:type="dxa"/>
            </w:tcMar>
            <w:vAlign w:val="top"/>
          </w:tcPr>
          <w:p w14:paraId="660502D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7856039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6889AEF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included a large sample and combined questionnaire data with physical examination. However, the event-based volunteer sample, response/coverage concerns and limited confounding control restricted interpretation.</w:t>
            </w:r>
          </w:p>
        </w:tc>
      </w:tr>
      <w:tr w14:paraId="358D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173D96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Schmalzl et al. [12]</w:t>
            </w:r>
          </w:p>
        </w:tc>
        <w:tc>
          <w:tcPr>
            <w:tcW w:w="2896" w:type="dxa"/>
            <w:tcMar>
              <w:top w:w="40" w:type="dxa"/>
              <w:left w:w="40" w:type="dxa"/>
              <w:bottom w:w="40" w:type="dxa"/>
              <w:right w:w="40" w:type="dxa"/>
            </w:tcMar>
            <w:vAlign w:val="top"/>
          </w:tcPr>
          <w:p w14:paraId="6E246B9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2896" w:type="dxa"/>
            <w:tcMar>
              <w:top w:w="40" w:type="dxa"/>
              <w:left w:w="40" w:type="dxa"/>
              <w:bottom w:w="40" w:type="dxa"/>
              <w:right w:w="40" w:type="dxa"/>
            </w:tcMar>
            <w:vAlign w:val="top"/>
          </w:tcPr>
          <w:p w14:paraId="0CE5399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16889DE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3F5D0BC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ROM, GIRD and postero-superior impingement were clearly assessed, and volleyball subgroup data were extractable. However, the mixed-sport design and cross-sectional nature limited causal interpretation.</w:t>
            </w:r>
          </w:p>
        </w:tc>
      </w:tr>
      <w:tr w14:paraId="5192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7A3BF57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Shih &amp; Wang, 2019</w:t>
            </w:r>
          </w:p>
        </w:tc>
        <w:tc>
          <w:tcPr>
            <w:tcW w:w="2896" w:type="dxa"/>
            <w:tcMar>
              <w:top w:w="40" w:type="dxa"/>
              <w:left w:w="40" w:type="dxa"/>
              <w:bottom w:w="40" w:type="dxa"/>
              <w:right w:w="40" w:type="dxa"/>
            </w:tcMar>
            <w:vAlign w:val="top"/>
          </w:tcPr>
          <w:p w14:paraId="6593FFC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biomechanical study</w:t>
            </w:r>
          </w:p>
        </w:tc>
        <w:tc>
          <w:tcPr>
            <w:tcW w:w="2896" w:type="dxa"/>
            <w:tcMar>
              <w:top w:w="40" w:type="dxa"/>
              <w:left w:w="40" w:type="dxa"/>
              <w:bottom w:w="40" w:type="dxa"/>
              <w:right w:w="40" w:type="dxa"/>
            </w:tcMar>
            <w:vAlign w:val="top"/>
          </w:tcPr>
          <w:p w14:paraId="25D34DA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0655AC0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396BD0D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compared volleyball players with shoulder pain and matched asymptomatic controls using objective three-dimensional kinematic assessment. However, the laboratory setting, modest sample size and cross-sectional design prevented causal interpretation.</w:t>
            </w:r>
          </w:p>
        </w:tc>
      </w:tr>
      <w:tr w14:paraId="5783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3D1EC40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Skazalski et al. [39]</w:t>
            </w:r>
          </w:p>
        </w:tc>
        <w:tc>
          <w:tcPr>
            <w:tcW w:w="2896" w:type="dxa"/>
            <w:tcMar>
              <w:top w:w="40" w:type="dxa"/>
              <w:left w:w="40" w:type="dxa"/>
              <w:bottom w:w="40" w:type="dxa"/>
              <w:right w:w="40" w:type="dxa"/>
            </w:tcMar>
            <w:vAlign w:val="top"/>
          </w:tcPr>
          <w:p w14:paraId="4048A20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repeated-measures prevalence study</w:t>
            </w:r>
          </w:p>
        </w:tc>
        <w:tc>
          <w:tcPr>
            <w:tcW w:w="2896" w:type="dxa"/>
            <w:tcMar>
              <w:top w:w="40" w:type="dxa"/>
              <w:left w:w="40" w:type="dxa"/>
              <w:bottom w:w="40" w:type="dxa"/>
              <w:right w:w="40" w:type="dxa"/>
            </w:tcMar>
            <w:vAlign w:val="top"/>
          </w:tcPr>
          <w:p w14:paraId="5B3CF1A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cohort studies</w:t>
            </w:r>
          </w:p>
        </w:tc>
        <w:tc>
          <w:tcPr>
            <w:tcW w:w="2896" w:type="dxa"/>
            <w:tcMar>
              <w:top w:w="40" w:type="dxa"/>
              <w:left w:w="40" w:type="dxa"/>
              <w:bottom w:w="40" w:type="dxa"/>
              <w:right w:w="40" w:type="dxa"/>
            </w:tcMar>
            <w:vAlign w:val="top"/>
          </w:tcPr>
          <w:p w14:paraId="68F50C4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15D9D35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used the OSTRC questionnaire and repeated symptom monitoring to capture non-time-loss knee, low back and shoulder problems. However, outcomes were self-reported and the sample was drawn from a small number of high-level teams.</w:t>
            </w:r>
          </w:p>
        </w:tc>
      </w:tr>
      <w:tr w14:paraId="49C3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9E80EA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Stickley et al. [36]</w:t>
            </w:r>
          </w:p>
        </w:tc>
        <w:tc>
          <w:tcPr>
            <w:tcW w:w="2896" w:type="dxa"/>
            <w:tcMar>
              <w:top w:w="40" w:type="dxa"/>
              <w:left w:w="40" w:type="dxa"/>
              <w:bottom w:w="40" w:type="dxa"/>
              <w:right w:w="40" w:type="dxa"/>
            </w:tcMar>
            <w:vAlign w:val="top"/>
          </w:tcPr>
          <w:p w14:paraId="52D6563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study</w:t>
            </w:r>
          </w:p>
        </w:tc>
        <w:tc>
          <w:tcPr>
            <w:tcW w:w="2896" w:type="dxa"/>
            <w:tcMar>
              <w:top w:w="40" w:type="dxa"/>
              <w:left w:w="40" w:type="dxa"/>
              <w:bottom w:w="40" w:type="dxa"/>
              <w:right w:w="40" w:type="dxa"/>
            </w:tcMar>
            <w:vAlign w:val="top"/>
          </w:tcPr>
          <w:p w14:paraId="05AA894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1071E6F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0248A60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Isokinetic testing was objective. However, the sample was small, previous shoulder injury was self-reported, and confounding control was limited.</w:t>
            </w:r>
          </w:p>
        </w:tc>
      </w:tr>
      <w:tr w14:paraId="5CEE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74E4A81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Wang &amp; Cochrane, 2001a</w:t>
            </w:r>
          </w:p>
        </w:tc>
        <w:tc>
          <w:tcPr>
            <w:tcW w:w="2896" w:type="dxa"/>
            <w:tcMar>
              <w:top w:w="40" w:type="dxa"/>
              <w:left w:w="40" w:type="dxa"/>
              <w:bottom w:w="40" w:type="dxa"/>
              <w:right w:w="40" w:type="dxa"/>
            </w:tcMar>
            <w:vAlign w:val="top"/>
          </w:tcPr>
          <w:p w14:paraId="2C7E6FC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(descriptive epidemiological) study</w:t>
            </w:r>
          </w:p>
        </w:tc>
        <w:tc>
          <w:tcPr>
            <w:tcW w:w="2896" w:type="dxa"/>
            <w:tcMar>
              <w:top w:w="40" w:type="dxa"/>
              <w:left w:w="40" w:type="dxa"/>
              <w:bottom w:w="40" w:type="dxa"/>
              <w:right w:w="40" w:type="dxa"/>
            </w:tcMar>
            <w:vAlign w:val="top"/>
          </w:tcPr>
          <w:p w14:paraId="2DF3BD5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cohort studies</w:t>
            </w:r>
          </w:p>
        </w:tc>
        <w:tc>
          <w:tcPr>
            <w:tcW w:w="2896" w:type="dxa"/>
            <w:tcMar>
              <w:top w:w="40" w:type="dxa"/>
              <w:left w:w="40" w:type="dxa"/>
              <w:bottom w:w="40" w:type="dxa"/>
              <w:right w:w="40" w:type="dxa"/>
            </w:tcMar>
            <w:vAlign w:val="top"/>
          </w:tcPr>
          <w:p w14:paraId="0D5A6DA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6C2916D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Baseline and monthly follow-up questionnaires were used to describe shoulder injury and pain in top-level male volleyball players. However, the sample was small and several outcomes depended on self-report.</w:t>
            </w:r>
          </w:p>
        </w:tc>
      </w:tr>
      <w:tr w14:paraId="5064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2B7F7AF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Wang &amp; Cochrane, 2001b</w:t>
            </w:r>
          </w:p>
        </w:tc>
        <w:tc>
          <w:tcPr>
            <w:tcW w:w="2896" w:type="dxa"/>
            <w:tcMar>
              <w:top w:w="40" w:type="dxa"/>
              <w:left w:w="40" w:type="dxa"/>
              <w:bottom w:w="40" w:type="dxa"/>
              <w:right w:w="40" w:type="dxa"/>
            </w:tcMar>
            <w:vAlign w:val="top"/>
          </w:tcPr>
          <w:p w14:paraId="2D18D28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Small-sample functional assessment study</w:t>
            </w:r>
          </w:p>
        </w:tc>
        <w:tc>
          <w:tcPr>
            <w:tcW w:w="2896" w:type="dxa"/>
            <w:tcMar>
              <w:top w:w="40" w:type="dxa"/>
              <w:left w:w="40" w:type="dxa"/>
              <w:bottom w:w="40" w:type="dxa"/>
              <w:right w:w="40" w:type="dxa"/>
            </w:tcMar>
            <w:vAlign w:val="top"/>
          </w:tcPr>
          <w:p w14:paraId="3AEAA11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370C631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w:t>
            </w:r>
          </w:p>
        </w:tc>
        <w:tc>
          <w:tcPr>
            <w:tcW w:w="2896" w:type="dxa"/>
            <w:tcMar>
              <w:top w:w="40" w:type="dxa"/>
              <w:left w:w="40" w:type="dxa"/>
              <w:bottom w:w="40" w:type="dxa"/>
              <w:right w:w="40" w:type="dxa"/>
            </w:tcMar>
            <w:vAlign w:val="top"/>
          </w:tcPr>
          <w:p w14:paraId="19B08D9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assessed strength, mobility, muscle imbalance and scapular asymmetry in 16 elite male volleyball players. However, the sample was very small, and statistical stability and confounding control were limited.</w:t>
            </w:r>
          </w:p>
        </w:tc>
      </w:tr>
      <w:tr w14:paraId="3731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6EEB86C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Witvrouw et al. [31]</w:t>
            </w:r>
          </w:p>
        </w:tc>
        <w:tc>
          <w:tcPr>
            <w:tcW w:w="2896" w:type="dxa"/>
            <w:tcMar>
              <w:top w:w="40" w:type="dxa"/>
              <w:left w:w="40" w:type="dxa"/>
              <w:bottom w:w="40" w:type="dxa"/>
              <w:right w:w="40" w:type="dxa"/>
            </w:tcMar>
            <w:vAlign w:val="top"/>
          </w:tcPr>
          <w:p w14:paraId="647859F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clinical study</w:t>
            </w:r>
          </w:p>
        </w:tc>
        <w:tc>
          <w:tcPr>
            <w:tcW w:w="2896" w:type="dxa"/>
            <w:tcMar>
              <w:top w:w="40" w:type="dxa"/>
              <w:left w:w="40" w:type="dxa"/>
              <w:bottom w:w="40" w:type="dxa"/>
              <w:right w:w="40" w:type="dxa"/>
            </w:tcMar>
            <w:vAlign w:val="top"/>
          </w:tcPr>
          <w:p w14:paraId="4894181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29225B7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706B5C8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EMG, ROM and isokinetic testing provided objective measurements. However, the study involved only 16 national-level male volleyball players, resulting in a small and highly selected sample.</w:t>
            </w:r>
          </w:p>
        </w:tc>
      </w:tr>
      <w:tr w14:paraId="6764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41CB77F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Wolfe et al. [32]</w:t>
            </w:r>
          </w:p>
        </w:tc>
        <w:tc>
          <w:tcPr>
            <w:tcW w:w="2896" w:type="dxa"/>
            <w:tcMar>
              <w:top w:w="40" w:type="dxa"/>
              <w:left w:w="40" w:type="dxa"/>
              <w:bottom w:w="40" w:type="dxa"/>
              <w:right w:w="40" w:type="dxa"/>
            </w:tcMar>
            <w:vAlign w:val="top"/>
          </w:tcPr>
          <w:p w14:paraId="13A820E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study</w:t>
            </w:r>
          </w:p>
        </w:tc>
        <w:tc>
          <w:tcPr>
            <w:tcW w:w="2896" w:type="dxa"/>
            <w:tcMar>
              <w:top w:w="40" w:type="dxa"/>
              <w:left w:w="40" w:type="dxa"/>
              <w:bottom w:w="40" w:type="dxa"/>
              <w:right w:w="40" w:type="dxa"/>
            </w:tcMar>
            <w:vAlign w:val="top"/>
          </w:tcPr>
          <w:p w14:paraId="58DF4DD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cohort studies</w:t>
            </w:r>
          </w:p>
        </w:tc>
        <w:tc>
          <w:tcPr>
            <w:tcW w:w="2896" w:type="dxa"/>
            <w:tcMar>
              <w:top w:w="40" w:type="dxa"/>
              <w:left w:w="40" w:type="dxa"/>
              <w:bottom w:w="40" w:type="dxa"/>
              <w:right w:w="40" w:type="dxa"/>
            </w:tcMar>
            <w:vAlign w:val="top"/>
          </w:tcPr>
          <w:p w14:paraId="71207C9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325F88F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prospectively recorded overhead swing volume and injury-related participation restriction over two seasons. However, it involved a single women’s collegiate team, and the relationship between workload and injury could only be interpreted as associative.</w:t>
            </w:r>
          </w:p>
        </w:tc>
      </w:tr>
      <w:tr w14:paraId="4B4B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2A0A1D3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Zandi et al. [13]</w:t>
            </w:r>
          </w:p>
        </w:tc>
        <w:tc>
          <w:tcPr>
            <w:tcW w:w="2896" w:type="dxa"/>
            <w:tcMar>
              <w:top w:w="40" w:type="dxa"/>
              <w:left w:w="40" w:type="dxa"/>
              <w:bottom w:w="40" w:type="dxa"/>
              <w:right w:w="40" w:type="dxa"/>
            </w:tcMar>
            <w:vAlign w:val="top"/>
          </w:tcPr>
          <w:p w14:paraId="3431E2E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 study</w:t>
            </w:r>
          </w:p>
        </w:tc>
        <w:tc>
          <w:tcPr>
            <w:tcW w:w="2896" w:type="dxa"/>
            <w:tcMar>
              <w:top w:w="40" w:type="dxa"/>
              <w:left w:w="40" w:type="dxa"/>
              <w:bottom w:w="40" w:type="dxa"/>
              <w:right w:w="40" w:type="dxa"/>
            </w:tcMar>
            <w:vAlign w:val="top"/>
          </w:tcPr>
          <w:p w14:paraId="5E31779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case-control studies</w:t>
            </w:r>
          </w:p>
        </w:tc>
        <w:tc>
          <w:tcPr>
            <w:tcW w:w="2896" w:type="dxa"/>
            <w:tcMar>
              <w:top w:w="40" w:type="dxa"/>
              <w:left w:w="40" w:type="dxa"/>
              <w:bottom w:w="40" w:type="dxa"/>
              <w:right w:w="40" w:type="dxa"/>
            </w:tcMar>
            <w:vAlign w:val="top"/>
          </w:tcPr>
          <w:p w14:paraId="32B3C6A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10B7AF0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groups were broadly comparable and core endurance tests were clearly described. However, each group included only 14 players, and the design could not determine whether reduced core endurance was a cause or consequence of shoulder instability.</w:t>
            </w:r>
          </w:p>
        </w:tc>
      </w:tr>
      <w:tr w14:paraId="2B43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47D42BB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 Toledo et al. [40]</w:t>
            </w:r>
          </w:p>
        </w:tc>
        <w:tc>
          <w:tcPr>
            <w:tcW w:w="2896" w:type="dxa"/>
            <w:tcMar>
              <w:top w:w="40" w:type="dxa"/>
              <w:left w:w="40" w:type="dxa"/>
              <w:bottom w:w="40" w:type="dxa"/>
              <w:right w:w="40" w:type="dxa"/>
            </w:tcMar>
            <w:vAlign w:val="top"/>
          </w:tcPr>
          <w:p w14:paraId="75A798D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Prospective cohort study</w:t>
            </w:r>
          </w:p>
        </w:tc>
        <w:tc>
          <w:tcPr>
            <w:tcW w:w="2896" w:type="dxa"/>
            <w:tcMar>
              <w:top w:w="40" w:type="dxa"/>
              <w:left w:w="40" w:type="dxa"/>
              <w:bottom w:w="40" w:type="dxa"/>
              <w:right w:w="40" w:type="dxa"/>
            </w:tcMar>
            <w:vAlign w:val="top"/>
          </w:tcPr>
          <w:p w14:paraId="2711818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cohort studies</w:t>
            </w:r>
          </w:p>
        </w:tc>
        <w:tc>
          <w:tcPr>
            <w:tcW w:w="2896" w:type="dxa"/>
            <w:tcMar>
              <w:top w:w="40" w:type="dxa"/>
              <w:left w:w="40" w:type="dxa"/>
              <w:bottom w:w="40" w:type="dxa"/>
              <w:right w:w="40" w:type="dxa"/>
            </w:tcMar>
            <w:vAlign w:val="top"/>
          </w:tcPr>
          <w:p w14:paraId="1D1D190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2936568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used a prospective design, clearly defined shoulder pain, shoulder injury, and shoulder-related functional disability, and assessed multiple candidate factors before follow-up. However, the sample was based on convenience recruitment, the number of events was limited for some outcomes, and several estimates were imprecise, particularly for reinjury.</w:t>
            </w:r>
          </w:p>
        </w:tc>
      </w:tr>
      <w:tr w14:paraId="77A9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1A970BF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Sá et al. [41]</w:t>
            </w:r>
          </w:p>
        </w:tc>
        <w:tc>
          <w:tcPr>
            <w:tcW w:w="2896" w:type="dxa"/>
            <w:tcMar>
              <w:top w:w="40" w:type="dxa"/>
              <w:left w:w="40" w:type="dxa"/>
              <w:bottom w:w="40" w:type="dxa"/>
              <w:right w:w="40" w:type="dxa"/>
            </w:tcMar>
            <w:vAlign w:val="top"/>
          </w:tcPr>
          <w:p w14:paraId="2809B22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Analytical cross-sectional study</w:t>
            </w:r>
          </w:p>
        </w:tc>
        <w:tc>
          <w:tcPr>
            <w:tcW w:w="2896" w:type="dxa"/>
            <w:tcMar>
              <w:top w:w="40" w:type="dxa"/>
              <w:left w:w="40" w:type="dxa"/>
              <w:bottom w:w="40" w:type="dxa"/>
              <w:right w:w="40" w:type="dxa"/>
            </w:tcMar>
            <w:vAlign w:val="top"/>
          </w:tcPr>
          <w:p w14:paraId="02EBB04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341B2B0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Moderate</w:t>
            </w:r>
          </w:p>
        </w:tc>
        <w:tc>
          <w:tcPr>
            <w:tcW w:w="2896" w:type="dxa"/>
            <w:tcMar>
              <w:top w:w="40" w:type="dxa"/>
              <w:left w:w="40" w:type="dxa"/>
              <w:bottom w:w="40" w:type="dxa"/>
              <w:right w:w="40" w:type="dxa"/>
            </w:tcMar>
            <w:vAlign w:val="top"/>
          </w:tcPr>
          <w:p w14:paraId="6A4BEFE4">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clearly defined shoulder pain history, used standardised ROM measurements, and applied multivariable logistic regression. However, the cross-sectional design prevents temporal inference, shoulder pain history was self-reported, and residual confounding remains possible.</w:t>
            </w:r>
          </w:p>
        </w:tc>
      </w:tr>
      <w:tr w14:paraId="2B15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B33B25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Tilp et al. [42]</w:t>
            </w:r>
          </w:p>
        </w:tc>
        <w:tc>
          <w:tcPr>
            <w:tcW w:w="2896" w:type="dxa"/>
            <w:tcMar>
              <w:top w:w="40" w:type="dxa"/>
              <w:left w:w="40" w:type="dxa"/>
              <w:bottom w:w="40" w:type="dxa"/>
              <w:right w:w="40" w:type="dxa"/>
            </w:tcMar>
            <w:vAlign w:val="top"/>
          </w:tcPr>
          <w:p w14:paraId="4247D76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online questionnaire study</w:t>
            </w:r>
          </w:p>
        </w:tc>
        <w:tc>
          <w:tcPr>
            <w:tcW w:w="2896" w:type="dxa"/>
            <w:tcMar>
              <w:top w:w="40" w:type="dxa"/>
              <w:left w:w="40" w:type="dxa"/>
              <w:bottom w:w="40" w:type="dxa"/>
              <w:right w:w="40" w:type="dxa"/>
            </w:tcMar>
            <w:vAlign w:val="top"/>
          </w:tcPr>
          <w:p w14:paraId="048E631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JBI checklist for analytical cross-sectional studies</w:t>
            </w:r>
          </w:p>
        </w:tc>
        <w:tc>
          <w:tcPr>
            <w:tcW w:w="2896" w:type="dxa"/>
            <w:tcMar>
              <w:top w:w="40" w:type="dxa"/>
              <w:left w:w="40" w:type="dxa"/>
              <w:bottom w:w="40" w:type="dxa"/>
              <w:right w:w="40" w:type="dxa"/>
            </w:tcMar>
            <w:vAlign w:val="top"/>
          </w:tcPr>
          <w:p w14:paraId="56E53F1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High</w:t>
            </w:r>
          </w:p>
        </w:tc>
        <w:tc>
          <w:tcPr>
            <w:tcW w:w="2896" w:type="dxa"/>
            <w:tcMar>
              <w:top w:w="40" w:type="dxa"/>
              <w:left w:w="40" w:type="dxa"/>
              <w:bottom w:w="40" w:type="dxa"/>
              <w:right w:w="40" w:type="dxa"/>
            </w:tcMar>
            <w:vAlign w:val="top"/>
          </w:tcPr>
          <w:p w14:paraId="5D0EEF9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 study addressed a relevant association between spike technique and shoulder injuries or symptoms, but both exposure and outcomes were self-reported by questionnaire, no clinical verification of shoulder injury or symptoms was included, and confounding control was limited.</w:t>
            </w:r>
          </w:p>
        </w:tc>
      </w:tr>
    </w:tbl>
    <w:p w14:paraId="48DF83A8">
      <w:pPr>
        <w:spacing w:before="120"/>
        <w:rPr>
          <w:rFonts w:hint="default" w:ascii="Times New Roman" w:hAnsi="Times New Roman" w:cs="Times New Roman"/>
          <w:sz w:val="18"/>
          <w:szCs w:val="18"/>
        </w:rPr>
      </w:pPr>
      <w:r>
        <w:rPr>
          <w:rFonts w:hint="default" w:ascii="Times New Roman" w:hAnsi="Times New Roman" w:cs="Times New Roman"/>
          <w:sz w:val="18"/>
          <w:szCs w:val="18"/>
        </w:rPr>
        <w:t>Note. The study design column describes the data-collection or reporting design as described in the original study, whereas the JBI tool applied reflects the appraisal tool selected according to the study's primary design and primary evidence contribution to this review. Therefore, cross-sectional self-report surveys or clinical screening studies were appraised with the prevalence checklist when their main contribution was a denominator-based shoulder-problem prevalence or descriptive burden estimate.JBI, Joanna Briggs Institute; ROM, range of motion; GIRD, glenohumeral internal rotation deficit; ERG, external rotation gain; TROM, total range of motion; PSI, postero-superior impingement; VAS, visual analogue scale; DASH, Disabilities of the Arm, Shoulder and Hand; ASES, American Shoulder and Elbow Surgeons score; UQYBT, Upper Quarter Y-Balance Test; EMG, electromyography; OSTRC, Oslo Sports Trauma Research Centre. Each JBI item was rated as Yes, No, or Unclear. Overall risk-of-bias judgements were assigned at the study level using prespecified rules based on the number of concerns and whether critical domains were affected. Contextual whole-body volleyball injury studies summarised in Supplementary Table S3 were not included in the risk-of-bias assessment.</w:t>
      </w:r>
    </w:p>
    <w:p w14:paraId="72E069FB">
      <w:pPr>
        <w:rPr>
          <w:rFonts w:hint="default" w:ascii="Times New Roman" w:hAnsi="Times New Roman" w:cs="Times New Roman"/>
          <w:sz w:val="18"/>
          <w:szCs w:val="18"/>
        </w:rPr>
      </w:pPr>
      <w:r>
        <w:rPr>
          <w:rFonts w:hint="default" w:ascii="Times New Roman" w:hAnsi="Times New Roman" w:cs="Times New Roman"/>
          <w:sz w:val="18"/>
          <w:szCs w:val="18"/>
        </w:rPr>
        <w:br w:type="page"/>
      </w:r>
    </w:p>
    <w:p w14:paraId="1AD8516F">
      <w:pPr>
        <w:jc w:val="center"/>
        <w:rPr>
          <w:rFonts w:hint="default" w:ascii="Times New Roman" w:hAnsi="Times New Roman" w:cs="Times New Roman"/>
          <w:sz w:val="18"/>
          <w:szCs w:val="18"/>
        </w:rPr>
      </w:pPr>
      <w:r>
        <w:rPr>
          <w:rFonts w:hint="default" w:ascii="Times New Roman" w:hAnsi="Times New Roman" w:cs="Times New Roman"/>
          <w:b/>
          <w:sz w:val="18"/>
          <w:szCs w:val="18"/>
        </w:rPr>
        <w:t>Supplementary Table S8. Summary of key findings and main evidence limitations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6"/>
        <w:gridCol w:w="2896"/>
        <w:gridCol w:w="2896"/>
        <w:gridCol w:w="2896"/>
        <w:gridCol w:w="2896"/>
      </w:tblGrid>
      <w:tr w14:paraId="7F07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96" w:type="dxa"/>
            <w:tcMar>
              <w:top w:w="40" w:type="dxa"/>
              <w:left w:w="40" w:type="dxa"/>
              <w:bottom w:w="40" w:type="dxa"/>
              <w:right w:w="40" w:type="dxa"/>
            </w:tcMar>
            <w:vAlign w:val="top"/>
          </w:tcPr>
          <w:p w14:paraId="4CA2EBC5">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Finding</w:t>
            </w:r>
          </w:p>
        </w:tc>
        <w:tc>
          <w:tcPr>
            <w:tcW w:w="2896" w:type="dxa"/>
            <w:tcMar>
              <w:top w:w="40" w:type="dxa"/>
              <w:left w:w="40" w:type="dxa"/>
              <w:bottom w:w="40" w:type="dxa"/>
              <w:right w:w="40" w:type="dxa"/>
            </w:tcMar>
            <w:vAlign w:val="top"/>
          </w:tcPr>
          <w:p w14:paraId="4FD49A1D">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Contributing studies</w:t>
            </w:r>
          </w:p>
        </w:tc>
        <w:tc>
          <w:tcPr>
            <w:tcW w:w="2896" w:type="dxa"/>
            <w:tcMar>
              <w:top w:w="40" w:type="dxa"/>
              <w:left w:w="40" w:type="dxa"/>
              <w:bottom w:w="40" w:type="dxa"/>
              <w:right w:w="40" w:type="dxa"/>
            </w:tcMar>
            <w:vAlign w:val="top"/>
          </w:tcPr>
          <w:p w14:paraId="2BF07C48">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Main evidence basis</w:t>
            </w:r>
          </w:p>
        </w:tc>
        <w:tc>
          <w:tcPr>
            <w:tcW w:w="2896" w:type="dxa"/>
            <w:tcMar>
              <w:top w:w="40" w:type="dxa"/>
              <w:left w:w="40" w:type="dxa"/>
              <w:bottom w:w="40" w:type="dxa"/>
              <w:right w:w="40" w:type="dxa"/>
            </w:tcMar>
            <w:vAlign w:val="top"/>
          </w:tcPr>
          <w:p w14:paraId="6971C286">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Key limitations</w:t>
            </w:r>
          </w:p>
        </w:tc>
        <w:tc>
          <w:tcPr>
            <w:tcW w:w="2896" w:type="dxa"/>
            <w:tcMar>
              <w:top w:w="40" w:type="dxa"/>
              <w:left w:w="40" w:type="dxa"/>
              <w:bottom w:w="40" w:type="dxa"/>
              <w:right w:w="40" w:type="dxa"/>
            </w:tcMar>
            <w:vAlign w:val="top"/>
          </w:tcPr>
          <w:p w14:paraId="6E27AD7A">
            <w:pPr>
              <w:spacing w:before="0" w:after="0" w:line="240" w:lineRule="auto"/>
              <w:rPr>
                <w:rFonts w:hint="default" w:ascii="Times New Roman" w:hAnsi="Times New Roman" w:cs="Times New Roman"/>
                <w:sz w:val="18"/>
                <w:szCs w:val="18"/>
              </w:rPr>
            </w:pPr>
            <w:r>
              <w:rPr>
                <w:rFonts w:hint="default" w:ascii="Times New Roman" w:hAnsi="Times New Roman" w:cs="Times New Roman"/>
                <w:b/>
                <w:sz w:val="18"/>
                <w:szCs w:val="18"/>
              </w:rPr>
              <w:t>Interpretation</w:t>
            </w:r>
          </w:p>
        </w:tc>
      </w:tr>
      <w:tr w14:paraId="34DB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47CC7EC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and shoulder-related complaints are common, but burden estimates vary by outcome definition and recall period.</w:t>
            </w:r>
          </w:p>
        </w:tc>
        <w:tc>
          <w:tcPr>
            <w:tcW w:w="2896" w:type="dxa"/>
            <w:tcMar>
              <w:top w:w="40" w:type="dxa"/>
              <w:left w:w="40" w:type="dxa"/>
              <w:bottom w:w="40" w:type="dxa"/>
              <w:right w:w="40" w:type="dxa"/>
            </w:tcMar>
            <w:vAlign w:val="top"/>
          </w:tcPr>
          <w:p w14:paraId="261DF41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Bandpei et al. [8]; Mizoguchi et al. [10]; Frisch et al. [25]; Reeser et al. [2]; Skazalski et al. [39]; de Toledo et al. [40]; Tilp et al. [42]</w:t>
            </w:r>
          </w:p>
        </w:tc>
        <w:tc>
          <w:tcPr>
            <w:tcW w:w="2896" w:type="dxa"/>
            <w:tcMar>
              <w:top w:w="40" w:type="dxa"/>
              <w:left w:w="40" w:type="dxa"/>
              <w:bottom w:w="40" w:type="dxa"/>
              <w:right w:w="40" w:type="dxa"/>
            </w:tcMar>
            <w:vAlign w:val="top"/>
          </w:tcPr>
          <w:p w14:paraId="573980C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Direct volleyball-specific evidence reporting shoulder pain, shoulder symptoms, shoulder problems, or shoulder pain/dysfunction.</w:t>
            </w:r>
          </w:p>
        </w:tc>
        <w:tc>
          <w:tcPr>
            <w:tcW w:w="2896" w:type="dxa"/>
            <w:tcMar>
              <w:top w:w="40" w:type="dxa"/>
              <w:left w:w="40" w:type="dxa"/>
              <w:bottom w:w="40" w:type="dxa"/>
              <w:right w:w="40" w:type="dxa"/>
            </w:tcMar>
            <w:vAlign w:val="top"/>
          </w:tcPr>
          <w:p w14:paraId="1B8F55E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Heterogeneous definitions and recall periods; mainly observational designs; self-reported symptoms in several studies; limited comparability across estimates.</w:t>
            </w:r>
          </w:p>
        </w:tc>
        <w:tc>
          <w:tcPr>
            <w:tcW w:w="2896" w:type="dxa"/>
            <w:tcMar>
              <w:top w:w="40" w:type="dxa"/>
              <w:left w:w="40" w:type="dxa"/>
              <w:bottom w:w="40" w:type="dxa"/>
              <w:right w:w="40" w:type="dxa"/>
            </w:tcMar>
            <w:vAlign w:val="top"/>
          </w:tcPr>
          <w:p w14:paraId="56E541E2">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 pain and shoulder-related complaints appear clinically relevant in indoor competitive volleyball, but the exact magnitude depends strongly on how the outcome is defined and measured.</w:t>
            </w:r>
          </w:p>
        </w:tc>
      </w:tr>
      <w:tr w14:paraId="1947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756B13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Shoulder-related functional disability can accompany shoulder pain or shoulder problems in volleyball players.</w:t>
            </w:r>
          </w:p>
        </w:tc>
        <w:tc>
          <w:tcPr>
            <w:tcW w:w="2896" w:type="dxa"/>
            <w:tcMar>
              <w:top w:w="40" w:type="dxa"/>
              <w:left w:w="40" w:type="dxa"/>
              <w:bottom w:w="40" w:type="dxa"/>
              <w:right w:w="40" w:type="dxa"/>
            </w:tcMar>
            <w:vAlign w:val="top"/>
          </w:tcPr>
          <w:p w14:paraId="30D6636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Bandpei et al. [8]; Reeser et al. [2]; de Toledo et al. [40]</w:t>
            </w:r>
          </w:p>
        </w:tc>
        <w:tc>
          <w:tcPr>
            <w:tcW w:w="2896" w:type="dxa"/>
            <w:tcMar>
              <w:top w:w="40" w:type="dxa"/>
              <w:left w:w="40" w:type="dxa"/>
              <w:bottom w:w="40" w:type="dxa"/>
              <w:right w:w="40" w:type="dxa"/>
            </w:tcMar>
            <w:vAlign w:val="top"/>
          </w:tcPr>
          <w:p w14:paraId="295C927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Evidence using functional disability or shoulder-function measures, including DASH, SST/VAS-based assessment, and ASES-defined dysfunction.</w:t>
            </w:r>
          </w:p>
        </w:tc>
        <w:tc>
          <w:tcPr>
            <w:tcW w:w="2896" w:type="dxa"/>
            <w:tcMar>
              <w:top w:w="40" w:type="dxa"/>
              <w:left w:w="40" w:type="dxa"/>
              <w:bottom w:w="40" w:type="dxa"/>
              <w:right w:w="40" w:type="dxa"/>
            </w:tcMar>
            <w:vAlign w:val="top"/>
          </w:tcPr>
          <w:p w14:paraId="6344002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Few studies; different functional measures; observational designs; limited precision.</w:t>
            </w:r>
          </w:p>
        </w:tc>
        <w:tc>
          <w:tcPr>
            <w:tcW w:w="2896" w:type="dxa"/>
            <w:tcMar>
              <w:top w:w="40" w:type="dxa"/>
              <w:left w:w="40" w:type="dxa"/>
              <w:bottom w:w="40" w:type="dxa"/>
              <w:right w:w="40" w:type="dxa"/>
            </w:tcMar>
            <w:vAlign w:val="top"/>
          </w:tcPr>
          <w:p w14:paraId="75FFD98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Functional consequences are plausible and clinically relevant, but disability burden cannot be precisely quantified from current evidence.</w:t>
            </w:r>
          </w:p>
        </w:tc>
      </w:tr>
      <w:tr w14:paraId="1BDD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485D0CF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Specific shoulder pathologies, including suprascapular neuropathy, postero-superior impingement, shoulder impingement syndrome, and anterior shoulder instability, have been reported in volleyball players.</w:t>
            </w:r>
          </w:p>
        </w:tc>
        <w:tc>
          <w:tcPr>
            <w:tcW w:w="2896" w:type="dxa"/>
            <w:tcMar>
              <w:top w:w="40" w:type="dxa"/>
              <w:left w:w="40" w:type="dxa"/>
              <w:bottom w:w="40" w:type="dxa"/>
              <w:right w:w="40" w:type="dxa"/>
            </w:tcMar>
            <w:vAlign w:val="top"/>
          </w:tcPr>
          <w:p w14:paraId="2ADE77B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Holzgraefe et al. [28]; Witvrouw et al. [31]; Schmalzl et al. [12]; Mousavi Sadati and Yazdani [11]; Zandi et al. [13]</w:t>
            </w:r>
          </w:p>
        </w:tc>
        <w:tc>
          <w:tcPr>
            <w:tcW w:w="2896" w:type="dxa"/>
            <w:tcMar>
              <w:top w:w="40" w:type="dxa"/>
              <w:left w:w="40" w:type="dxa"/>
              <w:bottom w:w="40" w:type="dxa"/>
              <w:right w:w="40" w:type="dxa"/>
            </w:tcMar>
            <w:vAlign w:val="top"/>
          </w:tcPr>
          <w:p w14:paraId="7938CAB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Clinical, electrophysiological, or case-control evidence reporting defined shoulder pathologies.</w:t>
            </w:r>
          </w:p>
        </w:tc>
        <w:tc>
          <w:tcPr>
            <w:tcW w:w="2896" w:type="dxa"/>
            <w:tcMar>
              <w:top w:w="40" w:type="dxa"/>
              <w:left w:w="40" w:type="dxa"/>
              <w:bottom w:w="40" w:type="dxa"/>
              <w:right w:w="40" w:type="dxa"/>
            </w:tcMar>
            <w:vAlign w:val="top"/>
          </w:tcPr>
          <w:p w14:paraId="57D39ED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Small or selected samples; heterogeneous diagnostic definitions; cross-sectional or case-control designs; limited external validity.</w:t>
            </w:r>
          </w:p>
        </w:tc>
        <w:tc>
          <w:tcPr>
            <w:tcW w:w="2896" w:type="dxa"/>
            <w:tcMar>
              <w:top w:w="40" w:type="dxa"/>
              <w:left w:w="40" w:type="dxa"/>
              <w:bottom w:w="40" w:type="dxa"/>
              <w:right w:w="40" w:type="dxa"/>
            </w:tcMar>
            <w:vAlign w:val="top"/>
          </w:tcPr>
          <w:p w14:paraId="21FC0E6B">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Defined shoulder pathologies occur in volleyball players, but their prevalence and clinical significance remain uncertain.</w:t>
            </w:r>
          </w:p>
        </w:tc>
      </w:tr>
      <w:tr w14:paraId="6665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566935E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shoulder pain or injury may be associated with current or subsequent shoulder problems.</w:t>
            </w:r>
          </w:p>
        </w:tc>
        <w:tc>
          <w:tcPr>
            <w:tcW w:w="2896" w:type="dxa"/>
            <w:tcMar>
              <w:top w:w="40" w:type="dxa"/>
              <w:left w:w="40" w:type="dxa"/>
              <w:bottom w:w="40" w:type="dxa"/>
              <w:right w:w="40" w:type="dxa"/>
            </w:tcMar>
            <w:vAlign w:val="top"/>
          </w:tcPr>
          <w:p w14:paraId="11D1647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Forthomme et al. [3]; Kim et al. [9]; Hadzic et al. [27]; Nascimento et al. [29]; Stickley et al. [36]; de Toledo et al. [40]</w:t>
            </w:r>
          </w:p>
        </w:tc>
        <w:tc>
          <w:tcPr>
            <w:tcW w:w="2896" w:type="dxa"/>
            <w:tcMar>
              <w:top w:w="40" w:type="dxa"/>
              <w:left w:w="40" w:type="dxa"/>
              <w:bottom w:w="40" w:type="dxa"/>
              <w:right w:w="40" w:type="dxa"/>
            </w:tcMar>
            <w:vAlign w:val="top"/>
          </w:tcPr>
          <w:p w14:paraId="519A7F5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One or more prospective or longitudinal analyses and several cross-sectional studies examined previous shoulder pain or injury history in relation to later or current shoulder symptoms, injury, ROM, strength, or dysfunction.</w:t>
            </w:r>
          </w:p>
        </w:tc>
        <w:tc>
          <w:tcPr>
            <w:tcW w:w="2896" w:type="dxa"/>
            <w:tcMar>
              <w:top w:w="40" w:type="dxa"/>
              <w:left w:w="40" w:type="dxa"/>
              <w:bottom w:w="40" w:type="dxa"/>
              <w:right w:w="40" w:type="dxa"/>
            </w:tcMar>
            <w:vAlign w:val="top"/>
          </w:tcPr>
          <w:p w14:paraId="0BE0C08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Self-reported injury history in several studies; small samples or event numbers; limited confounding control; directionality unclear in cross-sectional studies.</w:t>
            </w:r>
          </w:p>
        </w:tc>
        <w:tc>
          <w:tcPr>
            <w:tcW w:w="2896" w:type="dxa"/>
            <w:tcMar>
              <w:top w:w="40" w:type="dxa"/>
              <w:left w:w="40" w:type="dxa"/>
              <w:bottom w:w="40" w:type="dxa"/>
              <w:right w:w="40" w:type="dxa"/>
            </w:tcMar>
            <w:vAlign w:val="top"/>
          </w:tcPr>
          <w:p w14:paraId="691E5FB5">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Previous shoulder pain or injury is a plausible marker of shoulder problems, but should be interpreted as a candidate factor rather than a confirmed independent predictor.</w:t>
            </w:r>
          </w:p>
        </w:tc>
      </w:tr>
      <w:tr w14:paraId="158B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69C4228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ROM changes, GIRD, ERG, and TROM asymmetry may be associated with shoulder pain or shoulder pain history, but findings are inconsistent.</w:t>
            </w:r>
          </w:p>
        </w:tc>
        <w:tc>
          <w:tcPr>
            <w:tcW w:w="2896" w:type="dxa"/>
            <w:tcMar>
              <w:top w:w="40" w:type="dxa"/>
              <w:left w:w="40" w:type="dxa"/>
              <w:bottom w:w="40" w:type="dxa"/>
              <w:right w:w="40" w:type="dxa"/>
            </w:tcMar>
            <w:vAlign w:val="top"/>
          </w:tcPr>
          <w:p w14:paraId="4412394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Alqarni et al. [7]; Kim et al. [9]; Schmalzl et al. [12]; Sa et al. [41]; de Toledo et al. [40]; Forthomme et al. [3]</w:t>
            </w:r>
          </w:p>
        </w:tc>
        <w:tc>
          <w:tcPr>
            <w:tcW w:w="2896" w:type="dxa"/>
            <w:tcMar>
              <w:top w:w="40" w:type="dxa"/>
              <w:left w:w="40" w:type="dxa"/>
              <w:bottom w:w="40" w:type="dxa"/>
              <w:right w:w="40" w:type="dxa"/>
            </w:tcMar>
            <w:vAlign w:val="top"/>
          </w:tcPr>
          <w:p w14:paraId="522886B3">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Cross-sectional and prospective studies examined internal rotation, GIRD, ERG, TROM, TROM asymmetry, and shoulder pain/pathology. Alqarni et al. compared volleyball players with and without a history of shoulder pain and found greater GIRD and TROM difference in the pain-history group. Sa et al. also reported associations between GIRD/TROM asymmetry and shoulder pain history, whereas de Toledo et al. did not find GIRD or total ROM to be prospectively associated with shoulder pain, injury, or dysfunction.</w:t>
            </w:r>
          </w:p>
        </w:tc>
        <w:tc>
          <w:tcPr>
            <w:tcW w:w="2896" w:type="dxa"/>
            <w:tcMar>
              <w:top w:w="40" w:type="dxa"/>
              <w:left w:w="40" w:type="dxa"/>
              <w:bottom w:w="40" w:type="dxa"/>
              <w:right w:w="40" w:type="dxa"/>
            </w:tcMar>
            <w:vAlign w:val="top"/>
          </w:tcPr>
          <w:p w14:paraId="1A1BCB4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Measurement methods and thresholds differed; some findings conflict; GIRD may represent adaptation or pathology; several analyses were cross-sectional or unadjusted; limited prospective confirmation.</w:t>
            </w:r>
          </w:p>
        </w:tc>
        <w:tc>
          <w:tcPr>
            <w:tcW w:w="2896" w:type="dxa"/>
            <w:tcMar>
              <w:top w:w="40" w:type="dxa"/>
              <w:left w:w="40" w:type="dxa"/>
              <w:bottom w:w="40" w:type="dxa"/>
              <w:right w:w="40" w:type="dxa"/>
            </w:tcMar>
            <w:vAlign w:val="top"/>
          </w:tcPr>
          <w:p w14:paraId="0DF0662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ROM-related variables are clinically plausible candidate markers, particularly when linked to pain history or pathology, but current evidence is insufficient to establish causal or prognostic relationships.</w:t>
            </w:r>
          </w:p>
        </w:tc>
      </w:tr>
      <w:tr w14:paraId="2E83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7ECF244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Rotator strength imbalance or abnormal strength ratios may be associated with shoulder injury or pain.</w:t>
            </w:r>
          </w:p>
        </w:tc>
        <w:tc>
          <w:tcPr>
            <w:tcW w:w="2896" w:type="dxa"/>
            <w:tcMar>
              <w:top w:w="40" w:type="dxa"/>
              <w:left w:w="40" w:type="dxa"/>
              <w:bottom w:w="40" w:type="dxa"/>
              <w:right w:w="40" w:type="dxa"/>
            </w:tcMar>
            <w:vAlign w:val="top"/>
          </w:tcPr>
          <w:p w14:paraId="4A1619F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Forthomme et al. [3]; de Lira et al. [33]; Hadzic et al. [27]; Stickley et al. [36]; Nascimento et al. [29]; de Toledo et al. [40]</w:t>
            </w:r>
          </w:p>
        </w:tc>
        <w:tc>
          <w:tcPr>
            <w:tcW w:w="2896" w:type="dxa"/>
            <w:tcMar>
              <w:top w:w="40" w:type="dxa"/>
              <w:left w:w="40" w:type="dxa"/>
              <w:bottom w:w="40" w:type="dxa"/>
              <w:right w:w="40" w:type="dxa"/>
            </w:tcMar>
            <w:vAlign w:val="top"/>
          </w:tcPr>
          <w:p w14:paraId="0C0F3C4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Studies assessed isokinetic or isometric rotator strength, ER/IR ratio, or strength imbalance in relation to shoulder pain, injury history, or subsequent injury.</w:t>
            </w:r>
          </w:p>
        </w:tc>
        <w:tc>
          <w:tcPr>
            <w:tcW w:w="2896" w:type="dxa"/>
            <w:tcMar>
              <w:top w:w="40" w:type="dxa"/>
              <w:left w:w="40" w:type="dxa"/>
              <w:bottom w:w="40" w:type="dxa"/>
              <w:right w:w="40" w:type="dxa"/>
            </w:tcMar>
            <w:vAlign w:val="top"/>
          </w:tcPr>
          <w:p w14:paraId="1A2BF54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Heterogeneous strength testing protocols; small samples; inconsistent findings; limited adjustment for confounding.</w:t>
            </w:r>
          </w:p>
        </w:tc>
        <w:tc>
          <w:tcPr>
            <w:tcW w:w="2896" w:type="dxa"/>
            <w:tcMar>
              <w:top w:w="40" w:type="dxa"/>
              <w:left w:w="40" w:type="dxa"/>
              <w:bottom w:w="40" w:type="dxa"/>
              <w:right w:w="40" w:type="dxa"/>
            </w:tcMar>
            <w:vAlign w:val="top"/>
          </w:tcPr>
          <w:p w14:paraId="558B418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Strength imbalance remains a candidate associated factor, but the evidence does not support a firm causal or prognostic conclusion.</w:t>
            </w:r>
          </w:p>
        </w:tc>
      </w:tr>
      <w:tr w14:paraId="48DC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8DCF0E6">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Scapular control, dynamic stability, proprioception, and spike-related mechanics may be associated with shoulder pain, injury, symptoms, or dysfunction.</w:t>
            </w:r>
          </w:p>
        </w:tc>
        <w:tc>
          <w:tcPr>
            <w:tcW w:w="2896" w:type="dxa"/>
            <w:tcMar>
              <w:top w:w="40" w:type="dxa"/>
              <w:left w:w="40" w:type="dxa"/>
              <w:bottom w:w="40" w:type="dxa"/>
              <w:right w:w="40" w:type="dxa"/>
            </w:tcMar>
            <w:vAlign w:val="top"/>
          </w:tcPr>
          <w:p w14:paraId="7893BA7D">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Reeser et al. [2]; Mizoguchi et al. [10]; Shih and Wang [30]; Mitchinson et al. [38]; Tilp et al. [42]; de Toledo et al. [40]</w:t>
            </w:r>
          </w:p>
        </w:tc>
        <w:tc>
          <w:tcPr>
            <w:tcW w:w="2896" w:type="dxa"/>
            <w:tcMar>
              <w:top w:w="40" w:type="dxa"/>
              <w:left w:w="40" w:type="dxa"/>
              <w:bottom w:w="40" w:type="dxa"/>
              <w:right w:w="40" w:type="dxa"/>
            </w:tcMar>
            <w:vAlign w:val="top"/>
          </w:tcPr>
          <w:p w14:paraId="5731265F">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Studies examined scapular dyskinesis, dynamic stability, joint-position sense, spike kinematics, and spike technique in relation to shoulder pain, injury, symptoms, or dysfunction.</w:t>
            </w:r>
          </w:p>
        </w:tc>
        <w:tc>
          <w:tcPr>
            <w:tcW w:w="2896" w:type="dxa"/>
            <w:tcMar>
              <w:top w:w="40" w:type="dxa"/>
              <w:left w:w="40" w:type="dxa"/>
              <w:bottom w:w="40" w:type="dxa"/>
              <w:right w:w="40" w:type="dxa"/>
            </w:tcMar>
            <w:vAlign w:val="top"/>
          </w:tcPr>
          <w:p w14:paraId="1C911B20">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Mostly observational evidence; some self-reported outcomes; inconsistent kinematic findings; limited control of confounding.</w:t>
            </w:r>
          </w:p>
        </w:tc>
        <w:tc>
          <w:tcPr>
            <w:tcW w:w="2896" w:type="dxa"/>
            <w:tcMar>
              <w:top w:w="40" w:type="dxa"/>
              <w:left w:w="40" w:type="dxa"/>
              <w:bottom w:w="40" w:type="dxa"/>
              <w:right w:w="40" w:type="dxa"/>
            </w:tcMar>
            <w:vAlign w:val="top"/>
          </w:tcPr>
          <w:p w14:paraId="67C77FC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These factors represent clinically plausible evidence signals and should be prioritised for future prospective testing.</w:t>
            </w:r>
          </w:p>
        </w:tc>
      </w:tr>
      <w:tr w14:paraId="18A9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0D2FD2F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Thoracic posture, shoulder-girdle position, and core endurance may be associated with shoulder impingement, instability, or dysfunction.</w:t>
            </w:r>
          </w:p>
        </w:tc>
        <w:tc>
          <w:tcPr>
            <w:tcW w:w="2896" w:type="dxa"/>
            <w:tcMar>
              <w:top w:w="40" w:type="dxa"/>
              <w:left w:w="40" w:type="dxa"/>
              <w:bottom w:w="40" w:type="dxa"/>
              <w:right w:w="40" w:type="dxa"/>
            </w:tcMar>
            <w:vAlign w:val="top"/>
          </w:tcPr>
          <w:p w14:paraId="01FE3071">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Mousavi Sadati and Yazdani [11]; Kugler et al. [37]; Zandi et al. [13]; Reeser et al. [2]</w:t>
            </w:r>
          </w:p>
        </w:tc>
        <w:tc>
          <w:tcPr>
            <w:tcW w:w="2896" w:type="dxa"/>
            <w:tcMar>
              <w:top w:w="40" w:type="dxa"/>
              <w:left w:w="40" w:type="dxa"/>
              <w:bottom w:w="40" w:type="dxa"/>
              <w:right w:w="40" w:type="dxa"/>
            </w:tcMar>
            <w:vAlign w:val="top"/>
          </w:tcPr>
          <w:p w14:paraId="1324B838">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Case-control and cross-sectional studies examined thoracic kyphosis, shoulder/scapular position, capsular tightness, and trunk endurance.</w:t>
            </w:r>
          </w:p>
        </w:tc>
        <w:tc>
          <w:tcPr>
            <w:tcW w:w="2896" w:type="dxa"/>
            <w:tcMar>
              <w:top w:w="40" w:type="dxa"/>
              <w:left w:w="40" w:type="dxa"/>
              <w:bottom w:w="40" w:type="dxa"/>
              <w:right w:w="40" w:type="dxa"/>
            </w:tcMar>
            <w:vAlign w:val="top"/>
          </w:tcPr>
          <w:p w14:paraId="4D28E34A">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Small and selected samples; heterogeneous measures; limited confounding control; directionality unclear.</w:t>
            </w:r>
          </w:p>
        </w:tc>
        <w:tc>
          <w:tcPr>
            <w:tcW w:w="2896" w:type="dxa"/>
            <w:tcMar>
              <w:top w:w="40" w:type="dxa"/>
              <w:left w:w="40" w:type="dxa"/>
              <w:bottom w:w="40" w:type="dxa"/>
              <w:right w:w="40" w:type="dxa"/>
            </w:tcMar>
            <w:vAlign w:val="top"/>
          </w:tcPr>
          <w:p w14:paraId="0391E4E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Kinetic-chain and postural factors are plausible but remain weakly supported by current evidence.</w:t>
            </w:r>
          </w:p>
        </w:tc>
      </w:tr>
      <w:tr w14:paraId="7049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6" w:type="dxa"/>
            <w:tcMar>
              <w:top w:w="40" w:type="dxa"/>
              <w:left w:w="40" w:type="dxa"/>
              <w:bottom w:w="40" w:type="dxa"/>
              <w:right w:w="40" w:type="dxa"/>
            </w:tcMar>
            <w:vAlign w:val="top"/>
          </w:tcPr>
          <w:p w14:paraId="6490496E">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Symptom-based, all-complaints, and function-based definitions may capture shoulder problems that are not represented by conventional time-loss injury definitions.</w:t>
            </w:r>
          </w:p>
        </w:tc>
        <w:tc>
          <w:tcPr>
            <w:tcW w:w="2896" w:type="dxa"/>
            <w:tcMar>
              <w:top w:w="40" w:type="dxa"/>
              <w:left w:w="40" w:type="dxa"/>
              <w:bottom w:w="40" w:type="dxa"/>
              <w:right w:w="40" w:type="dxa"/>
            </w:tcMar>
            <w:vAlign w:val="top"/>
          </w:tcPr>
          <w:p w14:paraId="24A576F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Reeser et al. [2]; Frisch et al. [25]; Skazalski et al. [39]; de Toledo et al. [40]; Tilp et al. [42]</w:t>
            </w:r>
          </w:p>
        </w:tc>
        <w:tc>
          <w:tcPr>
            <w:tcW w:w="2896" w:type="dxa"/>
            <w:tcMar>
              <w:top w:w="40" w:type="dxa"/>
              <w:left w:w="40" w:type="dxa"/>
              <w:bottom w:w="40" w:type="dxa"/>
              <w:right w:w="40" w:type="dxa"/>
            </w:tcMar>
            <w:vAlign w:val="top"/>
          </w:tcPr>
          <w:p w14:paraId="51E91C69">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Symptom-based, all-complaints, and dysfunction-based studies captured shoulder problems, symptoms, or functional limitations that may not necessarily result in time loss.</w:t>
            </w:r>
          </w:p>
        </w:tc>
        <w:tc>
          <w:tcPr>
            <w:tcW w:w="2896" w:type="dxa"/>
            <w:tcMar>
              <w:top w:w="40" w:type="dxa"/>
              <w:left w:w="40" w:type="dxa"/>
              <w:bottom w:w="40" w:type="dxa"/>
              <w:right w:w="40" w:type="dxa"/>
            </w:tcMar>
            <w:vAlign w:val="top"/>
          </w:tcPr>
          <w:p w14:paraId="2256AD17">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Different tools and time frames; self-reported outcomes in several studies; lack of direct head-to-head comparison with standard surveillance in volleyball-only samples.</w:t>
            </w:r>
          </w:p>
        </w:tc>
        <w:tc>
          <w:tcPr>
            <w:tcW w:w="2896" w:type="dxa"/>
            <w:tcMar>
              <w:top w:w="40" w:type="dxa"/>
              <w:left w:w="40" w:type="dxa"/>
              <w:bottom w:w="40" w:type="dxa"/>
              <w:right w:w="40" w:type="dxa"/>
            </w:tcMar>
            <w:vAlign w:val="top"/>
          </w:tcPr>
          <w:p w14:paraId="0120777C">
            <w:pPr>
              <w:spacing w:before="0" w:after="0" w:line="240" w:lineRule="auto"/>
              <w:rPr>
                <w:rFonts w:hint="default" w:ascii="Times New Roman" w:hAnsi="Times New Roman" w:cs="Times New Roman"/>
                <w:sz w:val="18"/>
                <w:szCs w:val="18"/>
              </w:rPr>
            </w:pPr>
            <w:r>
              <w:rPr>
                <w:rFonts w:hint="default" w:ascii="Times New Roman" w:hAnsi="Times New Roman" w:cs="Times New Roman"/>
                <w:sz w:val="18"/>
                <w:szCs w:val="18"/>
              </w:rPr>
              <w:t>Symptom-based and repeated all-complaints monitoring should complement conventional injury definitions, but the magnitude of underestimation remains uncertain.</w:t>
            </w:r>
          </w:p>
        </w:tc>
      </w:tr>
    </w:tbl>
    <w:p w14:paraId="3C0F51E7">
      <w:pPr>
        <w:spacing w:before="120"/>
        <w:rPr>
          <w:rFonts w:hint="default" w:ascii="Times New Roman" w:hAnsi="Times New Roman" w:cs="Times New Roman"/>
          <w:sz w:val="18"/>
          <w:szCs w:val="18"/>
        </w:rPr>
      </w:pPr>
      <w:r>
        <w:rPr>
          <w:rFonts w:hint="default" w:ascii="Times New Roman" w:hAnsi="Times New Roman" w:cs="Times New Roman"/>
          <w:sz w:val="18"/>
          <w:szCs w:val="18"/>
        </w:rPr>
        <w:t>Note. No formal certainty-of-evidence assessment was conducted, in accordance with the registered protocol. This table summarises the main evidence basis, key limitations, and narrative interpretation for each finding. Interpretations considered study design, risk of bias, consistency, directness, precision, sample size, and confounding limitations without assigning certainty ratings. ROM, range of motion; GIRD, glenohumeral internal rotation deficit; ERG, external rotation gain; TROM, total range of motion; DASH, Disabilities of the Arm, Shoulder and Hand; SST, Simple Shoulder Test; VAS, visual analogue scale; ASES, American Shoulder and Elbow Surgeons score; ER/IR, external/internal rotation.</w:t>
      </w:r>
    </w:p>
    <w:sectPr>
      <w:pgSz w:w="15840" w:h="12240" w:orient="landscape"/>
      <w:pgMar w:top="680" w:right="680" w:bottom="680" w:left="6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1EE7D79"/>
    <w:rsid w:val="226B2C72"/>
    <w:rsid w:val="6227257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1461</Words>
  <Characters>9759</Characters>
  <Lines>0</Lines>
  <Paragraphs>0</Paragraphs>
  <TotalTime>74</TotalTime>
  <ScaleCrop>false</ScaleCrop>
  <LinksUpToDate>false</LinksUpToDate>
  <CharactersWithSpaces>10957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 </cp:lastModifiedBy>
  <dcterms:modified xsi:type="dcterms:W3CDTF">2026-06-09T09:00:32Z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C4C4D68F90C54D7C94461456F6DA204B_13</vt:lpwstr>
  </property>
  <property fmtid="{D5CDD505-2E9C-101B-9397-08002B2CF9AE}" pid="4" name="KSOTemplateDocerSaveRecord">
    <vt:lpwstr>eyJoZGlkIjoiZTIxNDE0OGI0NzhjY2YyOTRlM2FmYzIwNjdkYjRhNDMiLCJ1c2VySWQiOiIxMTYwMzk5MjE3In0=</vt:lpwstr>
  </property>
</Properties>
</file>