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both"/>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CONSORT 2025 checklist of information to include when reporting a randomised trial* </w:t>
      </w:r>
    </w:p>
    <w:tbl>
      <w:tblPr>
        <w:tblStyle w:val="Table1"/>
        <w:tblW w:w="1431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47"/>
        <w:gridCol w:w="992"/>
        <w:gridCol w:w="9356"/>
        <w:gridCol w:w="1417"/>
        <w:tblGridChange w:id="0">
          <w:tblGrid>
            <w:gridCol w:w="2547"/>
            <w:gridCol w:w="992"/>
            <w:gridCol w:w="9356"/>
            <w:gridCol w:w="1417"/>
          </w:tblGrid>
        </w:tblGridChange>
      </w:tblGrid>
      <w:tr>
        <w:trPr>
          <w:cantSplit w:val="0"/>
          <w:trHeight w:val="276" w:hRule="atLeast"/>
          <w:tblHeader w:val="0"/>
        </w:trPr>
        <w:tc>
          <w:tcPr>
            <w:shd w:fill="bfbfbf" w:val="clear"/>
          </w:tcPr>
          <w:p w:rsidR="00000000" w:rsidDel="00000000" w:rsidP="00000000" w:rsidRDefault="00000000" w:rsidRPr="00000000" w14:paraId="00000002">
            <w:pPr>
              <w:spacing w:line="240" w:lineRule="auto"/>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Section / Topic</w:t>
            </w:r>
          </w:p>
          <w:p w:rsidR="00000000" w:rsidDel="00000000" w:rsidP="00000000" w:rsidRDefault="00000000" w:rsidRPr="00000000" w14:paraId="00000003">
            <w:pPr>
              <w:spacing w:line="240" w:lineRule="auto"/>
              <w:rPr>
                <w:rFonts w:ascii="Calibri" w:cs="Calibri" w:eastAsia="Calibri" w:hAnsi="Calibri"/>
                <w:b w:val="1"/>
                <w:bCs w:val="1"/>
                <w:color w:val="000000"/>
                <w:sz w:val="22"/>
                <w:szCs w:val="22"/>
              </w:rPr>
            </w:pPr>
            <w:r w:rsidDel="00000000" w:rsidR="00000000" w:rsidRPr="00000000">
              <w:rPr>
                <w:rtl w:val="0"/>
              </w:rPr>
            </w:r>
          </w:p>
        </w:tc>
        <w:tc>
          <w:tcPr>
            <w:shd w:fill="bfbfbf" w:val="clear"/>
          </w:tcPr>
          <w:p w:rsidR="00000000" w:rsidDel="00000000" w:rsidP="00000000" w:rsidRDefault="00000000" w:rsidRPr="00000000" w14:paraId="00000004">
            <w:pPr>
              <w:spacing w:line="240"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No</w:t>
            </w:r>
          </w:p>
        </w:tc>
        <w:tc>
          <w:tcPr>
            <w:shd w:fill="bfbfbf" w:val="clear"/>
          </w:tcPr>
          <w:p w:rsidR="00000000" w:rsidDel="00000000" w:rsidP="00000000" w:rsidRDefault="00000000" w:rsidRPr="00000000" w14:paraId="00000005">
            <w:pPr>
              <w:spacing w:line="240" w:lineRule="auto"/>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CONSORT 2025 checklist item description</w:t>
            </w:r>
          </w:p>
        </w:tc>
        <w:tc>
          <w:tcPr>
            <w:shd w:fill="bfbfbf" w:val="clear"/>
          </w:tcPr>
          <w:p w:rsidR="00000000" w:rsidDel="00000000" w:rsidP="00000000" w:rsidRDefault="00000000" w:rsidRPr="00000000" w14:paraId="00000006">
            <w:pPr>
              <w:spacing w:line="240" w:lineRule="auto"/>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Reported on page no.</w:t>
            </w:r>
          </w:p>
        </w:tc>
      </w:tr>
      <w:tr>
        <w:trPr>
          <w:cantSplit w:val="0"/>
          <w:trHeight w:val="268" w:hRule="atLeast"/>
          <w:tblHeader w:val="0"/>
        </w:trPr>
        <w:tc>
          <w:tcPr>
            <w:gridSpan w:val="3"/>
            <w:shd w:fill="c6d9f1" w:val="clear"/>
          </w:tcPr>
          <w:p w:rsidR="00000000" w:rsidDel="00000000" w:rsidP="00000000" w:rsidRDefault="00000000" w:rsidRPr="00000000" w14:paraId="00000007">
            <w:pPr>
              <w:spacing w:line="240" w:lineRule="auto"/>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Title and abstract</w:t>
            </w:r>
          </w:p>
        </w:tc>
        <w:tc>
          <w:tcPr>
            <w:shd w:fill="c6d9f1" w:val="clear"/>
          </w:tcPr>
          <w:p w:rsidR="00000000" w:rsidDel="00000000" w:rsidP="00000000" w:rsidRDefault="00000000" w:rsidRPr="00000000" w14:paraId="0000000A">
            <w:pPr>
              <w:spacing w:line="240" w:lineRule="auto"/>
              <w:rPr>
                <w:rFonts w:ascii="Calibri" w:cs="Calibri" w:eastAsia="Calibri" w:hAnsi="Calibri"/>
                <w:b w:val="1"/>
                <w:bCs w:val="1"/>
                <w:color w:val="000000"/>
                <w:sz w:val="22"/>
                <w:szCs w:val="22"/>
              </w:rPr>
            </w:pPr>
            <w:r w:rsidDel="00000000" w:rsidR="00000000" w:rsidRPr="00000000">
              <w:rPr>
                <w:rtl w:val="0"/>
              </w:rPr>
            </w:r>
          </w:p>
        </w:tc>
      </w:tr>
      <w:tr>
        <w:trPr>
          <w:cantSplit w:val="0"/>
          <w:trHeight w:val="276" w:hRule="atLeast"/>
          <w:tblHeader w:val="0"/>
        </w:trPr>
        <w:tc>
          <w:tcPr>
            <w:vMerge w:val="restart"/>
          </w:tcPr>
          <w:p w:rsidR="00000000" w:rsidDel="00000000" w:rsidP="00000000" w:rsidRDefault="00000000" w:rsidRPr="00000000" w14:paraId="0000000B">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Title and structured abstract</w:t>
            </w:r>
          </w:p>
        </w:tc>
        <w:tc>
          <w:tcPr/>
          <w:p w:rsidR="00000000" w:rsidDel="00000000" w:rsidP="00000000" w:rsidRDefault="00000000" w:rsidRPr="00000000" w14:paraId="0000000C">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1a</w:t>
            </w:r>
          </w:p>
        </w:tc>
        <w:tc>
          <w:tcPr/>
          <w:p w:rsidR="00000000" w:rsidDel="00000000" w:rsidP="00000000" w:rsidRDefault="00000000" w:rsidRPr="00000000" w14:paraId="0000000D">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Identification as a randomised trial </w:t>
            </w:r>
          </w:p>
        </w:tc>
        <w:tc>
          <w:tcPr/>
          <w:p w:rsidR="00000000" w:rsidDel="00000000" w:rsidP="00000000" w:rsidRDefault="00000000" w:rsidRPr="00000000" w14:paraId="0000000E">
            <w:pPr>
              <w:spacing w:line="240" w:lineRule="auto"/>
              <w:rPr>
                <w:rFonts w:ascii="Calibri" w:cs="Calibri" w:eastAsia="Calibri" w:hAnsi="Calibri"/>
                <w:color w:val="000000"/>
                <w:sz w:val="22"/>
                <w:szCs w:val="22"/>
              </w:rPr>
            </w:pPr>
            <w:r w:rsidDel="00000000" w:rsidR="00000000" w:rsidRPr="00000000">
              <w:rPr>
                <w:rtl w:val="0"/>
              </w:rPr>
              <w:t xml:space="preserve">p.1, Title. NOTE: This is a cross-sectional observational comparative study, not a randomised controlled trial; the design is stated in the title/abstract and Methods.</w:t>
            </w:r>
            <w:r w:rsidDel="00000000" w:rsidR="00000000" w:rsidRPr="00000000">
              <w:rPr>
                <w:rtl w:val="0"/>
              </w:rPr>
            </w:r>
          </w:p>
        </w:tc>
      </w:tr>
      <w:tr>
        <w:trPr>
          <w:cantSplit w:val="0"/>
          <w:trHeight w:val="418" w:hRule="atLeast"/>
          <w:tblHeader w:val="0"/>
        </w:trPr>
        <w:tc>
          <w:tcPr>
            <w:vMerge w:val="continue"/>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p w:rsidR="00000000" w:rsidDel="00000000" w:rsidP="00000000" w:rsidRDefault="00000000" w:rsidRPr="00000000" w14:paraId="00000010">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1b</w:t>
            </w:r>
          </w:p>
        </w:tc>
        <w:tc>
          <w:tcPr/>
          <w:p w:rsidR="00000000" w:rsidDel="00000000" w:rsidP="00000000" w:rsidRDefault="00000000" w:rsidRPr="00000000" w14:paraId="00000011">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Structured summary of the trial design, methods, results, and conclusions</w:t>
            </w:r>
          </w:p>
        </w:tc>
        <w:tc>
          <w:tcPr/>
          <w:p w:rsidR="00000000" w:rsidDel="00000000" w:rsidP="00000000" w:rsidRDefault="00000000" w:rsidRPr="00000000" w14:paraId="00000012">
            <w:pPr>
              <w:spacing w:line="240" w:lineRule="auto"/>
              <w:rPr>
                <w:rFonts w:ascii="Calibri" w:cs="Calibri" w:eastAsia="Calibri" w:hAnsi="Calibri"/>
                <w:color w:val="000000"/>
                <w:sz w:val="22"/>
                <w:szCs w:val="22"/>
              </w:rPr>
            </w:pPr>
            <w:r w:rsidDel="00000000" w:rsidR="00000000" w:rsidRPr="00000000">
              <w:rPr>
                <w:rtl w:val="0"/>
              </w:rPr>
              <w:t xml:space="preserve">p.1, Structured Abstract (Background, Methods, Results, Conclusions).</w:t>
            </w:r>
            <w:r w:rsidDel="00000000" w:rsidR="00000000" w:rsidRPr="00000000">
              <w:rPr>
                <w:rtl w:val="0"/>
              </w:rPr>
            </w:r>
          </w:p>
        </w:tc>
      </w:tr>
      <w:tr>
        <w:trPr>
          <w:cantSplit w:val="0"/>
          <w:trHeight w:val="276" w:hRule="atLeast"/>
          <w:tblHeader w:val="0"/>
        </w:trPr>
        <w:tc>
          <w:tcPr>
            <w:gridSpan w:val="3"/>
            <w:shd w:fill="bdd7ee" w:val="clear"/>
          </w:tcPr>
          <w:p w:rsidR="00000000" w:rsidDel="00000000" w:rsidP="00000000" w:rsidRDefault="00000000" w:rsidRPr="00000000" w14:paraId="00000013">
            <w:pPr>
              <w:spacing w:line="240" w:lineRule="auto"/>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Open science</w:t>
            </w:r>
          </w:p>
        </w:tc>
        <w:tc>
          <w:tcPr>
            <w:shd w:fill="c6d9f1" w:val="clear"/>
          </w:tcPr>
          <w:p w:rsidR="00000000" w:rsidDel="00000000" w:rsidP="00000000" w:rsidRDefault="00000000" w:rsidRPr="00000000" w14:paraId="00000016">
            <w:pPr>
              <w:spacing w:line="240" w:lineRule="auto"/>
              <w:rPr>
                <w:rFonts w:ascii="Calibri" w:cs="Calibri" w:eastAsia="Calibri" w:hAnsi="Calibri"/>
                <w:b w:val="1"/>
                <w:bCs w:val="1"/>
                <w:color w:val="000000"/>
                <w:sz w:val="22"/>
                <w:szCs w:val="22"/>
              </w:rPr>
            </w:pPr>
            <w:r w:rsidDel="00000000" w:rsidR="00000000" w:rsidRPr="00000000">
              <w:rPr>
                <w:rtl w:val="0"/>
              </w:rPr>
            </w:r>
          </w:p>
        </w:tc>
      </w:tr>
      <w:tr>
        <w:trPr>
          <w:cantSplit w:val="0"/>
          <w:trHeight w:val="272" w:hRule="atLeast"/>
          <w:tblHeader w:val="0"/>
        </w:trPr>
        <w:tc>
          <w:tcPr/>
          <w:p w:rsidR="00000000" w:rsidDel="00000000" w:rsidP="00000000" w:rsidRDefault="00000000" w:rsidRPr="00000000" w14:paraId="00000017">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Trial registration</w:t>
            </w:r>
          </w:p>
        </w:tc>
        <w:tc>
          <w:tcPr/>
          <w:p w:rsidR="00000000" w:rsidDel="00000000" w:rsidP="00000000" w:rsidRDefault="00000000" w:rsidRPr="00000000" w14:paraId="00000018">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c>
          <w:tcPr/>
          <w:p w:rsidR="00000000" w:rsidDel="00000000" w:rsidP="00000000" w:rsidRDefault="00000000" w:rsidRPr="00000000" w14:paraId="00000019">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Name of trial registry, identifying number (with URL) and date of registration</w:t>
            </w:r>
          </w:p>
        </w:tc>
        <w:tc>
          <w:tcPr/>
          <w:p w:rsidR="00000000" w:rsidDel="00000000" w:rsidP="00000000" w:rsidRDefault="00000000" w:rsidRPr="00000000" w14:paraId="0000001A">
            <w:pPr>
              <w:spacing w:line="240" w:lineRule="auto"/>
              <w:rPr>
                <w:rFonts w:ascii="Calibri" w:cs="Calibri" w:eastAsia="Calibri" w:hAnsi="Calibri"/>
                <w:color w:val="000000"/>
                <w:sz w:val="22"/>
                <w:szCs w:val="22"/>
              </w:rPr>
            </w:pPr>
            <w:r w:rsidDel="00000000" w:rsidR="00000000" w:rsidRPr="00000000">
              <w:rPr>
                <w:rtl w:val="0"/>
              </w:rPr>
              <w:t xml:space="preserve">p.1 (Abstract) and p.2, "Trial registration: ClinicalTrials.gov, NCT07677371, 18 June 2026" (https://clinicaltrials.gov/study/NCT07677371).</w:t>
            </w:r>
            <w:r w:rsidDel="00000000" w:rsidR="00000000" w:rsidRPr="00000000">
              <w:rPr>
                <w:rtl w:val="0"/>
              </w:rPr>
            </w:r>
          </w:p>
        </w:tc>
      </w:tr>
      <w:tr>
        <w:trPr>
          <w:cantSplit w:val="0"/>
          <w:trHeight w:val="272" w:hRule="atLeast"/>
          <w:tblHeader w:val="0"/>
        </w:trPr>
        <w:tc>
          <w:tcPr/>
          <w:p w:rsidR="00000000" w:rsidDel="00000000" w:rsidP="00000000" w:rsidRDefault="00000000" w:rsidRPr="00000000" w14:paraId="0000001B">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Protocol and statistical analysis plan</w:t>
            </w:r>
          </w:p>
        </w:tc>
        <w:tc>
          <w:tcPr/>
          <w:p w:rsidR="00000000" w:rsidDel="00000000" w:rsidP="00000000" w:rsidRDefault="00000000" w:rsidRPr="00000000" w14:paraId="0000001C">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w:t>
            </w:r>
          </w:p>
        </w:tc>
        <w:tc>
          <w:tcPr/>
          <w:p w:rsidR="00000000" w:rsidDel="00000000" w:rsidP="00000000" w:rsidRDefault="00000000" w:rsidRPr="00000000" w14:paraId="0000001D">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Where the trial protocol and statistical analysis plan can be accessed</w:t>
            </w:r>
          </w:p>
        </w:tc>
        <w:tc>
          <w:tcPr/>
          <w:p w:rsidR="00000000" w:rsidDel="00000000" w:rsidP="00000000" w:rsidRDefault="00000000" w:rsidRPr="00000000" w14:paraId="0000001E">
            <w:pPr>
              <w:spacing w:line="240" w:lineRule="auto"/>
              <w:rPr>
                <w:rFonts w:ascii="Calibri" w:cs="Calibri" w:eastAsia="Calibri" w:hAnsi="Calibri"/>
                <w:color w:val="000000"/>
                <w:sz w:val="22"/>
                <w:szCs w:val="22"/>
              </w:rPr>
            </w:pPr>
            <w:r w:rsidDel="00000000" w:rsidR="00000000" w:rsidRPr="00000000">
              <w:rPr>
                <w:rtl w:val="0"/>
              </w:rPr>
              <w:t xml:space="preserve">No separate published protocol/SAP. The full statistical analysis plan is described in Methods (Statistical Analysis; Random Forest Classifier; SHAP Analysis), p.6-7.</w:t>
            </w:r>
            <w:r w:rsidDel="00000000" w:rsidR="00000000" w:rsidRPr="00000000">
              <w:rPr>
                <w:rtl w:val="0"/>
              </w:rPr>
            </w:r>
          </w:p>
        </w:tc>
      </w:tr>
      <w:tr>
        <w:trPr>
          <w:cantSplit w:val="0"/>
          <w:trHeight w:val="272" w:hRule="atLeast"/>
          <w:tblHeader w:val="0"/>
        </w:trPr>
        <w:tc>
          <w:tcPr/>
          <w:p w:rsidR="00000000" w:rsidDel="00000000" w:rsidP="00000000" w:rsidRDefault="00000000" w:rsidRPr="00000000" w14:paraId="0000001F">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Data sharing</w:t>
            </w:r>
          </w:p>
        </w:tc>
        <w:tc>
          <w:tcPr/>
          <w:p w:rsidR="00000000" w:rsidDel="00000000" w:rsidP="00000000" w:rsidRDefault="00000000" w:rsidRPr="00000000" w14:paraId="00000020">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4</w:t>
            </w:r>
          </w:p>
        </w:tc>
        <w:tc>
          <w:tcPr/>
          <w:p w:rsidR="00000000" w:rsidDel="00000000" w:rsidP="00000000" w:rsidRDefault="00000000" w:rsidRPr="00000000" w14:paraId="00000021">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Where and how the individual de-identified participant data (including data dictionary), statistical code and any other materials can be accessed</w:t>
            </w:r>
          </w:p>
        </w:tc>
        <w:tc>
          <w:tcPr/>
          <w:p w:rsidR="00000000" w:rsidDel="00000000" w:rsidP="00000000" w:rsidRDefault="00000000" w:rsidRPr="00000000" w14:paraId="00000022">
            <w:pPr>
              <w:spacing w:line="240" w:lineRule="auto"/>
              <w:rPr>
                <w:rFonts w:ascii="Calibri" w:cs="Calibri" w:eastAsia="Calibri" w:hAnsi="Calibri"/>
                <w:color w:val="000000"/>
                <w:sz w:val="22"/>
                <w:szCs w:val="22"/>
              </w:rPr>
            </w:pPr>
            <w:r w:rsidDel="00000000" w:rsidR="00000000" w:rsidRPr="00000000">
              <w:rPr>
                <w:rtl w:val="0"/>
              </w:rPr>
              <w:t xml:space="preserve">p.16, "Availability of data and materials." Data are not publicly available due to ethical/confidentiality restrictions; available from the corresponding author on reasonable request. Analysis code implemented in Python (Methods, p.6).</w:t>
            </w:r>
            <w:r w:rsidDel="00000000" w:rsidR="00000000" w:rsidRPr="00000000">
              <w:rPr>
                <w:rtl w:val="0"/>
              </w:rPr>
            </w:r>
          </w:p>
        </w:tc>
      </w:tr>
      <w:tr>
        <w:trPr>
          <w:cantSplit w:val="0"/>
          <w:trHeight w:val="272" w:hRule="atLeast"/>
          <w:tblHeader w:val="0"/>
        </w:trPr>
        <w:tc>
          <w:tcPr>
            <w:vMerge w:val="restart"/>
          </w:tcPr>
          <w:p w:rsidR="00000000" w:rsidDel="00000000" w:rsidP="00000000" w:rsidRDefault="00000000" w:rsidRPr="00000000" w14:paraId="00000023">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Funding and conflicts of interest</w:t>
            </w:r>
          </w:p>
        </w:tc>
        <w:tc>
          <w:tcPr/>
          <w:p w:rsidR="00000000" w:rsidDel="00000000" w:rsidP="00000000" w:rsidRDefault="00000000" w:rsidRPr="00000000" w14:paraId="00000024">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5a</w:t>
            </w:r>
          </w:p>
        </w:tc>
        <w:tc>
          <w:tcPr/>
          <w:p w:rsidR="00000000" w:rsidDel="00000000" w:rsidP="00000000" w:rsidRDefault="00000000" w:rsidRPr="00000000" w14:paraId="00000025">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Sources of funding and other support (e.g., supply of drugs), and role of funders in the design, conduct, analysis and reporting of the trial</w:t>
            </w:r>
          </w:p>
        </w:tc>
        <w:tc>
          <w:tcPr/>
          <w:p w:rsidR="00000000" w:rsidDel="00000000" w:rsidP="00000000" w:rsidRDefault="00000000" w:rsidRPr="00000000" w14:paraId="00000026">
            <w:pPr>
              <w:spacing w:line="240" w:lineRule="auto"/>
              <w:rPr>
                <w:rFonts w:ascii="Calibri" w:cs="Calibri" w:eastAsia="Calibri" w:hAnsi="Calibri"/>
                <w:color w:val="000000"/>
                <w:sz w:val="22"/>
                <w:szCs w:val="22"/>
              </w:rPr>
            </w:pPr>
            <w:r w:rsidDel="00000000" w:rsidR="00000000" w:rsidRPr="00000000">
              <w:rPr>
                <w:rtl w:val="0"/>
              </w:rPr>
              <w:t xml:space="preserve">p.16, "Funding" (no financial support received).</w:t>
            </w:r>
            <w:r w:rsidDel="00000000" w:rsidR="00000000" w:rsidRPr="00000000">
              <w:rPr>
                <w:rtl w:val="0"/>
              </w:rPr>
            </w:r>
          </w:p>
        </w:tc>
      </w:tr>
      <w:tr>
        <w:trPr>
          <w:cantSplit w:val="0"/>
          <w:trHeight w:val="272" w:hRule="atLeast"/>
          <w:tblHeader w:val="0"/>
        </w:trPr>
        <w:tc>
          <w:tcPr>
            <w:vMerge w:val="continue"/>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p w:rsidR="00000000" w:rsidDel="00000000" w:rsidP="00000000" w:rsidRDefault="00000000" w:rsidRPr="00000000" w14:paraId="00000028">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5b</w:t>
            </w:r>
          </w:p>
        </w:tc>
        <w:tc>
          <w:tcPr/>
          <w:p w:rsidR="00000000" w:rsidDel="00000000" w:rsidP="00000000" w:rsidRDefault="00000000" w:rsidRPr="00000000" w14:paraId="00000029">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Financial and other conflicts of interest of the manuscript authors</w:t>
            </w:r>
          </w:p>
        </w:tc>
        <w:tc>
          <w:tcPr/>
          <w:p w:rsidR="00000000" w:rsidDel="00000000" w:rsidP="00000000" w:rsidRDefault="00000000" w:rsidRPr="00000000" w14:paraId="0000002A">
            <w:pPr>
              <w:spacing w:line="240" w:lineRule="auto"/>
              <w:rPr>
                <w:rFonts w:ascii="Calibri" w:cs="Calibri" w:eastAsia="Calibri" w:hAnsi="Calibri"/>
                <w:color w:val="000000"/>
                <w:sz w:val="22"/>
                <w:szCs w:val="22"/>
              </w:rPr>
            </w:pPr>
            <w:r w:rsidDel="00000000" w:rsidR="00000000" w:rsidRPr="00000000">
              <w:rPr>
                <w:rtl w:val="0"/>
              </w:rPr>
              <w:t xml:space="preserve">p.16, "Competing interests" (none declared).</w:t>
            </w:r>
            <w:r w:rsidDel="00000000" w:rsidR="00000000" w:rsidRPr="00000000">
              <w:rPr>
                <w:rtl w:val="0"/>
              </w:rPr>
            </w:r>
          </w:p>
        </w:tc>
      </w:tr>
      <w:tr>
        <w:trPr>
          <w:cantSplit w:val="0"/>
          <w:trHeight w:val="276" w:hRule="atLeast"/>
          <w:tblHeader w:val="0"/>
        </w:trPr>
        <w:tc>
          <w:tcPr>
            <w:gridSpan w:val="3"/>
            <w:shd w:fill="bdd7ee" w:val="clear"/>
          </w:tcPr>
          <w:p w:rsidR="00000000" w:rsidDel="00000000" w:rsidP="00000000" w:rsidRDefault="00000000" w:rsidRPr="00000000" w14:paraId="0000002B">
            <w:pPr>
              <w:spacing w:line="240" w:lineRule="auto"/>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Introduction</w:t>
            </w:r>
          </w:p>
        </w:tc>
        <w:tc>
          <w:tcPr>
            <w:shd w:fill="c6d9f1" w:val="clear"/>
          </w:tcPr>
          <w:p w:rsidR="00000000" w:rsidDel="00000000" w:rsidP="00000000" w:rsidRDefault="00000000" w:rsidRPr="00000000" w14:paraId="0000002E">
            <w:pPr>
              <w:spacing w:line="240" w:lineRule="auto"/>
              <w:rPr>
                <w:rFonts w:ascii="Calibri" w:cs="Calibri" w:eastAsia="Calibri" w:hAnsi="Calibri"/>
                <w:b w:val="1"/>
                <w:bCs w:val="1"/>
                <w:color w:val="000000"/>
                <w:sz w:val="22"/>
                <w:szCs w:val="22"/>
              </w:rPr>
            </w:pPr>
            <w:r w:rsidDel="00000000" w:rsidR="00000000" w:rsidRPr="00000000">
              <w:rPr>
                <w:rtl w:val="0"/>
              </w:rPr>
            </w:r>
          </w:p>
        </w:tc>
      </w:tr>
      <w:tr>
        <w:trPr>
          <w:cantSplit w:val="0"/>
          <w:trHeight w:val="271" w:hRule="atLeast"/>
          <w:tblHeader w:val="0"/>
        </w:trPr>
        <w:tc>
          <w:tcPr>
            <w:tcBorders>
              <w:bottom w:color="000000" w:space="0" w:sz="4" w:val="single"/>
            </w:tcBorders>
          </w:tcPr>
          <w:p w:rsidR="00000000" w:rsidDel="00000000" w:rsidP="00000000" w:rsidRDefault="00000000" w:rsidRPr="00000000" w14:paraId="0000002F">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Background and rationale</w:t>
            </w:r>
          </w:p>
        </w:tc>
        <w:tc>
          <w:tcPr>
            <w:tcBorders>
              <w:bottom w:color="000000" w:space="0" w:sz="4" w:val="single"/>
            </w:tcBorders>
          </w:tcPr>
          <w:p w:rsidR="00000000" w:rsidDel="00000000" w:rsidP="00000000" w:rsidRDefault="00000000" w:rsidRPr="00000000" w14:paraId="00000030">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6</w:t>
            </w:r>
          </w:p>
        </w:tc>
        <w:tc>
          <w:tcPr/>
          <w:p w:rsidR="00000000" w:rsidDel="00000000" w:rsidP="00000000" w:rsidRDefault="00000000" w:rsidRPr="00000000" w14:paraId="00000031">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Scientific background and rationale</w:t>
            </w:r>
          </w:p>
        </w:tc>
        <w:tc>
          <w:tcPr/>
          <w:p w:rsidR="00000000" w:rsidDel="00000000" w:rsidP="00000000" w:rsidRDefault="00000000" w:rsidRPr="00000000" w14:paraId="00000032">
            <w:pPr>
              <w:spacing w:line="240" w:lineRule="auto"/>
              <w:rPr>
                <w:rFonts w:ascii="Calibri" w:cs="Calibri" w:eastAsia="Calibri" w:hAnsi="Calibri"/>
                <w:color w:val="000000"/>
                <w:sz w:val="22"/>
                <w:szCs w:val="22"/>
              </w:rPr>
            </w:pPr>
            <w:r w:rsidDel="00000000" w:rsidR="00000000" w:rsidRPr="00000000">
              <w:rPr>
                <w:rtl w:val="0"/>
              </w:rPr>
              <w:t xml:space="preserve">p.2, Introduction (scientific background and rationale).</w:t>
            </w:r>
            <w:r w:rsidDel="00000000" w:rsidR="00000000" w:rsidRPr="00000000">
              <w:rPr>
                <w:rtl w:val="0"/>
              </w:rPr>
            </w:r>
          </w:p>
        </w:tc>
      </w:tr>
      <w:tr>
        <w:trPr>
          <w:cantSplit w:val="0"/>
          <w:trHeight w:val="276" w:hRule="atLeast"/>
          <w:tblHeader w:val="0"/>
        </w:trPr>
        <w:tc>
          <w:tcPr>
            <w:vAlign w:val="center"/>
          </w:tcPr>
          <w:p w:rsidR="00000000" w:rsidDel="00000000" w:rsidP="00000000" w:rsidRDefault="00000000" w:rsidRPr="00000000" w14:paraId="00000033">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Objectives</w:t>
            </w:r>
          </w:p>
        </w:tc>
        <w:tc>
          <w:tcPr/>
          <w:p w:rsidR="00000000" w:rsidDel="00000000" w:rsidP="00000000" w:rsidRDefault="00000000" w:rsidRPr="00000000" w14:paraId="00000034">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7</w:t>
            </w:r>
          </w:p>
        </w:tc>
        <w:tc>
          <w:tcPr/>
          <w:p w:rsidR="00000000" w:rsidDel="00000000" w:rsidP="00000000" w:rsidRDefault="00000000" w:rsidRPr="00000000" w14:paraId="00000035">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Specific objectives related to benefits and harms</w:t>
            </w:r>
          </w:p>
        </w:tc>
        <w:tc>
          <w:tcPr/>
          <w:p w:rsidR="00000000" w:rsidDel="00000000" w:rsidP="00000000" w:rsidRDefault="00000000" w:rsidRPr="00000000" w14:paraId="00000036">
            <w:pPr>
              <w:spacing w:line="240" w:lineRule="auto"/>
              <w:rPr>
                <w:rFonts w:ascii="Calibri" w:cs="Calibri" w:eastAsia="Calibri" w:hAnsi="Calibri"/>
                <w:color w:val="000000"/>
                <w:sz w:val="22"/>
                <w:szCs w:val="22"/>
              </w:rPr>
            </w:pPr>
            <w:r w:rsidDel="00000000" w:rsidR="00000000" w:rsidRPr="00000000">
              <w:rPr>
                <w:rtl w:val="0"/>
              </w:rPr>
              <w:t xml:space="preserve">p.2, Introduction (final paragraph: two specific objectives).</w:t>
            </w:r>
            <w:r w:rsidDel="00000000" w:rsidR="00000000" w:rsidRPr="00000000">
              <w:rPr>
                <w:rtl w:val="0"/>
              </w:rPr>
            </w:r>
          </w:p>
        </w:tc>
      </w:tr>
      <w:tr>
        <w:trPr>
          <w:cantSplit w:val="0"/>
          <w:trHeight w:val="276" w:hRule="atLeast"/>
          <w:tblHeader w:val="0"/>
        </w:trPr>
        <w:tc>
          <w:tcPr>
            <w:gridSpan w:val="3"/>
            <w:shd w:fill="bdd7ee" w:val="clear"/>
          </w:tcPr>
          <w:p w:rsidR="00000000" w:rsidDel="00000000" w:rsidP="00000000" w:rsidRDefault="00000000" w:rsidRPr="00000000" w14:paraId="00000037">
            <w:pPr>
              <w:spacing w:line="240" w:lineRule="auto"/>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Methods</w:t>
            </w:r>
          </w:p>
        </w:tc>
        <w:tc>
          <w:tcPr>
            <w:shd w:fill="c6d9f1" w:val="clear"/>
          </w:tcPr>
          <w:p w:rsidR="00000000" w:rsidDel="00000000" w:rsidP="00000000" w:rsidRDefault="00000000" w:rsidRPr="00000000" w14:paraId="0000003A">
            <w:pPr>
              <w:spacing w:line="240" w:lineRule="auto"/>
              <w:rPr>
                <w:rFonts w:ascii="Calibri" w:cs="Calibri" w:eastAsia="Calibri" w:hAnsi="Calibri"/>
                <w:b w:val="1"/>
                <w:bCs w:val="1"/>
                <w:color w:val="000000"/>
                <w:sz w:val="22"/>
                <w:szCs w:val="22"/>
              </w:rPr>
            </w:pPr>
            <w:r w:rsidDel="00000000" w:rsidR="00000000" w:rsidRPr="00000000">
              <w:rPr>
                <w:rtl w:val="0"/>
              </w:rPr>
            </w:r>
          </w:p>
        </w:tc>
      </w:tr>
      <w:tr>
        <w:trPr>
          <w:cantSplit w:val="0"/>
          <w:trHeight w:val="268" w:hRule="atLeast"/>
          <w:tblHeader w:val="0"/>
        </w:trPr>
        <w:tc>
          <w:tcPr/>
          <w:p w:rsidR="00000000" w:rsidDel="00000000" w:rsidP="00000000" w:rsidRDefault="00000000" w:rsidRPr="00000000" w14:paraId="0000003B">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Patient and public involvement</w:t>
            </w:r>
          </w:p>
        </w:tc>
        <w:tc>
          <w:tcPr/>
          <w:p w:rsidR="00000000" w:rsidDel="00000000" w:rsidP="00000000" w:rsidRDefault="00000000" w:rsidRPr="00000000" w14:paraId="0000003C">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8</w:t>
            </w:r>
          </w:p>
        </w:tc>
        <w:tc>
          <w:tcPr/>
          <w:p w:rsidR="00000000" w:rsidDel="00000000" w:rsidP="00000000" w:rsidRDefault="00000000" w:rsidRPr="00000000" w14:paraId="0000003D">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Details of patient or public involvement in the design, conduct and reporting of the trial</w:t>
            </w:r>
          </w:p>
        </w:tc>
        <w:tc>
          <w:tcPr/>
          <w:p w:rsidR="00000000" w:rsidDel="00000000" w:rsidP="00000000" w:rsidRDefault="00000000" w:rsidRPr="00000000" w14:paraId="0000003E">
            <w:pPr>
              <w:spacing w:line="240" w:lineRule="auto"/>
              <w:rPr>
                <w:rFonts w:ascii="Calibri" w:cs="Calibri" w:eastAsia="Calibri" w:hAnsi="Calibri"/>
                <w:color w:val="000000"/>
                <w:sz w:val="22"/>
                <w:szCs w:val="22"/>
              </w:rPr>
            </w:pPr>
            <w:r w:rsidDel="00000000" w:rsidR="00000000" w:rsidRPr="00000000">
              <w:rPr>
                <w:rtl w:val="0"/>
              </w:rPr>
              <w:t xml:space="preserve">Not applicable — no formal patient or public involvement in study design, conduct, or reporting.</w:t>
            </w:r>
            <w:r w:rsidDel="00000000" w:rsidR="00000000" w:rsidRPr="00000000">
              <w:rPr>
                <w:rtl w:val="0"/>
              </w:rPr>
            </w:r>
          </w:p>
        </w:tc>
      </w:tr>
      <w:tr>
        <w:trPr>
          <w:cantSplit w:val="0"/>
          <w:trHeight w:val="268" w:hRule="atLeast"/>
          <w:tblHeader w:val="0"/>
        </w:trPr>
        <w:tc>
          <w:tcPr/>
          <w:p w:rsidR="00000000" w:rsidDel="00000000" w:rsidP="00000000" w:rsidRDefault="00000000" w:rsidRPr="00000000" w14:paraId="0000003F">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Trial design</w:t>
            </w:r>
          </w:p>
        </w:tc>
        <w:tc>
          <w:tcPr/>
          <w:p w:rsidR="00000000" w:rsidDel="00000000" w:rsidP="00000000" w:rsidRDefault="00000000" w:rsidRPr="00000000" w14:paraId="00000040">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9</w:t>
            </w:r>
          </w:p>
        </w:tc>
        <w:tc>
          <w:tcPr/>
          <w:p w:rsidR="00000000" w:rsidDel="00000000" w:rsidP="00000000" w:rsidRDefault="00000000" w:rsidRPr="00000000" w14:paraId="00000041">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Description of trial design including type of trial (e.g., parallel group, crossover), allocation ratio, and framework (e.g., superiority, equivalence, non-inferiority, exploratory)</w:t>
            </w:r>
          </w:p>
        </w:tc>
        <w:tc>
          <w:tcPr/>
          <w:p w:rsidR="00000000" w:rsidDel="00000000" w:rsidP="00000000" w:rsidRDefault="00000000" w:rsidRPr="00000000" w14:paraId="00000042">
            <w:pPr>
              <w:spacing w:line="240" w:lineRule="auto"/>
              <w:rPr>
                <w:rFonts w:ascii="Calibri" w:cs="Calibri" w:eastAsia="Calibri" w:hAnsi="Calibri"/>
                <w:color w:val="000000"/>
                <w:sz w:val="22"/>
                <w:szCs w:val="22"/>
              </w:rPr>
            </w:pPr>
            <w:r w:rsidDel="00000000" w:rsidR="00000000" w:rsidRPr="00000000">
              <w:rPr>
                <w:rtl w:val="0"/>
              </w:rPr>
              <w:t xml:space="preserve">p.3, Methods, "Study Design and Participants" — cross-sectional, observational comparative design with participants stratified by playing position. N/A: no allocation ratio/randomisation framework (non-randomised design).</w:t>
            </w:r>
            <w:r w:rsidDel="00000000" w:rsidR="00000000" w:rsidRPr="00000000">
              <w:rPr>
                <w:rtl w:val="0"/>
              </w:rPr>
            </w:r>
          </w:p>
        </w:tc>
      </w:tr>
      <w:tr>
        <w:trPr>
          <w:cantSplit w:val="0"/>
          <w:trHeight w:val="214" w:hRule="atLeast"/>
          <w:tblHeader w:val="0"/>
        </w:trPr>
        <w:tc>
          <w:tcPr/>
          <w:p w:rsidR="00000000" w:rsidDel="00000000" w:rsidP="00000000" w:rsidRDefault="00000000" w:rsidRPr="00000000" w14:paraId="00000043">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Changes to trial protocol</w:t>
            </w:r>
          </w:p>
        </w:tc>
        <w:tc>
          <w:tcPr/>
          <w:p w:rsidR="00000000" w:rsidDel="00000000" w:rsidP="00000000" w:rsidRDefault="00000000" w:rsidRPr="00000000" w14:paraId="00000044">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10</w:t>
            </w:r>
          </w:p>
        </w:tc>
        <w:tc>
          <w:tcPr/>
          <w:p w:rsidR="00000000" w:rsidDel="00000000" w:rsidP="00000000" w:rsidRDefault="00000000" w:rsidRPr="00000000" w14:paraId="00000045">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Important changes to the trial after it commenced including any outcomes or analyses that were not prespecified, with reason</w:t>
            </w:r>
          </w:p>
        </w:tc>
        <w:tc>
          <w:tcPr/>
          <w:p w:rsidR="00000000" w:rsidDel="00000000" w:rsidP="00000000" w:rsidRDefault="00000000" w:rsidRPr="00000000" w14:paraId="00000046">
            <w:pPr>
              <w:spacing w:line="240" w:lineRule="auto"/>
              <w:rPr>
                <w:rFonts w:ascii="Calibri" w:cs="Calibri" w:eastAsia="Calibri" w:hAnsi="Calibri"/>
                <w:color w:val="000000"/>
                <w:sz w:val="22"/>
                <w:szCs w:val="22"/>
              </w:rPr>
            </w:pPr>
            <w:r w:rsidDel="00000000" w:rsidR="00000000" w:rsidRPr="00000000">
              <w:rPr>
                <w:rtl w:val="0"/>
              </w:rPr>
              <w:t xml:space="preserve">Not applicable — no changes to the study after commencement; analyses were prespecified.</w:t>
            </w:r>
            <w:r w:rsidDel="00000000" w:rsidR="00000000" w:rsidRPr="00000000">
              <w:rPr>
                <w:rtl w:val="0"/>
              </w:rPr>
            </w:r>
          </w:p>
        </w:tc>
      </w:tr>
      <w:tr>
        <w:trPr>
          <w:cantSplit w:val="0"/>
          <w:trHeight w:val="273" w:hRule="atLeast"/>
          <w:tblHeader w:val="0"/>
        </w:trPr>
        <w:tc>
          <w:tcPr/>
          <w:p w:rsidR="00000000" w:rsidDel="00000000" w:rsidP="00000000" w:rsidRDefault="00000000" w:rsidRPr="00000000" w14:paraId="00000047">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Trial setting</w:t>
            </w:r>
          </w:p>
        </w:tc>
        <w:tc>
          <w:tcPr/>
          <w:p w:rsidR="00000000" w:rsidDel="00000000" w:rsidP="00000000" w:rsidRDefault="00000000" w:rsidRPr="00000000" w14:paraId="00000048">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11</w:t>
            </w:r>
          </w:p>
        </w:tc>
        <w:tc>
          <w:tcPr/>
          <w:p w:rsidR="00000000" w:rsidDel="00000000" w:rsidP="00000000" w:rsidRDefault="00000000" w:rsidRPr="00000000" w14:paraId="00000049">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Settings (e.g., community, hospital) and locations (e.g., countries, sites) where the trial was conducted</w:t>
            </w:r>
          </w:p>
        </w:tc>
        <w:tc>
          <w:tcPr/>
          <w:p w:rsidR="00000000" w:rsidDel="00000000" w:rsidP="00000000" w:rsidRDefault="00000000" w:rsidRPr="00000000" w14:paraId="0000004A">
            <w:pPr>
              <w:spacing w:line="240" w:lineRule="auto"/>
              <w:rPr>
                <w:rFonts w:ascii="Calibri" w:cs="Calibri" w:eastAsia="Calibri" w:hAnsi="Calibri"/>
                <w:color w:val="000000"/>
                <w:sz w:val="22"/>
                <w:szCs w:val="22"/>
              </w:rPr>
            </w:pPr>
            <w:r w:rsidDel="00000000" w:rsidR="00000000" w:rsidRPr="00000000">
              <w:rPr>
                <w:rtl w:val="0"/>
              </w:rPr>
              <w:t xml:space="preserve">p.3, Methods, "Study Design and Participants" (single-session field-based testing; Türkiye). Ethics/setting p.3.</w:t>
            </w:r>
            <w:r w:rsidDel="00000000" w:rsidR="00000000" w:rsidRPr="00000000">
              <w:rPr>
                <w:rtl w:val="0"/>
              </w:rPr>
            </w:r>
          </w:p>
        </w:tc>
      </w:tr>
      <w:tr>
        <w:trPr>
          <w:cantSplit w:val="0"/>
          <w:trHeight w:val="276" w:hRule="atLeast"/>
          <w:tblHeader w:val="0"/>
        </w:trPr>
        <w:tc>
          <w:tcPr>
            <w:vMerge w:val="restart"/>
            <w:vAlign w:val="center"/>
          </w:tcPr>
          <w:p w:rsidR="00000000" w:rsidDel="00000000" w:rsidP="00000000" w:rsidRDefault="00000000" w:rsidRPr="00000000" w14:paraId="0000004B">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Eligibility criteria</w:t>
            </w:r>
          </w:p>
        </w:tc>
        <w:tc>
          <w:tcPr/>
          <w:p w:rsidR="00000000" w:rsidDel="00000000" w:rsidP="00000000" w:rsidRDefault="00000000" w:rsidRPr="00000000" w14:paraId="0000004C">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12a</w:t>
            </w:r>
          </w:p>
        </w:tc>
        <w:tc>
          <w:tcPr/>
          <w:p w:rsidR="00000000" w:rsidDel="00000000" w:rsidP="00000000" w:rsidRDefault="00000000" w:rsidRPr="00000000" w14:paraId="0000004D">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Eligibility criteria for participants</w:t>
            </w:r>
          </w:p>
        </w:tc>
        <w:tc>
          <w:tcPr/>
          <w:p w:rsidR="00000000" w:rsidDel="00000000" w:rsidP="00000000" w:rsidRDefault="00000000" w:rsidRPr="00000000" w14:paraId="0000004E">
            <w:pPr>
              <w:spacing w:line="240" w:lineRule="auto"/>
              <w:rPr>
                <w:rFonts w:ascii="Calibri" w:cs="Calibri" w:eastAsia="Calibri" w:hAnsi="Calibri"/>
                <w:color w:val="000000"/>
                <w:sz w:val="22"/>
                <w:szCs w:val="22"/>
              </w:rPr>
            </w:pPr>
            <w:r w:rsidDel="00000000" w:rsidR="00000000" w:rsidRPr="00000000">
              <w:rPr>
                <w:rtl w:val="0"/>
              </w:rPr>
              <w:t xml:space="preserve">p.3, Methods, "Study Design and Participants" — inclusion and exclusion criteria for participants.</w:t>
            </w:r>
            <w:r w:rsidDel="00000000" w:rsidR="00000000" w:rsidRPr="00000000">
              <w:rPr>
                <w:rtl w:val="0"/>
              </w:rPr>
            </w:r>
          </w:p>
        </w:tc>
      </w:tr>
      <w:tr>
        <w:trPr>
          <w:cantSplit w:val="0"/>
          <w:trHeight w:val="276" w:hRule="atLeast"/>
          <w:tblHeader w:val="0"/>
        </w:trPr>
        <w:tc>
          <w:tcPr>
            <w:vMerge w:val="continue"/>
            <w:vAlign w:val="center"/>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p w:rsidR="00000000" w:rsidDel="00000000" w:rsidP="00000000" w:rsidRDefault="00000000" w:rsidRPr="00000000" w14:paraId="00000050">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12b</w:t>
            </w:r>
          </w:p>
        </w:tc>
        <w:tc>
          <w:tcPr/>
          <w:p w:rsidR="00000000" w:rsidDel="00000000" w:rsidP="00000000" w:rsidRDefault="00000000" w:rsidRPr="00000000" w14:paraId="00000051">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If applicable, eligibility criteria for sites and for individuals delivering the interventions (e.g., surgeons, physiotherapists)</w:t>
            </w:r>
          </w:p>
        </w:tc>
        <w:tc>
          <w:tcPr/>
          <w:p w:rsidR="00000000" w:rsidDel="00000000" w:rsidP="00000000" w:rsidRDefault="00000000" w:rsidRPr="00000000" w14:paraId="00000052">
            <w:pPr>
              <w:spacing w:line="240" w:lineRule="auto"/>
              <w:rPr>
                <w:rFonts w:ascii="Calibri" w:cs="Calibri" w:eastAsia="Calibri" w:hAnsi="Calibri"/>
                <w:color w:val="000000"/>
                <w:sz w:val="22"/>
                <w:szCs w:val="22"/>
              </w:rPr>
            </w:pPr>
            <w:r w:rsidDel="00000000" w:rsidR="00000000" w:rsidRPr="00000000">
              <w:rPr>
                <w:rtl w:val="0"/>
              </w:rPr>
              <w:t xml:space="preserve">Not applicable — no interventions delivered; assessments performed by trained assessors using the DeepSport system (Methods, p.4).</w:t>
            </w:r>
            <w:r w:rsidDel="00000000" w:rsidR="00000000" w:rsidRPr="00000000">
              <w:rPr>
                <w:rtl w:val="0"/>
              </w:rPr>
            </w:r>
          </w:p>
        </w:tc>
      </w:tr>
      <w:tr>
        <w:trPr>
          <w:cantSplit w:val="0"/>
          <w:trHeight w:val="463" w:hRule="atLeast"/>
          <w:tblHeader w:val="0"/>
        </w:trPr>
        <w:tc>
          <w:tcPr/>
          <w:p w:rsidR="00000000" w:rsidDel="00000000" w:rsidP="00000000" w:rsidRDefault="00000000" w:rsidRPr="00000000" w14:paraId="00000053">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Intervention and comparator</w:t>
            </w:r>
          </w:p>
        </w:tc>
        <w:tc>
          <w:tcPr/>
          <w:p w:rsidR="00000000" w:rsidDel="00000000" w:rsidP="00000000" w:rsidRDefault="00000000" w:rsidRPr="00000000" w14:paraId="00000054">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13</w:t>
            </w:r>
          </w:p>
        </w:tc>
        <w:tc>
          <w:tcPr/>
          <w:p w:rsidR="00000000" w:rsidDel="00000000" w:rsidP="00000000" w:rsidRDefault="00000000" w:rsidRPr="00000000" w14:paraId="00000055">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Intervention and comparator with sufficient details to allow replication. If relevant, where additional materials describing the intervention and comparator (e.g., intervention manual) can be accessed</w:t>
            </w:r>
          </w:p>
        </w:tc>
        <w:tc>
          <w:tcPr/>
          <w:p w:rsidR="00000000" w:rsidDel="00000000" w:rsidP="00000000" w:rsidRDefault="00000000" w:rsidRPr="00000000" w14:paraId="00000056">
            <w:pPr>
              <w:spacing w:line="240" w:lineRule="auto"/>
              <w:rPr>
                <w:rFonts w:ascii="Calibri" w:cs="Calibri" w:eastAsia="Calibri" w:hAnsi="Calibri"/>
                <w:color w:val="000000"/>
                <w:sz w:val="22"/>
                <w:szCs w:val="22"/>
              </w:rPr>
            </w:pPr>
            <w:r w:rsidDel="00000000" w:rsidR="00000000" w:rsidRPr="00000000">
              <w:rPr>
                <w:rtl w:val="0"/>
              </w:rPr>
              <w:t xml:space="preserve">Not applicable — observational study with no intervention or comparator. Standardised performance test battery described in "Measurement Protocol and Instrumentation," p.4.</w:t>
            </w:r>
            <w:r w:rsidDel="00000000" w:rsidR="00000000" w:rsidRPr="00000000">
              <w:rPr>
                <w:rtl w:val="0"/>
              </w:rPr>
            </w:r>
          </w:p>
        </w:tc>
      </w:tr>
      <w:tr>
        <w:trPr>
          <w:cantSplit w:val="0"/>
          <w:trHeight w:val="614" w:hRule="atLeast"/>
          <w:tblHeader w:val="0"/>
        </w:trPr>
        <w:tc>
          <w:tcPr/>
          <w:p w:rsidR="00000000" w:rsidDel="00000000" w:rsidP="00000000" w:rsidRDefault="00000000" w:rsidRPr="00000000" w14:paraId="00000057">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Outcomes</w:t>
            </w:r>
          </w:p>
        </w:tc>
        <w:tc>
          <w:tcPr/>
          <w:p w:rsidR="00000000" w:rsidDel="00000000" w:rsidP="00000000" w:rsidRDefault="00000000" w:rsidRPr="00000000" w14:paraId="00000058">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14</w:t>
            </w:r>
          </w:p>
          <w:p w:rsidR="00000000" w:rsidDel="00000000" w:rsidP="00000000" w:rsidRDefault="00000000" w:rsidRPr="00000000" w14:paraId="00000059">
            <w:pPr>
              <w:spacing w:line="240" w:lineRule="auto"/>
              <w:jc w:val="center"/>
              <w:rPr>
                <w:rFonts w:ascii="Calibri" w:cs="Calibri" w:eastAsia="Calibri" w:hAnsi="Calibri"/>
                <w:color w:val="000000"/>
                <w:sz w:val="22"/>
                <w:szCs w:val="22"/>
              </w:rPr>
            </w:pPr>
            <w:r w:rsidDel="00000000" w:rsidR="00000000" w:rsidRPr="00000000">
              <w:rPr>
                <w:rtl w:val="0"/>
              </w:rPr>
            </w:r>
          </w:p>
        </w:tc>
        <w:tc>
          <w:tcPr/>
          <w:p w:rsidR="00000000" w:rsidDel="00000000" w:rsidP="00000000" w:rsidRDefault="00000000" w:rsidRPr="00000000" w14:paraId="0000005A">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Pre-specified primary and secondary outcomes, including the specific measurement variable (e.g., systolic blood pressure), analysis metric (e.g., change from baseline, final value, time to event), method of aggregation (e.g., median, proportion), and time point for each outcome</w:t>
            </w:r>
          </w:p>
        </w:tc>
        <w:tc>
          <w:tcPr/>
          <w:p w:rsidR="00000000" w:rsidDel="00000000" w:rsidP="00000000" w:rsidRDefault="00000000" w:rsidRPr="00000000" w14:paraId="0000005B">
            <w:pPr>
              <w:spacing w:line="240" w:lineRule="auto"/>
              <w:rPr>
                <w:rFonts w:ascii="Calibri" w:cs="Calibri" w:eastAsia="Calibri" w:hAnsi="Calibri"/>
                <w:color w:val="000000"/>
                <w:sz w:val="22"/>
                <w:szCs w:val="22"/>
              </w:rPr>
            </w:pPr>
            <w:r w:rsidDel="00000000" w:rsidR="00000000" w:rsidRPr="00000000">
              <w:rPr>
                <w:rtl w:val="0"/>
              </w:rPr>
              <w:t xml:space="preserve">p.4-5, Methods, "Measurement Protocol and Instrumentation" (performance variables) and "Injury Risk Classification" (multi-factor risk outcome definition and thresholds).</w:t>
            </w:r>
            <w:r w:rsidDel="00000000" w:rsidR="00000000" w:rsidRPr="00000000">
              <w:rPr>
                <w:rtl w:val="0"/>
              </w:rPr>
            </w:r>
          </w:p>
        </w:tc>
      </w:tr>
      <w:tr>
        <w:trPr>
          <w:cantSplit w:val="0"/>
          <w:trHeight w:val="339" w:hRule="atLeast"/>
          <w:tblHeader w:val="0"/>
        </w:trPr>
        <w:tc>
          <w:tcPr/>
          <w:p w:rsidR="00000000" w:rsidDel="00000000" w:rsidP="00000000" w:rsidRDefault="00000000" w:rsidRPr="00000000" w14:paraId="0000005C">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Harms</w:t>
            </w:r>
          </w:p>
        </w:tc>
        <w:tc>
          <w:tcPr/>
          <w:p w:rsidR="00000000" w:rsidDel="00000000" w:rsidP="00000000" w:rsidRDefault="00000000" w:rsidRPr="00000000" w14:paraId="0000005D">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15</w:t>
            </w:r>
          </w:p>
        </w:tc>
        <w:tc>
          <w:tcPr/>
          <w:p w:rsidR="00000000" w:rsidDel="00000000" w:rsidP="00000000" w:rsidRDefault="00000000" w:rsidRPr="00000000" w14:paraId="0000005E">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How harms were defined and assessed (e.g., systematically, non-systematically)</w:t>
            </w:r>
          </w:p>
        </w:tc>
        <w:tc>
          <w:tcPr/>
          <w:p w:rsidR="00000000" w:rsidDel="00000000" w:rsidP="00000000" w:rsidRDefault="00000000" w:rsidRPr="00000000" w14:paraId="0000005F">
            <w:pPr>
              <w:spacing w:line="240" w:lineRule="auto"/>
              <w:rPr>
                <w:rFonts w:ascii="Calibri" w:cs="Calibri" w:eastAsia="Calibri" w:hAnsi="Calibri"/>
                <w:color w:val="000000"/>
                <w:sz w:val="22"/>
                <w:szCs w:val="22"/>
              </w:rPr>
            </w:pPr>
            <w:r w:rsidDel="00000000" w:rsidR="00000000" w:rsidRPr="00000000">
              <w:rPr>
                <w:rtl w:val="0"/>
              </w:rPr>
              <w:t xml:space="preserve">Not applicable — no intervention; no harms assessed (field-based performance testing).</w:t>
            </w:r>
            <w:r w:rsidDel="00000000" w:rsidR="00000000" w:rsidRPr="00000000">
              <w:rPr>
                <w:rtl w:val="0"/>
              </w:rPr>
            </w:r>
          </w:p>
        </w:tc>
      </w:tr>
      <w:tr>
        <w:trPr>
          <w:cantSplit w:val="0"/>
          <w:trHeight w:val="273" w:hRule="atLeast"/>
          <w:tblHeader w:val="0"/>
        </w:trPr>
        <w:tc>
          <w:tcPr>
            <w:vMerge w:val="restart"/>
          </w:tcPr>
          <w:p w:rsidR="00000000" w:rsidDel="00000000" w:rsidP="00000000" w:rsidRDefault="00000000" w:rsidRPr="00000000" w14:paraId="00000060">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Sample size</w:t>
            </w:r>
          </w:p>
        </w:tc>
        <w:tc>
          <w:tcPr/>
          <w:p w:rsidR="00000000" w:rsidDel="00000000" w:rsidP="00000000" w:rsidRDefault="00000000" w:rsidRPr="00000000" w14:paraId="00000061">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16a</w:t>
            </w:r>
          </w:p>
        </w:tc>
        <w:tc>
          <w:tcPr/>
          <w:p w:rsidR="00000000" w:rsidDel="00000000" w:rsidP="00000000" w:rsidRDefault="00000000" w:rsidRPr="00000000" w14:paraId="00000062">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How sample size was determined, including all assumptions supporting the sample size calculation</w:t>
            </w:r>
          </w:p>
        </w:tc>
        <w:tc>
          <w:tcPr/>
          <w:p w:rsidR="00000000" w:rsidDel="00000000" w:rsidP="00000000" w:rsidRDefault="00000000" w:rsidRPr="00000000" w14:paraId="00000063">
            <w:pPr>
              <w:spacing w:line="240" w:lineRule="auto"/>
              <w:rPr>
                <w:rFonts w:ascii="Calibri" w:cs="Calibri" w:eastAsia="Calibri" w:hAnsi="Calibri"/>
                <w:color w:val="000000"/>
                <w:sz w:val="22"/>
                <w:szCs w:val="22"/>
              </w:rPr>
            </w:pPr>
            <w:r w:rsidDel="00000000" w:rsidR="00000000" w:rsidRPr="00000000">
              <w:rPr>
                <w:rtl w:val="0"/>
              </w:rPr>
              <w:t xml:space="preserve">p.4, Methods, "Sample Size Calculation" (a priori G*Power calculation with assumptions).</w:t>
            </w:r>
            <w:r w:rsidDel="00000000" w:rsidR="00000000" w:rsidRPr="00000000">
              <w:rPr>
                <w:rtl w:val="0"/>
              </w:rPr>
            </w:r>
          </w:p>
        </w:tc>
      </w:tr>
      <w:tr>
        <w:trPr>
          <w:cantSplit w:val="0"/>
          <w:trHeight w:val="273" w:hRule="atLeast"/>
          <w:tblHeader w:val="0"/>
        </w:trPr>
        <w:tc>
          <w:tcPr>
            <w:vMerge w:val="continue"/>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p w:rsidR="00000000" w:rsidDel="00000000" w:rsidP="00000000" w:rsidRDefault="00000000" w:rsidRPr="00000000" w14:paraId="00000065">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16b</w:t>
            </w:r>
          </w:p>
        </w:tc>
        <w:tc>
          <w:tcPr/>
          <w:p w:rsidR="00000000" w:rsidDel="00000000" w:rsidP="00000000" w:rsidRDefault="00000000" w:rsidRPr="00000000" w14:paraId="00000066">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Explanation of any interim analyses and stopping guidelines</w:t>
            </w:r>
          </w:p>
        </w:tc>
        <w:tc>
          <w:tcPr/>
          <w:p w:rsidR="00000000" w:rsidDel="00000000" w:rsidP="00000000" w:rsidRDefault="00000000" w:rsidRPr="00000000" w14:paraId="00000067">
            <w:pPr>
              <w:spacing w:line="240" w:lineRule="auto"/>
              <w:rPr>
                <w:rFonts w:ascii="Calibri" w:cs="Calibri" w:eastAsia="Calibri" w:hAnsi="Calibri"/>
                <w:color w:val="000000"/>
                <w:sz w:val="22"/>
                <w:szCs w:val="22"/>
              </w:rPr>
            </w:pPr>
            <w:r w:rsidDel="00000000" w:rsidR="00000000" w:rsidRPr="00000000">
              <w:rPr>
                <w:rtl w:val="0"/>
              </w:rPr>
              <w:t xml:space="preserve">Not applicable — no interim analyses or stopping guidelines (single-session cross-sectional study).</w:t>
            </w:r>
            <w:r w:rsidDel="00000000" w:rsidR="00000000" w:rsidRPr="00000000">
              <w:rPr>
                <w:rtl w:val="0"/>
              </w:rPr>
            </w:r>
          </w:p>
        </w:tc>
      </w:tr>
      <w:tr>
        <w:trPr>
          <w:cantSplit w:val="0"/>
          <w:trHeight w:val="276" w:hRule="atLeast"/>
          <w:tblHeader w:val="0"/>
        </w:trPr>
        <w:tc>
          <w:tcPr/>
          <w:p w:rsidR="00000000" w:rsidDel="00000000" w:rsidP="00000000" w:rsidRDefault="00000000" w:rsidRPr="00000000" w14:paraId="00000068">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Randomisation:</w:t>
            </w:r>
          </w:p>
        </w:tc>
        <w:tc>
          <w:tcPr/>
          <w:p w:rsidR="00000000" w:rsidDel="00000000" w:rsidP="00000000" w:rsidRDefault="00000000" w:rsidRPr="00000000" w14:paraId="00000069">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 </w:t>
            </w:r>
          </w:p>
        </w:tc>
        <w:tc>
          <w:tcPr/>
          <w:p w:rsidR="00000000" w:rsidDel="00000000" w:rsidP="00000000" w:rsidRDefault="00000000" w:rsidRPr="00000000" w14:paraId="0000006A">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 </w:t>
            </w:r>
          </w:p>
        </w:tc>
        <w:tc>
          <w:tcPr/>
          <w:p w:rsidR="00000000" w:rsidDel="00000000" w:rsidP="00000000" w:rsidRDefault="00000000" w:rsidRPr="00000000" w14:paraId="0000006B">
            <w:pPr>
              <w:spacing w:line="240" w:lineRule="auto"/>
              <w:rPr>
                <w:rFonts w:ascii="Calibri" w:cs="Calibri" w:eastAsia="Calibri" w:hAnsi="Calibri"/>
                <w:color w:val="000000"/>
                <w:sz w:val="22"/>
                <w:szCs w:val="22"/>
              </w:rPr>
            </w:pPr>
            <w:r w:rsidDel="00000000" w:rsidR="00000000" w:rsidRPr="00000000">
              <w:rPr>
                <w:rtl w:val="0"/>
              </w:rPr>
            </w:r>
          </w:p>
        </w:tc>
      </w:tr>
      <w:tr>
        <w:trPr>
          <w:cantSplit w:val="0"/>
          <w:trHeight w:val="266" w:hRule="atLeast"/>
          <w:tblHeader w:val="0"/>
        </w:trPr>
        <w:tc>
          <w:tcPr>
            <w:vMerge w:val="restart"/>
          </w:tcPr>
          <w:p w:rsidR="00000000" w:rsidDel="00000000" w:rsidP="00000000" w:rsidRDefault="00000000" w:rsidRPr="00000000" w14:paraId="0000006C">
            <w:pPr>
              <w:spacing w:line="240" w:lineRule="auto"/>
              <w:ind w:left="113" w:firstLine="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Sequence generation</w:t>
            </w:r>
          </w:p>
        </w:tc>
        <w:tc>
          <w:tcPr/>
          <w:p w:rsidR="00000000" w:rsidDel="00000000" w:rsidP="00000000" w:rsidRDefault="00000000" w:rsidRPr="00000000" w14:paraId="0000006D">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17a</w:t>
            </w:r>
          </w:p>
        </w:tc>
        <w:tc>
          <w:tcPr/>
          <w:p w:rsidR="00000000" w:rsidDel="00000000" w:rsidP="00000000" w:rsidRDefault="00000000" w:rsidRPr="00000000" w14:paraId="0000006E">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Who generated the random allocation sequence and the method used</w:t>
            </w:r>
          </w:p>
        </w:tc>
        <w:tc>
          <w:tcPr/>
          <w:p w:rsidR="00000000" w:rsidDel="00000000" w:rsidP="00000000" w:rsidRDefault="00000000" w:rsidRPr="00000000" w14:paraId="0000006F">
            <w:pPr>
              <w:spacing w:line="240" w:lineRule="auto"/>
              <w:rPr>
                <w:rFonts w:ascii="Calibri" w:cs="Calibri" w:eastAsia="Calibri" w:hAnsi="Calibri"/>
                <w:color w:val="000000"/>
                <w:sz w:val="22"/>
                <w:szCs w:val="22"/>
              </w:rPr>
            </w:pPr>
            <w:r w:rsidDel="00000000" w:rsidR="00000000" w:rsidRPr="00000000">
              <w:rPr>
                <w:rtl w:val="0"/>
              </w:rPr>
              <w:t xml:space="preserve">Not applicable — non-randomised study; no random allocation sequence.</w:t>
            </w:r>
            <w:r w:rsidDel="00000000" w:rsidR="00000000" w:rsidRPr="00000000">
              <w:rPr>
                <w:rtl w:val="0"/>
              </w:rPr>
            </w:r>
          </w:p>
        </w:tc>
      </w:tr>
      <w:tr>
        <w:trPr>
          <w:cantSplit w:val="0"/>
          <w:trHeight w:val="285" w:hRule="atLeast"/>
          <w:tblHeader w:val="0"/>
        </w:trPr>
        <w:tc>
          <w:tcPr>
            <w:vMerge w:val="continue"/>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p w:rsidR="00000000" w:rsidDel="00000000" w:rsidP="00000000" w:rsidRDefault="00000000" w:rsidRPr="00000000" w14:paraId="00000071">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17b</w:t>
            </w:r>
          </w:p>
        </w:tc>
        <w:tc>
          <w:tcPr/>
          <w:p w:rsidR="00000000" w:rsidDel="00000000" w:rsidP="00000000" w:rsidRDefault="00000000" w:rsidRPr="00000000" w14:paraId="00000072">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Type of randomisation and details of any restriction (e.g., stratification, blocking and block size)</w:t>
            </w:r>
          </w:p>
        </w:tc>
        <w:tc>
          <w:tcPr/>
          <w:p w:rsidR="00000000" w:rsidDel="00000000" w:rsidP="00000000" w:rsidRDefault="00000000" w:rsidRPr="00000000" w14:paraId="00000073">
            <w:pPr>
              <w:spacing w:line="240" w:lineRule="auto"/>
              <w:rPr>
                <w:rFonts w:ascii="Calibri" w:cs="Calibri" w:eastAsia="Calibri" w:hAnsi="Calibri"/>
                <w:color w:val="000000"/>
                <w:sz w:val="22"/>
                <w:szCs w:val="22"/>
              </w:rPr>
            </w:pPr>
            <w:r w:rsidDel="00000000" w:rsidR="00000000" w:rsidRPr="00000000">
              <w:rPr>
                <w:rtl w:val="0"/>
              </w:rPr>
              <w:t xml:space="preserve">Not applicable — non-randomised study.</w:t>
            </w:r>
            <w:r w:rsidDel="00000000" w:rsidR="00000000" w:rsidRPr="00000000">
              <w:rPr>
                <w:rtl w:val="0"/>
              </w:rPr>
            </w:r>
          </w:p>
        </w:tc>
      </w:tr>
      <w:tr>
        <w:trPr>
          <w:cantSplit w:val="0"/>
          <w:trHeight w:val="544" w:hRule="atLeast"/>
          <w:tblHeader w:val="0"/>
        </w:trPr>
        <w:tc>
          <w:tcPr/>
          <w:p w:rsidR="00000000" w:rsidDel="00000000" w:rsidP="00000000" w:rsidRDefault="00000000" w:rsidRPr="00000000" w14:paraId="00000074">
            <w:pPr>
              <w:spacing w:line="240" w:lineRule="auto"/>
              <w:ind w:left="113" w:firstLine="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Allocation concealment mechanism</w:t>
            </w:r>
          </w:p>
        </w:tc>
        <w:tc>
          <w:tcPr/>
          <w:p w:rsidR="00000000" w:rsidDel="00000000" w:rsidP="00000000" w:rsidRDefault="00000000" w:rsidRPr="00000000" w14:paraId="00000075">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18</w:t>
            </w:r>
          </w:p>
        </w:tc>
        <w:tc>
          <w:tcPr/>
          <w:p w:rsidR="00000000" w:rsidDel="00000000" w:rsidP="00000000" w:rsidRDefault="00000000" w:rsidRPr="00000000" w14:paraId="00000076">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Mechanism used to implement the random allocation sequence (e.g., central computer/telephone; sequentially numbered, opaque, sealed containers), describing any steps to conceal the sequence until interventions were assigned</w:t>
            </w:r>
          </w:p>
        </w:tc>
        <w:tc>
          <w:tcPr/>
          <w:p w:rsidR="00000000" w:rsidDel="00000000" w:rsidP="00000000" w:rsidRDefault="00000000" w:rsidRPr="00000000" w14:paraId="00000077">
            <w:pPr>
              <w:spacing w:line="240" w:lineRule="auto"/>
              <w:rPr>
                <w:rFonts w:ascii="Calibri" w:cs="Calibri" w:eastAsia="Calibri" w:hAnsi="Calibri"/>
                <w:color w:val="000000"/>
                <w:sz w:val="22"/>
                <w:szCs w:val="22"/>
              </w:rPr>
            </w:pPr>
            <w:r w:rsidDel="00000000" w:rsidR="00000000" w:rsidRPr="00000000">
              <w:rPr>
                <w:rtl w:val="0"/>
              </w:rPr>
              <w:t xml:space="preserve">Not applicable — non-randomised study; no allocation concealment.</w:t>
            </w:r>
            <w:r w:rsidDel="00000000" w:rsidR="00000000" w:rsidRPr="00000000">
              <w:rPr>
                <w:rtl w:val="0"/>
              </w:rPr>
            </w:r>
          </w:p>
        </w:tc>
      </w:tr>
      <w:tr>
        <w:trPr>
          <w:cantSplit w:val="0"/>
          <w:trHeight w:val="558" w:hRule="atLeast"/>
          <w:tblHeader w:val="0"/>
        </w:trPr>
        <w:tc>
          <w:tcPr/>
          <w:p w:rsidR="00000000" w:rsidDel="00000000" w:rsidP="00000000" w:rsidRDefault="00000000" w:rsidRPr="00000000" w14:paraId="00000078">
            <w:pPr>
              <w:spacing w:line="240" w:lineRule="auto"/>
              <w:ind w:left="113" w:firstLine="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Implementation</w:t>
            </w:r>
          </w:p>
        </w:tc>
        <w:tc>
          <w:tcPr/>
          <w:p w:rsidR="00000000" w:rsidDel="00000000" w:rsidP="00000000" w:rsidRDefault="00000000" w:rsidRPr="00000000" w14:paraId="00000079">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19</w:t>
            </w:r>
          </w:p>
        </w:tc>
        <w:tc>
          <w:tcPr/>
          <w:p w:rsidR="00000000" w:rsidDel="00000000" w:rsidP="00000000" w:rsidRDefault="00000000" w:rsidRPr="00000000" w14:paraId="0000007A">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Whether the personnel who enrolled and those who assigned participants to the interventions had access to the random allocation sequence </w:t>
            </w:r>
          </w:p>
        </w:tc>
        <w:tc>
          <w:tcPr/>
          <w:p w:rsidR="00000000" w:rsidDel="00000000" w:rsidP="00000000" w:rsidRDefault="00000000" w:rsidRPr="00000000" w14:paraId="0000007B">
            <w:pPr>
              <w:spacing w:line="240" w:lineRule="auto"/>
              <w:rPr>
                <w:rFonts w:ascii="Calibri" w:cs="Calibri" w:eastAsia="Calibri" w:hAnsi="Calibri"/>
                <w:color w:val="000000"/>
                <w:sz w:val="22"/>
                <w:szCs w:val="22"/>
              </w:rPr>
            </w:pPr>
            <w:r w:rsidDel="00000000" w:rsidR="00000000" w:rsidRPr="00000000">
              <w:rPr>
                <w:rtl w:val="0"/>
              </w:rPr>
              <w:t xml:space="preserve">Not applicable — non-randomised study.</w:t>
            </w:r>
            <w:r w:rsidDel="00000000" w:rsidR="00000000" w:rsidRPr="00000000">
              <w:rPr>
                <w:rtl w:val="0"/>
              </w:rPr>
            </w:r>
          </w:p>
        </w:tc>
      </w:tr>
      <w:tr>
        <w:trPr>
          <w:cantSplit w:val="0"/>
          <w:trHeight w:val="251" w:hRule="atLeast"/>
          <w:tblHeader w:val="0"/>
        </w:trPr>
        <w:tc>
          <w:tcPr>
            <w:vMerge w:val="restart"/>
          </w:tcPr>
          <w:p w:rsidR="00000000" w:rsidDel="00000000" w:rsidP="00000000" w:rsidRDefault="00000000" w:rsidRPr="00000000" w14:paraId="0000007C">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Blinding</w:t>
            </w:r>
          </w:p>
        </w:tc>
        <w:tc>
          <w:tcPr/>
          <w:p w:rsidR="00000000" w:rsidDel="00000000" w:rsidP="00000000" w:rsidRDefault="00000000" w:rsidRPr="00000000" w14:paraId="0000007D">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20a</w:t>
            </w:r>
          </w:p>
        </w:tc>
        <w:tc>
          <w:tcPr/>
          <w:p w:rsidR="00000000" w:rsidDel="00000000" w:rsidP="00000000" w:rsidRDefault="00000000" w:rsidRPr="00000000" w14:paraId="0000007E">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Who was blinded after assignment to interventions (e.g., participants, care providers, outcome assessors, data analysts) </w:t>
            </w:r>
          </w:p>
        </w:tc>
        <w:tc>
          <w:tcPr/>
          <w:p w:rsidR="00000000" w:rsidDel="00000000" w:rsidP="00000000" w:rsidRDefault="00000000" w:rsidRPr="00000000" w14:paraId="0000007F">
            <w:pPr>
              <w:spacing w:line="240" w:lineRule="auto"/>
              <w:rPr>
                <w:rFonts w:ascii="Calibri" w:cs="Calibri" w:eastAsia="Calibri" w:hAnsi="Calibri"/>
                <w:color w:val="000000"/>
                <w:sz w:val="22"/>
                <w:szCs w:val="22"/>
              </w:rPr>
            </w:pPr>
            <w:r w:rsidDel="00000000" w:rsidR="00000000" w:rsidRPr="00000000">
              <w:rPr>
                <w:rtl w:val="0"/>
              </w:rPr>
              <w:t xml:space="preserve">Not applicable — no blinding (observational design, no intervention).</w:t>
            </w:r>
            <w:r w:rsidDel="00000000" w:rsidR="00000000" w:rsidRPr="00000000">
              <w:rPr>
                <w:rtl w:val="0"/>
              </w:rPr>
            </w:r>
          </w:p>
        </w:tc>
      </w:tr>
      <w:tr>
        <w:trPr>
          <w:cantSplit w:val="0"/>
          <w:trHeight w:val="274" w:hRule="atLeast"/>
          <w:tblHeader w:val="0"/>
        </w:trPr>
        <w:tc>
          <w:tcPr>
            <w:vMerge w:val="continue"/>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p w:rsidR="00000000" w:rsidDel="00000000" w:rsidP="00000000" w:rsidRDefault="00000000" w:rsidRPr="00000000" w14:paraId="00000081">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20b</w:t>
            </w:r>
          </w:p>
        </w:tc>
        <w:tc>
          <w:tcPr/>
          <w:p w:rsidR="00000000" w:rsidDel="00000000" w:rsidP="00000000" w:rsidRDefault="00000000" w:rsidRPr="00000000" w14:paraId="00000082">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If blinded, how blinding was achieved and description of the similarity of interventions</w:t>
            </w:r>
          </w:p>
        </w:tc>
        <w:tc>
          <w:tcPr/>
          <w:p w:rsidR="00000000" w:rsidDel="00000000" w:rsidP="00000000" w:rsidRDefault="00000000" w:rsidRPr="00000000" w14:paraId="00000083">
            <w:pPr>
              <w:spacing w:line="240" w:lineRule="auto"/>
              <w:rPr>
                <w:rFonts w:ascii="Calibri" w:cs="Calibri" w:eastAsia="Calibri" w:hAnsi="Calibri"/>
                <w:color w:val="000000"/>
                <w:sz w:val="22"/>
                <w:szCs w:val="22"/>
              </w:rPr>
            </w:pPr>
            <w:r w:rsidDel="00000000" w:rsidR="00000000" w:rsidRPr="00000000">
              <w:rPr>
                <w:rtl w:val="0"/>
              </w:rPr>
              <w:t xml:space="preserve">Not applicable — no blinding.</w:t>
            </w:r>
            <w:r w:rsidDel="00000000" w:rsidR="00000000" w:rsidRPr="00000000">
              <w:rPr>
                <w:rtl w:val="0"/>
              </w:rPr>
            </w:r>
          </w:p>
        </w:tc>
      </w:tr>
      <w:tr>
        <w:trPr>
          <w:cantSplit w:val="0"/>
          <w:trHeight w:val="225" w:hRule="atLeast"/>
          <w:tblHeader w:val="0"/>
        </w:trPr>
        <w:tc>
          <w:tcPr>
            <w:vMerge w:val="restart"/>
          </w:tcPr>
          <w:p w:rsidR="00000000" w:rsidDel="00000000" w:rsidP="00000000" w:rsidRDefault="00000000" w:rsidRPr="00000000" w14:paraId="00000084">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Statistical methods</w:t>
            </w:r>
          </w:p>
        </w:tc>
        <w:tc>
          <w:tcPr/>
          <w:p w:rsidR="00000000" w:rsidDel="00000000" w:rsidP="00000000" w:rsidRDefault="00000000" w:rsidRPr="00000000" w14:paraId="00000085">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21a</w:t>
            </w:r>
          </w:p>
        </w:tc>
        <w:tc>
          <w:tcPr/>
          <w:p w:rsidR="00000000" w:rsidDel="00000000" w:rsidP="00000000" w:rsidRDefault="00000000" w:rsidRPr="00000000" w14:paraId="00000086">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Statistical methods used to compare groups for primary and secondary outcomes, including harms</w:t>
            </w:r>
          </w:p>
        </w:tc>
        <w:tc>
          <w:tcPr/>
          <w:p w:rsidR="00000000" w:rsidDel="00000000" w:rsidP="00000000" w:rsidRDefault="00000000" w:rsidRPr="00000000" w14:paraId="00000087">
            <w:pPr>
              <w:spacing w:line="240" w:lineRule="auto"/>
              <w:rPr>
                <w:rFonts w:ascii="Calibri" w:cs="Calibri" w:eastAsia="Calibri" w:hAnsi="Calibri"/>
                <w:color w:val="000000"/>
                <w:sz w:val="22"/>
                <w:szCs w:val="22"/>
              </w:rPr>
            </w:pPr>
            <w:r w:rsidDel="00000000" w:rsidR="00000000" w:rsidRPr="00000000">
              <w:rPr>
                <w:rtl w:val="0"/>
              </w:rPr>
              <w:t xml:space="preserve">p.6-7, Methods, "Random Forest Classifier," "SHAP Analysis," and "Statistical Analysis" (ANOVA, effect sizes, 5-fold cross-validation, classifier metrics).</w:t>
            </w:r>
            <w:r w:rsidDel="00000000" w:rsidR="00000000" w:rsidRPr="00000000">
              <w:rPr>
                <w:rtl w:val="0"/>
              </w:rPr>
            </w:r>
          </w:p>
        </w:tc>
      </w:tr>
      <w:tr>
        <w:trPr>
          <w:cantSplit w:val="0"/>
          <w:trHeight w:val="225" w:hRule="atLeast"/>
          <w:tblHeader w:val="0"/>
        </w:trPr>
        <w:tc>
          <w:tcPr>
            <w:vMerge w:val="continue"/>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p w:rsidR="00000000" w:rsidDel="00000000" w:rsidP="00000000" w:rsidRDefault="00000000" w:rsidRPr="00000000" w14:paraId="00000089">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21b</w:t>
            </w:r>
          </w:p>
        </w:tc>
        <w:tc>
          <w:tcPr/>
          <w:p w:rsidR="00000000" w:rsidDel="00000000" w:rsidP="00000000" w:rsidRDefault="00000000" w:rsidRPr="00000000" w14:paraId="0000008A">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Definition of who is included in each analysis (e.g., all randomised participants), and in which group</w:t>
            </w:r>
          </w:p>
        </w:tc>
        <w:tc>
          <w:tcPr/>
          <w:p w:rsidR="00000000" w:rsidDel="00000000" w:rsidP="00000000" w:rsidRDefault="00000000" w:rsidRPr="00000000" w14:paraId="0000008B">
            <w:pPr>
              <w:spacing w:line="240" w:lineRule="auto"/>
              <w:rPr>
                <w:rFonts w:ascii="Calibri" w:cs="Calibri" w:eastAsia="Calibri" w:hAnsi="Calibri"/>
                <w:color w:val="000000"/>
                <w:sz w:val="22"/>
                <w:szCs w:val="22"/>
              </w:rPr>
            </w:pPr>
            <w:r w:rsidDel="00000000" w:rsidR="00000000" w:rsidRPr="00000000">
              <w:rPr>
                <w:rtl w:val="0"/>
              </w:rPr>
              <w:t xml:space="preserve">p.7-8, Methods "Statistical Analysis" / Results — all 100 participants analysed; predictions concatenated across stratified 5-fold cross-validation.</w:t>
            </w:r>
            <w:r w:rsidDel="00000000" w:rsidR="00000000" w:rsidRPr="00000000">
              <w:rPr>
                <w:rtl w:val="0"/>
              </w:rPr>
            </w:r>
          </w:p>
        </w:tc>
      </w:tr>
      <w:tr>
        <w:trPr>
          <w:cantSplit w:val="0"/>
          <w:trHeight w:val="225" w:hRule="atLeast"/>
          <w:tblHeader w:val="0"/>
        </w:trPr>
        <w:tc>
          <w:tcPr>
            <w:vMerge w:val="continue"/>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p w:rsidR="00000000" w:rsidDel="00000000" w:rsidP="00000000" w:rsidRDefault="00000000" w:rsidRPr="00000000" w14:paraId="0000008D">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21c</w:t>
            </w:r>
          </w:p>
        </w:tc>
        <w:tc>
          <w:tcPr/>
          <w:p w:rsidR="00000000" w:rsidDel="00000000" w:rsidP="00000000" w:rsidRDefault="00000000" w:rsidRPr="00000000" w14:paraId="0000008E">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How missing data were handled in the analysis</w:t>
            </w:r>
          </w:p>
        </w:tc>
        <w:tc>
          <w:tcPr/>
          <w:p w:rsidR="00000000" w:rsidDel="00000000" w:rsidP="00000000" w:rsidRDefault="00000000" w:rsidRPr="00000000" w14:paraId="0000008F">
            <w:pPr>
              <w:spacing w:line="240" w:lineRule="auto"/>
              <w:rPr>
                <w:rFonts w:ascii="Calibri" w:cs="Calibri" w:eastAsia="Calibri" w:hAnsi="Calibri"/>
                <w:color w:val="000000"/>
                <w:sz w:val="22"/>
                <w:szCs w:val="22"/>
              </w:rPr>
            </w:pPr>
            <w:r w:rsidDel="00000000" w:rsidR="00000000" w:rsidRPr="00000000">
              <w:rPr>
                <w:rtl w:val="0"/>
              </w:rPr>
              <w:t xml:space="preserve">p.7, Methods, "Statistical Analysis" — complete-case dataset; no missing data were present (all participants completed the single-session battery).</w:t>
            </w:r>
            <w:r w:rsidDel="00000000" w:rsidR="00000000" w:rsidRPr="00000000">
              <w:rPr>
                <w:rtl w:val="0"/>
              </w:rPr>
            </w:r>
          </w:p>
        </w:tc>
      </w:tr>
      <w:tr>
        <w:trPr>
          <w:cantSplit w:val="0"/>
          <w:trHeight w:val="257" w:hRule="atLeast"/>
          <w:tblHeader w:val="0"/>
        </w:trPr>
        <w:tc>
          <w:tcPr>
            <w:vMerge w:val="continue"/>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p w:rsidR="00000000" w:rsidDel="00000000" w:rsidP="00000000" w:rsidRDefault="00000000" w:rsidRPr="00000000" w14:paraId="00000091">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21d</w:t>
            </w:r>
          </w:p>
        </w:tc>
        <w:tc>
          <w:tcPr/>
          <w:p w:rsidR="00000000" w:rsidDel="00000000" w:rsidP="00000000" w:rsidRDefault="00000000" w:rsidRPr="00000000" w14:paraId="00000092">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Methods for any additional analyses (e.g., subgroup and sensitivity analyses), distinguishing prespecified from post-hoc</w:t>
            </w:r>
          </w:p>
        </w:tc>
        <w:tc>
          <w:tcPr/>
          <w:p w:rsidR="00000000" w:rsidDel="00000000" w:rsidP="00000000" w:rsidRDefault="00000000" w:rsidRPr="00000000" w14:paraId="00000093">
            <w:pPr>
              <w:spacing w:line="240" w:lineRule="auto"/>
              <w:rPr>
                <w:rFonts w:ascii="Calibri" w:cs="Calibri" w:eastAsia="Calibri" w:hAnsi="Calibri"/>
                <w:color w:val="000000"/>
                <w:sz w:val="22"/>
                <w:szCs w:val="22"/>
              </w:rPr>
            </w:pPr>
            <w:r w:rsidDel="00000000" w:rsidR="00000000" w:rsidRPr="00000000">
              <w:rPr>
                <w:rtl w:val="0"/>
              </w:rPr>
              <w:t xml:space="preserve">p.6-7 and p.12, Methods/Results — feature importance (Gini) and SHAP analyses; position-based comparisons. All prespecified.</w:t>
            </w:r>
            <w:r w:rsidDel="00000000" w:rsidR="00000000" w:rsidRPr="00000000">
              <w:rPr>
                <w:rtl w:val="0"/>
              </w:rPr>
            </w:r>
          </w:p>
        </w:tc>
      </w:tr>
      <w:tr>
        <w:trPr>
          <w:cantSplit w:val="0"/>
          <w:trHeight w:val="276" w:hRule="atLeast"/>
          <w:tblHeader w:val="0"/>
        </w:trPr>
        <w:tc>
          <w:tcPr>
            <w:gridSpan w:val="3"/>
            <w:shd w:fill="bdd7ee" w:val="clear"/>
            <w:vAlign w:val="bottom"/>
          </w:tcPr>
          <w:p w:rsidR="00000000" w:rsidDel="00000000" w:rsidP="00000000" w:rsidRDefault="00000000" w:rsidRPr="00000000" w14:paraId="00000094">
            <w:pPr>
              <w:spacing w:line="240" w:lineRule="auto"/>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Results</w:t>
            </w:r>
          </w:p>
        </w:tc>
        <w:tc>
          <w:tcPr>
            <w:shd w:fill="c6d9f1" w:val="clear"/>
          </w:tcPr>
          <w:p w:rsidR="00000000" w:rsidDel="00000000" w:rsidP="00000000" w:rsidRDefault="00000000" w:rsidRPr="00000000" w14:paraId="00000097">
            <w:pPr>
              <w:spacing w:line="240" w:lineRule="auto"/>
              <w:rPr>
                <w:rFonts w:ascii="Calibri" w:cs="Calibri" w:eastAsia="Calibri" w:hAnsi="Calibri"/>
                <w:b w:val="1"/>
                <w:bCs w:val="1"/>
                <w:color w:val="000000"/>
                <w:sz w:val="22"/>
                <w:szCs w:val="22"/>
              </w:rPr>
            </w:pPr>
            <w:r w:rsidDel="00000000" w:rsidR="00000000" w:rsidRPr="00000000">
              <w:rPr>
                <w:rtl w:val="0"/>
              </w:rPr>
            </w:r>
          </w:p>
        </w:tc>
      </w:tr>
      <w:tr>
        <w:trPr>
          <w:cantSplit w:val="0"/>
          <w:trHeight w:val="409" w:hRule="atLeast"/>
          <w:tblHeader w:val="0"/>
        </w:trPr>
        <w:tc>
          <w:tcPr>
            <w:vMerge w:val="restart"/>
          </w:tcPr>
          <w:p w:rsidR="00000000" w:rsidDel="00000000" w:rsidP="00000000" w:rsidRDefault="00000000" w:rsidRPr="00000000" w14:paraId="00000098">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Participant flow, including flow diagram</w:t>
            </w:r>
          </w:p>
        </w:tc>
        <w:tc>
          <w:tcPr/>
          <w:p w:rsidR="00000000" w:rsidDel="00000000" w:rsidP="00000000" w:rsidRDefault="00000000" w:rsidRPr="00000000" w14:paraId="00000099">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22a</w:t>
            </w:r>
          </w:p>
        </w:tc>
        <w:tc>
          <w:tcPr/>
          <w:p w:rsidR="00000000" w:rsidDel="00000000" w:rsidP="00000000" w:rsidRDefault="00000000" w:rsidRPr="00000000" w14:paraId="0000009A">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For each group, the numbers of participants who were randomly assigned, received intended intervention, and were analysed for the primary outcome</w:t>
            </w:r>
          </w:p>
        </w:tc>
        <w:tc>
          <w:tcPr/>
          <w:p w:rsidR="00000000" w:rsidDel="00000000" w:rsidP="00000000" w:rsidRDefault="00000000" w:rsidRPr="00000000" w14:paraId="0000009B">
            <w:pPr>
              <w:spacing w:line="240" w:lineRule="auto"/>
              <w:rPr>
                <w:rFonts w:ascii="Calibri" w:cs="Calibri" w:eastAsia="Calibri" w:hAnsi="Calibri"/>
                <w:color w:val="000000"/>
                <w:sz w:val="22"/>
                <w:szCs w:val="22"/>
              </w:rPr>
            </w:pPr>
            <w:r w:rsidDel="00000000" w:rsidR="00000000" w:rsidRPr="00000000">
              <w:rPr>
                <w:rtl w:val="0"/>
              </w:rPr>
              <w:t xml:space="preserve">p.8, Results, "Participant Characteristics" — 100 participants (20 per position) assessed and analysed. N/A: no CONSORT flow diagram (non-randomised; no allocation/follow-up losses).</w:t>
            </w:r>
            <w:r w:rsidDel="00000000" w:rsidR="00000000" w:rsidRPr="00000000">
              <w:rPr>
                <w:rtl w:val="0"/>
              </w:rPr>
            </w:r>
          </w:p>
        </w:tc>
      </w:tr>
      <w:tr>
        <w:trPr>
          <w:cantSplit w:val="0"/>
          <w:trHeight w:val="189" w:hRule="atLeast"/>
          <w:tblHeader w:val="0"/>
        </w:trPr>
        <w:tc>
          <w:tcPr>
            <w:vMerge w:val="continue"/>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p w:rsidR="00000000" w:rsidDel="00000000" w:rsidP="00000000" w:rsidRDefault="00000000" w:rsidRPr="00000000" w14:paraId="0000009D">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22b</w:t>
            </w:r>
          </w:p>
        </w:tc>
        <w:tc>
          <w:tcPr/>
          <w:p w:rsidR="00000000" w:rsidDel="00000000" w:rsidP="00000000" w:rsidRDefault="00000000" w:rsidRPr="00000000" w14:paraId="0000009E">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For each group, losses and exclusions after randomisation, together with reasons</w:t>
            </w:r>
          </w:p>
        </w:tc>
        <w:tc>
          <w:tcPr/>
          <w:p w:rsidR="00000000" w:rsidDel="00000000" w:rsidP="00000000" w:rsidRDefault="00000000" w:rsidRPr="00000000" w14:paraId="0000009F">
            <w:pPr>
              <w:spacing w:line="240" w:lineRule="auto"/>
              <w:rPr>
                <w:rFonts w:ascii="Calibri" w:cs="Calibri" w:eastAsia="Calibri" w:hAnsi="Calibri"/>
                <w:color w:val="000000"/>
                <w:sz w:val="22"/>
                <w:szCs w:val="22"/>
              </w:rPr>
            </w:pPr>
            <w:r w:rsidDel="00000000" w:rsidR="00000000" w:rsidRPr="00000000">
              <w:rPr>
                <w:rtl w:val="0"/>
              </w:rPr>
              <w:t xml:space="preserve">Not applicable — cross-sectional single-session design; no post-randomisation losses or exclusions.</w:t>
            </w:r>
            <w:r w:rsidDel="00000000" w:rsidR="00000000" w:rsidRPr="00000000">
              <w:rPr>
                <w:rtl w:val="0"/>
              </w:rPr>
            </w:r>
          </w:p>
        </w:tc>
      </w:tr>
      <w:tr>
        <w:trPr>
          <w:cantSplit w:val="0"/>
          <w:trHeight w:val="221" w:hRule="atLeast"/>
          <w:tblHeader w:val="0"/>
        </w:trPr>
        <w:tc>
          <w:tcPr>
            <w:vMerge w:val="restart"/>
          </w:tcPr>
          <w:p w:rsidR="00000000" w:rsidDel="00000000" w:rsidP="00000000" w:rsidRDefault="00000000" w:rsidRPr="00000000" w14:paraId="000000A0">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Recruitment</w:t>
            </w:r>
          </w:p>
        </w:tc>
        <w:tc>
          <w:tcPr/>
          <w:p w:rsidR="00000000" w:rsidDel="00000000" w:rsidP="00000000" w:rsidRDefault="00000000" w:rsidRPr="00000000" w14:paraId="000000A1">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23a</w:t>
            </w:r>
          </w:p>
        </w:tc>
        <w:tc>
          <w:tcPr/>
          <w:p w:rsidR="00000000" w:rsidDel="00000000" w:rsidP="00000000" w:rsidRDefault="00000000" w:rsidRPr="00000000" w14:paraId="000000A2">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Dates defining the periods of recruitment and follow-up for outcomes of benefits and harms</w:t>
            </w:r>
          </w:p>
        </w:tc>
        <w:tc>
          <w:tcPr/>
          <w:p w:rsidR="00000000" w:rsidDel="00000000" w:rsidP="00000000" w:rsidRDefault="00000000" w:rsidRPr="00000000" w14:paraId="000000A3">
            <w:pPr>
              <w:spacing w:line="240" w:lineRule="auto"/>
              <w:rPr>
                <w:rFonts w:ascii="Calibri" w:cs="Calibri" w:eastAsia="Calibri" w:hAnsi="Calibri"/>
                <w:color w:val="000000"/>
                <w:sz w:val="22"/>
                <w:szCs w:val="22"/>
              </w:rPr>
            </w:pPr>
            <w:r w:rsidDel="00000000" w:rsidR="00000000" w:rsidRPr="00000000">
              <w:rPr>
                <w:rtl w:val="0"/>
              </w:rPr>
              <w:t xml:space="preserve">p.3, Methods, "Study Design and Participants" (single-session assessment; ethics approval dated 06 May 2026, p.3). No longitudinal follow-up period.</w:t>
            </w:r>
            <w:r w:rsidDel="00000000" w:rsidR="00000000" w:rsidRPr="00000000">
              <w:rPr>
                <w:rtl w:val="0"/>
              </w:rPr>
            </w:r>
          </w:p>
        </w:tc>
      </w:tr>
      <w:tr>
        <w:trPr>
          <w:cantSplit w:val="0"/>
          <w:trHeight w:val="276" w:hRule="atLeast"/>
          <w:tblHeader w:val="0"/>
        </w:trPr>
        <w:tc>
          <w:tcPr>
            <w:vMerge w:val="continue"/>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p w:rsidR="00000000" w:rsidDel="00000000" w:rsidP="00000000" w:rsidRDefault="00000000" w:rsidRPr="00000000" w14:paraId="000000A5">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23b</w:t>
            </w:r>
          </w:p>
        </w:tc>
        <w:tc>
          <w:tcPr/>
          <w:p w:rsidR="00000000" w:rsidDel="00000000" w:rsidP="00000000" w:rsidRDefault="00000000" w:rsidRPr="00000000" w14:paraId="000000A6">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If relevant, why the trial ended or was stopped</w:t>
            </w:r>
          </w:p>
        </w:tc>
        <w:tc>
          <w:tcPr/>
          <w:p w:rsidR="00000000" w:rsidDel="00000000" w:rsidP="00000000" w:rsidRDefault="00000000" w:rsidRPr="00000000" w14:paraId="000000A7">
            <w:pPr>
              <w:spacing w:line="240" w:lineRule="auto"/>
              <w:rPr>
                <w:rFonts w:ascii="Calibri" w:cs="Calibri" w:eastAsia="Calibri" w:hAnsi="Calibri"/>
                <w:color w:val="000000"/>
                <w:sz w:val="22"/>
                <w:szCs w:val="22"/>
              </w:rPr>
            </w:pPr>
            <w:r w:rsidDel="00000000" w:rsidR="00000000" w:rsidRPr="00000000">
              <w:rPr>
                <w:rtl w:val="0"/>
              </w:rPr>
              <w:t xml:space="preserve">Not applicable — study was not stopped early.</w:t>
            </w:r>
            <w:r w:rsidDel="00000000" w:rsidR="00000000" w:rsidRPr="00000000">
              <w:rPr>
                <w:rtl w:val="0"/>
              </w:rPr>
            </w:r>
          </w:p>
        </w:tc>
      </w:tr>
      <w:tr>
        <w:trPr>
          <w:cantSplit w:val="0"/>
          <w:trHeight w:val="441" w:hRule="atLeast"/>
          <w:tblHeader w:val="0"/>
        </w:trPr>
        <w:tc>
          <w:tcPr>
            <w:vMerge w:val="restart"/>
          </w:tcPr>
          <w:p w:rsidR="00000000" w:rsidDel="00000000" w:rsidP="00000000" w:rsidRDefault="00000000" w:rsidRPr="00000000" w14:paraId="000000A8">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Intervention and comparator delivery</w:t>
            </w:r>
          </w:p>
        </w:tc>
        <w:tc>
          <w:tcPr/>
          <w:p w:rsidR="00000000" w:rsidDel="00000000" w:rsidP="00000000" w:rsidRDefault="00000000" w:rsidRPr="00000000" w14:paraId="000000A9">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24a</w:t>
            </w:r>
          </w:p>
        </w:tc>
        <w:tc>
          <w:tcPr/>
          <w:p w:rsidR="00000000" w:rsidDel="00000000" w:rsidP="00000000" w:rsidRDefault="00000000" w:rsidRPr="00000000" w14:paraId="000000AA">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Intervention and comparator as they were actually administered (e.g., where appropriate, who delivered the intervention/comparator, how participants adhered, whether they were delivered as intended [fidelity]) </w:t>
            </w:r>
          </w:p>
        </w:tc>
        <w:tc>
          <w:tcPr/>
          <w:p w:rsidR="00000000" w:rsidDel="00000000" w:rsidP="00000000" w:rsidRDefault="00000000" w:rsidRPr="00000000" w14:paraId="000000AB">
            <w:pPr>
              <w:spacing w:line="240" w:lineRule="auto"/>
              <w:rPr>
                <w:rFonts w:ascii="Calibri" w:cs="Calibri" w:eastAsia="Calibri" w:hAnsi="Calibri"/>
                <w:color w:val="000000"/>
                <w:sz w:val="22"/>
                <w:szCs w:val="22"/>
              </w:rPr>
            </w:pPr>
            <w:r w:rsidDel="00000000" w:rsidR="00000000" w:rsidRPr="00000000">
              <w:rPr>
                <w:rtl w:val="0"/>
              </w:rPr>
              <w:t xml:space="preserve">Not applicable — no intervention delivered.</w:t>
            </w:r>
            <w:r w:rsidDel="00000000" w:rsidR="00000000" w:rsidRPr="00000000">
              <w:rPr>
                <w:rtl w:val="0"/>
              </w:rPr>
            </w:r>
          </w:p>
        </w:tc>
      </w:tr>
      <w:tr>
        <w:trPr>
          <w:cantSplit w:val="0"/>
          <w:trHeight w:val="243" w:hRule="atLeast"/>
          <w:tblHeader w:val="0"/>
        </w:trPr>
        <w:tc>
          <w:tcPr>
            <w:vMerge w:val="continue"/>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p w:rsidR="00000000" w:rsidDel="00000000" w:rsidP="00000000" w:rsidRDefault="00000000" w:rsidRPr="00000000" w14:paraId="000000AD">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24b</w:t>
            </w:r>
          </w:p>
        </w:tc>
        <w:tc>
          <w:tcPr/>
          <w:p w:rsidR="00000000" w:rsidDel="00000000" w:rsidP="00000000" w:rsidRDefault="00000000" w:rsidRPr="00000000" w14:paraId="000000AE">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Concomitant care received during the trial for each group</w:t>
            </w:r>
          </w:p>
        </w:tc>
        <w:tc>
          <w:tcPr/>
          <w:p w:rsidR="00000000" w:rsidDel="00000000" w:rsidP="00000000" w:rsidRDefault="00000000" w:rsidRPr="00000000" w14:paraId="000000AF">
            <w:pPr>
              <w:spacing w:line="240" w:lineRule="auto"/>
              <w:rPr>
                <w:rFonts w:ascii="Calibri" w:cs="Calibri" w:eastAsia="Calibri" w:hAnsi="Calibri"/>
                <w:color w:val="000000"/>
                <w:sz w:val="22"/>
                <w:szCs w:val="22"/>
              </w:rPr>
            </w:pPr>
            <w:r w:rsidDel="00000000" w:rsidR="00000000" w:rsidRPr="00000000">
              <w:rPr>
                <w:rtl w:val="0"/>
              </w:rPr>
              <w:t xml:space="preserve">Not applicable — no concomitant care (observational study).</w:t>
            </w:r>
            <w:r w:rsidDel="00000000" w:rsidR="00000000" w:rsidRPr="00000000">
              <w:rPr>
                <w:rtl w:val="0"/>
              </w:rPr>
            </w:r>
          </w:p>
        </w:tc>
      </w:tr>
      <w:tr>
        <w:trPr>
          <w:cantSplit w:val="0"/>
          <w:trHeight w:val="243" w:hRule="atLeast"/>
          <w:tblHeader w:val="0"/>
        </w:trPr>
        <w:tc>
          <w:tcPr/>
          <w:p w:rsidR="00000000" w:rsidDel="00000000" w:rsidP="00000000" w:rsidRDefault="00000000" w:rsidRPr="00000000" w14:paraId="000000B0">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Baseline data</w:t>
            </w:r>
          </w:p>
        </w:tc>
        <w:tc>
          <w:tcPr/>
          <w:p w:rsidR="00000000" w:rsidDel="00000000" w:rsidP="00000000" w:rsidRDefault="00000000" w:rsidRPr="00000000" w14:paraId="000000B1">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25</w:t>
            </w:r>
          </w:p>
        </w:tc>
        <w:tc>
          <w:tcPr/>
          <w:p w:rsidR="00000000" w:rsidDel="00000000" w:rsidP="00000000" w:rsidRDefault="00000000" w:rsidRPr="00000000" w14:paraId="000000B2">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 table showing baseline demographic and clinical characteristics for each group</w:t>
            </w:r>
          </w:p>
        </w:tc>
        <w:tc>
          <w:tcPr/>
          <w:p w:rsidR="00000000" w:rsidDel="00000000" w:rsidP="00000000" w:rsidRDefault="00000000" w:rsidRPr="00000000" w14:paraId="000000B3">
            <w:pPr>
              <w:spacing w:line="240" w:lineRule="auto"/>
              <w:rPr>
                <w:rFonts w:ascii="Calibri" w:cs="Calibri" w:eastAsia="Calibri" w:hAnsi="Calibri"/>
                <w:color w:val="000000"/>
                <w:sz w:val="22"/>
                <w:szCs w:val="22"/>
              </w:rPr>
            </w:pPr>
            <w:r w:rsidDel="00000000" w:rsidR="00000000" w:rsidRPr="00000000">
              <w:rPr>
                <w:rtl w:val="0"/>
              </w:rPr>
              <w:t xml:space="preserve">p.8, Results, "Participant Characteristics," Table 1 (anthropometric and background characteristics by position).</w:t>
            </w:r>
            <w:r w:rsidDel="00000000" w:rsidR="00000000" w:rsidRPr="00000000">
              <w:rPr>
                <w:rtl w:val="0"/>
              </w:rPr>
            </w:r>
          </w:p>
        </w:tc>
      </w:tr>
      <w:tr>
        <w:trPr>
          <w:cantSplit w:val="0"/>
          <w:trHeight w:val="416" w:hRule="atLeast"/>
          <w:tblHeader w:val="0"/>
        </w:trPr>
        <w:tc>
          <w:tcPr/>
          <w:p w:rsidR="00000000" w:rsidDel="00000000" w:rsidP="00000000" w:rsidRDefault="00000000" w:rsidRPr="00000000" w14:paraId="000000B4">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Numbers analysed, </w:t>
            </w:r>
          </w:p>
          <w:p w:rsidR="00000000" w:rsidDel="00000000" w:rsidP="00000000" w:rsidRDefault="00000000" w:rsidRPr="00000000" w14:paraId="000000B5">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outcomes and estimation</w:t>
            </w:r>
          </w:p>
        </w:tc>
        <w:tc>
          <w:tcPr/>
          <w:p w:rsidR="00000000" w:rsidDel="00000000" w:rsidP="00000000" w:rsidRDefault="00000000" w:rsidRPr="00000000" w14:paraId="000000B6">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26</w:t>
            </w:r>
          </w:p>
        </w:tc>
        <w:tc>
          <w:tcPr/>
          <w:p w:rsidR="00000000" w:rsidDel="00000000" w:rsidP="00000000" w:rsidRDefault="00000000" w:rsidRPr="00000000" w14:paraId="000000B7">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For each primary and secondary outcome, by group: </w:t>
            </w:r>
          </w:p>
          <w:p w:rsidR="00000000" w:rsidDel="00000000" w:rsidP="00000000" w:rsidRDefault="00000000" w:rsidRPr="00000000" w14:paraId="000000B8">
            <w:pPr>
              <w:numPr>
                <w:ilvl w:val="0"/>
                <w:numId w:val="1"/>
              </w:numPr>
              <w:spacing w:line="240" w:lineRule="auto"/>
              <w:ind w:left="720" w:hanging="360"/>
              <w:rPr>
                <w:color w:val="000000"/>
                <w:sz w:val="22"/>
                <w:szCs w:val="22"/>
              </w:rPr>
            </w:pPr>
            <w:r w:rsidDel="00000000" w:rsidR="00000000" w:rsidRPr="00000000">
              <w:rPr>
                <w:rFonts w:ascii="Calibri" w:cs="Calibri" w:eastAsia="Calibri" w:hAnsi="Calibri"/>
                <w:color w:val="000000"/>
                <w:sz w:val="22"/>
                <w:szCs w:val="22"/>
                <w:rtl w:val="0"/>
              </w:rPr>
              <w:t xml:space="preserve">the number of participants included in the analysis </w:t>
            </w:r>
            <w:r w:rsidDel="00000000" w:rsidR="00000000" w:rsidRPr="00000000">
              <w:rPr>
                <w:rtl w:val="0"/>
              </w:rPr>
            </w:r>
          </w:p>
          <w:p w:rsidR="00000000" w:rsidDel="00000000" w:rsidP="00000000" w:rsidRDefault="00000000" w:rsidRPr="00000000" w14:paraId="000000B9">
            <w:pPr>
              <w:numPr>
                <w:ilvl w:val="0"/>
                <w:numId w:val="1"/>
              </w:numPr>
              <w:spacing w:line="240" w:lineRule="auto"/>
              <w:ind w:left="720" w:hanging="360"/>
              <w:rPr>
                <w:color w:val="000000"/>
                <w:sz w:val="22"/>
                <w:szCs w:val="22"/>
              </w:rPr>
            </w:pPr>
            <w:r w:rsidDel="00000000" w:rsidR="00000000" w:rsidRPr="00000000">
              <w:rPr>
                <w:rFonts w:ascii="Calibri" w:cs="Calibri" w:eastAsia="Calibri" w:hAnsi="Calibri"/>
                <w:color w:val="000000"/>
                <w:sz w:val="22"/>
                <w:szCs w:val="22"/>
                <w:rtl w:val="0"/>
              </w:rPr>
              <w:t xml:space="preserve">the number of participants with available data at the outcome time point</w:t>
            </w:r>
            <w:r w:rsidDel="00000000" w:rsidR="00000000" w:rsidRPr="00000000">
              <w:rPr>
                <w:rtl w:val="0"/>
              </w:rPr>
            </w:r>
          </w:p>
          <w:p w:rsidR="00000000" w:rsidDel="00000000" w:rsidP="00000000" w:rsidRDefault="00000000" w:rsidRPr="00000000" w14:paraId="000000BA">
            <w:pPr>
              <w:numPr>
                <w:ilvl w:val="0"/>
                <w:numId w:val="1"/>
              </w:numPr>
              <w:spacing w:line="240" w:lineRule="auto"/>
              <w:ind w:left="720" w:hanging="360"/>
              <w:rPr>
                <w:color w:val="000000"/>
                <w:sz w:val="22"/>
                <w:szCs w:val="22"/>
              </w:rPr>
            </w:pPr>
            <w:r w:rsidDel="00000000" w:rsidR="00000000" w:rsidRPr="00000000">
              <w:rPr>
                <w:rFonts w:ascii="Calibri" w:cs="Calibri" w:eastAsia="Calibri" w:hAnsi="Calibri"/>
                <w:color w:val="000000"/>
                <w:sz w:val="22"/>
                <w:szCs w:val="22"/>
                <w:rtl w:val="0"/>
              </w:rPr>
              <w:t xml:space="preserve">result for each group, and the estimated effect size and its precision (such as 95% confidence interval) </w:t>
            </w:r>
            <w:r w:rsidDel="00000000" w:rsidR="00000000" w:rsidRPr="00000000">
              <w:rPr>
                <w:rtl w:val="0"/>
              </w:rPr>
            </w:r>
          </w:p>
          <w:p w:rsidR="00000000" w:rsidDel="00000000" w:rsidP="00000000" w:rsidRDefault="00000000" w:rsidRPr="00000000" w14:paraId="000000BB">
            <w:pPr>
              <w:numPr>
                <w:ilvl w:val="0"/>
                <w:numId w:val="1"/>
              </w:numPr>
              <w:spacing w:after="160" w:line="240" w:lineRule="auto"/>
              <w:ind w:left="720" w:hanging="360"/>
              <w:rPr>
                <w:color w:val="000000"/>
                <w:sz w:val="22"/>
                <w:szCs w:val="22"/>
              </w:rPr>
            </w:pPr>
            <w:r w:rsidDel="00000000" w:rsidR="00000000" w:rsidRPr="00000000">
              <w:rPr>
                <w:rFonts w:ascii="Calibri" w:cs="Calibri" w:eastAsia="Calibri" w:hAnsi="Calibri"/>
                <w:color w:val="000000"/>
                <w:sz w:val="22"/>
                <w:szCs w:val="22"/>
                <w:rtl w:val="0"/>
              </w:rPr>
              <w:t xml:space="preserve">for binary outcomes, presentation of both absolute and relative effect size </w:t>
            </w:r>
            <w:r w:rsidDel="00000000" w:rsidR="00000000" w:rsidRPr="00000000">
              <w:rPr>
                <w:rtl w:val="0"/>
              </w:rPr>
            </w:r>
          </w:p>
        </w:tc>
        <w:tc>
          <w:tcPr/>
          <w:p w:rsidR="00000000" w:rsidDel="00000000" w:rsidP="00000000" w:rsidRDefault="00000000" w:rsidRPr="00000000" w14:paraId="000000BC">
            <w:pPr>
              <w:spacing w:line="240" w:lineRule="auto"/>
              <w:rPr>
                <w:rFonts w:ascii="Calibri" w:cs="Calibri" w:eastAsia="Calibri" w:hAnsi="Calibri"/>
                <w:color w:val="000000"/>
                <w:sz w:val="22"/>
                <w:szCs w:val="22"/>
              </w:rPr>
            </w:pPr>
            <w:r w:rsidDel="00000000" w:rsidR="00000000" w:rsidRPr="00000000">
              <w:rPr>
                <w:rtl w:val="0"/>
              </w:rPr>
              <w:t xml:space="preserve">p.8-12, Results and Tables 2 (performance variables), 3 (Random Forest performance metrics with 5-fold CV), and 4 (feature importance / SHAP), including effect sizes and precision.</w:t>
            </w:r>
            <w:r w:rsidDel="00000000" w:rsidR="00000000" w:rsidRPr="00000000">
              <w:rPr>
                <w:rtl w:val="0"/>
              </w:rPr>
            </w:r>
          </w:p>
        </w:tc>
      </w:tr>
      <w:tr>
        <w:trPr>
          <w:cantSplit w:val="0"/>
          <w:trHeight w:val="204" w:hRule="atLeast"/>
          <w:tblHeader w:val="0"/>
        </w:trPr>
        <w:tc>
          <w:tcPr/>
          <w:p w:rsidR="00000000" w:rsidDel="00000000" w:rsidP="00000000" w:rsidRDefault="00000000" w:rsidRPr="00000000" w14:paraId="000000BD">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Harms</w:t>
            </w:r>
          </w:p>
        </w:tc>
        <w:tc>
          <w:tcPr/>
          <w:p w:rsidR="00000000" w:rsidDel="00000000" w:rsidP="00000000" w:rsidRDefault="00000000" w:rsidRPr="00000000" w14:paraId="000000BE">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27</w:t>
            </w:r>
          </w:p>
        </w:tc>
        <w:tc>
          <w:tcPr/>
          <w:p w:rsidR="00000000" w:rsidDel="00000000" w:rsidP="00000000" w:rsidRDefault="00000000" w:rsidRPr="00000000" w14:paraId="000000BF">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All harms or unintended events in each group </w:t>
            </w:r>
          </w:p>
        </w:tc>
        <w:tc>
          <w:tcPr/>
          <w:p w:rsidR="00000000" w:rsidDel="00000000" w:rsidP="00000000" w:rsidRDefault="00000000" w:rsidRPr="00000000" w14:paraId="000000C0">
            <w:pPr>
              <w:spacing w:line="240" w:lineRule="auto"/>
              <w:rPr>
                <w:rFonts w:ascii="Calibri" w:cs="Calibri" w:eastAsia="Calibri" w:hAnsi="Calibri"/>
                <w:color w:val="000000"/>
                <w:sz w:val="22"/>
                <w:szCs w:val="22"/>
              </w:rPr>
            </w:pPr>
            <w:r w:rsidDel="00000000" w:rsidR="00000000" w:rsidRPr="00000000">
              <w:rPr>
                <w:rtl w:val="0"/>
              </w:rPr>
              <w:t xml:space="preserve">Not applicable — no harms or unintended events (observational performance testing).</w:t>
            </w:r>
            <w:r w:rsidDel="00000000" w:rsidR="00000000" w:rsidRPr="00000000">
              <w:rPr>
                <w:rtl w:val="0"/>
              </w:rPr>
            </w:r>
          </w:p>
        </w:tc>
      </w:tr>
      <w:tr>
        <w:trPr>
          <w:cantSplit w:val="0"/>
          <w:trHeight w:val="416" w:hRule="atLeast"/>
          <w:tblHeader w:val="0"/>
        </w:trPr>
        <w:tc>
          <w:tcPr/>
          <w:p w:rsidR="00000000" w:rsidDel="00000000" w:rsidP="00000000" w:rsidRDefault="00000000" w:rsidRPr="00000000" w14:paraId="000000C1">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Ancillary analyses</w:t>
            </w:r>
          </w:p>
        </w:tc>
        <w:tc>
          <w:tcPr/>
          <w:p w:rsidR="00000000" w:rsidDel="00000000" w:rsidP="00000000" w:rsidRDefault="00000000" w:rsidRPr="00000000" w14:paraId="000000C2">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28</w:t>
            </w:r>
          </w:p>
        </w:tc>
        <w:tc>
          <w:tcPr/>
          <w:p w:rsidR="00000000" w:rsidDel="00000000" w:rsidP="00000000" w:rsidRDefault="00000000" w:rsidRPr="00000000" w14:paraId="000000C3">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Any other analyses performed, including subgroup and sensitivity analyses, distinguishing pre-specified from post-hoc</w:t>
            </w:r>
          </w:p>
        </w:tc>
        <w:tc>
          <w:tcPr/>
          <w:p w:rsidR="00000000" w:rsidDel="00000000" w:rsidP="00000000" w:rsidRDefault="00000000" w:rsidRPr="00000000" w14:paraId="000000C4">
            <w:pPr>
              <w:spacing w:line="240" w:lineRule="auto"/>
              <w:rPr>
                <w:rFonts w:ascii="Calibri" w:cs="Calibri" w:eastAsia="Calibri" w:hAnsi="Calibri"/>
                <w:color w:val="000000"/>
                <w:sz w:val="22"/>
                <w:szCs w:val="22"/>
              </w:rPr>
            </w:pPr>
            <w:r w:rsidDel="00000000" w:rsidR="00000000" w:rsidRPr="00000000">
              <w:rPr>
                <w:rtl w:val="0"/>
              </w:rPr>
              <w:t xml:space="preserve">p.10-12, Results — injury-risk classification by position, feature importance and SHAP dependence analyses (prespecified).</w:t>
            </w:r>
            <w:r w:rsidDel="00000000" w:rsidR="00000000" w:rsidRPr="00000000">
              <w:rPr>
                <w:rtl w:val="0"/>
              </w:rPr>
            </w:r>
          </w:p>
        </w:tc>
      </w:tr>
      <w:tr>
        <w:trPr>
          <w:cantSplit w:val="0"/>
          <w:trHeight w:val="276" w:hRule="atLeast"/>
          <w:tblHeader w:val="0"/>
        </w:trPr>
        <w:tc>
          <w:tcPr>
            <w:gridSpan w:val="3"/>
            <w:shd w:fill="bdd7ee" w:val="clear"/>
          </w:tcPr>
          <w:p w:rsidR="00000000" w:rsidDel="00000000" w:rsidP="00000000" w:rsidRDefault="00000000" w:rsidRPr="00000000" w14:paraId="000000C5">
            <w:pPr>
              <w:spacing w:line="240" w:lineRule="auto"/>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Discussion</w:t>
            </w:r>
          </w:p>
        </w:tc>
        <w:tc>
          <w:tcPr>
            <w:shd w:fill="c6d9f1" w:val="clear"/>
          </w:tcPr>
          <w:p w:rsidR="00000000" w:rsidDel="00000000" w:rsidP="00000000" w:rsidRDefault="00000000" w:rsidRPr="00000000" w14:paraId="000000C8">
            <w:pPr>
              <w:spacing w:line="240" w:lineRule="auto"/>
              <w:rPr>
                <w:rFonts w:ascii="Calibri" w:cs="Calibri" w:eastAsia="Calibri" w:hAnsi="Calibri"/>
                <w:b w:val="1"/>
                <w:bCs w:val="1"/>
                <w:color w:val="000000"/>
                <w:sz w:val="22"/>
                <w:szCs w:val="22"/>
              </w:rPr>
            </w:pPr>
            <w:r w:rsidDel="00000000" w:rsidR="00000000" w:rsidRPr="00000000">
              <w:rPr>
                <w:rtl w:val="0"/>
              </w:rPr>
            </w:r>
          </w:p>
        </w:tc>
      </w:tr>
      <w:tr>
        <w:trPr>
          <w:cantSplit w:val="0"/>
          <w:trHeight w:val="281" w:hRule="atLeast"/>
          <w:tblHeader w:val="0"/>
        </w:trPr>
        <w:tc>
          <w:tcPr/>
          <w:p w:rsidR="00000000" w:rsidDel="00000000" w:rsidP="00000000" w:rsidRDefault="00000000" w:rsidRPr="00000000" w14:paraId="000000C9">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Interpretation</w:t>
            </w:r>
          </w:p>
        </w:tc>
        <w:tc>
          <w:tcPr/>
          <w:p w:rsidR="00000000" w:rsidDel="00000000" w:rsidP="00000000" w:rsidRDefault="00000000" w:rsidRPr="00000000" w14:paraId="000000CA">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29</w:t>
            </w:r>
          </w:p>
        </w:tc>
        <w:tc>
          <w:tcPr/>
          <w:p w:rsidR="00000000" w:rsidDel="00000000" w:rsidP="00000000" w:rsidRDefault="00000000" w:rsidRPr="00000000" w14:paraId="000000CB">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Interpretation consistent with results, balancing benefits and harms, and considering other relevant evidence</w:t>
            </w:r>
          </w:p>
        </w:tc>
        <w:tc>
          <w:tcPr/>
          <w:p w:rsidR="00000000" w:rsidDel="00000000" w:rsidP="00000000" w:rsidRDefault="00000000" w:rsidRPr="00000000" w14:paraId="000000CC">
            <w:pPr>
              <w:spacing w:line="240" w:lineRule="auto"/>
              <w:rPr>
                <w:rFonts w:ascii="Calibri" w:cs="Calibri" w:eastAsia="Calibri" w:hAnsi="Calibri"/>
                <w:color w:val="000000"/>
                <w:sz w:val="22"/>
                <w:szCs w:val="22"/>
              </w:rPr>
            </w:pPr>
            <w:r w:rsidDel="00000000" w:rsidR="00000000" w:rsidRPr="00000000">
              <w:rPr>
                <w:rtl w:val="0"/>
              </w:rPr>
              <w:t xml:space="preserve">p.14, Discussion (interpretation consistent with results and relevant literature).</w:t>
            </w:r>
            <w:r w:rsidDel="00000000" w:rsidR="00000000" w:rsidRPr="00000000">
              <w:rPr>
                <w:rtl w:val="0"/>
              </w:rPr>
            </w:r>
          </w:p>
        </w:tc>
      </w:tr>
      <w:tr>
        <w:trPr>
          <w:cantSplit w:val="0"/>
          <w:trHeight w:val="281" w:hRule="atLeast"/>
          <w:tblHeader w:val="0"/>
        </w:trPr>
        <w:tc>
          <w:tcPr/>
          <w:p w:rsidR="00000000" w:rsidDel="00000000" w:rsidP="00000000" w:rsidRDefault="00000000" w:rsidRPr="00000000" w14:paraId="000000CD">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Limitations</w:t>
            </w:r>
          </w:p>
        </w:tc>
        <w:tc>
          <w:tcPr/>
          <w:p w:rsidR="00000000" w:rsidDel="00000000" w:rsidP="00000000" w:rsidRDefault="00000000" w:rsidRPr="00000000" w14:paraId="000000CE">
            <w:pPr>
              <w:spacing w:line="24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30</w:t>
            </w:r>
          </w:p>
        </w:tc>
        <w:tc>
          <w:tcPr/>
          <w:p w:rsidR="00000000" w:rsidDel="00000000" w:rsidP="00000000" w:rsidRDefault="00000000" w:rsidRPr="00000000" w14:paraId="000000CF">
            <w:pPr>
              <w:spacing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Trial limitations, addressing sources of potential bias, imprecision, generalisability, and, if relevant, multiplicity of analyses</w:t>
            </w:r>
          </w:p>
        </w:tc>
        <w:tc>
          <w:tcPr/>
          <w:p w:rsidR="00000000" w:rsidDel="00000000" w:rsidP="00000000" w:rsidRDefault="00000000" w:rsidRPr="00000000" w14:paraId="000000D0">
            <w:pPr>
              <w:spacing w:line="240" w:lineRule="auto"/>
              <w:rPr>
                <w:rFonts w:ascii="Calibri" w:cs="Calibri" w:eastAsia="Calibri" w:hAnsi="Calibri"/>
                <w:color w:val="000000"/>
                <w:sz w:val="22"/>
                <w:szCs w:val="22"/>
              </w:rPr>
            </w:pPr>
            <w:r w:rsidDel="00000000" w:rsidR="00000000" w:rsidRPr="00000000">
              <w:rPr>
                <w:rtl w:val="0"/>
              </w:rPr>
              <w:t xml:space="preserve">p.14, Discussion (final paragraph) — limitations including cross-sectional threshold-based labelling, sample, and generalisability.</w:t>
            </w:r>
            <w:r w:rsidDel="00000000" w:rsidR="00000000" w:rsidRPr="00000000">
              <w:rPr>
                <w:rtl w:val="0"/>
              </w:rPr>
            </w:r>
          </w:p>
        </w:tc>
      </w:tr>
    </w:tbl>
    <w:p w:rsidR="00000000" w:rsidDel="00000000" w:rsidP="00000000" w:rsidRDefault="00000000" w:rsidRPr="00000000" w14:paraId="000000D1">
      <w:pPr>
        <w:spacing w:line="240"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30"/>
        </w:tabs>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6">
        <w:r w:rsidDel="00000000" w:rsidR="00000000" w:rsidRPr="00000000">
          <w:rPr>
            <w:rFonts w:ascii="Calibri" w:cs="Calibri" w:eastAsia="Calibri" w:hAnsi="Calibri"/>
            <w:b w:val="0"/>
            <w:bCs w:val="0"/>
            <w:i w:val="0"/>
            <w:iCs w:val="0"/>
            <w:smallCaps w:val="0"/>
            <w:strike w:val="0"/>
            <w:color w:val="0070c0"/>
            <w:sz w:val="20"/>
            <w:szCs w:val="20"/>
            <w:u w:val="single"/>
            <w:shd w:fill="auto" w:val="clear"/>
            <w:vertAlign w:val="baseline"/>
            <w:rtl w:val="0"/>
          </w:rPr>
          <w:t xml:space="preserve">www.consort-spirit.org</w:t>
        </w:r>
      </w:hyperlink>
      <w:r w:rsidDel="00000000" w:rsidR="00000000" w:rsidRPr="00000000">
        <w:rPr>
          <w:rFonts w:ascii="Calibri" w:cs="Calibri" w:eastAsia="Calibri" w:hAnsi="Calibri"/>
          <w:b w:val="0"/>
          <w:bCs w:val="0"/>
          <w:i w:val="0"/>
          <w:iCs w:val="0"/>
          <w:smallCaps w:val="0"/>
          <w:strike w:val="0"/>
          <w:color w:val="0070c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D3">
      <w:pPr>
        <w:spacing w:line="240" w:lineRule="auto"/>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30"/>
        </w:tabs>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Citation: Hopewell S, Chan AW, Collins GS, Hróbjartsson A, Moher D, Schulz KF, et al. CONSORT 2025 Statement: updated guideline for reporting randomised trials. BMJ. 2025; 388:e081123. </w:t>
      </w:r>
      <w:hyperlink r:id="rId7">
        <w:r w:rsidDel="00000000" w:rsidR="00000000" w:rsidRPr="00000000">
          <w:rPr>
            <w:rFonts w:ascii="Calibri" w:cs="Calibri" w:eastAsia="Calibri" w:hAnsi="Calibri"/>
            <w:b w:val="0"/>
            <w:bCs w:val="0"/>
            <w:i w:val="0"/>
            <w:iCs w:val="0"/>
            <w:smallCaps w:val="0"/>
            <w:strike w:val="0"/>
            <w:color w:val="0070c0"/>
            <w:sz w:val="20"/>
            <w:szCs w:val="20"/>
            <w:u w:val="single"/>
            <w:shd w:fill="auto" w:val="clear"/>
            <w:vertAlign w:val="baseline"/>
            <w:rtl w:val="0"/>
          </w:rPr>
          <w:t xml:space="preserve">https://dx.doi.org/10.1136/bmj-2024-081123</w:t>
        </w:r>
      </w:hyperlink>
      <w:r w:rsidDel="00000000" w:rsidR="00000000" w:rsidRPr="00000000">
        <w:rPr>
          <w:rFonts w:ascii="Calibri" w:cs="Calibri" w:eastAsia="Calibri" w:hAnsi="Calibri"/>
          <w:b w:val="0"/>
          <w:bCs w:val="0"/>
          <w:i w:val="0"/>
          <w:iCs w:val="0"/>
          <w:smallCaps w:val="0"/>
          <w:strike w:val="0"/>
          <w:color w:val="0070c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30"/>
        </w:tabs>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br w:type="textWrapping"/>
        <w:t xml:space="preserve">© 2025 Hopewell et al. This is an Open Access article distributed under the terms of the Creative Commons Attribution License (</w:t>
      </w:r>
      <w:hyperlink r:id="rId8">
        <w:r w:rsidDel="00000000" w:rsidR="00000000" w:rsidRPr="00000000">
          <w:rPr>
            <w:rFonts w:ascii="Calibri" w:cs="Calibri" w:eastAsia="Calibri" w:hAnsi="Calibri"/>
            <w:b w:val="0"/>
            <w:bCs w:val="0"/>
            <w:i w:val="0"/>
            <w:iCs w:val="0"/>
            <w:smallCaps w:val="0"/>
            <w:strike w:val="0"/>
            <w:color w:val="0070c0"/>
            <w:sz w:val="20"/>
            <w:szCs w:val="20"/>
            <w:u w:val="single"/>
            <w:shd w:fill="auto" w:val="clear"/>
            <w:vertAlign w:val="baseline"/>
            <w:rtl w:val="0"/>
          </w:rPr>
          <w:t xml:space="preserve">https://creativecommons.org/licenses/by/4.0/</w:t>
        </w:r>
      </w:hyperlink>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which permits unrestricted use, distribution, and reproduction in any medium, provided the original work is properly cited.</w:t>
      </w:r>
    </w:p>
    <w:sectPr>
      <w:footerReference r:id="rId9" w:type="default"/>
      <w:pgSz w:h="11906" w:w="16838" w:orient="landscape"/>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333333"/>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333333"/>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color w:val="333333"/>
        <w:sz w:val="24"/>
        <w:szCs w:val="24"/>
        <w:lang w:val="en_GB"/>
      </w:rPr>
    </w:rPrDefault>
    <w:pPrDefault>
      <w:pPr>
        <w:spacing w:line="48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160" w:line="259" w:lineRule="auto"/>
    </w:pPr>
    <w:rPr>
      <w:rFonts w:ascii="Calibri" w:cs="Calibri" w:eastAsia="Calibri" w:hAnsi="Calibri"/>
      <w:b w:val="1"/>
      <w:bCs w:val="1"/>
      <w:color w:val="000000"/>
      <w:sz w:val="22"/>
      <w:szCs w:val="22"/>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www.consort-spirit.org" TargetMode="External"/><Relationship Id="rId7" Type="http://schemas.openxmlformats.org/officeDocument/2006/relationships/hyperlink" Target="https://dx.doi.org/10.1136/bmj-2024-081123" TargetMode="External"/><Relationship Id="rId8" Type="http://schemas.openxmlformats.org/officeDocument/2006/relationships/hyperlink" Target="https://creativecommons.org/licenses/by/4.0/"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