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media/image4.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FF2F2">
      <w:pPr>
        <w:pStyle w:val="2"/>
        <w:rPr>
          <w:rFonts w:ascii="Times New Roman" w:hAnsi="Times New Roman"/>
        </w:rPr>
      </w:pPr>
      <w:bookmarkStart w:id="0" w:name="_Toc860"/>
      <w:bookmarkStart w:id="1" w:name="_Toc27520"/>
      <w:bookmarkStart w:id="2" w:name="_Toc63700674"/>
      <w:r>
        <w:rPr>
          <w:rFonts w:ascii="Times New Roman" w:hAnsi="Times New Roman"/>
        </w:rPr>
        <w:t>Appendix 1 Search strategy</w:t>
      </w:r>
      <w:bookmarkEnd w:id="0"/>
      <w:bookmarkEnd w:id="1"/>
      <w:bookmarkEnd w:id="2"/>
    </w:p>
    <w:p w14:paraId="4D103494">
      <w:pPr>
        <w:spacing w:before="156" w:beforeLines="50" w:after="156" w:afterLines="50"/>
        <w:rPr>
          <w:rFonts w:ascii="Times New Roman Bold" w:hAnsi="Times New Roman Bold" w:cs="Times New Roman Bold"/>
          <w:b/>
          <w:bCs/>
          <w:sz w:val="24"/>
          <w:szCs w:val="32"/>
        </w:rPr>
      </w:pPr>
      <w:r>
        <w:rPr>
          <w:rFonts w:ascii="Times New Roman Bold" w:hAnsi="Times New Roman Bold" w:cs="Times New Roman Bold"/>
          <w:b/>
          <w:bCs/>
          <w:sz w:val="24"/>
          <w:szCs w:val="32"/>
        </w:rPr>
        <w:t>Table 1 Search strategy in PubMed</w:t>
      </w:r>
    </w:p>
    <w:tbl>
      <w:tblPr>
        <w:tblStyle w:val="14"/>
        <w:tblpPr w:leftFromText="180" w:rightFromText="180" w:vertAnchor="text" w:horzAnchor="page" w:tblpX="1790" w:tblpY="920"/>
        <w:tblOverlap w:val="never"/>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4"/>
        <w:gridCol w:w="7592"/>
      </w:tblGrid>
      <w:tr w14:paraId="7E84D2E4">
        <w:trPr>
          <w:cantSplit/>
        </w:trPr>
        <w:tc>
          <w:tcPr>
            <w:tcW w:w="704" w:type="dxa"/>
            <w:tcBorders>
              <w:top w:val="single" w:color="auto" w:sz="4" w:space="0"/>
              <w:bottom w:val="single" w:color="auto" w:sz="4" w:space="0"/>
            </w:tcBorders>
          </w:tcPr>
          <w:p w14:paraId="772FD5E9">
            <w:pPr>
              <w:widowControl/>
              <w:spacing w:line="360" w:lineRule="auto"/>
              <w:jc w:val="left"/>
              <w:rPr>
                <w:rFonts w:ascii="Times New Roman" w:hAnsi="Times New Roman"/>
                <w:sz w:val="24"/>
              </w:rPr>
            </w:pPr>
            <w:r>
              <w:rPr>
                <w:rFonts w:ascii="Times New Roman" w:hAnsi="Times New Roman"/>
                <w:sz w:val="24"/>
              </w:rPr>
              <w:t>Step</w:t>
            </w:r>
          </w:p>
        </w:tc>
        <w:tc>
          <w:tcPr>
            <w:tcW w:w="7592" w:type="dxa"/>
            <w:tcBorders>
              <w:top w:val="single" w:color="auto" w:sz="4" w:space="0"/>
              <w:bottom w:val="single" w:color="auto" w:sz="4" w:space="0"/>
            </w:tcBorders>
          </w:tcPr>
          <w:p w14:paraId="4B0DAE56">
            <w:pPr>
              <w:widowControl/>
              <w:spacing w:line="360" w:lineRule="auto"/>
              <w:rPr>
                <w:rFonts w:ascii="Times New Roman" w:hAnsi="Times New Roman"/>
                <w:sz w:val="24"/>
              </w:rPr>
            </w:pPr>
            <w:r>
              <w:rPr>
                <w:rFonts w:ascii="Times New Roman" w:hAnsi="Times New Roman"/>
                <w:sz w:val="24"/>
              </w:rPr>
              <w:t>Search strategy</w:t>
            </w:r>
          </w:p>
        </w:tc>
      </w:tr>
      <w:tr w14:paraId="0510B3D5">
        <w:trPr>
          <w:cantSplit/>
        </w:trPr>
        <w:tc>
          <w:tcPr>
            <w:tcW w:w="704" w:type="dxa"/>
            <w:tcBorders>
              <w:top w:val="single" w:color="auto" w:sz="4" w:space="0"/>
            </w:tcBorders>
          </w:tcPr>
          <w:p w14:paraId="13FAB981">
            <w:pPr>
              <w:widowControl/>
              <w:spacing w:line="360" w:lineRule="auto"/>
              <w:jc w:val="left"/>
              <w:rPr>
                <w:rFonts w:ascii="Times New Roman" w:hAnsi="Times New Roman"/>
                <w:sz w:val="24"/>
              </w:rPr>
            </w:pPr>
            <w:r>
              <w:rPr>
                <w:rFonts w:ascii="Times New Roman" w:hAnsi="Times New Roman"/>
                <w:sz w:val="24"/>
              </w:rPr>
              <w:t>#1</w:t>
            </w:r>
          </w:p>
        </w:tc>
        <w:tc>
          <w:tcPr>
            <w:tcW w:w="7592" w:type="dxa"/>
            <w:tcBorders>
              <w:top w:val="single" w:color="auto" w:sz="4" w:space="0"/>
            </w:tcBorders>
          </w:tcPr>
          <w:p w14:paraId="702E3FD4">
            <w:pPr>
              <w:widowControl/>
              <w:spacing w:line="360" w:lineRule="auto"/>
              <w:rPr>
                <w:rFonts w:ascii="Times New Roman" w:hAnsi="Times New Roman"/>
                <w:sz w:val="24"/>
              </w:rPr>
            </w:pPr>
            <w:r>
              <w:rPr>
                <w:rFonts w:hint="eastAsia" w:ascii="Times New Roman" w:hAnsi="Times New Roman"/>
                <w:sz w:val="24"/>
              </w:rPr>
              <w:t xml:space="preserve">Search: (("Neoplasms"[Mesh]) OR (Tumors) OR (Neoplasia) OR (Cancer) OR (Malignant Neoplasm) OR (Malignancy) OR (Malignancies) OR (Benign Neoplasms)) </w:t>
            </w:r>
          </w:p>
        </w:tc>
      </w:tr>
      <w:tr w14:paraId="431BED4B">
        <w:trPr>
          <w:cantSplit/>
        </w:trPr>
        <w:tc>
          <w:tcPr>
            <w:tcW w:w="704" w:type="dxa"/>
          </w:tcPr>
          <w:p w14:paraId="417E13A4">
            <w:pPr>
              <w:widowControl/>
              <w:spacing w:line="360" w:lineRule="auto"/>
              <w:jc w:val="left"/>
              <w:rPr>
                <w:rFonts w:ascii="Times New Roman" w:hAnsi="Times New Roman"/>
                <w:sz w:val="24"/>
              </w:rPr>
            </w:pPr>
            <w:r>
              <w:rPr>
                <w:rFonts w:ascii="Times New Roman" w:hAnsi="Times New Roman"/>
                <w:sz w:val="24"/>
              </w:rPr>
              <w:t>#2</w:t>
            </w:r>
          </w:p>
        </w:tc>
        <w:tc>
          <w:tcPr>
            <w:tcW w:w="7592" w:type="dxa"/>
          </w:tcPr>
          <w:p w14:paraId="0689D1DC">
            <w:pPr>
              <w:widowControl/>
              <w:spacing w:line="360" w:lineRule="auto"/>
              <w:rPr>
                <w:rFonts w:ascii="Times New Roman" w:hAnsi="Times New Roman"/>
                <w:sz w:val="24"/>
              </w:rPr>
            </w:pPr>
            <w:r>
              <w:rPr>
                <w:rFonts w:ascii="Times New Roman Regular" w:hAnsi="Times New Roman Regular" w:cs="Times New Roman Regular"/>
                <w:sz w:val="24"/>
              </w:rPr>
              <w:t xml:space="preserve">Search: </w:t>
            </w:r>
            <w:r>
              <w:rPr>
                <w:rFonts w:hint="eastAsia" w:ascii="Times New Roman Regular" w:hAnsi="Times New Roman Regular" w:cs="Times New Roman Regular"/>
                <w:sz w:val="24"/>
              </w:rPr>
              <w:t>((Exercise) OR (Resistance training) OR (Weight lift) OR (Strength training) OR (Strength exercise) OR (Weight training))</w:t>
            </w:r>
          </w:p>
        </w:tc>
      </w:tr>
      <w:tr w14:paraId="49A3E691">
        <w:trPr>
          <w:cantSplit/>
        </w:trPr>
        <w:tc>
          <w:tcPr>
            <w:tcW w:w="704" w:type="dxa"/>
          </w:tcPr>
          <w:p w14:paraId="4F6652E9">
            <w:pPr>
              <w:widowControl/>
              <w:spacing w:line="360" w:lineRule="auto"/>
              <w:jc w:val="left"/>
              <w:rPr>
                <w:rFonts w:ascii="Times New Roman" w:hAnsi="Times New Roman"/>
                <w:sz w:val="24"/>
              </w:rPr>
            </w:pPr>
            <w:r>
              <w:rPr>
                <w:rFonts w:ascii="Times New Roman" w:hAnsi="Times New Roman"/>
                <w:sz w:val="24"/>
              </w:rPr>
              <w:t>#3</w:t>
            </w:r>
          </w:p>
        </w:tc>
        <w:tc>
          <w:tcPr>
            <w:tcW w:w="7592" w:type="dxa"/>
          </w:tcPr>
          <w:p w14:paraId="554DF73E">
            <w:pPr>
              <w:spacing w:line="360" w:lineRule="auto"/>
              <w:rPr>
                <w:rFonts w:ascii="Times New Roman" w:hAnsi="Times New Roman"/>
                <w:sz w:val="24"/>
              </w:rPr>
            </w:pPr>
            <w:r>
              <w:rPr>
                <w:rFonts w:hint="eastAsia" w:ascii="Times New Roman" w:hAnsi="Times New Roman"/>
                <w:sz w:val="24"/>
              </w:rPr>
              <w:t>Search: ("Randomized Controlled Trial" [Publication Type]) OR (RCT)</w:t>
            </w:r>
          </w:p>
        </w:tc>
      </w:tr>
      <w:tr w14:paraId="7A2B169E">
        <w:trPr>
          <w:cantSplit/>
        </w:trPr>
        <w:tc>
          <w:tcPr>
            <w:tcW w:w="704" w:type="dxa"/>
          </w:tcPr>
          <w:p w14:paraId="3684F3EF">
            <w:pPr>
              <w:widowControl/>
              <w:spacing w:line="360" w:lineRule="auto"/>
              <w:jc w:val="left"/>
              <w:rPr>
                <w:rFonts w:ascii="Times New Roman" w:hAnsi="Times New Roman"/>
                <w:sz w:val="24"/>
              </w:rPr>
            </w:pPr>
            <w:r>
              <w:rPr>
                <w:rFonts w:ascii="Times New Roman" w:hAnsi="Times New Roman"/>
                <w:sz w:val="24"/>
              </w:rPr>
              <w:t>#4</w:t>
            </w:r>
          </w:p>
        </w:tc>
        <w:tc>
          <w:tcPr>
            <w:tcW w:w="7592" w:type="dxa"/>
          </w:tcPr>
          <w:p w14:paraId="68929853">
            <w:pPr>
              <w:widowControl/>
              <w:spacing w:line="360" w:lineRule="auto"/>
              <w:rPr>
                <w:rFonts w:ascii="Times New Roman" w:hAnsi="Times New Roman"/>
                <w:sz w:val="24"/>
              </w:rPr>
            </w:pPr>
            <w:r>
              <w:rPr>
                <w:rFonts w:ascii="Times New Roman" w:hAnsi="Times New Roman"/>
                <w:sz w:val="24"/>
              </w:rPr>
              <w:t>#</w:t>
            </w:r>
            <w:r>
              <w:rPr>
                <w:rFonts w:hint="eastAsia" w:ascii="Times New Roman" w:hAnsi="Times New Roman"/>
                <w:sz w:val="24"/>
              </w:rPr>
              <w:t>1</w:t>
            </w:r>
            <w:r>
              <w:rPr>
                <w:rFonts w:ascii="Times New Roman" w:hAnsi="Times New Roman"/>
                <w:sz w:val="24"/>
              </w:rPr>
              <w:t xml:space="preserve"> AND #2 AND #3</w:t>
            </w:r>
          </w:p>
        </w:tc>
      </w:tr>
      <w:tr w14:paraId="0F2E6086">
        <w:trPr>
          <w:cantSplit/>
        </w:trPr>
        <w:tc>
          <w:tcPr>
            <w:tcW w:w="704" w:type="dxa"/>
          </w:tcPr>
          <w:p w14:paraId="15748A82">
            <w:pPr>
              <w:widowControl/>
              <w:spacing w:line="360" w:lineRule="auto"/>
              <w:jc w:val="left"/>
              <w:rPr>
                <w:rFonts w:ascii="Times New Roman" w:hAnsi="Times New Roman"/>
                <w:sz w:val="24"/>
              </w:rPr>
            </w:pPr>
            <w:r>
              <w:rPr>
                <w:rFonts w:ascii="Times New Roman" w:hAnsi="Times New Roman"/>
                <w:sz w:val="24"/>
              </w:rPr>
              <w:t>#5</w:t>
            </w:r>
          </w:p>
        </w:tc>
        <w:tc>
          <w:tcPr>
            <w:tcW w:w="7592" w:type="dxa"/>
          </w:tcPr>
          <w:p w14:paraId="3AE46CFC">
            <w:pPr>
              <w:widowControl/>
              <w:spacing w:line="360" w:lineRule="auto"/>
              <w:rPr>
                <w:rFonts w:ascii="Times New Roman" w:hAnsi="Times New Roman"/>
                <w:sz w:val="24"/>
              </w:rPr>
            </w:pPr>
            <w:r>
              <w:rPr>
                <w:rFonts w:hint="eastAsia" w:ascii="Times New Roman" w:hAnsi="Times New Roman"/>
                <w:sz w:val="24"/>
              </w:rPr>
              <w:t>Search:((Quality of life)) OR (Life Quality)) OR (Health-Related Quality Of Life)) OR (HRQOL))</w:t>
            </w:r>
          </w:p>
        </w:tc>
      </w:tr>
      <w:tr w14:paraId="27B5AFFC">
        <w:trPr>
          <w:cantSplit/>
        </w:trPr>
        <w:tc>
          <w:tcPr>
            <w:tcW w:w="704" w:type="dxa"/>
          </w:tcPr>
          <w:p w14:paraId="228534AD">
            <w:pPr>
              <w:widowControl/>
              <w:spacing w:line="360" w:lineRule="auto"/>
              <w:jc w:val="left"/>
              <w:rPr>
                <w:rFonts w:ascii="Times New Roman" w:hAnsi="Times New Roman"/>
                <w:sz w:val="24"/>
              </w:rPr>
            </w:pPr>
            <w:r>
              <w:rPr>
                <w:rFonts w:ascii="Times New Roman" w:hAnsi="Times New Roman"/>
                <w:sz w:val="24"/>
              </w:rPr>
              <w:t>#6</w:t>
            </w:r>
          </w:p>
        </w:tc>
        <w:tc>
          <w:tcPr>
            <w:tcW w:w="7592" w:type="dxa"/>
          </w:tcPr>
          <w:p w14:paraId="4C6E573E">
            <w:pPr>
              <w:spacing w:line="360" w:lineRule="auto"/>
              <w:rPr>
                <w:rFonts w:ascii="Times New Roman" w:hAnsi="Times New Roman"/>
                <w:sz w:val="24"/>
              </w:rPr>
            </w:pPr>
            <w:r>
              <w:rPr>
                <w:rFonts w:hint="eastAsia" w:ascii="Times New Roman" w:hAnsi="Times New Roman"/>
                <w:sz w:val="24"/>
              </w:rPr>
              <w:t>Search:((Fatigue) OR (Lassitude))</w:t>
            </w:r>
          </w:p>
        </w:tc>
      </w:tr>
      <w:tr w14:paraId="273EC6C2">
        <w:trPr>
          <w:cantSplit/>
        </w:trPr>
        <w:tc>
          <w:tcPr>
            <w:tcW w:w="704" w:type="dxa"/>
          </w:tcPr>
          <w:p w14:paraId="267F706C">
            <w:pPr>
              <w:widowControl/>
              <w:spacing w:line="360" w:lineRule="auto"/>
              <w:jc w:val="left"/>
              <w:rPr>
                <w:rFonts w:ascii="Times New Roman" w:hAnsi="Times New Roman"/>
                <w:sz w:val="24"/>
              </w:rPr>
            </w:pPr>
            <w:r>
              <w:rPr>
                <w:rFonts w:ascii="Times New Roman" w:hAnsi="Times New Roman"/>
                <w:sz w:val="24"/>
              </w:rPr>
              <w:t>#7</w:t>
            </w:r>
          </w:p>
        </w:tc>
        <w:tc>
          <w:tcPr>
            <w:tcW w:w="7592" w:type="dxa"/>
          </w:tcPr>
          <w:p w14:paraId="13E3B013">
            <w:pPr>
              <w:widowControl/>
              <w:spacing w:line="360" w:lineRule="auto"/>
              <w:rPr>
                <w:rFonts w:ascii="Times New Roman" w:hAnsi="Times New Roman"/>
                <w:sz w:val="24"/>
              </w:rPr>
            </w:pPr>
            <w:r>
              <w:rPr>
                <w:rFonts w:ascii="Times New Roman" w:hAnsi="Times New Roman"/>
                <w:sz w:val="24"/>
              </w:rPr>
              <w:t xml:space="preserve">#5 </w:t>
            </w:r>
            <w:r>
              <w:rPr>
                <w:rFonts w:hint="eastAsia" w:ascii="Times New Roman" w:hAnsi="Times New Roman"/>
                <w:sz w:val="24"/>
              </w:rPr>
              <w:t>OR</w:t>
            </w:r>
            <w:r>
              <w:rPr>
                <w:rFonts w:ascii="Times New Roman" w:hAnsi="Times New Roman"/>
                <w:sz w:val="24"/>
              </w:rPr>
              <w:t xml:space="preserve"> #6 </w:t>
            </w:r>
          </w:p>
        </w:tc>
      </w:tr>
      <w:tr w14:paraId="28FF6D35">
        <w:trPr>
          <w:cantSplit/>
        </w:trPr>
        <w:tc>
          <w:tcPr>
            <w:tcW w:w="704" w:type="dxa"/>
          </w:tcPr>
          <w:p w14:paraId="2252A7B1">
            <w:pPr>
              <w:widowControl/>
              <w:spacing w:line="360" w:lineRule="auto"/>
              <w:jc w:val="left"/>
              <w:rPr>
                <w:rFonts w:ascii="Times New Roman" w:hAnsi="Times New Roman"/>
                <w:sz w:val="24"/>
              </w:rPr>
            </w:pPr>
            <w:r>
              <w:rPr>
                <w:rFonts w:ascii="Times New Roman" w:hAnsi="Times New Roman"/>
                <w:sz w:val="24"/>
              </w:rPr>
              <w:t>#8</w:t>
            </w:r>
          </w:p>
        </w:tc>
        <w:tc>
          <w:tcPr>
            <w:tcW w:w="7592" w:type="dxa"/>
          </w:tcPr>
          <w:p w14:paraId="0E1D3B34">
            <w:pPr>
              <w:spacing w:line="360" w:lineRule="auto"/>
              <w:rPr>
                <w:rFonts w:ascii="Times New Roman Regular" w:hAnsi="Times New Roman Regular" w:cs="Times New Roman Regular"/>
                <w:color w:val="000000"/>
                <w:sz w:val="24"/>
                <w:shd w:val="clear" w:color="auto" w:fill="FFFFFF"/>
              </w:rPr>
            </w:pPr>
            <w:r>
              <w:rPr>
                <w:rFonts w:ascii="Times New Roman" w:hAnsi="Times New Roman"/>
                <w:sz w:val="24"/>
              </w:rPr>
              <w:t>#4 AND #</w:t>
            </w:r>
            <w:r>
              <w:rPr>
                <w:rFonts w:hint="eastAsia" w:ascii="Times New Roman" w:hAnsi="Times New Roman"/>
                <w:sz w:val="24"/>
              </w:rPr>
              <w:t>7</w:t>
            </w:r>
          </w:p>
        </w:tc>
      </w:tr>
    </w:tbl>
    <w:p w14:paraId="364E622E">
      <w:pPr>
        <w:pStyle w:val="2"/>
        <w:rPr>
          <w:rFonts w:ascii="Times New Roman" w:hAnsi="Times New Roman"/>
        </w:rPr>
      </w:pPr>
      <w:bookmarkStart w:id="3" w:name="_Toc9430"/>
      <w:bookmarkStart w:id="4" w:name="_Toc29994"/>
    </w:p>
    <w:p w14:paraId="11380877"/>
    <w:p w14:paraId="5764D2B8">
      <w:pPr>
        <w:rPr>
          <w:rFonts w:ascii="Times New Roman" w:hAnsi="Times New Roman"/>
        </w:rPr>
      </w:pPr>
    </w:p>
    <w:tbl>
      <w:tblPr>
        <w:tblStyle w:val="14"/>
        <w:tblW w:w="5082" w:type="pct"/>
        <w:jc w:val="center"/>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662"/>
      </w:tblGrid>
      <w:tr w14:paraId="157EE16E">
        <w:trPr>
          <w:jc w:val="center"/>
        </w:trPr>
        <w:tc>
          <w:tcPr>
            <w:tcW w:w="8662" w:type="dxa"/>
            <w:tcBorders>
              <w:top w:val="single" w:color="auto" w:sz="4" w:space="0"/>
              <w:left w:val="nil"/>
              <w:bottom w:val="single" w:color="auto" w:sz="4" w:space="0"/>
              <w:right w:val="nil"/>
            </w:tcBorders>
            <w:vAlign w:val="center"/>
          </w:tcPr>
          <w:p w14:paraId="3BF97076">
            <w:pPr>
              <w:jc w:val="center"/>
              <w:rPr>
                <w:sz w:val="22"/>
                <w:szCs w:val="22"/>
                <w:lang w:val="en-GB"/>
              </w:rPr>
            </w:pPr>
            <w:r>
              <w:rPr>
                <w:b/>
                <w:sz w:val="24"/>
              </w:rPr>
              <w:t>The Cochrane Library</w:t>
            </w:r>
          </w:p>
        </w:tc>
      </w:tr>
      <w:tr w14:paraId="0DE20625">
        <w:trPr>
          <w:jc w:val="center"/>
        </w:trPr>
        <w:tc>
          <w:tcPr>
            <w:tcW w:w="8662" w:type="dxa"/>
            <w:tcBorders>
              <w:top w:val="single" w:color="auto" w:sz="4" w:space="0"/>
              <w:left w:val="nil"/>
              <w:bottom w:val="single" w:color="auto" w:sz="4" w:space="0"/>
              <w:right w:val="nil"/>
            </w:tcBorders>
            <w:vAlign w:val="center"/>
          </w:tcPr>
          <w:p w14:paraId="6D6E41E8">
            <w:pPr>
              <w:jc w:val="center"/>
              <w:rPr>
                <w:sz w:val="22"/>
                <w:szCs w:val="22"/>
                <w:lang w:val="en-GB"/>
              </w:rPr>
            </w:pPr>
            <w:r>
              <w:rPr>
                <w:sz w:val="24"/>
                <w:lang w:val="en-GB"/>
              </w:rPr>
              <w:t xml:space="preserve">(cancer OR tumour OR </w:t>
            </w:r>
            <w:r>
              <w:rPr>
                <w:rFonts w:hint="eastAsia"/>
                <w:sz w:val="24"/>
                <w:lang w:val="en-GB"/>
              </w:rPr>
              <w:t>Neoplasia</w:t>
            </w:r>
            <w:r>
              <w:rPr>
                <w:sz w:val="24"/>
                <w:lang w:val="en-GB"/>
              </w:rPr>
              <w:t xml:space="preserve"> OR </w:t>
            </w:r>
            <w:r>
              <w:rPr>
                <w:rFonts w:hint="eastAsia"/>
                <w:bCs/>
                <w:sz w:val="24"/>
              </w:rPr>
              <w:t>Neoplasms</w:t>
            </w:r>
            <w:r>
              <w:rPr>
                <w:sz w:val="24"/>
                <w:lang w:val="en-GB"/>
              </w:rPr>
              <w:t xml:space="preserve"> OR chemotherapy ) AND (exercise OR "</w:t>
            </w:r>
            <w:r>
              <w:rPr>
                <w:rFonts w:hint="eastAsia"/>
                <w:sz w:val="24"/>
                <w:lang w:val="en-GB"/>
              </w:rPr>
              <w:t>Resistance training</w:t>
            </w:r>
            <w:r>
              <w:rPr>
                <w:sz w:val="24"/>
                <w:lang w:val="en-GB"/>
              </w:rPr>
              <w:t xml:space="preserve">" OR </w:t>
            </w:r>
            <w:r>
              <w:rPr>
                <w:rFonts w:hint="eastAsia"/>
                <w:sz w:val="24"/>
                <w:lang w:val="en-GB"/>
              </w:rPr>
              <w:t>Weight lift</w:t>
            </w:r>
            <w:r>
              <w:rPr>
                <w:sz w:val="24"/>
                <w:lang w:val="en-GB"/>
              </w:rPr>
              <w:t xml:space="preserve"> OR resistance OR </w:t>
            </w:r>
            <w:r>
              <w:rPr>
                <w:rFonts w:hint="eastAsia"/>
                <w:bCs/>
                <w:sz w:val="24"/>
              </w:rPr>
              <w:t>Strength training</w:t>
            </w:r>
            <w:r>
              <w:rPr>
                <w:sz w:val="24"/>
                <w:lang w:val="en-GB"/>
              </w:rPr>
              <w:t xml:space="preserve"> OR </w:t>
            </w:r>
            <w:r>
              <w:rPr>
                <w:rFonts w:hint="eastAsia"/>
                <w:bCs/>
                <w:sz w:val="24"/>
              </w:rPr>
              <w:t>Strength exercise</w:t>
            </w:r>
            <w:r>
              <w:rPr>
                <w:sz w:val="24"/>
                <w:lang w:val="en-GB"/>
              </w:rPr>
              <w:t xml:space="preserve"> OR </w:t>
            </w:r>
            <w:r>
              <w:rPr>
                <w:rFonts w:hint="eastAsia"/>
                <w:bCs/>
                <w:sz w:val="24"/>
              </w:rPr>
              <w:t xml:space="preserve">Weight training </w:t>
            </w:r>
            <w:r>
              <w:rPr>
                <w:sz w:val="24"/>
                <w:lang w:val="en-GB"/>
              </w:rPr>
              <w:t>) AND ("</w:t>
            </w:r>
            <w:r>
              <w:rPr>
                <w:rFonts w:hint="eastAsia"/>
                <w:bCs/>
                <w:sz w:val="24"/>
              </w:rPr>
              <w:t>Quality of life</w:t>
            </w:r>
            <w:r>
              <w:rPr>
                <w:sz w:val="24"/>
                <w:lang w:val="en-GB"/>
              </w:rPr>
              <w:t>" OR "</w:t>
            </w:r>
            <w:r>
              <w:rPr>
                <w:rFonts w:hint="eastAsia"/>
                <w:bCs/>
                <w:sz w:val="24"/>
              </w:rPr>
              <w:t>Life Quality</w:t>
            </w:r>
            <w:r>
              <w:rPr>
                <w:sz w:val="24"/>
                <w:lang w:val="en-GB"/>
              </w:rPr>
              <w:t>" OR "</w:t>
            </w:r>
            <w:r>
              <w:rPr>
                <w:rFonts w:hint="eastAsia"/>
                <w:sz w:val="24"/>
                <w:lang w:val="en-GB"/>
              </w:rPr>
              <w:t>Health-Related Quality Of Life</w:t>
            </w:r>
            <w:r>
              <w:rPr>
                <w:sz w:val="24"/>
                <w:lang w:val="en-GB"/>
              </w:rPr>
              <w:t>" OR "HRQOL" OR "life quality") AND ("</w:t>
            </w:r>
            <w:r>
              <w:rPr>
                <w:rFonts w:hint="eastAsia"/>
                <w:bCs/>
                <w:sz w:val="24"/>
              </w:rPr>
              <w:t>Fatigue</w:t>
            </w:r>
            <w:r>
              <w:rPr>
                <w:sz w:val="24"/>
                <w:lang w:val="en-GB"/>
              </w:rPr>
              <w:t>" OR "</w:t>
            </w:r>
            <w:r>
              <w:rPr>
                <w:rFonts w:hint="eastAsia"/>
                <w:bCs/>
                <w:sz w:val="24"/>
              </w:rPr>
              <w:t>Lassitude</w:t>
            </w:r>
            <w:r>
              <w:rPr>
                <w:sz w:val="24"/>
                <w:lang w:val="en-GB"/>
              </w:rPr>
              <w:t>" )in Record Title</w:t>
            </w:r>
          </w:p>
        </w:tc>
      </w:tr>
      <w:tr w14:paraId="34679882">
        <w:trPr>
          <w:trHeight w:val="340" w:hRule="atLeast"/>
          <w:jc w:val="center"/>
        </w:trPr>
        <w:tc>
          <w:tcPr>
            <w:tcW w:w="8662" w:type="dxa"/>
            <w:tcBorders>
              <w:top w:val="single" w:color="auto" w:sz="4" w:space="0"/>
              <w:left w:val="nil"/>
              <w:bottom w:val="single" w:color="auto" w:sz="4" w:space="0"/>
              <w:right w:val="nil"/>
            </w:tcBorders>
            <w:vAlign w:val="center"/>
          </w:tcPr>
          <w:p w14:paraId="4668028D">
            <w:pPr>
              <w:jc w:val="center"/>
              <w:rPr>
                <w:b/>
                <w:sz w:val="24"/>
              </w:rPr>
            </w:pPr>
            <w:r>
              <w:rPr>
                <w:b/>
                <w:sz w:val="24"/>
              </w:rPr>
              <w:t>Web of Science</w:t>
            </w:r>
          </w:p>
        </w:tc>
      </w:tr>
      <w:tr w14:paraId="19C137A6">
        <w:trPr>
          <w:trHeight w:val="340" w:hRule="atLeast"/>
          <w:jc w:val="center"/>
        </w:trPr>
        <w:tc>
          <w:tcPr>
            <w:tcW w:w="8662" w:type="dxa"/>
            <w:tcBorders>
              <w:top w:val="single" w:color="auto" w:sz="4" w:space="0"/>
              <w:left w:val="nil"/>
              <w:bottom w:val="single" w:color="auto" w:sz="4" w:space="0"/>
              <w:right w:val="nil"/>
            </w:tcBorders>
            <w:vAlign w:val="center"/>
          </w:tcPr>
          <w:p w14:paraId="07D32184">
            <w:pPr>
              <w:jc w:val="left"/>
              <w:rPr>
                <w:b/>
                <w:sz w:val="24"/>
              </w:rPr>
            </w:pPr>
            <w:r>
              <w:rPr>
                <w:rFonts w:hint="eastAsia"/>
                <w:bCs/>
                <w:sz w:val="24"/>
              </w:rPr>
              <w:t>(TI=(Neoplasms OR Tumors OR Neoplasia OR Cancer OR "Malignant Neoplasm" OR Malignancy) AND TI=(exercise OR "Resistance training" OR "Weight lift*" OR "Strength training" OR "Strength exercise" OR "Weight training") AND TI=("Quality of life" OR "Life Quality" OR "Health-Related Quality Of Life" OR HRQOL) AND TI=( Fatigue OR Lassitude))</w:t>
            </w:r>
          </w:p>
        </w:tc>
      </w:tr>
      <w:tr w14:paraId="3AFCAF72">
        <w:trPr>
          <w:trHeight w:val="340" w:hRule="atLeast"/>
          <w:jc w:val="center"/>
        </w:trPr>
        <w:tc>
          <w:tcPr>
            <w:tcW w:w="8662" w:type="dxa"/>
            <w:tcBorders>
              <w:top w:val="single" w:color="auto" w:sz="4" w:space="0"/>
              <w:left w:val="nil"/>
              <w:bottom w:val="single" w:color="auto" w:sz="4" w:space="0"/>
              <w:right w:val="nil"/>
            </w:tcBorders>
            <w:vAlign w:val="center"/>
          </w:tcPr>
          <w:p w14:paraId="51D26398">
            <w:pPr>
              <w:jc w:val="center"/>
              <w:rPr>
                <w:b/>
                <w:sz w:val="24"/>
              </w:rPr>
            </w:pPr>
            <w:r>
              <w:rPr>
                <w:b/>
                <w:sz w:val="24"/>
              </w:rPr>
              <w:t>Embase</w:t>
            </w:r>
          </w:p>
        </w:tc>
      </w:tr>
      <w:tr w14:paraId="48015E96">
        <w:trPr>
          <w:trHeight w:val="515" w:hRule="atLeast"/>
          <w:jc w:val="center"/>
        </w:trPr>
        <w:tc>
          <w:tcPr>
            <w:tcW w:w="8662" w:type="dxa"/>
            <w:tcBorders>
              <w:top w:val="single" w:color="auto" w:sz="4" w:space="0"/>
              <w:left w:val="nil"/>
              <w:bottom w:val="single" w:color="auto" w:sz="4" w:space="0"/>
              <w:right w:val="nil"/>
            </w:tcBorders>
            <w:vAlign w:val="center"/>
          </w:tcPr>
          <w:p w14:paraId="28B57B4A">
            <w:pPr>
              <w:jc w:val="center"/>
              <w:rPr>
                <w:sz w:val="24"/>
                <w:lang w:val="en-GB"/>
              </w:rPr>
            </w:pPr>
            <w:r>
              <w:rPr>
                <w:sz w:val="24"/>
                <w:lang w:val="en-GB"/>
              </w:rPr>
              <w:t xml:space="preserve">( ABS ( ( </w:t>
            </w:r>
            <w:r>
              <w:rPr>
                <w:rFonts w:hint="eastAsia"/>
                <w:bCs/>
                <w:sz w:val="24"/>
              </w:rPr>
              <w:t>Neoplasms</w:t>
            </w:r>
            <w:r>
              <w:rPr>
                <w:sz w:val="24"/>
                <w:lang w:val="en-GB"/>
              </w:rPr>
              <w:t xml:space="preserve">  OR  </w:t>
            </w:r>
            <w:r>
              <w:rPr>
                <w:rFonts w:hint="eastAsia"/>
                <w:sz w:val="24"/>
                <w:lang w:val="en-GB"/>
              </w:rPr>
              <w:t>Tumors</w:t>
            </w:r>
            <w:r>
              <w:rPr>
                <w:sz w:val="24"/>
                <w:lang w:val="en-GB"/>
              </w:rPr>
              <w:t xml:space="preserve">  OR  </w:t>
            </w:r>
            <w:r>
              <w:rPr>
                <w:rFonts w:hint="eastAsia"/>
                <w:sz w:val="24"/>
                <w:lang w:val="en-GB"/>
              </w:rPr>
              <w:t>Neoplasia</w:t>
            </w:r>
            <w:r>
              <w:rPr>
                <w:sz w:val="24"/>
                <w:lang w:val="en-GB"/>
              </w:rPr>
              <w:t xml:space="preserve">  OR  </w:t>
            </w:r>
            <w:r>
              <w:rPr>
                <w:rFonts w:hint="eastAsia"/>
                <w:sz w:val="24"/>
                <w:lang w:val="en-GB"/>
              </w:rPr>
              <w:t>Cancer</w:t>
            </w:r>
            <w:r>
              <w:rPr>
                <w:sz w:val="24"/>
                <w:lang w:val="en-GB"/>
              </w:rPr>
              <w:t xml:space="preserve"> ) )  AND  ABS ( ( exercise  OR  "</w:t>
            </w:r>
            <w:r>
              <w:rPr>
                <w:rFonts w:hint="eastAsia"/>
                <w:sz w:val="24"/>
                <w:lang w:val="en-GB"/>
              </w:rPr>
              <w:t>Resistance training</w:t>
            </w:r>
            <w:r>
              <w:rPr>
                <w:sz w:val="24"/>
                <w:lang w:val="en-GB"/>
              </w:rPr>
              <w:t xml:space="preserve">"  OR  </w:t>
            </w:r>
            <w:r>
              <w:rPr>
                <w:rFonts w:hint="eastAsia"/>
                <w:sz w:val="24"/>
                <w:lang w:val="en-GB"/>
              </w:rPr>
              <w:t>Weight lift</w:t>
            </w:r>
            <w:r>
              <w:rPr>
                <w:sz w:val="24"/>
                <w:lang w:val="en-GB"/>
              </w:rPr>
              <w:t xml:space="preserve">  OR  </w:t>
            </w:r>
            <w:r>
              <w:rPr>
                <w:rFonts w:hint="eastAsia"/>
                <w:sz w:val="24"/>
                <w:lang w:val="en-GB"/>
              </w:rPr>
              <w:t>Strength training</w:t>
            </w:r>
            <w:r>
              <w:rPr>
                <w:sz w:val="24"/>
                <w:lang w:val="en-GB"/>
              </w:rPr>
              <w:t xml:space="preserve">  OR  </w:t>
            </w:r>
            <w:r>
              <w:rPr>
                <w:rFonts w:hint="eastAsia"/>
                <w:bCs/>
                <w:sz w:val="24"/>
              </w:rPr>
              <w:t>Strength exercise</w:t>
            </w:r>
            <w:r>
              <w:rPr>
                <w:sz w:val="24"/>
                <w:lang w:val="en-GB"/>
              </w:rPr>
              <w:t xml:space="preserve">  OR  </w:t>
            </w:r>
            <w:r>
              <w:rPr>
                <w:rFonts w:hint="eastAsia"/>
                <w:bCs/>
                <w:sz w:val="24"/>
              </w:rPr>
              <w:t xml:space="preserve">Weight training </w:t>
            </w:r>
            <w:r>
              <w:rPr>
                <w:rFonts w:hint="eastAsia"/>
                <w:sz w:val="24"/>
              </w:rPr>
              <w:t xml:space="preserve"> </w:t>
            </w:r>
            <w:r>
              <w:rPr>
                <w:sz w:val="24"/>
                <w:lang w:val="en-GB"/>
              </w:rPr>
              <w:t>) )  AND  ABS ( ( "quality of life"  OR  "</w:t>
            </w:r>
            <w:r>
              <w:rPr>
                <w:rFonts w:hint="eastAsia"/>
                <w:bCs/>
                <w:sz w:val="24"/>
              </w:rPr>
              <w:t>Life Quality</w:t>
            </w:r>
            <w:r>
              <w:rPr>
                <w:sz w:val="24"/>
                <w:lang w:val="en-GB"/>
              </w:rPr>
              <w:t xml:space="preserve">"  OR  "health related quality of life"  OR  "HRQOL" ) )  AND </w:t>
            </w:r>
            <w:r>
              <w:rPr>
                <w:rFonts w:hint="eastAsia"/>
                <w:sz w:val="24"/>
              </w:rPr>
              <w:t xml:space="preserve"> </w:t>
            </w:r>
            <w:r>
              <w:rPr>
                <w:rFonts w:hint="eastAsia"/>
                <w:sz w:val="24"/>
                <w:lang w:val="en-GB"/>
              </w:rPr>
              <w:t>ABS ( ( "</w:t>
            </w:r>
            <w:r>
              <w:rPr>
                <w:rFonts w:hint="eastAsia"/>
                <w:bCs/>
                <w:sz w:val="24"/>
              </w:rPr>
              <w:t>Fatigue</w:t>
            </w:r>
            <w:r>
              <w:rPr>
                <w:rFonts w:hint="eastAsia"/>
                <w:sz w:val="24"/>
                <w:lang w:val="en-GB"/>
              </w:rPr>
              <w:t>"  OR  "Lassitude" ) )</w:t>
            </w:r>
            <w:r>
              <w:rPr>
                <w:sz w:val="24"/>
                <w:lang w:val="en-GB"/>
              </w:rPr>
              <w:t xml:space="preserve"> )</w:t>
            </w:r>
          </w:p>
        </w:tc>
      </w:tr>
    </w:tbl>
    <w:p w14:paraId="0EA5FDAF"/>
    <w:p w14:paraId="61BB4E2F">
      <w:pPr>
        <w:pStyle w:val="2"/>
        <w:rPr>
          <w:rFonts w:ascii="Times New Roman" w:hAnsi="Times New Roman"/>
        </w:rPr>
      </w:pPr>
      <w:r>
        <w:rPr>
          <w:rFonts w:ascii="Times New Roman" w:hAnsi="Times New Roman"/>
        </w:rPr>
        <w:t>Appendix 2 Risk of bias assessment</w:t>
      </w:r>
      <w:bookmarkEnd w:id="3"/>
      <w:bookmarkEnd w:id="4"/>
    </w:p>
    <w:p w14:paraId="1AFF28BA">
      <w:r>
        <w:rPr>
          <w:rFonts w:ascii="Times New Roman" w:hAnsi="Times New Roman"/>
        </w:rPr>
        <w:drawing>
          <wp:inline distT="0" distB="0" distL="114300" distR="114300">
            <wp:extent cx="5269230" cy="2165350"/>
            <wp:effectExtent l="0" t="0" r="13970" b="19050"/>
            <wp:docPr id="18" name="图片 18" descr="Risk of bia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Risk of bias graph"/>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5269230" cy="2165350"/>
                    </a:xfrm>
                    <a:prstGeom prst="rect">
                      <a:avLst/>
                    </a:prstGeom>
                  </pic:spPr>
                </pic:pic>
              </a:graphicData>
            </a:graphic>
          </wp:inline>
        </w:drawing>
      </w:r>
    </w:p>
    <w:p w14:paraId="2B0ADCE1">
      <w:pPr>
        <w:rPr>
          <w:rFonts w:ascii="Times New Roman" w:hAnsi="Times New Roman"/>
        </w:rPr>
      </w:pPr>
    </w:p>
    <w:p w14:paraId="4C8D8D7B">
      <w:pPr>
        <w:rPr>
          <w:rFonts w:ascii="Times New Roman" w:hAnsi="Times New Roman"/>
        </w:rPr>
      </w:pPr>
      <w:r>
        <w:rPr>
          <w:rFonts w:ascii="Times New Roman" w:hAnsi="Times New Roman"/>
          <w:b/>
          <w:bCs/>
          <w:sz w:val="24"/>
        </w:rPr>
        <w:t>Figure1</w:t>
      </w:r>
      <w:r>
        <w:rPr>
          <w:rFonts w:ascii="Times New Roman" w:hAnsi="Times New Roman"/>
        </w:rPr>
        <w:t xml:space="preserve"> </w:t>
      </w:r>
      <w:r>
        <w:rPr>
          <w:rFonts w:ascii="Times New Roman" w:hAnsi="Times New Roman"/>
          <w:kern w:val="0"/>
          <w:sz w:val="24"/>
        </w:rPr>
        <w:t>The overall risk of bias for all included studies</w:t>
      </w:r>
    </w:p>
    <w:p w14:paraId="6065E36D">
      <w:pPr>
        <w:tabs>
          <w:tab w:val="left" w:pos="6780"/>
        </w:tabs>
        <w:rPr>
          <w:rFonts w:ascii="Times New Roman" w:hAnsi="Times New Roman"/>
        </w:rPr>
      </w:pPr>
    </w:p>
    <w:p w14:paraId="4F954CEF">
      <w:pPr>
        <w:tabs>
          <w:tab w:val="left" w:pos="6780"/>
        </w:tabs>
        <w:rPr>
          <w:rFonts w:ascii="Times New Roman" w:hAnsi="Times New Roman"/>
        </w:rPr>
      </w:pPr>
      <w:r>
        <w:rPr>
          <w:rFonts w:hint="eastAsia" w:ascii="Times New Roman" w:hAnsi="Times New Roman"/>
        </w:rPr>
        <w:t xml:space="preserve">    </w:t>
      </w:r>
      <w:r>
        <w:rPr>
          <w:rFonts w:ascii="Times New Roman" w:hAnsi="Times New Roman"/>
        </w:rPr>
        <w:drawing>
          <wp:inline distT="0" distB="0" distL="114300" distR="114300">
            <wp:extent cx="2005330" cy="5498465"/>
            <wp:effectExtent l="0" t="0" r="13335" b="1270"/>
            <wp:docPr id="21" name="图片 21" descr="Risk of bias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Risk of bias summary"/>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rot="16200000" flipV="1">
                      <a:off x="0" y="0"/>
                      <a:ext cx="2005330" cy="5498465"/>
                    </a:xfrm>
                    <a:prstGeom prst="rect">
                      <a:avLst/>
                    </a:prstGeom>
                  </pic:spPr>
                </pic:pic>
              </a:graphicData>
            </a:graphic>
          </wp:inline>
        </w:drawing>
      </w:r>
    </w:p>
    <w:p w14:paraId="43A17000">
      <w:pPr>
        <w:tabs>
          <w:tab w:val="left" w:pos="6780"/>
        </w:tabs>
        <w:rPr>
          <w:rFonts w:ascii="Times New Roman" w:hAnsi="Times New Roman"/>
        </w:rPr>
      </w:pPr>
      <w:r>
        <w:rPr>
          <w:rFonts w:hint="eastAsia" w:ascii="Times New Roman" w:hAnsi="Times New Roman"/>
        </w:rPr>
        <w:t xml:space="preserve">         </w:t>
      </w:r>
      <w:r>
        <w:rPr>
          <w:rFonts w:hint="eastAsia" w:ascii="Times New Roman" w:hAnsi="Times New Roman"/>
        </w:rPr>
        <w:tab/>
      </w:r>
    </w:p>
    <w:p w14:paraId="5ABDBEEA">
      <w:pPr>
        <w:rPr>
          <w:rFonts w:ascii="Times New Roman" w:hAnsi="Times New Roman"/>
          <w:kern w:val="0"/>
          <w:sz w:val="24"/>
        </w:rPr>
      </w:pPr>
      <w:r>
        <w:rPr>
          <w:rFonts w:ascii="Times New Roman" w:hAnsi="Times New Roman"/>
          <w:b/>
          <w:bCs/>
          <w:kern w:val="0"/>
          <w:sz w:val="24"/>
        </w:rPr>
        <w:t>Figure 2</w:t>
      </w:r>
      <w:r>
        <w:rPr>
          <w:rFonts w:ascii="Times New Roman" w:hAnsi="Times New Roman"/>
          <w:kern w:val="0"/>
          <w:sz w:val="24"/>
        </w:rPr>
        <w:t xml:space="preserve"> The risk of bias for each study</w:t>
      </w:r>
    </w:p>
    <w:p w14:paraId="013B1110">
      <w:pPr>
        <w:rPr>
          <w:rFonts w:ascii="Times New Roman" w:hAnsi="Times New Roman"/>
          <w:kern w:val="0"/>
          <w:sz w:val="24"/>
        </w:rPr>
      </w:pPr>
    </w:p>
    <w:p w14:paraId="5DB4BC52">
      <w:pPr>
        <w:rPr>
          <w:rFonts w:ascii="Times New Roman" w:hAnsi="Times New Roman"/>
          <w:kern w:val="0"/>
          <w:sz w:val="24"/>
        </w:rPr>
      </w:pPr>
    </w:p>
    <w:p w14:paraId="00A17A1D">
      <w:pPr>
        <w:rPr>
          <w:rFonts w:ascii="Times New Roman" w:hAnsi="Times New Roman"/>
          <w:kern w:val="0"/>
          <w:sz w:val="24"/>
        </w:rPr>
      </w:pPr>
    </w:p>
    <w:p w14:paraId="3449E0EB">
      <w:pPr>
        <w:rPr>
          <w:rFonts w:ascii="Times New Roman" w:hAnsi="Times New Roman"/>
          <w:b/>
          <w:bCs/>
          <w:sz w:val="28"/>
          <w:szCs w:val="28"/>
        </w:rPr>
      </w:pPr>
      <w:r>
        <w:rPr>
          <w:rFonts w:hint="eastAsia" w:ascii="Times New Roman" w:hAnsi="Times New Roman"/>
          <w:b/>
          <w:bCs/>
          <w:sz w:val="32"/>
          <w:szCs w:val="32"/>
        </w:rPr>
        <w:t xml:space="preserve">Appendix 3 </w:t>
      </w:r>
      <w:r>
        <w:rPr>
          <w:rFonts w:ascii="Times New Roman" w:hAnsi="Times New Roman"/>
          <w:b/>
          <w:bCs/>
          <w:sz w:val="32"/>
          <w:szCs w:val="32"/>
        </w:rPr>
        <w:t xml:space="preserve"> C</w:t>
      </w:r>
      <w:r>
        <w:rPr>
          <w:rFonts w:hint="eastAsia" w:ascii="Times New Roman" w:hAnsi="Times New Roman"/>
          <w:b/>
          <w:bCs/>
          <w:sz w:val="32"/>
          <w:szCs w:val="32"/>
        </w:rPr>
        <w:t>ertainy</w:t>
      </w:r>
      <w:r>
        <w:rPr>
          <w:rFonts w:ascii="Times New Roman" w:hAnsi="Times New Roman"/>
          <w:b/>
          <w:bCs/>
          <w:sz w:val="32"/>
          <w:szCs w:val="32"/>
        </w:rPr>
        <w:t xml:space="preserve"> of evidence</w:t>
      </w:r>
    </w:p>
    <w:p w14:paraId="481FAAC2">
      <w:pPr>
        <w:rPr>
          <w:rFonts w:ascii="Times New Roman" w:hAnsi="Times New Roman"/>
          <w:b/>
          <w:bCs/>
          <w:sz w:val="28"/>
          <w:szCs w:val="28"/>
        </w:rPr>
      </w:pPr>
    </w:p>
    <w:tbl>
      <w:tblPr>
        <w:tblStyle w:val="13"/>
        <w:tblW w:w="5414" w:type="pct"/>
        <w:tblInd w:w="72"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autofit"/>
        <w:tblCellMar>
          <w:top w:w="36" w:type="dxa"/>
          <w:left w:w="36" w:type="dxa"/>
          <w:bottom w:w="36" w:type="dxa"/>
          <w:right w:w="36" w:type="dxa"/>
        </w:tblCellMar>
      </w:tblPr>
      <w:tblGrid>
        <w:gridCol w:w="1066"/>
        <w:gridCol w:w="997"/>
        <w:gridCol w:w="1189"/>
        <w:gridCol w:w="1086"/>
        <w:gridCol w:w="1018"/>
        <w:gridCol w:w="1340"/>
        <w:gridCol w:w="2298"/>
        <w:gridCol w:w="78"/>
      </w:tblGrid>
      <w:tr w14:paraId="4F938D30">
        <w:trPr>
          <w:gridAfter w:val="1"/>
          <w:wAfter w:w="78" w:type="dxa"/>
        </w:trPr>
        <w:tc>
          <w:tcPr>
            <w:tcW w:w="899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ECA866">
            <w:pPr>
              <w:rPr>
                <w:rFonts w:ascii="Arial" w:hAnsi="Arial" w:cs="Arial"/>
                <w:b/>
                <w:bCs/>
                <w:sz w:val="26"/>
                <w:szCs w:val="26"/>
              </w:rPr>
            </w:pPr>
            <w:r>
              <w:rPr>
                <w:rFonts w:hint="eastAsia" w:ascii="Arial" w:hAnsi="Arial" w:cs="Arial"/>
                <w:b/>
                <w:bCs/>
                <w:sz w:val="26"/>
                <w:szCs w:val="26"/>
              </w:rPr>
              <w:t>Resistance training compared with usual care for improving quality of life and reducing fatigue in cancer patients</w:t>
            </w:r>
          </w:p>
          <w:p w14:paraId="414BEEC4">
            <w:pPr>
              <w:rPr>
                <w:rFonts w:ascii="Arial" w:hAnsi="Arial" w:cs="Arial"/>
                <w:b/>
                <w:bCs/>
                <w:sz w:val="16"/>
                <w:szCs w:val="16"/>
              </w:rPr>
            </w:pPr>
            <w:r>
              <w:rPr>
                <w:rFonts w:ascii="Arial" w:hAnsi="Arial" w:cs="Arial"/>
                <w:b/>
                <w:bCs/>
                <w:kern w:val="0"/>
                <w:sz w:val="16"/>
                <w:szCs w:val="16"/>
              </w:rPr>
              <w:t xml:space="preserve">Bibliography: </w:t>
            </w:r>
            <w:r>
              <w:rPr>
                <w:rFonts w:hint="eastAsia" w:ascii="Arial" w:hAnsi="Arial" w:cs="Arial"/>
                <w:kern w:val="0"/>
                <w:sz w:val="16"/>
                <w:szCs w:val="16"/>
              </w:rPr>
              <w:t>Mei J, Li X, Chen K, Zhang W, Wang R. Effects of Different Resistance Training Programs on Quality of Life and Fatigue in Cancer Patients: A Network Meta-Analysis</w:t>
            </w:r>
            <w:r>
              <w:rPr>
                <w:rFonts w:ascii="Arial" w:hAnsi="Arial" w:cs="Arial"/>
                <w:kern w:val="0"/>
                <w:sz w:val="16"/>
                <w:szCs w:val="16"/>
              </w:rPr>
              <w:t>. [Year], Issue [Issue].</w:t>
            </w:r>
            <w:r>
              <w:rPr>
                <w:rFonts w:ascii="Arial" w:hAnsi="Arial" w:cs="Arial"/>
                <w:b/>
                <w:bCs/>
                <w:kern w:val="0"/>
                <w:sz w:val="16"/>
                <w:szCs w:val="16"/>
              </w:rPr>
              <w:t xml:space="preserve"> </w:t>
            </w:r>
          </w:p>
        </w:tc>
      </w:tr>
      <w:tr w14:paraId="51C1BBB5">
        <w:trPr>
          <w:gridAfter w:val="1"/>
          <w:wAfter w:w="78" w:type="dxa"/>
        </w:trPr>
        <w:tc>
          <w:tcPr>
            <w:tcW w:w="8994" w:type="dxa"/>
            <w:gridSpan w:val="7"/>
            <w:tcBorders>
              <w:top w:val="single" w:color="000000" w:sz="4" w:space="0"/>
              <w:left w:val="single" w:color="000000" w:sz="4" w:space="0"/>
              <w:bottom w:val="single" w:color="000000" w:sz="4" w:space="0"/>
              <w:right w:val="single" w:color="000000" w:sz="4" w:space="0"/>
            </w:tcBorders>
            <w:shd w:val="clear" w:color="auto" w:fill="606060"/>
            <w:vAlign w:val="center"/>
          </w:tcPr>
          <w:p w14:paraId="7011FEB4">
            <w:pPr>
              <w:widowControl/>
              <w:jc w:val="center"/>
              <w:rPr>
                <w:rFonts w:ascii="Arial" w:hAnsi="Arial" w:cs="Arial"/>
                <w:b/>
                <w:bCs/>
                <w:color w:val="FFFFFF"/>
                <w:sz w:val="26"/>
                <w:szCs w:val="26"/>
              </w:rPr>
            </w:pPr>
            <w:r>
              <w:rPr>
                <w:rFonts w:ascii="Arial" w:hAnsi="Arial" w:cs="Arial"/>
                <w:b/>
                <w:bCs/>
                <w:color w:val="FFFFFF"/>
                <w:kern w:val="0"/>
                <w:sz w:val="26"/>
                <w:szCs w:val="26"/>
              </w:rPr>
              <w:t>Quality assessment</w:t>
            </w:r>
          </w:p>
        </w:tc>
      </w:tr>
      <w:tr w14:paraId="14A25832">
        <w:trPr>
          <w:gridAfter w:val="1"/>
          <w:wAfter w:w="78" w:type="dxa"/>
          <w:trHeight w:val="521" w:hRule="atLeast"/>
        </w:trPr>
        <w:tc>
          <w:tcPr>
            <w:tcW w:w="1066" w:type="dxa"/>
            <w:vMerge w:val="restart"/>
            <w:tcBorders>
              <w:top w:val="nil"/>
              <w:left w:val="single" w:color="000000" w:sz="4" w:space="0"/>
              <w:bottom w:val="single" w:color="000000" w:sz="4" w:space="0"/>
              <w:right w:val="single" w:color="000000" w:sz="4" w:space="0"/>
            </w:tcBorders>
            <w:shd w:val="clear" w:color="auto" w:fill="DDDDDD"/>
          </w:tcPr>
          <w:p w14:paraId="2883AEBE">
            <w:pPr>
              <w:widowControl/>
              <w:jc w:val="left"/>
              <w:textAlignment w:val="top"/>
              <w:rPr>
                <w:rFonts w:ascii="Arial" w:hAnsi="Arial" w:cs="Arial"/>
                <w:b/>
                <w:bCs/>
                <w:kern w:val="0"/>
                <w:sz w:val="16"/>
                <w:szCs w:val="16"/>
              </w:rPr>
            </w:pPr>
            <w:r>
              <w:rPr>
                <w:rFonts w:ascii="Arial" w:hAnsi="Arial" w:cs="Arial"/>
                <w:b/>
                <w:bCs/>
                <w:kern w:val="0"/>
                <w:sz w:val="16"/>
                <w:szCs w:val="16"/>
              </w:rPr>
              <w:t>Participants</w:t>
            </w:r>
          </w:p>
          <w:p w14:paraId="4D5CA271">
            <w:pPr>
              <w:widowControl/>
              <w:jc w:val="left"/>
              <w:textAlignment w:val="top"/>
              <w:rPr>
                <w:rFonts w:ascii="Arial" w:hAnsi="Arial" w:cs="Arial"/>
                <w:b/>
                <w:bCs/>
                <w:kern w:val="0"/>
                <w:sz w:val="16"/>
                <w:szCs w:val="16"/>
              </w:rPr>
            </w:pPr>
            <w:r>
              <w:rPr>
                <w:rFonts w:ascii="Arial" w:hAnsi="Arial" w:cs="Arial"/>
                <w:b/>
                <w:bCs/>
                <w:kern w:val="0"/>
                <w:sz w:val="16"/>
                <w:szCs w:val="16"/>
              </w:rPr>
              <w:t>(studies)</w:t>
            </w:r>
          </w:p>
          <w:p w14:paraId="423ED68D">
            <w:pPr>
              <w:widowControl/>
              <w:jc w:val="left"/>
              <w:textAlignment w:val="top"/>
              <w:rPr>
                <w:rFonts w:ascii="Arial" w:hAnsi="Arial" w:cs="Arial"/>
                <w:b/>
                <w:bCs/>
                <w:sz w:val="16"/>
                <w:szCs w:val="16"/>
              </w:rPr>
            </w:pPr>
            <w:r>
              <w:rPr>
                <w:rFonts w:ascii="Arial" w:hAnsi="Arial" w:cs="Arial"/>
                <w:b/>
                <w:bCs/>
                <w:kern w:val="0"/>
                <w:sz w:val="16"/>
                <w:szCs w:val="16"/>
              </w:rPr>
              <w:t xml:space="preserve">Follow up </w:t>
            </w:r>
          </w:p>
        </w:tc>
        <w:tc>
          <w:tcPr>
            <w:tcW w:w="997" w:type="dxa"/>
            <w:vMerge w:val="restart"/>
            <w:tcBorders>
              <w:top w:val="single" w:color="000000" w:sz="4" w:space="0"/>
              <w:left w:val="nil"/>
              <w:bottom w:val="single" w:color="000000" w:sz="4" w:space="0"/>
              <w:right w:val="single" w:color="000000" w:sz="4" w:space="0"/>
            </w:tcBorders>
            <w:shd w:val="clear" w:color="auto" w:fill="DDDDDD"/>
          </w:tcPr>
          <w:p w14:paraId="00E52CDA">
            <w:pPr>
              <w:widowControl/>
              <w:jc w:val="left"/>
              <w:textAlignment w:val="top"/>
              <w:rPr>
                <w:rFonts w:ascii="Arial" w:hAnsi="Arial" w:cs="Arial"/>
                <w:b/>
                <w:bCs/>
                <w:sz w:val="16"/>
                <w:szCs w:val="16"/>
              </w:rPr>
            </w:pPr>
            <w:r>
              <w:rPr>
                <w:rFonts w:ascii="Arial" w:hAnsi="Arial" w:cs="Arial"/>
                <w:b/>
                <w:bCs/>
                <w:kern w:val="0"/>
                <w:sz w:val="16"/>
                <w:szCs w:val="16"/>
              </w:rPr>
              <w:t>Risk of bias</w:t>
            </w:r>
          </w:p>
        </w:tc>
        <w:tc>
          <w:tcPr>
            <w:tcW w:w="1189" w:type="dxa"/>
            <w:vMerge w:val="restart"/>
            <w:tcBorders>
              <w:top w:val="single" w:color="000000" w:sz="4" w:space="0"/>
              <w:left w:val="nil"/>
              <w:bottom w:val="single" w:color="000000" w:sz="4" w:space="0"/>
              <w:right w:val="single" w:color="000000" w:sz="4" w:space="0"/>
            </w:tcBorders>
            <w:shd w:val="clear" w:color="auto" w:fill="DDDDDD"/>
          </w:tcPr>
          <w:p w14:paraId="4947E533">
            <w:pPr>
              <w:widowControl/>
              <w:jc w:val="left"/>
              <w:textAlignment w:val="top"/>
              <w:rPr>
                <w:rFonts w:ascii="Arial" w:hAnsi="Arial" w:cs="Arial"/>
                <w:b/>
                <w:bCs/>
                <w:sz w:val="16"/>
                <w:szCs w:val="16"/>
              </w:rPr>
            </w:pPr>
            <w:r>
              <w:rPr>
                <w:rFonts w:ascii="Arial" w:hAnsi="Arial" w:cs="Arial"/>
                <w:b/>
                <w:bCs/>
                <w:kern w:val="0"/>
                <w:sz w:val="16"/>
                <w:szCs w:val="16"/>
              </w:rPr>
              <w:t>Inconsistency</w:t>
            </w:r>
          </w:p>
        </w:tc>
        <w:tc>
          <w:tcPr>
            <w:tcW w:w="1086" w:type="dxa"/>
            <w:vMerge w:val="restart"/>
            <w:tcBorders>
              <w:top w:val="single" w:color="000000" w:sz="4" w:space="0"/>
              <w:left w:val="nil"/>
              <w:bottom w:val="single" w:color="000000" w:sz="4" w:space="0"/>
              <w:right w:val="single" w:color="000000" w:sz="4" w:space="0"/>
            </w:tcBorders>
            <w:shd w:val="clear" w:color="auto" w:fill="DDDDDD"/>
          </w:tcPr>
          <w:p w14:paraId="45FD9AF4">
            <w:pPr>
              <w:widowControl/>
              <w:jc w:val="left"/>
              <w:textAlignment w:val="top"/>
              <w:rPr>
                <w:rFonts w:ascii="Arial" w:hAnsi="Arial" w:cs="Arial"/>
                <w:b/>
                <w:bCs/>
                <w:sz w:val="16"/>
                <w:szCs w:val="16"/>
              </w:rPr>
            </w:pPr>
            <w:r>
              <w:rPr>
                <w:rFonts w:ascii="Arial" w:hAnsi="Arial" w:cs="Arial"/>
                <w:b/>
                <w:bCs/>
                <w:kern w:val="0"/>
                <w:sz w:val="16"/>
                <w:szCs w:val="16"/>
              </w:rPr>
              <w:t>Indirectness</w:t>
            </w:r>
          </w:p>
        </w:tc>
        <w:tc>
          <w:tcPr>
            <w:tcW w:w="1018" w:type="dxa"/>
            <w:vMerge w:val="restart"/>
            <w:tcBorders>
              <w:top w:val="single" w:color="000000" w:sz="4" w:space="0"/>
              <w:left w:val="nil"/>
              <w:bottom w:val="single" w:color="000000" w:sz="4" w:space="0"/>
              <w:right w:val="single" w:color="000000" w:sz="4" w:space="0"/>
            </w:tcBorders>
            <w:shd w:val="clear" w:color="auto" w:fill="DDDDDD"/>
          </w:tcPr>
          <w:p w14:paraId="7B8E724E">
            <w:pPr>
              <w:widowControl/>
              <w:jc w:val="left"/>
              <w:textAlignment w:val="top"/>
              <w:rPr>
                <w:rFonts w:ascii="Arial" w:hAnsi="Arial" w:cs="Arial"/>
                <w:b/>
                <w:bCs/>
                <w:sz w:val="16"/>
                <w:szCs w:val="16"/>
              </w:rPr>
            </w:pPr>
            <w:r>
              <w:rPr>
                <w:rFonts w:ascii="Arial" w:hAnsi="Arial" w:cs="Arial"/>
                <w:b/>
                <w:bCs/>
                <w:kern w:val="0"/>
                <w:sz w:val="16"/>
                <w:szCs w:val="16"/>
              </w:rPr>
              <w:t>Imprecision</w:t>
            </w:r>
          </w:p>
        </w:tc>
        <w:tc>
          <w:tcPr>
            <w:tcW w:w="1340" w:type="dxa"/>
            <w:vMerge w:val="restart"/>
            <w:tcBorders>
              <w:top w:val="single" w:color="000000" w:sz="4" w:space="0"/>
              <w:left w:val="nil"/>
              <w:bottom w:val="single" w:color="000000" w:sz="4" w:space="0"/>
              <w:right w:val="single" w:color="000000" w:sz="4" w:space="0"/>
            </w:tcBorders>
            <w:shd w:val="clear" w:color="auto" w:fill="DDDDDD"/>
          </w:tcPr>
          <w:p w14:paraId="37CC3BD2">
            <w:pPr>
              <w:widowControl/>
              <w:jc w:val="left"/>
              <w:textAlignment w:val="top"/>
              <w:rPr>
                <w:rFonts w:ascii="Arial" w:hAnsi="Arial" w:cs="Arial"/>
                <w:b/>
                <w:bCs/>
                <w:sz w:val="16"/>
                <w:szCs w:val="16"/>
              </w:rPr>
            </w:pPr>
            <w:r>
              <w:rPr>
                <w:rFonts w:ascii="Arial" w:hAnsi="Arial" w:cs="Arial"/>
                <w:b/>
                <w:bCs/>
                <w:kern w:val="0"/>
                <w:sz w:val="16"/>
                <w:szCs w:val="16"/>
              </w:rPr>
              <w:t>Publication bias</w:t>
            </w:r>
          </w:p>
        </w:tc>
        <w:tc>
          <w:tcPr>
            <w:tcW w:w="2298" w:type="dxa"/>
            <w:vMerge w:val="restart"/>
            <w:tcBorders>
              <w:top w:val="single" w:color="000000" w:sz="4" w:space="0"/>
              <w:left w:val="nil"/>
              <w:bottom w:val="single" w:color="000000" w:sz="4" w:space="0"/>
              <w:right w:val="single" w:color="000000" w:sz="4" w:space="0"/>
            </w:tcBorders>
            <w:shd w:val="clear" w:color="auto" w:fill="DDDDDD"/>
          </w:tcPr>
          <w:p w14:paraId="1F478A98">
            <w:pPr>
              <w:widowControl/>
              <w:jc w:val="left"/>
              <w:textAlignment w:val="top"/>
              <w:rPr>
                <w:rFonts w:ascii="Arial" w:hAnsi="Arial" w:cs="Arial"/>
                <w:b/>
                <w:bCs/>
                <w:sz w:val="16"/>
                <w:szCs w:val="16"/>
              </w:rPr>
            </w:pPr>
            <w:r>
              <w:rPr>
                <w:rFonts w:ascii="Arial" w:hAnsi="Arial" w:cs="Arial"/>
                <w:b/>
                <w:bCs/>
                <w:kern w:val="0"/>
                <w:sz w:val="16"/>
                <w:szCs w:val="16"/>
              </w:rPr>
              <w:t>Overall quality of evidence</w:t>
            </w:r>
          </w:p>
        </w:tc>
      </w:tr>
      <w:tr w14:paraId="1F67DC11">
        <w:trPr>
          <w:trHeight w:val="312" w:hRule="atLeast"/>
        </w:trPr>
        <w:tc>
          <w:tcPr>
            <w:tcW w:w="0" w:type="auto"/>
            <w:vMerge w:val="continue"/>
            <w:tcBorders>
              <w:top w:val="nil"/>
              <w:left w:val="single" w:color="000000" w:sz="4" w:space="0"/>
              <w:bottom w:val="single" w:color="000000" w:sz="4" w:space="0"/>
              <w:right w:val="single" w:color="000000" w:sz="4" w:space="0"/>
            </w:tcBorders>
            <w:vAlign w:val="center"/>
          </w:tcPr>
          <w:p w14:paraId="3BD51B81">
            <w:pPr>
              <w:widowControl/>
              <w:jc w:val="left"/>
              <w:rPr>
                <w:rFonts w:ascii="Arial" w:hAnsi="Arial" w:cs="Arial"/>
                <w:b/>
                <w:bCs/>
                <w:sz w:val="16"/>
                <w:szCs w:val="16"/>
              </w:rPr>
            </w:pPr>
          </w:p>
        </w:tc>
        <w:tc>
          <w:tcPr>
            <w:tcW w:w="0" w:type="auto"/>
            <w:vMerge w:val="continue"/>
            <w:tcBorders>
              <w:top w:val="single" w:color="000000" w:sz="4" w:space="0"/>
              <w:left w:val="nil"/>
              <w:bottom w:val="single" w:color="000000" w:sz="4" w:space="0"/>
              <w:right w:val="single" w:color="000000" w:sz="4" w:space="0"/>
            </w:tcBorders>
            <w:vAlign w:val="center"/>
          </w:tcPr>
          <w:p w14:paraId="6E79143C">
            <w:pPr>
              <w:widowControl/>
              <w:jc w:val="left"/>
              <w:rPr>
                <w:rFonts w:ascii="Arial" w:hAnsi="Arial" w:cs="Arial"/>
                <w:b/>
                <w:bCs/>
                <w:sz w:val="16"/>
                <w:szCs w:val="16"/>
              </w:rPr>
            </w:pPr>
          </w:p>
        </w:tc>
        <w:tc>
          <w:tcPr>
            <w:tcW w:w="0" w:type="auto"/>
            <w:vMerge w:val="continue"/>
            <w:tcBorders>
              <w:top w:val="single" w:color="000000" w:sz="4" w:space="0"/>
              <w:left w:val="nil"/>
              <w:bottom w:val="single" w:color="000000" w:sz="4" w:space="0"/>
              <w:right w:val="single" w:color="000000" w:sz="4" w:space="0"/>
            </w:tcBorders>
            <w:vAlign w:val="center"/>
          </w:tcPr>
          <w:p w14:paraId="4F3B5334">
            <w:pPr>
              <w:widowControl/>
              <w:jc w:val="left"/>
              <w:rPr>
                <w:rFonts w:ascii="Arial" w:hAnsi="Arial" w:cs="Arial"/>
                <w:b/>
                <w:bCs/>
                <w:sz w:val="16"/>
                <w:szCs w:val="16"/>
              </w:rPr>
            </w:pPr>
          </w:p>
        </w:tc>
        <w:tc>
          <w:tcPr>
            <w:tcW w:w="0" w:type="auto"/>
            <w:vMerge w:val="continue"/>
            <w:tcBorders>
              <w:top w:val="single" w:color="000000" w:sz="4" w:space="0"/>
              <w:left w:val="nil"/>
              <w:bottom w:val="single" w:color="000000" w:sz="4" w:space="0"/>
              <w:right w:val="single" w:color="000000" w:sz="4" w:space="0"/>
            </w:tcBorders>
            <w:vAlign w:val="center"/>
          </w:tcPr>
          <w:p w14:paraId="7F6E64C7">
            <w:pPr>
              <w:widowControl/>
              <w:jc w:val="left"/>
              <w:rPr>
                <w:rFonts w:ascii="Arial" w:hAnsi="Arial" w:cs="Arial"/>
                <w:b/>
                <w:bCs/>
                <w:sz w:val="16"/>
                <w:szCs w:val="16"/>
              </w:rPr>
            </w:pPr>
          </w:p>
        </w:tc>
        <w:tc>
          <w:tcPr>
            <w:tcW w:w="0" w:type="auto"/>
            <w:vMerge w:val="continue"/>
            <w:tcBorders>
              <w:top w:val="single" w:color="000000" w:sz="4" w:space="0"/>
              <w:left w:val="nil"/>
              <w:bottom w:val="single" w:color="000000" w:sz="4" w:space="0"/>
              <w:right w:val="single" w:color="000000" w:sz="4" w:space="0"/>
            </w:tcBorders>
            <w:vAlign w:val="center"/>
          </w:tcPr>
          <w:p w14:paraId="47B3D00D">
            <w:pPr>
              <w:widowControl/>
              <w:jc w:val="left"/>
              <w:rPr>
                <w:rFonts w:ascii="Arial" w:hAnsi="Arial" w:cs="Arial"/>
                <w:b/>
                <w:bCs/>
                <w:sz w:val="16"/>
                <w:szCs w:val="16"/>
              </w:rPr>
            </w:pPr>
          </w:p>
        </w:tc>
        <w:tc>
          <w:tcPr>
            <w:tcW w:w="0" w:type="auto"/>
            <w:vMerge w:val="continue"/>
            <w:tcBorders>
              <w:top w:val="single" w:color="000000" w:sz="4" w:space="0"/>
              <w:left w:val="nil"/>
              <w:bottom w:val="single" w:color="000000" w:sz="4" w:space="0"/>
              <w:right w:val="single" w:color="000000" w:sz="4" w:space="0"/>
            </w:tcBorders>
            <w:vAlign w:val="center"/>
          </w:tcPr>
          <w:p w14:paraId="23224CD0">
            <w:pPr>
              <w:widowControl/>
              <w:jc w:val="left"/>
              <w:rPr>
                <w:rFonts w:ascii="Arial" w:hAnsi="Arial" w:cs="Arial"/>
                <w:b/>
                <w:bCs/>
                <w:sz w:val="16"/>
                <w:szCs w:val="16"/>
              </w:rPr>
            </w:pPr>
          </w:p>
        </w:tc>
        <w:tc>
          <w:tcPr>
            <w:tcW w:w="0" w:type="auto"/>
            <w:vMerge w:val="continue"/>
            <w:tcBorders>
              <w:top w:val="single" w:color="000000" w:sz="4" w:space="0"/>
              <w:left w:val="nil"/>
              <w:bottom w:val="single" w:color="000000" w:sz="4" w:space="0"/>
              <w:right w:val="single" w:color="000000" w:sz="4" w:space="0"/>
            </w:tcBorders>
            <w:vAlign w:val="center"/>
          </w:tcPr>
          <w:p w14:paraId="1543683F">
            <w:pPr>
              <w:widowControl/>
              <w:jc w:val="left"/>
              <w:rPr>
                <w:rFonts w:ascii="Arial" w:hAnsi="Arial" w:cs="Arial"/>
                <w:b/>
                <w:bCs/>
                <w:sz w:val="16"/>
                <w:szCs w:val="16"/>
              </w:rPr>
            </w:pPr>
          </w:p>
        </w:tc>
        <w:tc>
          <w:tcPr>
            <w:tcW w:w="0" w:type="auto"/>
            <w:tcBorders>
              <w:top w:val="outset" w:color="auto" w:sz="6" w:space="0"/>
              <w:left w:val="outset" w:color="auto" w:sz="6" w:space="0"/>
              <w:bottom w:val="outset" w:color="auto" w:sz="6" w:space="0"/>
              <w:right w:val="outset" w:color="auto" w:sz="6" w:space="0"/>
            </w:tcBorders>
            <w:vAlign w:val="center"/>
          </w:tcPr>
          <w:p w14:paraId="4248A064">
            <w:pPr>
              <w:rPr>
                <w:rFonts w:ascii="Arial" w:hAnsi="Arial" w:cs="Arial"/>
                <w:b/>
                <w:bCs/>
                <w:sz w:val="16"/>
                <w:szCs w:val="16"/>
              </w:rPr>
            </w:pPr>
          </w:p>
        </w:tc>
      </w:tr>
      <w:tr w14:paraId="02A32C9E">
        <w:tc>
          <w:tcPr>
            <w:tcW w:w="8994" w:type="dxa"/>
            <w:gridSpan w:val="7"/>
            <w:tcBorders>
              <w:top w:val="single" w:color="000000" w:sz="4" w:space="0"/>
              <w:left w:val="single" w:color="000000" w:sz="4" w:space="0"/>
              <w:bottom w:val="single" w:color="000000" w:sz="4" w:space="0"/>
              <w:right w:val="single" w:color="000000" w:sz="4" w:space="0"/>
            </w:tcBorders>
            <w:shd w:val="clear" w:color="auto" w:fill="EDEDED"/>
            <w:vAlign w:val="center"/>
          </w:tcPr>
          <w:p w14:paraId="68BA533A">
            <w:pPr>
              <w:widowControl/>
              <w:jc w:val="left"/>
              <w:rPr>
                <w:rFonts w:ascii="Arial" w:hAnsi="Arial" w:cs="Arial"/>
                <w:sz w:val="16"/>
                <w:szCs w:val="16"/>
              </w:rPr>
            </w:pPr>
            <w:r>
              <w:rPr>
                <w:rFonts w:hint="eastAsia" w:ascii="Arial" w:hAnsi="Arial" w:cs="Arial"/>
                <w:b/>
                <w:bCs/>
                <w:kern w:val="0"/>
                <w:sz w:val="22"/>
                <w:szCs w:val="22"/>
              </w:rPr>
              <w:t>Quality of Life</w:t>
            </w:r>
            <w:r>
              <w:rPr>
                <w:rFonts w:ascii="Arial" w:hAnsi="Arial" w:cs="Arial"/>
                <w:kern w:val="0"/>
                <w:sz w:val="16"/>
                <w:szCs w:val="16"/>
              </w:rPr>
              <w:t xml:space="preserve"> (Better indicated by </w:t>
            </w:r>
            <w:r>
              <w:rPr>
                <w:rFonts w:hint="eastAsia" w:ascii="Arial" w:hAnsi="Arial" w:cs="Arial"/>
                <w:kern w:val="0"/>
                <w:sz w:val="16"/>
                <w:szCs w:val="16"/>
              </w:rPr>
              <w:t>high</w:t>
            </w:r>
            <w:r>
              <w:rPr>
                <w:rFonts w:ascii="Arial" w:hAnsi="Arial" w:cs="Arial"/>
                <w:kern w:val="0"/>
                <w:sz w:val="16"/>
                <w:szCs w:val="16"/>
              </w:rPr>
              <w:t xml:space="preserve"> values)</w:t>
            </w:r>
          </w:p>
        </w:tc>
        <w:tc>
          <w:tcPr>
            <w:tcW w:w="0" w:type="auto"/>
            <w:vAlign w:val="center"/>
          </w:tcPr>
          <w:p w14:paraId="5DF835D4">
            <w:pPr>
              <w:widowControl/>
              <w:jc w:val="left"/>
              <w:rPr>
                <w:rFonts w:ascii="Times New Roman" w:hAnsi="Times New Roman" w:eastAsia="Times New Roman"/>
                <w:kern w:val="0"/>
                <w:sz w:val="20"/>
                <w:szCs w:val="20"/>
              </w:rPr>
            </w:pPr>
          </w:p>
        </w:tc>
      </w:tr>
      <w:tr w14:paraId="68D53B31">
        <w:trPr>
          <w:trHeight w:val="896" w:hRule="atLeast"/>
        </w:trPr>
        <w:tc>
          <w:tcPr>
            <w:tcW w:w="1066" w:type="dxa"/>
            <w:tcBorders>
              <w:top w:val="single" w:color="000000" w:sz="4" w:space="0"/>
              <w:left w:val="single" w:color="000000" w:sz="4" w:space="0"/>
              <w:bottom w:val="single" w:color="000000" w:sz="4" w:space="0"/>
              <w:right w:val="single" w:color="000000" w:sz="4" w:space="0"/>
            </w:tcBorders>
          </w:tcPr>
          <w:p w14:paraId="00A3370C">
            <w:pPr>
              <w:widowControl/>
              <w:jc w:val="left"/>
              <w:textAlignment w:val="top"/>
              <w:rPr>
                <w:rFonts w:ascii="Arial" w:hAnsi="Arial" w:cs="Arial"/>
                <w:kern w:val="0"/>
                <w:sz w:val="16"/>
                <w:szCs w:val="16"/>
              </w:rPr>
            </w:pPr>
            <w:r>
              <w:rPr>
                <w:rFonts w:hint="eastAsia" w:ascii="Arial" w:hAnsi="Arial" w:cs="Arial"/>
                <w:kern w:val="0"/>
                <w:sz w:val="16"/>
                <w:szCs w:val="16"/>
              </w:rPr>
              <w:t>1635</w:t>
            </w:r>
          </w:p>
          <w:p w14:paraId="7AD42E71">
            <w:pPr>
              <w:widowControl/>
              <w:jc w:val="left"/>
              <w:textAlignment w:val="top"/>
              <w:rPr>
                <w:rFonts w:ascii="Arial" w:hAnsi="Arial" w:cs="Arial"/>
                <w:kern w:val="0"/>
                <w:sz w:val="16"/>
                <w:szCs w:val="16"/>
              </w:rPr>
            </w:pPr>
            <w:r>
              <w:rPr>
                <w:rFonts w:hint="eastAsia" w:ascii="Arial" w:hAnsi="Arial" w:cs="Arial"/>
                <w:kern w:val="0"/>
                <w:sz w:val="16"/>
                <w:szCs w:val="16"/>
              </w:rPr>
              <w:t>(20</w:t>
            </w:r>
            <w:r>
              <w:rPr>
                <w:rFonts w:ascii="Arial" w:hAnsi="Arial" w:cs="Arial"/>
                <w:kern w:val="0"/>
                <w:sz w:val="16"/>
                <w:szCs w:val="16"/>
              </w:rPr>
              <w:t xml:space="preserve"> studies</w:t>
            </w:r>
            <w:r>
              <w:rPr>
                <w:rFonts w:hint="eastAsia" w:ascii="Arial" w:hAnsi="Arial" w:cs="Arial"/>
                <w:kern w:val="0"/>
                <w:sz w:val="16"/>
                <w:szCs w:val="16"/>
              </w:rPr>
              <w:t>)</w:t>
            </w:r>
          </w:p>
          <w:p w14:paraId="3035D5AB">
            <w:pPr>
              <w:widowControl/>
              <w:jc w:val="left"/>
              <w:textAlignment w:val="top"/>
              <w:rPr>
                <w:rFonts w:ascii="Arial" w:hAnsi="Arial" w:cs="Arial"/>
                <w:kern w:val="0"/>
                <w:sz w:val="16"/>
                <w:szCs w:val="16"/>
              </w:rPr>
            </w:pPr>
          </w:p>
        </w:tc>
        <w:tc>
          <w:tcPr>
            <w:tcW w:w="997" w:type="dxa"/>
            <w:tcBorders>
              <w:top w:val="single" w:color="000000" w:sz="4" w:space="0"/>
              <w:left w:val="nil"/>
              <w:bottom w:val="single" w:color="000000" w:sz="4" w:space="0"/>
              <w:right w:val="single" w:color="000000" w:sz="4" w:space="0"/>
            </w:tcBorders>
          </w:tcPr>
          <w:p w14:paraId="1DCB3D70">
            <w:pPr>
              <w:widowControl/>
              <w:jc w:val="left"/>
              <w:textAlignment w:val="top"/>
              <w:rPr>
                <w:rFonts w:ascii="Arial" w:hAnsi="Arial" w:cs="Arial"/>
                <w:sz w:val="16"/>
                <w:szCs w:val="16"/>
              </w:rPr>
            </w:pPr>
            <w:r>
              <w:rPr>
                <w:rFonts w:ascii="Arial" w:hAnsi="Arial" w:cs="Arial"/>
                <w:kern w:val="0"/>
                <w:sz w:val="16"/>
                <w:szCs w:val="16"/>
              </w:rPr>
              <w:t>very serious</w:t>
            </w:r>
            <w:r>
              <w:rPr>
                <w:rFonts w:ascii="Arial" w:hAnsi="Arial" w:cs="Arial"/>
                <w:kern w:val="0"/>
                <w:sz w:val="16"/>
                <w:szCs w:val="16"/>
                <w:vertAlign w:val="superscript"/>
              </w:rPr>
              <w:t>1,2,3</w:t>
            </w:r>
          </w:p>
        </w:tc>
        <w:tc>
          <w:tcPr>
            <w:tcW w:w="1189" w:type="dxa"/>
            <w:tcBorders>
              <w:top w:val="single" w:color="000000" w:sz="4" w:space="0"/>
              <w:left w:val="nil"/>
              <w:bottom w:val="single" w:color="000000" w:sz="4" w:space="0"/>
              <w:right w:val="single" w:color="000000" w:sz="4" w:space="0"/>
            </w:tcBorders>
          </w:tcPr>
          <w:p w14:paraId="619F2483">
            <w:pPr>
              <w:widowControl/>
              <w:jc w:val="left"/>
              <w:textAlignment w:val="top"/>
              <w:rPr>
                <w:rFonts w:ascii="Arial" w:hAnsi="Arial" w:cs="Arial"/>
                <w:sz w:val="16"/>
                <w:szCs w:val="16"/>
              </w:rPr>
            </w:pPr>
            <w:r>
              <w:rPr>
                <w:rFonts w:ascii="Arial" w:hAnsi="Arial" w:cs="Arial"/>
                <w:kern w:val="0"/>
                <w:sz w:val="16"/>
                <w:szCs w:val="16"/>
              </w:rPr>
              <w:t>no serious inconsistency</w:t>
            </w:r>
          </w:p>
        </w:tc>
        <w:tc>
          <w:tcPr>
            <w:tcW w:w="1086" w:type="dxa"/>
            <w:tcBorders>
              <w:top w:val="single" w:color="000000" w:sz="4" w:space="0"/>
              <w:left w:val="nil"/>
              <w:bottom w:val="single" w:color="000000" w:sz="4" w:space="0"/>
              <w:right w:val="single" w:color="000000" w:sz="4" w:space="0"/>
            </w:tcBorders>
          </w:tcPr>
          <w:p w14:paraId="2B04CCC9">
            <w:pPr>
              <w:widowControl/>
              <w:jc w:val="left"/>
              <w:textAlignment w:val="top"/>
              <w:rPr>
                <w:rFonts w:ascii="Arial" w:hAnsi="Arial" w:cs="Arial"/>
                <w:kern w:val="0"/>
                <w:sz w:val="16"/>
                <w:szCs w:val="16"/>
              </w:rPr>
            </w:pPr>
            <w:r>
              <w:rPr>
                <w:rFonts w:hint="eastAsia" w:ascii="Arial" w:hAnsi="Arial" w:cs="Arial"/>
                <w:kern w:val="0"/>
                <w:sz w:val="16"/>
                <w:szCs w:val="16"/>
              </w:rPr>
              <w:t xml:space="preserve">no </w:t>
            </w:r>
            <w:r>
              <w:rPr>
                <w:rFonts w:ascii="Arial" w:hAnsi="Arial" w:cs="Arial"/>
                <w:kern w:val="0"/>
                <w:sz w:val="16"/>
                <w:szCs w:val="16"/>
              </w:rPr>
              <w:t>serious</w:t>
            </w:r>
          </w:p>
          <w:p w14:paraId="73CA8709">
            <w:pPr>
              <w:widowControl/>
              <w:jc w:val="left"/>
              <w:textAlignment w:val="top"/>
              <w:rPr>
                <w:rFonts w:ascii="Arial" w:hAnsi="Arial" w:cs="Arial"/>
                <w:kern w:val="0"/>
                <w:sz w:val="16"/>
                <w:szCs w:val="16"/>
              </w:rPr>
            </w:pPr>
            <w:r>
              <w:rPr>
                <w:rFonts w:ascii="Arial" w:hAnsi="Arial" w:cs="Arial"/>
                <w:kern w:val="0"/>
                <w:sz w:val="16"/>
                <w:szCs w:val="16"/>
              </w:rPr>
              <w:t>indirectness</w:t>
            </w:r>
          </w:p>
        </w:tc>
        <w:tc>
          <w:tcPr>
            <w:tcW w:w="1018" w:type="dxa"/>
            <w:tcBorders>
              <w:top w:val="single" w:color="000000" w:sz="4" w:space="0"/>
              <w:left w:val="nil"/>
              <w:bottom w:val="single" w:color="000000" w:sz="4" w:space="0"/>
              <w:right w:val="single" w:color="000000" w:sz="4" w:space="0"/>
            </w:tcBorders>
          </w:tcPr>
          <w:p w14:paraId="4226DCA4">
            <w:pPr>
              <w:widowControl/>
              <w:jc w:val="left"/>
              <w:textAlignment w:val="top"/>
              <w:rPr>
                <w:rFonts w:ascii="Arial" w:hAnsi="Arial" w:cs="Arial"/>
                <w:sz w:val="16"/>
                <w:szCs w:val="16"/>
              </w:rPr>
            </w:pPr>
            <w:r>
              <w:rPr>
                <w:rFonts w:hint="eastAsia" w:ascii="Arial" w:hAnsi="Arial" w:cs="Arial"/>
                <w:kern w:val="0"/>
                <w:sz w:val="16"/>
                <w:szCs w:val="16"/>
              </w:rPr>
              <w:t xml:space="preserve">no </w:t>
            </w:r>
            <w:r>
              <w:rPr>
                <w:rFonts w:ascii="Arial" w:hAnsi="Arial" w:cs="Arial"/>
                <w:kern w:val="0"/>
                <w:sz w:val="16"/>
                <w:szCs w:val="16"/>
              </w:rPr>
              <w:t>serious</w:t>
            </w:r>
          </w:p>
        </w:tc>
        <w:tc>
          <w:tcPr>
            <w:tcW w:w="1340" w:type="dxa"/>
            <w:tcBorders>
              <w:top w:val="single" w:color="000000" w:sz="4" w:space="0"/>
              <w:left w:val="nil"/>
              <w:bottom w:val="single" w:color="000000" w:sz="4" w:space="0"/>
              <w:right w:val="single" w:color="000000" w:sz="4" w:space="0"/>
            </w:tcBorders>
          </w:tcPr>
          <w:p w14:paraId="6447DD93">
            <w:pPr>
              <w:widowControl/>
              <w:jc w:val="left"/>
              <w:textAlignment w:val="top"/>
              <w:rPr>
                <w:rFonts w:ascii="Arial" w:hAnsi="Arial" w:cs="Arial"/>
                <w:sz w:val="16"/>
                <w:szCs w:val="16"/>
              </w:rPr>
            </w:pPr>
            <w:r>
              <w:rPr>
                <w:rFonts w:ascii="Arial" w:hAnsi="Arial" w:cs="Arial"/>
                <w:kern w:val="0"/>
                <w:sz w:val="16"/>
                <w:szCs w:val="16"/>
              </w:rPr>
              <w:t>undetected</w:t>
            </w:r>
          </w:p>
        </w:tc>
        <w:tc>
          <w:tcPr>
            <w:tcW w:w="2298" w:type="dxa"/>
            <w:tcBorders>
              <w:top w:val="single" w:color="000000" w:sz="4" w:space="0"/>
              <w:left w:val="nil"/>
              <w:bottom w:val="single" w:color="000000" w:sz="4" w:space="0"/>
              <w:right w:val="single" w:color="000000" w:sz="4" w:space="0"/>
            </w:tcBorders>
          </w:tcPr>
          <w:p w14:paraId="3B63BC80">
            <w:pPr>
              <w:widowControl/>
              <w:jc w:val="left"/>
              <w:textAlignment w:val="top"/>
              <w:rPr>
                <w:rFonts w:ascii="Arial" w:hAnsi="Arial" w:cs="Arial"/>
                <w:kern w:val="0"/>
                <w:sz w:val="16"/>
                <w:szCs w:val="16"/>
              </w:rPr>
            </w:pPr>
            <w:r>
              <w:rPr>
                <w:rFonts w:ascii="Cambria Math" w:hAnsi="Cambria Math" w:cs="Cambria Math"/>
                <w:kern w:val="0"/>
                <w:sz w:val="16"/>
                <w:szCs w:val="16"/>
              </w:rPr>
              <w:t>⊕⊕⊝⊝</w:t>
            </w:r>
          </w:p>
          <w:p w14:paraId="5134CC75">
            <w:pPr>
              <w:widowControl/>
              <w:jc w:val="left"/>
              <w:textAlignment w:val="top"/>
              <w:rPr>
                <w:rFonts w:ascii="Arial" w:hAnsi="Arial" w:cs="Arial"/>
                <w:kern w:val="0"/>
                <w:sz w:val="16"/>
                <w:szCs w:val="16"/>
                <w:vertAlign w:val="superscript"/>
              </w:rPr>
            </w:pPr>
            <w:r>
              <w:rPr>
                <w:rFonts w:ascii="Arial" w:hAnsi="Arial" w:cs="Arial"/>
                <w:b/>
                <w:bCs/>
                <w:kern w:val="0"/>
                <w:sz w:val="16"/>
                <w:szCs w:val="16"/>
              </w:rPr>
              <w:t>LOW</w:t>
            </w:r>
            <w:r>
              <w:rPr>
                <w:rFonts w:ascii="Arial" w:hAnsi="Arial" w:cs="Arial"/>
                <w:kern w:val="0"/>
                <w:sz w:val="16"/>
                <w:szCs w:val="16"/>
                <w:vertAlign w:val="superscript"/>
              </w:rPr>
              <w:t>1,2,3</w:t>
            </w:r>
          </w:p>
          <w:p w14:paraId="2351A55C">
            <w:pPr>
              <w:widowControl/>
              <w:jc w:val="left"/>
              <w:textAlignment w:val="top"/>
              <w:rPr>
                <w:rFonts w:ascii="Arial" w:hAnsi="Arial" w:cs="Arial"/>
                <w:sz w:val="16"/>
                <w:szCs w:val="16"/>
              </w:rPr>
            </w:pPr>
            <w:r>
              <w:rPr>
                <w:rFonts w:hint="eastAsia" w:ascii="Arial" w:hAnsi="Arial" w:cs="Arial"/>
                <w:kern w:val="0"/>
                <w:sz w:val="16"/>
                <w:szCs w:val="16"/>
              </w:rPr>
              <w:t>D</w:t>
            </w:r>
            <w:r>
              <w:rPr>
                <w:rFonts w:ascii="Arial" w:hAnsi="Arial" w:cs="Arial"/>
                <w:kern w:val="0"/>
                <w:sz w:val="16"/>
                <w:szCs w:val="16"/>
              </w:rPr>
              <w:t xml:space="preserve">ue to risk of bias, </w:t>
            </w:r>
          </w:p>
        </w:tc>
        <w:tc>
          <w:tcPr>
            <w:tcW w:w="0" w:type="auto"/>
            <w:vAlign w:val="center"/>
          </w:tcPr>
          <w:p w14:paraId="03327CBC">
            <w:pPr>
              <w:widowControl/>
              <w:jc w:val="left"/>
              <w:rPr>
                <w:rFonts w:ascii="Times New Roman" w:hAnsi="Times New Roman" w:eastAsia="Times New Roman"/>
                <w:kern w:val="0"/>
                <w:sz w:val="20"/>
                <w:szCs w:val="20"/>
              </w:rPr>
            </w:pPr>
          </w:p>
        </w:tc>
      </w:tr>
      <w:tr w14:paraId="6ACB1946">
        <w:tc>
          <w:tcPr>
            <w:tcW w:w="8994" w:type="dxa"/>
            <w:gridSpan w:val="7"/>
            <w:tcBorders>
              <w:top w:val="single" w:color="000000" w:sz="4" w:space="0"/>
              <w:left w:val="single" w:color="000000" w:sz="4" w:space="0"/>
              <w:bottom w:val="single" w:color="000000" w:sz="4" w:space="0"/>
              <w:right w:val="single" w:color="000000" w:sz="4" w:space="0"/>
            </w:tcBorders>
            <w:shd w:val="clear" w:color="auto" w:fill="EDEDED"/>
            <w:vAlign w:val="center"/>
          </w:tcPr>
          <w:p w14:paraId="709C42B7">
            <w:pPr>
              <w:widowControl/>
              <w:jc w:val="left"/>
              <w:rPr>
                <w:rFonts w:ascii="Arial" w:hAnsi="Arial" w:cs="Arial"/>
                <w:sz w:val="16"/>
                <w:szCs w:val="16"/>
              </w:rPr>
            </w:pPr>
            <w:r>
              <w:rPr>
                <w:rFonts w:hint="eastAsia" w:ascii="Arial" w:hAnsi="Arial" w:cs="Arial"/>
                <w:b/>
                <w:bCs/>
                <w:kern w:val="0"/>
                <w:sz w:val="22"/>
                <w:szCs w:val="22"/>
              </w:rPr>
              <w:t>Fatigue</w:t>
            </w:r>
            <w:r>
              <w:rPr>
                <w:rFonts w:ascii="Arial" w:hAnsi="Arial" w:cs="Arial"/>
                <w:kern w:val="0"/>
                <w:sz w:val="16"/>
                <w:szCs w:val="16"/>
              </w:rPr>
              <w:t xml:space="preserve"> (Better indicated by lower values)</w:t>
            </w:r>
          </w:p>
        </w:tc>
        <w:tc>
          <w:tcPr>
            <w:tcW w:w="0" w:type="auto"/>
            <w:vAlign w:val="center"/>
          </w:tcPr>
          <w:p w14:paraId="44CDEE4A">
            <w:pPr>
              <w:widowControl/>
              <w:jc w:val="left"/>
              <w:rPr>
                <w:rFonts w:ascii="Times New Roman" w:hAnsi="Times New Roman" w:eastAsia="Times New Roman"/>
                <w:kern w:val="0"/>
                <w:sz w:val="20"/>
                <w:szCs w:val="20"/>
              </w:rPr>
            </w:pPr>
          </w:p>
        </w:tc>
      </w:tr>
      <w:tr w14:paraId="6C015C70">
        <w:tc>
          <w:tcPr>
            <w:tcW w:w="1066" w:type="dxa"/>
            <w:tcBorders>
              <w:top w:val="single" w:color="000000" w:sz="4" w:space="0"/>
              <w:left w:val="single" w:color="000000" w:sz="4" w:space="0"/>
              <w:bottom w:val="single" w:color="000000" w:sz="4" w:space="0"/>
              <w:right w:val="single" w:color="000000" w:sz="4" w:space="0"/>
            </w:tcBorders>
          </w:tcPr>
          <w:p w14:paraId="70DA03FA">
            <w:pPr>
              <w:widowControl/>
              <w:jc w:val="left"/>
              <w:textAlignment w:val="top"/>
              <w:rPr>
                <w:rFonts w:ascii="Arial" w:hAnsi="Arial" w:cs="Arial"/>
                <w:kern w:val="0"/>
                <w:sz w:val="16"/>
                <w:szCs w:val="16"/>
              </w:rPr>
            </w:pPr>
            <w:r>
              <w:rPr>
                <w:rFonts w:hint="eastAsia" w:ascii="Arial" w:hAnsi="Arial" w:cs="Arial"/>
                <w:kern w:val="0"/>
                <w:sz w:val="16"/>
                <w:szCs w:val="16"/>
              </w:rPr>
              <w:t>1511</w:t>
            </w:r>
          </w:p>
          <w:p w14:paraId="36523127">
            <w:pPr>
              <w:widowControl/>
              <w:jc w:val="left"/>
              <w:textAlignment w:val="top"/>
              <w:rPr>
                <w:rFonts w:ascii="Arial" w:hAnsi="Arial" w:cs="Arial"/>
                <w:kern w:val="0"/>
                <w:sz w:val="16"/>
                <w:szCs w:val="16"/>
              </w:rPr>
            </w:pPr>
            <w:r>
              <w:rPr>
                <w:rFonts w:hint="eastAsia" w:ascii="Arial" w:hAnsi="Arial" w:cs="Arial"/>
                <w:kern w:val="0"/>
                <w:sz w:val="16"/>
                <w:szCs w:val="16"/>
              </w:rPr>
              <w:t>(17</w:t>
            </w:r>
            <w:r>
              <w:rPr>
                <w:rFonts w:ascii="Arial" w:hAnsi="Arial" w:cs="Arial"/>
                <w:kern w:val="0"/>
                <w:sz w:val="16"/>
                <w:szCs w:val="16"/>
              </w:rPr>
              <w:t xml:space="preserve"> </w:t>
            </w:r>
            <w:r>
              <w:rPr>
                <w:rFonts w:hint="eastAsia" w:ascii="Arial" w:hAnsi="Arial" w:cs="Arial"/>
                <w:kern w:val="0"/>
                <w:sz w:val="16"/>
                <w:szCs w:val="16"/>
              </w:rPr>
              <w:t>studies)</w:t>
            </w:r>
          </w:p>
          <w:p w14:paraId="7E647B1C">
            <w:pPr>
              <w:widowControl/>
              <w:jc w:val="left"/>
              <w:textAlignment w:val="top"/>
              <w:rPr>
                <w:rFonts w:ascii="Arial" w:hAnsi="Arial" w:cs="Arial"/>
                <w:kern w:val="0"/>
                <w:sz w:val="16"/>
                <w:szCs w:val="16"/>
              </w:rPr>
            </w:pPr>
          </w:p>
        </w:tc>
        <w:tc>
          <w:tcPr>
            <w:tcW w:w="997" w:type="dxa"/>
            <w:tcBorders>
              <w:top w:val="single" w:color="000000" w:sz="4" w:space="0"/>
              <w:left w:val="nil"/>
              <w:bottom w:val="single" w:color="000000" w:sz="4" w:space="0"/>
              <w:right w:val="single" w:color="000000" w:sz="4" w:space="0"/>
            </w:tcBorders>
          </w:tcPr>
          <w:p w14:paraId="19591656">
            <w:pPr>
              <w:widowControl/>
              <w:jc w:val="left"/>
              <w:textAlignment w:val="top"/>
              <w:rPr>
                <w:rFonts w:ascii="Arial" w:hAnsi="Arial" w:cs="Arial"/>
                <w:sz w:val="16"/>
                <w:szCs w:val="16"/>
              </w:rPr>
            </w:pPr>
            <w:r>
              <w:rPr>
                <w:rFonts w:ascii="Arial" w:hAnsi="Arial" w:cs="Arial"/>
                <w:kern w:val="0"/>
                <w:sz w:val="16"/>
                <w:szCs w:val="16"/>
              </w:rPr>
              <w:t>very serious</w:t>
            </w:r>
            <w:r>
              <w:rPr>
                <w:rFonts w:ascii="Arial" w:hAnsi="Arial" w:cs="Arial"/>
                <w:kern w:val="0"/>
                <w:sz w:val="16"/>
                <w:szCs w:val="16"/>
                <w:vertAlign w:val="superscript"/>
              </w:rPr>
              <w:t>1,2,3</w:t>
            </w:r>
          </w:p>
        </w:tc>
        <w:tc>
          <w:tcPr>
            <w:tcW w:w="1189" w:type="dxa"/>
            <w:tcBorders>
              <w:top w:val="single" w:color="000000" w:sz="4" w:space="0"/>
              <w:left w:val="nil"/>
              <w:bottom w:val="single" w:color="000000" w:sz="4" w:space="0"/>
              <w:right w:val="single" w:color="000000" w:sz="4" w:space="0"/>
            </w:tcBorders>
          </w:tcPr>
          <w:p w14:paraId="2FEE7463">
            <w:pPr>
              <w:widowControl/>
              <w:jc w:val="left"/>
              <w:textAlignment w:val="top"/>
              <w:rPr>
                <w:rFonts w:ascii="Arial" w:hAnsi="Arial" w:cs="Arial"/>
                <w:sz w:val="16"/>
                <w:szCs w:val="16"/>
              </w:rPr>
            </w:pPr>
            <w:r>
              <w:rPr>
                <w:rFonts w:ascii="Arial" w:hAnsi="Arial" w:cs="Arial"/>
                <w:kern w:val="0"/>
                <w:sz w:val="16"/>
                <w:szCs w:val="16"/>
              </w:rPr>
              <w:t>serious</w:t>
            </w:r>
            <w:r>
              <w:rPr>
                <w:rFonts w:ascii="Arial" w:hAnsi="Arial" w:cs="Arial"/>
                <w:kern w:val="0"/>
                <w:sz w:val="16"/>
                <w:szCs w:val="16"/>
                <w:vertAlign w:val="superscript"/>
                <w:lang w:bidi="ar"/>
              </w:rPr>
              <w:t>4</w:t>
            </w:r>
            <w:r>
              <w:rPr>
                <w:rFonts w:ascii="Arial" w:hAnsi="Arial" w:cs="Arial"/>
                <w:kern w:val="0"/>
                <w:sz w:val="16"/>
                <w:szCs w:val="16"/>
              </w:rPr>
              <w:t xml:space="preserve"> </w:t>
            </w:r>
          </w:p>
        </w:tc>
        <w:tc>
          <w:tcPr>
            <w:tcW w:w="1086" w:type="dxa"/>
            <w:tcBorders>
              <w:top w:val="single" w:color="000000" w:sz="4" w:space="0"/>
              <w:left w:val="nil"/>
              <w:bottom w:val="single" w:color="000000" w:sz="4" w:space="0"/>
              <w:right w:val="single" w:color="000000" w:sz="4" w:space="0"/>
            </w:tcBorders>
          </w:tcPr>
          <w:p w14:paraId="497ACF47">
            <w:pPr>
              <w:widowControl/>
              <w:jc w:val="left"/>
              <w:textAlignment w:val="top"/>
              <w:rPr>
                <w:rFonts w:ascii="Arial" w:hAnsi="Arial" w:cs="Arial"/>
                <w:sz w:val="16"/>
                <w:szCs w:val="16"/>
              </w:rPr>
            </w:pPr>
            <w:r>
              <w:rPr>
                <w:rFonts w:ascii="Arial" w:hAnsi="Arial" w:cs="Arial"/>
                <w:kern w:val="0"/>
                <w:sz w:val="16"/>
                <w:szCs w:val="16"/>
              </w:rPr>
              <w:t>no serious indirectness</w:t>
            </w:r>
          </w:p>
        </w:tc>
        <w:tc>
          <w:tcPr>
            <w:tcW w:w="1018" w:type="dxa"/>
            <w:tcBorders>
              <w:top w:val="single" w:color="000000" w:sz="4" w:space="0"/>
              <w:left w:val="nil"/>
              <w:bottom w:val="single" w:color="000000" w:sz="4" w:space="0"/>
              <w:right w:val="single" w:color="000000" w:sz="4" w:space="0"/>
            </w:tcBorders>
          </w:tcPr>
          <w:p w14:paraId="010A4D5A">
            <w:pPr>
              <w:widowControl/>
              <w:jc w:val="left"/>
              <w:textAlignment w:val="top"/>
              <w:rPr>
                <w:rFonts w:ascii="Arial" w:hAnsi="Arial" w:cs="Arial"/>
                <w:sz w:val="16"/>
                <w:szCs w:val="16"/>
              </w:rPr>
            </w:pPr>
            <w:r>
              <w:rPr>
                <w:rFonts w:hint="eastAsia" w:ascii="Arial" w:hAnsi="Arial" w:cs="Arial"/>
                <w:kern w:val="0"/>
                <w:sz w:val="16"/>
                <w:szCs w:val="16"/>
              </w:rPr>
              <w:t xml:space="preserve">no </w:t>
            </w:r>
            <w:r>
              <w:rPr>
                <w:rFonts w:ascii="Arial" w:hAnsi="Arial" w:cs="Arial"/>
                <w:kern w:val="0"/>
                <w:sz w:val="16"/>
                <w:szCs w:val="16"/>
              </w:rPr>
              <w:t>serious</w:t>
            </w:r>
          </w:p>
        </w:tc>
        <w:tc>
          <w:tcPr>
            <w:tcW w:w="1340" w:type="dxa"/>
            <w:tcBorders>
              <w:top w:val="single" w:color="000000" w:sz="4" w:space="0"/>
              <w:left w:val="nil"/>
              <w:bottom w:val="single" w:color="000000" w:sz="4" w:space="0"/>
              <w:right w:val="single" w:color="000000" w:sz="4" w:space="0"/>
            </w:tcBorders>
          </w:tcPr>
          <w:p w14:paraId="751200D8">
            <w:pPr>
              <w:widowControl/>
              <w:jc w:val="left"/>
              <w:textAlignment w:val="top"/>
              <w:rPr>
                <w:rFonts w:ascii="Arial" w:hAnsi="Arial" w:cs="Arial"/>
                <w:sz w:val="16"/>
                <w:szCs w:val="16"/>
              </w:rPr>
            </w:pPr>
            <w:r>
              <w:rPr>
                <w:rFonts w:ascii="Arial" w:hAnsi="Arial" w:cs="Arial"/>
                <w:kern w:val="0"/>
                <w:sz w:val="16"/>
                <w:szCs w:val="16"/>
              </w:rPr>
              <w:t>undetected</w:t>
            </w:r>
          </w:p>
        </w:tc>
        <w:tc>
          <w:tcPr>
            <w:tcW w:w="2298" w:type="dxa"/>
            <w:tcBorders>
              <w:top w:val="single" w:color="000000" w:sz="4" w:space="0"/>
              <w:left w:val="nil"/>
              <w:bottom w:val="single" w:color="000000" w:sz="4" w:space="0"/>
              <w:right w:val="single" w:color="000000" w:sz="4" w:space="0"/>
            </w:tcBorders>
          </w:tcPr>
          <w:p w14:paraId="24FC99EF">
            <w:pPr>
              <w:widowControl/>
              <w:jc w:val="left"/>
              <w:textAlignment w:val="top"/>
              <w:rPr>
                <w:rFonts w:ascii="Arial" w:hAnsi="Arial" w:cs="Arial"/>
                <w:kern w:val="0"/>
                <w:sz w:val="16"/>
                <w:szCs w:val="16"/>
              </w:rPr>
            </w:pPr>
            <w:r>
              <w:rPr>
                <w:rFonts w:ascii="Cambria Math" w:hAnsi="Cambria Math" w:cs="Cambria Math"/>
                <w:kern w:val="0"/>
                <w:sz w:val="16"/>
                <w:szCs w:val="16"/>
              </w:rPr>
              <w:t>⊕⊝⊝⊝</w:t>
            </w:r>
          </w:p>
          <w:p w14:paraId="1E47611F">
            <w:pPr>
              <w:widowControl/>
              <w:jc w:val="left"/>
              <w:textAlignment w:val="top"/>
              <w:rPr>
                <w:rFonts w:ascii="Arial" w:hAnsi="Arial" w:cs="Arial"/>
                <w:kern w:val="0"/>
                <w:sz w:val="16"/>
                <w:szCs w:val="16"/>
                <w:vertAlign w:val="superscript"/>
              </w:rPr>
            </w:pPr>
            <w:r>
              <w:rPr>
                <w:rFonts w:hint="eastAsia" w:ascii="Arial" w:hAnsi="Arial" w:cs="Arial"/>
                <w:b/>
                <w:bCs/>
                <w:kern w:val="0"/>
                <w:sz w:val="16"/>
                <w:szCs w:val="16"/>
              </w:rPr>
              <w:t xml:space="preserve">VERY </w:t>
            </w:r>
            <w:r>
              <w:rPr>
                <w:rFonts w:ascii="Arial" w:hAnsi="Arial" w:cs="Arial"/>
                <w:b/>
                <w:bCs/>
                <w:kern w:val="0"/>
                <w:sz w:val="16"/>
                <w:szCs w:val="16"/>
              </w:rPr>
              <w:t>LOW</w:t>
            </w:r>
            <w:r>
              <w:rPr>
                <w:rFonts w:ascii="Arial" w:hAnsi="Arial" w:cs="Arial"/>
                <w:kern w:val="0"/>
                <w:sz w:val="16"/>
                <w:szCs w:val="16"/>
                <w:vertAlign w:val="superscript"/>
              </w:rPr>
              <w:t>1,2,3,4</w:t>
            </w:r>
          </w:p>
          <w:p w14:paraId="3B2CD1B2">
            <w:pPr>
              <w:widowControl/>
              <w:jc w:val="left"/>
              <w:textAlignment w:val="top"/>
              <w:rPr>
                <w:rFonts w:ascii="Arial" w:hAnsi="Arial" w:cs="Arial"/>
                <w:sz w:val="16"/>
                <w:szCs w:val="16"/>
              </w:rPr>
            </w:pPr>
            <w:r>
              <w:rPr>
                <w:rFonts w:hint="eastAsia" w:ascii="Arial" w:hAnsi="Arial" w:cs="Arial"/>
                <w:kern w:val="0"/>
                <w:sz w:val="16"/>
                <w:szCs w:val="16"/>
              </w:rPr>
              <w:t>D</w:t>
            </w:r>
            <w:r>
              <w:rPr>
                <w:rFonts w:ascii="Arial" w:hAnsi="Arial" w:cs="Arial"/>
                <w:kern w:val="0"/>
                <w:sz w:val="16"/>
                <w:szCs w:val="16"/>
              </w:rPr>
              <w:t xml:space="preserve">ue to risk of bias, </w:t>
            </w:r>
            <w:r>
              <w:rPr>
                <w:rFonts w:hint="eastAsia" w:ascii="Arial" w:hAnsi="Arial" w:cs="Arial"/>
                <w:kern w:val="0"/>
                <w:sz w:val="16"/>
                <w:szCs w:val="16"/>
              </w:rPr>
              <w:t>Inconsistency</w:t>
            </w:r>
          </w:p>
        </w:tc>
        <w:tc>
          <w:tcPr>
            <w:tcW w:w="0" w:type="auto"/>
            <w:vAlign w:val="center"/>
          </w:tcPr>
          <w:p w14:paraId="58CF584A">
            <w:pPr>
              <w:widowControl/>
              <w:jc w:val="left"/>
              <w:rPr>
                <w:rFonts w:ascii="Times New Roman" w:hAnsi="Times New Roman" w:eastAsia="Times New Roman"/>
                <w:kern w:val="0"/>
                <w:sz w:val="20"/>
                <w:szCs w:val="20"/>
              </w:rPr>
            </w:pPr>
          </w:p>
        </w:tc>
      </w:tr>
      <w:tr w14:paraId="3FBD5659">
        <w:tc>
          <w:tcPr>
            <w:tcW w:w="8994" w:type="dxa"/>
            <w:gridSpan w:val="7"/>
            <w:tcBorders>
              <w:top w:val="single" w:color="000000" w:sz="4" w:space="0"/>
              <w:left w:val="single" w:color="000000" w:sz="4" w:space="0"/>
              <w:bottom w:val="single" w:color="000000" w:sz="4" w:space="0"/>
              <w:right w:val="single" w:color="000000" w:sz="4" w:space="0"/>
            </w:tcBorders>
          </w:tcPr>
          <w:p w14:paraId="2985B509">
            <w:pPr>
              <w:widowControl/>
              <w:jc w:val="left"/>
              <w:rPr>
                <w:rFonts w:ascii="Times New Roman" w:hAnsi="Times New Roman"/>
                <w:b/>
                <w:bCs/>
                <w:kern w:val="0"/>
                <w:sz w:val="20"/>
                <w:szCs w:val="20"/>
              </w:rPr>
            </w:pPr>
            <w:r>
              <w:rPr>
                <w:rFonts w:ascii="Times New Roman" w:hAnsi="Times New Roman"/>
                <w:b/>
                <w:bCs/>
                <w:kern w:val="0"/>
                <w:sz w:val="20"/>
                <w:szCs w:val="20"/>
              </w:rPr>
              <w:t>GRADE Working Group grades of evidence</w:t>
            </w:r>
          </w:p>
          <w:p w14:paraId="4A32AEC3">
            <w:pPr>
              <w:widowControl/>
              <w:jc w:val="left"/>
              <w:rPr>
                <w:rFonts w:ascii="Arial" w:hAnsi="Arial" w:cs="Arial"/>
                <w:kern w:val="0"/>
                <w:sz w:val="16"/>
                <w:szCs w:val="16"/>
              </w:rPr>
            </w:pPr>
            <w:r>
              <w:rPr>
                <w:rFonts w:ascii="Arial" w:hAnsi="Arial" w:cs="Arial"/>
                <w:b/>
                <w:bCs/>
                <w:kern w:val="0"/>
                <w:sz w:val="16"/>
                <w:szCs w:val="16"/>
              </w:rPr>
              <w:t>High quality:</w:t>
            </w:r>
            <w:r>
              <w:rPr>
                <w:rFonts w:ascii="Arial" w:hAnsi="Arial" w:cs="Arial"/>
                <w:kern w:val="0"/>
                <w:sz w:val="16"/>
                <w:szCs w:val="16"/>
              </w:rPr>
              <w:t xml:space="preserve"> Further research is very unlikely to change our confidence in the estimate of effect. </w:t>
            </w:r>
          </w:p>
          <w:p w14:paraId="512A13FB">
            <w:pPr>
              <w:widowControl/>
              <w:jc w:val="left"/>
              <w:rPr>
                <w:rFonts w:ascii="Arial" w:hAnsi="Arial" w:cs="Arial"/>
                <w:kern w:val="0"/>
                <w:sz w:val="16"/>
                <w:szCs w:val="16"/>
              </w:rPr>
            </w:pPr>
            <w:r>
              <w:rPr>
                <w:rFonts w:ascii="Arial" w:hAnsi="Arial" w:cs="Arial"/>
                <w:b/>
                <w:bCs/>
                <w:kern w:val="0"/>
                <w:sz w:val="16"/>
                <w:szCs w:val="16"/>
              </w:rPr>
              <w:t>Moderate quality:</w:t>
            </w:r>
            <w:r>
              <w:rPr>
                <w:rFonts w:ascii="Arial" w:hAnsi="Arial" w:cs="Arial"/>
                <w:kern w:val="0"/>
                <w:sz w:val="16"/>
                <w:szCs w:val="16"/>
              </w:rPr>
              <w:t xml:space="preserve"> Further research is likely to have an important impact on our confidence in the estimate of effect and may change the estimate.</w:t>
            </w:r>
          </w:p>
          <w:p w14:paraId="029048AB">
            <w:pPr>
              <w:widowControl/>
              <w:jc w:val="left"/>
              <w:rPr>
                <w:rFonts w:ascii="Arial" w:hAnsi="Arial" w:cs="Arial"/>
                <w:kern w:val="0"/>
                <w:sz w:val="16"/>
                <w:szCs w:val="16"/>
              </w:rPr>
            </w:pPr>
            <w:r>
              <w:rPr>
                <w:rFonts w:ascii="Arial" w:hAnsi="Arial" w:cs="Arial"/>
                <w:b/>
                <w:bCs/>
                <w:kern w:val="0"/>
                <w:sz w:val="16"/>
                <w:szCs w:val="16"/>
              </w:rPr>
              <w:t>Low quality:</w:t>
            </w:r>
            <w:r>
              <w:rPr>
                <w:rFonts w:ascii="Arial" w:hAnsi="Arial" w:cs="Arial"/>
                <w:kern w:val="0"/>
                <w:sz w:val="16"/>
                <w:szCs w:val="16"/>
              </w:rPr>
              <w:t xml:space="preserve"> Further research is very likely to have an important impact on our confidence in the estimate of effect and is likely to change the estimate.</w:t>
            </w:r>
          </w:p>
          <w:p w14:paraId="2E513ECF">
            <w:pPr>
              <w:widowControl/>
              <w:jc w:val="left"/>
              <w:rPr>
                <w:rFonts w:ascii="Arial" w:hAnsi="Arial" w:cs="Arial"/>
                <w:sz w:val="16"/>
                <w:szCs w:val="16"/>
              </w:rPr>
            </w:pPr>
            <w:r>
              <w:rPr>
                <w:rFonts w:ascii="Arial" w:hAnsi="Arial" w:cs="Arial"/>
                <w:b/>
                <w:bCs/>
                <w:kern w:val="0"/>
                <w:sz w:val="16"/>
                <w:szCs w:val="16"/>
              </w:rPr>
              <w:t>Very low quality:</w:t>
            </w:r>
            <w:r>
              <w:rPr>
                <w:rFonts w:ascii="Arial" w:hAnsi="Arial" w:cs="Arial"/>
                <w:kern w:val="0"/>
                <w:sz w:val="16"/>
                <w:szCs w:val="16"/>
              </w:rPr>
              <w:t xml:space="preserve"> We are very uncertain about the estimate.</w:t>
            </w:r>
          </w:p>
        </w:tc>
        <w:tc>
          <w:tcPr>
            <w:tcW w:w="0" w:type="auto"/>
            <w:vAlign w:val="center"/>
          </w:tcPr>
          <w:p w14:paraId="03233696">
            <w:pPr>
              <w:widowControl/>
              <w:jc w:val="left"/>
              <w:rPr>
                <w:rFonts w:ascii="Times New Roman" w:hAnsi="Times New Roman" w:eastAsia="Times New Roman"/>
                <w:kern w:val="0"/>
                <w:sz w:val="20"/>
                <w:szCs w:val="20"/>
              </w:rPr>
            </w:pPr>
          </w:p>
        </w:tc>
      </w:tr>
      <w:tr w14:paraId="25AD62C1">
        <w:tc>
          <w:tcPr>
            <w:tcW w:w="8994" w:type="dxa"/>
            <w:gridSpan w:val="7"/>
            <w:tcBorders>
              <w:top w:val="single" w:color="000000" w:sz="4" w:space="0"/>
              <w:left w:val="single" w:color="000000" w:sz="4" w:space="0"/>
              <w:bottom w:val="single" w:color="000000" w:sz="4" w:space="0"/>
              <w:right w:val="single" w:color="000000" w:sz="4" w:space="0"/>
            </w:tcBorders>
          </w:tcPr>
          <w:p w14:paraId="402E4EA2">
            <w:pPr>
              <w:widowControl/>
              <w:jc w:val="left"/>
              <w:rPr>
                <w:rFonts w:ascii="Cambria" w:hAnsi="Cambria"/>
                <w:color w:val="212121"/>
                <w:shd w:val="clear" w:color="auto" w:fill="FFFFFF"/>
              </w:rPr>
            </w:pPr>
            <w:r>
              <w:rPr>
                <w:rFonts w:ascii="Cambria" w:hAnsi="Cambria"/>
                <w:b/>
                <w:bCs/>
                <w:color w:val="212121"/>
                <w:shd w:val="clear" w:color="auto" w:fill="FFFFFF"/>
              </w:rPr>
              <w:t>The grade of evidence was downgraded</w:t>
            </w:r>
            <w:r>
              <w:rPr>
                <w:rFonts w:hint="eastAsia" w:ascii="宋体" w:hAnsi="宋体" w:cs="Cambria"/>
                <w:b/>
                <w:bCs/>
                <w:color w:val="212121"/>
                <w:shd w:val="clear" w:color="auto" w:fill="FFFFFF"/>
              </w:rPr>
              <w:t>：</w:t>
            </w:r>
          </w:p>
          <w:p w14:paraId="281D633D">
            <w:pPr>
              <w:widowControl/>
              <w:jc w:val="left"/>
              <w:rPr>
                <w:rFonts w:ascii="Cambria" w:hAnsi="Cambria"/>
                <w:color w:val="212121"/>
                <w:sz w:val="18"/>
                <w:szCs w:val="18"/>
                <w:shd w:val="clear" w:color="auto" w:fill="FFFFFF"/>
              </w:rPr>
            </w:pPr>
            <w:r>
              <w:rPr>
                <w:rFonts w:ascii="Cambria" w:hAnsi="Cambria"/>
                <w:b/>
                <w:bCs/>
                <w:color w:val="212121"/>
                <w:sz w:val="18"/>
                <w:szCs w:val="18"/>
                <w:shd w:val="clear" w:color="auto" w:fill="FFFFFF"/>
              </w:rPr>
              <w:t>publication bias</w:t>
            </w:r>
            <w:r>
              <w:rPr>
                <w:rFonts w:hint="eastAsia" w:ascii="宋体" w:hAnsi="宋体" w:cs="Cambria"/>
                <w:color w:val="212121"/>
                <w:sz w:val="18"/>
                <w:szCs w:val="18"/>
                <w:shd w:val="clear" w:color="auto" w:fill="FFFFFF"/>
              </w:rPr>
              <w:t>：</w:t>
            </w:r>
            <w:r>
              <w:rPr>
                <w:rFonts w:hint="eastAsia" w:ascii="Cambria" w:hAnsi="Cambria" w:cs="Cambria"/>
                <w:color w:val="212121"/>
                <w:sz w:val="18"/>
                <w:szCs w:val="18"/>
                <w:shd w:val="clear" w:color="auto" w:fill="FFFFFF"/>
              </w:rPr>
              <w:t>More than 25% of included studies were at high risk of bias or more than 50% unclear risk of bias</w:t>
            </w:r>
            <w:r>
              <w:rPr>
                <w:rFonts w:hint="eastAsia" w:ascii="宋体" w:hAnsi="宋体" w:cs="Cambria"/>
                <w:color w:val="212121"/>
                <w:sz w:val="18"/>
                <w:szCs w:val="18"/>
                <w:shd w:val="clear" w:color="auto" w:fill="FFFFFF"/>
              </w:rPr>
              <w:t>（</w:t>
            </w:r>
            <w:r>
              <w:rPr>
                <w:rFonts w:ascii="Times New Roman" w:hAnsi="Times New Roman" w:eastAsia="Helvetica"/>
                <w:color w:val="000000"/>
                <w:sz w:val="18"/>
                <w:szCs w:val="18"/>
              </w:rPr>
              <w:t>No Randomly assigned</w:t>
            </w:r>
            <w:r>
              <w:rPr>
                <w:rFonts w:ascii="Times New Roman" w:hAnsi="Times New Roman"/>
                <w:color w:val="000000"/>
                <w:sz w:val="18"/>
                <w:szCs w:val="18"/>
              </w:rPr>
              <w:t xml:space="preserve"> </w:t>
            </w:r>
            <w:r>
              <w:rPr>
                <w:rFonts w:hint="eastAsia" w:ascii="宋体" w:hAnsi="宋体"/>
                <w:color w:val="000000"/>
                <w:sz w:val="18"/>
                <w:szCs w:val="18"/>
              </w:rPr>
              <w:t>；</w:t>
            </w:r>
            <w:r>
              <w:rPr>
                <w:rFonts w:ascii="Times New Roman" w:hAnsi="Times New Roman" w:eastAsia="Helvetica"/>
                <w:color w:val="000000"/>
                <w:sz w:val="18"/>
                <w:szCs w:val="18"/>
              </w:rPr>
              <w:t>no concealment of allocation scheme, no blinding, too many subjects lost to follow-up, selective reporting of results</w:t>
            </w:r>
            <w:r>
              <w:rPr>
                <w:rFonts w:ascii="宋体" w:hAnsi="宋体"/>
                <w:color w:val="000000"/>
                <w:sz w:val="18"/>
                <w:szCs w:val="18"/>
              </w:rPr>
              <w:t>）</w:t>
            </w:r>
          </w:p>
          <w:p w14:paraId="618379B8">
            <w:pPr>
              <w:widowControl/>
              <w:jc w:val="left"/>
              <w:rPr>
                <w:rFonts w:ascii="Cambria" w:hAnsi="Cambria"/>
                <w:color w:val="212121"/>
                <w:sz w:val="18"/>
                <w:szCs w:val="18"/>
                <w:shd w:val="clear" w:color="auto" w:fill="FFFFFF"/>
              </w:rPr>
            </w:pPr>
            <w:r>
              <w:rPr>
                <w:rFonts w:ascii="Cambria" w:hAnsi="Cambria"/>
                <w:b/>
                <w:bCs/>
                <w:color w:val="212121"/>
                <w:sz w:val="18"/>
                <w:szCs w:val="18"/>
                <w:shd w:val="clear" w:color="auto" w:fill="FFFFFF"/>
              </w:rPr>
              <w:t>indirectness</w:t>
            </w:r>
            <w:r>
              <w:rPr>
                <w:rFonts w:hint="eastAsia" w:ascii="宋体" w:hAnsi="宋体" w:cs="Cambria"/>
                <w:color w:val="212121"/>
                <w:sz w:val="18"/>
                <w:szCs w:val="18"/>
                <w:shd w:val="clear" w:color="auto" w:fill="FFFFFF"/>
              </w:rPr>
              <w:t>：</w:t>
            </w:r>
            <w:r>
              <w:rPr>
                <w:rFonts w:hint="eastAsia" w:ascii="Cambria" w:hAnsi="Cambria" w:cs="Cambria"/>
                <w:color w:val="212121"/>
                <w:sz w:val="18"/>
                <w:szCs w:val="18"/>
                <w:shd w:val="clear" w:color="auto" w:fill="FFFFFF"/>
              </w:rPr>
              <w:t>There were differences between included studies in methodological factors such as intervention types and length, included age ranges, and included study populations</w:t>
            </w:r>
          </w:p>
          <w:p w14:paraId="4FEEAC65">
            <w:pPr>
              <w:widowControl/>
              <w:jc w:val="left"/>
              <w:rPr>
                <w:rFonts w:ascii="Cambria" w:hAnsi="Cambria"/>
                <w:color w:val="212121"/>
                <w:sz w:val="18"/>
                <w:szCs w:val="18"/>
                <w:shd w:val="clear" w:color="auto" w:fill="FFFFFF"/>
              </w:rPr>
            </w:pPr>
            <w:r>
              <w:rPr>
                <w:rFonts w:hint="eastAsia" w:ascii="Cambria" w:hAnsi="Cambria" w:cs="Cambria"/>
                <w:b/>
                <w:bCs/>
                <w:color w:val="212121"/>
                <w:sz w:val="18"/>
                <w:szCs w:val="18"/>
                <w:shd w:val="clear" w:color="auto" w:fill="FFFFFF"/>
              </w:rPr>
              <w:t>C</w:t>
            </w:r>
            <w:r>
              <w:rPr>
                <w:rFonts w:ascii="Cambria" w:hAnsi="Cambria"/>
                <w:b/>
                <w:bCs/>
                <w:color w:val="212121"/>
                <w:sz w:val="18"/>
                <w:szCs w:val="18"/>
                <w:shd w:val="clear" w:color="auto" w:fill="FFFFFF"/>
              </w:rPr>
              <w:t>onsistency of effect</w:t>
            </w:r>
            <w:r>
              <w:rPr>
                <w:rFonts w:hint="eastAsia" w:ascii="宋体" w:hAnsi="宋体" w:cs="Cambria"/>
                <w:color w:val="212121"/>
                <w:sz w:val="18"/>
                <w:szCs w:val="18"/>
                <w:shd w:val="clear" w:color="auto" w:fill="FFFFFF"/>
              </w:rPr>
              <w:t>：</w:t>
            </w:r>
            <w:r>
              <w:rPr>
                <w:rFonts w:hint="eastAsia" w:ascii="Cambria" w:hAnsi="Cambria" w:cs="Cambria"/>
                <w:color w:val="212121"/>
                <w:sz w:val="18"/>
                <w:szCs w:val="18"/>
                <w:shd w:val="clear" w:color="auto" w:fill="FFFFFF"/>
              </w:rPr>
              <w:t xml:space="preserve">Heterogeneity was statistically significant </w:t>
            </w:r>
          </w:p>
          <w:p w14:paraId="52E88E92">
            <w:pPr>
              <w:widowControl/>
              <w:jc w:val="left"/>
              <w:rPr>
                <w:rFonts w:ascii="Cambria" w:hAnsi="Cambria"/>
                <w:color w:val="212121"/>
                <w:sz w:val="18"/>
                <w:szCs w:val="18"/>
                <w:shd w:val="clear" w:color="auto" w:fill="FFFFFF"/>
              </w:rPr>
            </w:pPr>
            <w:r>
              <w:rPr>
                <w:rFonts w:hint="eastAsia" w:ascii="Cambria" w:hAnsi="Cambria" w:cs="Cambria"/>
                <w:b/>
                <w:bCs/>
                <w:color w:val="212121"/>
                <w:sz w:val="18"/>
                <w:szCs w:val="18"/>
                <w:shd w:val="clear" w:color="auto" w:fill="FFFFFF"/>
              </w:rPr>
              <w:t>imprecision</w:t>
            </w:r>
            <w:r>
              <w:rPr>
                <w:rFonts w:hint="eastAsia" w:ascii="宋体" w:hAnsi="宋体" w:cs="Cambria"/>
                <w:color w:val="212121"/>
                <w:sz w:val="18"/>
                <w:szCs w:val="18"/>
                <w:shd w:val="clear" w:color="auto" w:fill="FFFFFF"/>
              </w:rPr>
              <w:t>：</w:t>
            </w:r>
            <w:r>
              <w:rPr>
                <w:rFonts w:hint="eastAsia" w:ascii="Cambria" w:hAnsi="Cambria" w:cs="Cambria"/>
                <w:color w:val="212121"/>
                <w:sz w:val="18"/>
                <w:szCs w:val="18"/>
                <w:shd w:val="clear" w:color="auto" w:fill="FFFFFF"/>
              </w:rPr>
              <w:t xml:space="preserve">small sample sizes </w:t>
            </w:r>
          </w:p>
          <w:p w14:paraId="38D06D6C">
            <w:pPr>
              <w:widowControl/>
              <w:jc w:val="left"/>
              <w:rPr>
                <w:rFonts w:ascii="Arial" w:hAnsi="Arial" w:cs="Arial"/>
                <w:b/>
                <w:bCs/>
                <w:kern w:val="0"/>
                <w:sz w:val="16"/>
                <w:szCs w:val="16"/>
              </w:rPr>
            </w:pPr>
            <w:r>
              <w:rPr>
                <w:rFonts w:hint="eastAsia" w:ascii="Cambria" w:hAnsi="Cambria" w:cs="Cambria"/>
                <w:b/>
                <w:bCs/>
                <w:color w:val="212121"/>
                <w:sz w:val="18"/>
                <w:szCs w:val="18"/>
                <w:shd w:val="clear" w:color="auto" w:fill="FFFFFF"/>
              </w:rPr>
              <w:t>publication bias</w:t>
            </w:r>
            <w:r>
              <w:rPr>
                <w:rFonts w:hint="eastAsia" w:ascii="Cambria" w:hAnsi="Cambria" w:cs="Cambria"/>
                <w:color w:val="212121"/>
                <w:sz w:val="18"/>
                <w:szCs w:val="18"/>
                <w:shd w:val="clear" w:color="auto" w:fill="FFFFFF"/>
              </w:rPr>
              <w:t>.</w:t>
            </w:r>
            <w:r>
              <w:rPr>
                <w:rFonts w:ascii="Cambria" w:hAnsi="Cambria"/>
                <w:color w:val="212121"/>
                <w:sz w:val="18"/>
                <w:szCs w:val="18"/>
                <w:shd w:val="clear" w:color="auto" w:fill="FFFFFF"/>
              </w:rPr>
              <w:t xml:space="preserve"> </w:t>
            </w:r>
            <w:r>
              <w:rPr>
                <w:rFonts w:hint="eastAsia" w:ascii="Cambria" w:hAnsi="Cambria" w:cs="Cambria"/>
                <w:color w:val="212121"/>
                <w:sz w:val="18"/>
                <w:szCs w:val="18"/>
                <w:shd w:val="clear" w:color="auto" w:fill="FFFFFF"/>
              </w:rPr>
              <w:t>There was direct evidence of publication bias.</w:t>
            </w:r>
          </w:p>
        </w:tc>
        <w:tc>
          <w:tcPr>
            <w:tcW w:w="0" w:type="auto"/>
            <w:vAlign w:val="center"/>
          </w:tcPr>
          <w:p w14:paraId="60F8D65F">
            <w:pPr>
              <w:widowControl/>
              <w:jc w:val="left"/>
              <w:rPr>
                <w:rFonts w:ascii="Times New Roman" w:hAnsi="Times New Roman" w:eastAsia="Times New Roman"/>
                <w:kern w:val="0"/>
                <w:sz w:val="20"/>
                <w:szCs w:val="20"/>
              </w:rPr>
            </w:pPr>
          </w:p>
        </w:tc>
      </w:tr>
      <w:tr w14:paraId="121E18A5">
        <w:tc>
          <w:tcPr>
            <w:tcW w:w="8994" w:type="dxa"/>
            <w:gridSpan w:val="7"/>
            <w:tcBorders>
              <w:top w:val="single" w:color="000000" w:sz="4" w:space="0"/>
              <w:left w:val="single" w:color="000000" w:sz="4" w:space="0"/>
              <w:bottom w:val="single" w:color="000000" w:sz="4" w:space="0"/>
              <w:right w:val="single" w:color="000000" w:sz="4" w:space="0"/>
            </w:tcBorders>
          </w:tcPr>
          <w:p w14:paraId="5CA94FB9">
            <w:pPr>
              <w:rPr>
                <w:rFonts w:ascii="Arial" w:hAnsi="Arial" w:cs="Arial"/>
                <w:color w:val="000000"/>
                <w:sz w:val="16"/>
                <w:szCs w:val="16"/>
              </w:rPr>
            </w:pPr>
            <w:r>
              <w:rPr>
                <w:rFonts w:ascii="Arial" w:hAnsi="Arial" w:cs="Arial"/>
                <w:color w:val="000000"/>
                <w:sz w:val="16"/>
                <w:szCs w:val="16"/>
                <w:vertAlign w:val="superscript"/>
              </w:rPr>
              <w:t>1</w:t>
            </w:r>
            <w:r>
              <w:rPr>
                <w:rFonts w:ascii="Arial" w:hAnsi="Arial" w:cs="Arial"/>
                <w:color w:val="000000"/>
                <w:sz w:val="16"/>
                <w:szCs w:val="16"/>
              </w:rPr>
              <w:t xml:space="preserve"> High risk for selective outcome reporting</w:t>
            </w:r>
          </w:p>
          <w:p w14:paraId="0AFFAA34">
            <w:pPr>
              <w:rPr>
                <w:rFonts w:ascii="Arial" w:hAnsi="Arial" w:cs="Arial"/>
                <w:color w:val="000000"/>
                <w:sz w:val="16"/>
                <w:szCs w:val="16"/>
              </w:rPr>
            </w:pPr>
            <w:r>
              <w:rPr>
                <w:rFonts w:ascii="Arial" w:hAnsi="Arial" w:cs="Arial"/>
                <w:color w:val="000000"/>
                <w:sz w:val="16"/>
                <w:szCs w:val="16"/>
                <w:vertAlign w:val="superscript"/>
              </w:rPr>
              <w:t>2</w:t>
            </w:r>
            <w:r>
              <w:rPr>
                <w:rFonts w:ascii="Arial" w:hAnsi="Arial" w:cs="Arial"/>
                <w:color w:val="000000"/>
                <w:sz w:val="16"/>
                <w:szCs w:val="16"/>
              </w:rPr>
              <w:t xml:space="preserve"> Don't blinding researchers and participants in experiments or provided insufficient information</w:t>
            </w:r>
          </w:p>
          <w:p w14:paraId="5F2D69B9">
            <w:pPr>
              <w:rPr>
                <w:rFonts w:ascii="Arial" w:hAnsi="Arial" w:cs="Arial"/>
                <w:color w:val="000000"/>
                <w:sz w:val="16"/>
                <w:szCs w:val="16"/>
              </w:rPr>
            </w:pPr>
            <w:r>
              <w:rPr>
                <w:rFonts w:ascii="Arial" w:hAnsi="Arial" w:cs="Arial"/>
                <w:color w:val="000000"/>
                <w:sz w:val="16"/>
                <w:szCs w:val="16"/>
                <w:vertAlign w:val="superscript"/>
              </w:rPr>
              <w:t>3</w:t>
            </w:r>
            <w:r>
              <w:rPr>
                <w:rFonts w:ascii="Arial" w:hAnsi="Arial" w:cs="Arial"/>
                <w:color w:val="000000"/>
                <w:sz w:val="16"/>
                <w:szCs w:val="16"/>
              </w:rPr>
              <w:t xml:space="preserve"> Provide insufficient information on blinding of outcome assessment or high risk for blinding of outcome assessment</w:t>
            </w:r>
          </w:p>
          <w:p w14:paraId="5703B057">
            <w:pPr>
              <w:rPr>
                <w:rFonts w:ascii="Arial" w:hAnsi="Arial" w:cs="Arial"/>
                <w:color w:val="000000"/>
                <w:sz w:val="16"/>
                <w:szCs w:val="16"/>
              </w:rPr>
            </w:pPr>
            <w:r>
              <w:rPr>
                <w:rFonts w:ascii="Arial" w:hAnsi="Arial" w:cs="Arial"/>
                <w:color w:val="000000"/>
                <w:sz w:val="16"/>
                <w:szCs w:val="16"/>
                <w:vertAlign w:val="superscript"/>
              </w:rPr>
              <w:t>4</w:t>
            </w:r>
            <w:r>
              <w:rPr>
                <w:rFonts w:ascii="Arial" w:hAnsi="Arial" w:cs="Arial"/>
                <w:color w:val="000000"/>
                <w:sz w:val="16"/>
                <w:szCs w:val="16"/>
              </w:rPr>
              <w:t xml:space="preserve"> Significant level of heterogeneity observed</w:t>
            </w:r>
          </w:p>
          <w:p w14:paraId="2A917FDA">
            <w:pPr>
              <w:rPr>
                <w:rFonts w:ascii="Arial" w:hAnsi="Arial" w:cs="Arial"/>
                <w:color w:val="000000"/>
                <w:sz w:val="16"/>
                <w:szCs w:val="16"/>
              </w:rPr>
            </w:pPr>
            <w:r>
              <w:rPr>
                <w:rFonts w:ascii="Arial" w:hAnsi="Arial" w:cs="Arial"/>
                <w:color w:val="000000"/>
                <w:sz w:val="16"/>
                <w:szCs w:val="16"/>
                <w:vertAlign w:val="superscript"/>
              </w:rPr>
              <w:t>5</w:t>
            </w:r>
            <w:r>
              <w:rPr>
                <w:rFonts w:ascii="Arial" w:hAnsi="Arial" w:cs="Arial"/>
                <w:color w:val="000000"/>
                <w:sz w:val="16"/>
                <w:szCs w:val="16"/>
              </w:rPr>
              <w:t xml:space="preserve"> There was direct evidence of publication bia</w:t>
            </w:r>
            <w:r>
              <w:rPr>
                <w:rFonts w:hint="eastAsia" w:ascii="Arial" w:hAnsi="Arial" w:cs="Arial"/>
                <w:color w:val="000000"/>
                <w:sz w:val="16"/>
                <w:szCs w:val="16"/>
              </w:rPr>
              <w:t>s</w:t>
            </w:r>
          </w:p>
          <w:p w14:paraId="7EB036F9">
            <w:pPr>
              <w:rPr>
                <w:rFonts w:ascii="Arial" w:hAnsi="Arial" w:cs="Arial"/>
                <w:color w:val="000000"/>
                <w:sz w:val="16"/>
                <w:szCs w:val="16"/>
              </w:rPr>
            </w:pPr>
            <w:r>
              <w:rPr>
                <w:rFonts w:ascii="Arial" w:hAnsi="Arial" w:cs="Arial"/>
                <w:color w:val="000000"/>
                <w:sz w:val="16"/>
                <w:szCs w:val="16"/>
                <w:vertAlign w:val="superscript"/>
              </w:rPr>
              <w:t>6</w:t>
            </w:r>
            <w:r>
              <w:rPr>
                <w:rFonts w:ascii="Arial" w:hAnsi="Arial" w:cs="Arial"/>
                <w:color w:val="000000"/>
                <w:sz w:val="16"/>
                <w:szCs w:val="16"/>
              </w:rPr>
              <w:t xml:space="preserve"> The sample size is low</w:t>
            </w:r>
          </w:p>
          <w:p w14:paraId="3C6C89E7">
            <w:pPr>
              <w:rPr>
                <w:rFonts w:ascii="Cambria" w:hAnsi="Cambria"/>
                <w:b/>
                <w:bCs/>
                <w:color w:val="212121"/>
                <w:sz w:val="18"/>
                <w:szCs w:val="18"/>
                <w:shd w:val="clear" w:color="auto" w:fill="FFFFFF"/>
              </w:rPr>
            </w:pPr>
            <w:r>
              <w:rPr>
                <w:rFonts w:ascii="Arial" w:hAnsi="Arial" w:cs="Arial"/>
                <w:color w:val="000000"/>
                <w:sz w:val="16"/>
                <w:szCs w:val="16"/>
                <w:vertAlign w:val="superscript"/>
              </w:rPr>
              <w:t>7</w:t>
            </w:r>
            <w:r>
              <w:rPr>
                <w:rFonts w:ascii="Arial" w:hAnsi="Arial" w:cs="Arial"/>
                <w:color w:val="000000"/>
                <w:sz w:val="16"/>
                <w:szCs w:val="16"/>
              </w:rPr>
              <w:t xml:space="preserve"> No explanation was provided</w:t>
            </w:r>
          </w:p>
        </w:tc>
        <w:tc>
          <w:tcPr>
            <w:tcW w:w="0" w:type="auto"/>
            <w:vAlign w:val="center"/>
          </w:tcPr>
          <w:p w14:paraId="6757ECFB">
            <w:pPr>
              <w:widowControl/>
              <w:jc w:val="left"/>
              <w:rPr>
                <w:rFonts w:ascii="Times New Roman" w:hAnsi="Times New Roman" w:eastAsia="Times New Roman"/>
                <w:kern w:val="0"/>
                <w:sz w:val="20"/>
                <w:szCs w:val="20"/>
              </w:rPr>
            </w:pPr>
          </w:p>
        </w:tc>
      </w:tr>
    </w:tbl>
    <w:p w14:paraId="5771A25B">
      <w:pPr>
        <w:widowControl/>
        <w:jc w:val="left"/>
        <w:rPr>
          <w:rFonts w:ascii="Times New Roman" w:hAnsi="Times New Roman"/>
          <w:b/>
          <w:bCs/>
        </w:rPr>
        <w:sectPr>
          <w:headerReference r:id="rId5" w:type="first"/>
          <w:footerReference r:id="rId7" w:type="first"/>
          <w:headerReference r:id="rId3" w:type="default"/>
          <w:headerReference r:id="rId4" w:type="even"/>
          <w:footerReference r:id="rId6" w:type="even"/>
          <w:pgSz w:w="11906" w:h="16838"/>
          <w:pgMar w:top="1440" w:right="1800" w:bottom="1440" w:left="1800" w:header="851" w:footer="992" w:gutter="0"/>
          <w:cols w:space="720" w:num="1"/>
          <w:docGrid w:type="lines" w:linePitch="312" w:charSpace="0"/>
        </w:sectPr>
      </w:pPr>
    </w:p>
    <w:p w14:paraId="1A44A64D">
      <w:pPr>
        <w:pStyle w:val="2"/>
        <w:rPr>
          <w:rFonts w:ascii="Times New Roman" w:hAnsi="Times New Roman"/>
        </w:rPr>
      </w:pPr>
      <w:bookmarkStart w:id="5" w:name="_Toc32666"/>
      <w:bookmarkStart w:id="6" w:name="_Toc18429"/>
      <w:r>
        <w:rPr>
          <w:rFonts w:ascii="Times New Roman" w:hAnsi="Times New Roman"/>
        </w:rPr>
        <w:t xml:space="preserve">Appendix </w:t>
      </w:r>
      <w:r>
        <w:rPr>
          <w:rFonts w:hint="eastAsia" w:ascii="Times New Roman" w:hAnsi="Times New Roman"/>
        </w:rPr>
        <w:t>4</w:t>
      </w:r>
      <w:r>
        <w:rPr>
          <w:rFonts w:ascii="Times New Roman" w:hAnsi="Times New Roman"/>
        </w:rPr>
        <w:t xml:space="preserve"> The analysis</w:t>
      </w:r>
      <w:bookmarkEnd w:id="5"/>
      <w:bookmarkEnd w:id="6"/>
      <w:r>
        <w:rPr>
          <w:rFonts w:ascii="Times New Roman" w:hAnsi="Times New Roman"/>
        </w:rPr>
        <w:t xml:space="preserve"> </w:t>
      </w:r>
    </w:p>
    <w:p w14:paraId="17F7A8A5">
      <w:pPr>
        <w:pStyle w:val="3"/>
        <w:rPr>
          <w:rFonts w:ascii="Times New Roman" w:hAnsi="Times New Roman"/>
        </w:rPr>
      </w:pPr>
      <w:r>
        <w:rPr>
          <w:rFonts w:hint="eastAsia" w:ascii="Times New Roman" w:hAnsi="Times New Roman"/>
        </w:rPr>
        <w:t>Quality of life</w:t>
      </w:r>
    </w:p>
    <w:p w14:paraId="2600381F">
      <w:pPr>
        <w:pStyle w:val="4"/>
        <w:rPr>
          <w:rFonts w:ascii="Times New Roman" w:hAnsi="Times New Roman"/>
          <w:sz w:val="24"/>
        </w:rPr>
      </w:pPr>
      <w:bookmarkStart w:id="7" w:name="_Toc15524"/>
      <w:r>
        <w:rPr>
          <w:rFonts w:ascii="Times New Roman" w:hAnsi="Times New Roman"/>
        </w:rPr>
        <w:t>1.</w:t>
      </w:r>
      <w:r>
        <w:rPr>
          <w:rFonts w:hint="eastAsia" w:ascii="Times New Roman" w:hAnsi="Times New Roman"/>
        </w:rPr>
        <w:t>1</w:t>
      </w:r>
      <w:r>
        <w:rPr>
          <w:rFonts w:ascii="Times New Roman" w:hAnsi="Times New Roman"/>
        </w:rPr>
        <w:t xml:space="preserve"> T</w:t>
      </w:r>
      <w:r>
        <w:rPr>
          <w:rFonts w:hint="eastAsia" w:ascii="Times New Roman" w:hAnsi="Times New Roman"/>
        </w:rPr>
        <w:t>he node splitting</w:t>
      </w:r>
      <w:bookmarkEnd w:id="7"/>
    </w:p>
    <w:p w14:paraId="0634C6DE">
      <w:pPr>
        <w:jc w:val="left"/>
        <w:rPr>
          <w:rFonts w:ascii="Times New Roman" w:hAnsi="Times New Roman"/>
        </w:rPr>
      </w:pPr>
      <w:r>
        <w:rPr>
          <w:rFonts w:hint="eastAsia" w:ascii="Times New Roman" w:hAnsi="Times New Roman"/>
        </w:rPr>
        <w:drawing>
          <wp:inline distT="0" distB="0" distL="114300" distR="114300">
            <wp:extent cx="4932045" cy="1342390"/>
            <wp:effectExtent l="0" t="0" r="20955" b="38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4" cstate="print">
                      <a:extLst>
                        <a:ext uri="{28A0092B-C50C-407E-A947-70E740481C1C}">
                          <a14:useLocalDpi xmlns:a14="http://schemas.microsoft.com/office/drawing/2010/main" val="0"/>
                        </a:ext>
                      </a:extLst>
                    </a:blip>
                    <a:srcRect t="4539" b="4539"/>
                    <a:stretch>
                      <a:fillRect/>
                    </a:stretch>
                  </pic:blipFill>
                  <pic:spPr>
                    <a:xfrm>
                      <a:off x="0" y="0"/>
                      <a:ext cx="4932045" cy="1342390"/>
                    </a:xfrm>
                    <a:prstGeom prst="rect">
                      <a:avLst/>
                    </a:prstGeom>
                  </pic:spPr>
                </pic:pic>
              </a:graphicData>
            </a:graphic>
          </wp:inline>
        </w:drawing>
      </w:r>
    </w:p>
    <w:p w14:paraId="1DCF7248">
      <w:pPr>
        <w:rPr>
          <w:rFonts w:ascii="Times New Roman" w:hAnsi="Times New Roman"/>
        </w:rPr>
      </w:pPr>
    </w:p>
    <w:p w14:paraId="7FEFE5A1">
      <w:pPr>
        <w:jc w:val="left"/>
        <w:rPr>
          <w:rFonts w:ascii="Times New Roman" w:hAnsi="Times New Roman"/>
          <w:sz w:val="24"/>
        </w:rPr>
      </w:pPr>
      <w:r>
        <w:rPr>
          <w:rFonts w:ascii="Times New Roman" w:hAnsi="Times New Roman"/>
          <w:b/>
          <w:bCs/>
          <w:sz w:val="24"/>
        </w:rPr>
        <w:t xml:space="preserve">Figure </w:t>
      </w:r>
      <w:r>
        <w:rPr>
          <w:rFonts w:hint="eastAsia" w:ascii="Times New Roman" w:hAnsi="Times New Roman"/>
          <w:b/>
          <w:bCs/>
          <w:sz w:val="24"/>
        </w:rPr>
        <w:t xml:space="preserve">3 </w:t>
      </w:r>
      <w:r>
        <w:rPr>
          <w:rFonts w:hint="eastAsia" w:ascii="Times New Roman" w:hAnsi="Times New Roman"/>
          <w:sz w:val="24"/>
        </w:rPr>
        <w:t>Detection of Local Inconsistencies for inattention</w:t>
      </w:r>
    </w:p>
    <w:p w14:paraId="45601F58">
      <w:pPr>
        <w:jc w:val="left"/>
        <w:rPr>
          <w:rFonts w:ascii="Times New Roman" w:hAnsi="Times New Roman"/>
          <w:sz w:val="24"/>
        </w:rPr>
      </w:pPr>
      <w:bookmarkStart w:id="8" w:name="_Toc9230"/>
      <w:r>
        <w:rPr>
          <w:rFonts w:ascii="Times New Roman" w:hAnsi="Times New Roman"/>
          <w:sz w:val="24"/>
        </w:rPr>
        <w:t>A=</w:t>
      </w:r>
      <w:r>
        <w:rPr>
          <w:rFonts w:hint="eastAsia" w:ascii="Times New Roman" w:hAnsi="Times New Roman"/>
          <w:sz w:val="24"/>
        </w:rPr>
        <w:t>HI-LF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B=</w:t>
      </w:r>
      <w:r>
        <w:rPr>
          <w:rFonts w:hint="eastAsia" w:ascii="Times New Roman" w:hAnsi="Times New Roman"/>
          <w:sz w:val="24"/>
        </w:rPr>
        <w:t>LI-LF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C=</w:t>
      </w:r>
      <w:r>
        <w:rPr>
          <w:rFonts w:hint="eastAsia" w:ascii="Times New Roman" w:hAnsi="Times New Roman"/>
          <w:sz w:val="24"/>
        </w:rPr>
        <w:t>MI-LF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D=</w:t>
      </w:r>
      <w:r>
        <w:rPr>
          <w:rFonts w:hint="eastAsia" w:ascii="Times New Roman" w:hAnsi="Times New Roman"/>
          <w:sz w:val="24"/>
        </w:rPr>
        <w:t>HI-HF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E=</w:t>
      </w:r>
      <w:r>
        <w:rPr>
          <w:rFonts w:hint="eastAsia" w:ascii="Times New Roman" w:hAnsi="Times New Roman"/>
          <w:sz w:val="24"/>
        </w:rPr>
        <w:t>MI-HF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F=UC</w:t>
      </w:r>
    </w:p>
    <w:p w14:paraId="5C6D853D">
      <w:pPr>
        <w:pStyle w:val="4"/>
        <w:rPr>
          <w:rFonts w:ascii="Times New Roman" w:hAnsi="Times New Roman"/>
        </w:rPr>
      </w:pPr>
      <w:r>
        <w:rPr>
          <w:rFonts w:ascii="Times New Roman" w:hAnsi="Times New Roman"/>
        </w:rPr>
        <w:t>1.</w:t>
      </w:r>
      <w:r>
        <w:rPr>
          <w:rFonts w:hint="eastAsia" w:ascii="Times New Roman" w:hAnsi="Times New Roman"/>
        </w:rPr>
        <w:t>2</w:t>
      </w:r>
      <w:r>
        <w:rPr>
          <w:rFonts w:ascii="Times New Roman" w:hAnsi="Times New Roman"/>
        </w:rPr>
        <w:t xml:space="preserve"> Forest plot</w:t>
      </w:r>
      <w:bookmarkEnd w:id="8"/>
    </w:p>
    <w:p w14:paraId="3DA126E3">
      <w:pPr>
        <w:jc w:val="left"/>
        <w:rPr>
          <w:rFonts w:ascii="Times New Roman" w:hAnsi="Times New Roman"/>
        </w:rPr>
      </w:pPr>
      <w:r>
        <w:rPr>
          <w:rFonts w:hint="eastAsia" w:ascii="Times New Roman" w:hAnsi="Times New Roman"/>
        </w:rPr>
        <w:drawing>
          <wp:inline distT="0" distB="0" distL="114300" distR="114300">
            <wp:extent cx="3920490" cy="2879725"/>
            <wp:effectExtent l="0" t="0" r="16510" b="15875"/>
            <wp:docPr id="4" name="图片 4" descr="/Users/meijingqidemac/Desktop/截屏2026-05-10 14.06.19.png截屏2026-05-10 14.0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Users/meijingqidemac/Desktop/截屏2026-05-10 14.06.19.png截屏2026-05-10 14.06.19"/>
                    <pic:cNvPicPr>
                      <a:picLocks noChangeAspect="1"/>
                    </pic:cNvPicPr>
                  </pic:nvPicPr>
                  <pic:blipFill>
                    <a:blip r:embed="rId15"/>
                    <a:srcRect l="323" r="97"/>
                    <a:stretch>
                      <a:fillRect/>
                    </a:stretch>
                  </pic:blipFill>
                  <pic:spPr>
                    <a:xfrm>
                      <a:off x="0" y="0"/>
                      <a:ext cx="3920490" cy="2879725"/>
                    </a:xfrm>
                    <a:prstGeom prst="rect">
                      <a:avLst/>
                    </a:prstGeom>
                  </pic:spPr>
                </pic:pic>
              </a:graphicData>
            </a:graphic>
          </wp:inline>
        </w:drawing>
      </w:r>
    </w:p>
    <w:p w14:paraId="4870064E">
      <w:pPr>
        <w:jc w:val="left"/>
        <w:rPr>
          <w:rFonts w:ascii="Times New Roman" w:hAnsi="Times New Roman"/>
        </w:rPr>
      </w:pPr>
    </w:p>
    <w:p w14:paraId="106D1EAA">
      <w:pPr>
        <w:jc w:val="left"/>
        <w:rPr>
          <w:rFonts w:ascii="Times New Roman" w:hAnsi="Times New Roman"/>
          <w:kern w:val="0"/>
          <w:sz w:val="24"/>
        </w:rPr>
      </w:pPr>
      <w:r>
        <w:rPr>
          <w:rFonts w:ascii="Times New Roman" w:hAnsi="Times New Roman"/>
          <w:b/>
          <w:bCs/>
          <w:kern w:val="0"/>
          <w:sz w:val="24"/>
        </w:rPr>
        <w:t xml:space="preserve">Figure </w:t>
      </w:r>
      <w:r>
        <w:rPr>
          <w:rFonts w:hint="eastAsia" w:ascii="Times New Roman" w:hAnsi="Times New Roman"/>
          <w:b/>
          <w:bCs/>
          <w:kern w:val="0"/>
          <w:sz w:val="24"/>
        </w:rPr>
        <w:t>4</w:t>
      </w:r>
      <w:r>
        <w:rPr>
          <w:rFonts w:ascii="Times New Roman" w:hAnsi="Times New Roman"/>
          <w:kern w:val="0"/>
          <w:sz w:val="24"/>
        </w:rPr>
        <w:t xml:space="preserve"> Pairwise comparison of digital cognitive interventions</w:t>
      </w:r>
      <w:r>
        <w:rPr>
          <w:rFonts w:hint="eastAsia" w:ascii="Times New Roman" w:hAnsi="Times New Roman"/>
          <w:kern w:val="0"/>
          <w:sz w:val="24"/>
        </w:rPr>
        <w:t xml:space="preserve"> for inattention.</w:t>
      </w:r>
      <w:bookmarkStart w:id="9" w:name="_Toc17991"/>
    </w:p>
    <w:p w14:paraId="7EEB8EEE">
      <w:pPr>
        <w:jc w:val="left"/>
        <w:rPr>
          <w:rFonts w:ascii="Times New Roman" w:hAnsi="Times New Roman"/>
          <w:kern w:val="0"/>
          <w:sz w:val="24"/>
        </w:rPr>
      </w:pPr>
      <w:r>
        <w:rPr>
          <w:rFonts w:hint="eastAsia" w:ascii="Times New Roman" w:hAnsi="Times New Roman"/>
          <w:kern w:val="0"/>
          <w:sz w:val="24"/>
        </w:rPr>
        <w:drawing>
          <wp:inline distT="0" distB="0" distL="114300" distR="114300">
            <wp:extent cx="4048760" cy="2879725"/>
            <wp:effectExtent l="0" t="0" r="15240" b="1587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6" cstate="print">
                      <a:extLst>
                        <a:ext uri="{28A0092B-C50C-407E-A947-70E740481C1C}">
                          <a14:useLocalDpi xmlns:a14="http://schemas.microsoft.com/office/drawing/2010/main" val="0"/>
                        </a:ext>
                      </a:extLst>
                    </a:blip>
                    <a:srcRect t="89" b="89"/>
                    <a:stretch>
                      <a:fillRect/>
                    </a:stretch>
                  </pic:blipFill>
                  <pic:spPr>
                    <a:xfrm>
                      <a:off x="0" y="0"/>
                      <a:ext cx="4048760" cy="2879725"/>
                    </a:xfrm>
                    <a:prstGeom prst="rect">
                      <a:avLst/>
                    </a:prstGeom>
                  </pic:spPr>
                </pic:pic>
              </a:graphicData>
            </a:graphic>
          </wp:inline>
        </w:drawing>
      </w:r>
    </w:p>
    <w:p w14:paraId="4BE76A81">
      <w:pPr>
        <w:rPr>
          <w:rFonts w:ascii="Times New Roman" w:hAnsi="Times New Roman"/>
          <w:kern w:val="0"/>
          <w:sz w:val="24"/>
        </w:rPr>
      </w:pPr>
    </w:p>
    <w:p w14:paraId="559985EF">
      <w:pPr>
        <w:jc w:val="left"/>
        <w:rPr>
          <w:rFonts w:ascii="Times New Roman" w:hAnsi="Times New Roman"/>
          <w:sz w:val="24"/>
        </w:rPr>
      </w:pPr>
      <w:r>
        <w:rPr>
          <w:rFonts w:ascii="Times New Roman" w:hAnsi="Times New Roman"/>
          <w:b/>
          <w:bCs/>
          <w:sz w:val="24"/>
        </w:rPr>
        <w:t xml:space="preserve">Figure </w:t>
      </w:r>
      <w:r>
        <w:rPr>
          <w:rFonts w:hint="eastAsia" w:ascii="Times New Roman" w:hAnsi="Times New Roman"/>
          <w:b/>
          <w:bCs/>
          <w:sz w:val="24"/>
        </w:rPr>
        <w:t xml:space="preserve">5 </w:t>
      </w:r>
      <w:r>
        <w:rPr>
          <w:rFonts w:hint="eastAsia" w:ascii="Times New Roman" w:hAnsi="Times New Roman"/>
          <w:sz w:val="24"/>
        </w:rPr>
        <w:t>Interval Plot for the Network Meta-Analysis of inattention</w:t>
      </w:r>
    </w:p>
    <w:p w14:paraId="47545026">
      <w:pPr>
        <w:jc w:val="left"/>
        <w:rPr>
          <w:rFonts w:ascii="Times New Roman" w:hAnsi="Times New Roman"/>
          <w:sz w:val="24"/>
        </w:rPr>
      </w:pPr>
      <w:r>
        <w:rPr>
          <w:rFonts w:ascii="Times New Roman" w:hAnsi="Times New Roman"/>
          <w:sz w:val="24"/>
        </w:rPr>
        <w:t>A=</w:t>
      </w:r>
      <w:r>
        <w:rPr>
          <w:rFonts w:hint="eastAsia" w:ascii="Times New Roman" w:hAnsi="Times New Roman"/>
          <w:sz w:val="24"/>
        </w:rPr>
        <w:t>HI-LF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B=</w:t>
      </w:r>
      <w:r>
        <w:rPr>
          <w:rFonts w:hint="eastAsia" w:ascii="Times New Roman" w:hAnsi="Times New Roman"/>
          <w:sz w:val="24"/>
        </w:rPr>
        <w:t>LI-LF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C=</w:t>
      </w:r>
      <w:r>
        <w:rPr>
          <w:rFonts w:hint="eastAsia" w:ascii="Times New Roman" w:hAnsi="Times New Roman"/>
          <w:sz w:val="24"/>
        </w:rPr>
        <w:t>MI-LF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D=</w:t>
      </w:r>
      <w:r>
        <w:rPr>
          <w:rFonts w:hint="eastAsia" w:ascii="Times New Roman" w:hAnsi="Times New Roman"/>
          <w:sz w:val="24"/>
        </w:rPr>
        <w:t>HI-HF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E=</w:t>
      </w:r>
      <w:r>
        <w:rPr>
          <w:rFonts w:hint="eastAsia" w:ascii="Times New Roman" w:hAnsi="Times New Roman"/>
          <w:sz w:val="24"/>
        </w:rPr>
        <w:t>MI-HF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F=UC</w:t>
      </w:r>
    </w:p>
    <w:p w14:paraId="2924C7B1">
      <w:pPr>
        <w:jc w:val="left"/>
        <w:rPr>
          <w:rFonts w:ascii="Times New Roman" w:hAnsi="Times New Roman"/>
          <w:sz w:val="24"/>
        </w:rPr>
      </w:pPr>
    </w:p>
    <w:p w14:paraId="42289CF7">
      <w:pPr>
        <w:pStyle w:val="4"/>
      </w:pPr>
      <w:r>
        <w:rPr>
          <w:rFonts w:hint="eastAsia" w:ascii="Times New Roman" w:hAnsi="Times New Roman"/>
        </w:rPr>
        <w:t>1.</w:t>
      </w:r>
      <w:r>
        <w:rPr>
          <w:rFonts w:hint="eastAsia" w:ascii="Times New Roman" w:hAnsi="Times New Roman"/>
          <w:lang w:val="en-US" w:eastAsia="zh-CN"/>
        </w:rPr>
        <w:t xml:space="preserve"> </w:t>
      </w:r>
      <w:r>
        <w:rPr>
          <w:rFonts w:ascii="Times New Roman" w:hAnsi="Times New Roman"/>
        </w:rPr>
        <w:t>3</w:t>
      </w:r>
      <w:r>
        <w:rPr>
          <w:rFonts w:hint="eastAsia" w:ascii="Times New Roman" w:hAnsi="Times New Roman"/>
        </w:rPr>
        <w:t xml:space="preserve"> </w:t>
      </w:r>
      <w:r>
        <w:rPr>
          <w:rFonts w:ascii="Times New Roman" w:hAnsi="Times New Roman" w:eastAsia="Segoe UI"/>
          <w:sz w:val="24"/>
          <w:shd w:val="clear" w:color="auto" w:fill="FFFFFF"/>
        </w:rPr>
        <w:t>Cumulative ranking probability plots</w:t>
      </w:r>
      <w:bookmarkEnd w:id="9"/>
    </w:p>
    <w:p w14:paraId="45571255">
      <w:pPr>
        <w:jc w:val="left"/>
      </w:pPr>
      <w:r>
        <w:rPr>
          <w:rFonts w:hint="eastAsia"/>
        </w:rPr>
        <w:drawing>
          <wp:inline distT="0" distB="0" distL="114300" distR="114300">
            <wp:extent cx="3998595" cy="2879725"/>
            <wp:effectExtent l="0" t="0" r="14605" b="158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7" cstate="print">
                      <a:extLst>
                        <a:ext uri="{28A0092B-C50C-407E-A947-70E740481C1C}">
                          <a14:useLocalDpi xmlns:a14="http://schemas.microsoft.com/office/drawing/2010/main" val="0"/>
                        </a:ext>
                      </a:extLst>
                    </a:blip>
                    <a:srcRect l="591" r="591"/>
                    <a:stretch>
                      <a:fillRect/>
                    </a:stretch>
                  </pic:blipFill>
                  <pic:spPr>
                    <a:xfrm>
                      <a:off x="0" y="0"/>
                      <a:ext cx="3998595" cy="2879725"/>
                    </a:xfrm>
                    <a:prstGeom prst="rect">
                      <a:avLst/>
                    </a:prstGeom>
                  </pic:spPr>
                </pic:pic>
              </a:graphicData>
            </a:graphic>
          </wp:inline>
        </w:drawing>
      </w:r>
    </w:p>
    <w:p w14:paraId="77464D6A"/>
    <w:p w14:paraId="435DFCE9">
      <w:pPr>
        <w:rPr>
          <w:rFonts w:ascii="Times New Roman" w:hAnsi="Times New Roman" w:eastAsia="Segoe UI"/>
          <w:sz w:val="24"/>
          <w:shd w:val="clear" w:color="auto" w:fill="FFFFFF"/>
        </w:rPr>
      </w:pPr>
      <w:r>
        <w:rPr>
          <w:rFonts w:ascii="Times New Roman" w:hAnsi="Times New Roman"/>
          <w:b/>
          <w:bCs/>
          <w:sz w:val="24"/>
        </w:rPr>
        <w:t xml:space="preserve">Figure </w:t>
      </w:r>
      <w:r>
        <w:rPr>
          <w:rFonts w:hint="eastAsia" w:ascii="Times New Roman" w:hAnsi="Times New Roman" w:eastAsia="Segoe UI"/>
          <w:b/>
          <w:bCs/>
          <w:sz w:val="24"/>
          <w:shd w:val="clear" w:color="auto" w:fill="FFFFFF"/>
        </w:rPr>
        <w:t>6</w:t>
      </w:r>
      <w:r>
        <w:rPr>
          <w:rFonts w:ascii="Times New Roman" w:hAnsi="Times New Roman" w:eastAsia="Segoe UI"/>
          <w:sz w:val="24"/>
          <w:shd w:val="clear" w:color="auto" w:fill="FFFFFF"/>
        </w:rPr>
        <w:t xml:space="preserve"> </w:t>
      </w:r>
      <w:bookmarkStart w:id="10" w:name="OLE_LINK2"/>
      <w:r>
        <w:rPr>
          <w:rFonts w:ascii="Times New Roman" w:hAnsi="Times New Roman" w:eastAsia="Segoe UI"/>
          <w:sz w:val="24"/>
          <w:shd w:val="clear" w:color="auto" w:fill="FFFFFF"/>
        </w:rPr>
        <w:t xml:space="preserve">Cumulative ranking probability plots for </w:t>
      </w:r>
      <w:r>
        <w:rPr>
          <w:rFonts w:hint="eastAsia" w:ascii="Times New Roman" w:hAnsi="Times New Roman" w:eastAsia="Segoe UI"/>
          <w:sz w:val="24"/>
          <w:shd w:val="clear" w:color="auto" w:fill="FFFFFF"/>
        </w:rPr>
        <w:t>inattention</w:t>
      </w:r>
      <w:r>
        <w:rPr>
          <w:rFonts w:ascii="Times New Roman" w:hAnsi="Times New Roman" w:eastAsia="Segoe UI"/>
          <w:sz w:val="24"/>
          <w:shd w:val="clear" w:color="auto" w:fill="FFFFFF"/>
        </w:rPr>
        <w:t>.The horizontal axis represents the possible rank of</w:t>
      </w:r>
      <w:r>
        <w:rPr>
          <w:rFonts w:ascii="Times New Roman" w:hAnsi="Times New Roman"/>
          <w:sz w:val="24"/>
          <w:shd w:val="clear" w:color="auto" w:fill="FFFFFF"/>
        </w:rPr>
        <w:t xml:space="preserve"> </w:t>
      </w:r>
      <w:r>
        <w:rPr>
          <w:rFonts w:ascii="Times New Roman" w:hAnsi="Times New Roman" w:eastAsia="Segoe UI"/>
          <w:sz w:val="24"/>
          <w:shd w:val="clear" w:color="auto" w:fill="FFFFFF"/>
        </w:rPr>
        <w:t>each treatment (from best to worst according to the outcome). The vertical axis represents the cumulative probability for each treatment to be the best option, the best of</w:t>
      </w:r>
      <w:r>
        <w:rPr>
          <w:rFonts w:ascii="Times New Roman" w:hAnsi="Times New Roman"/>
          <w:sz w:val="24"/>
          <w:shd w:val="clear" w:color="auto" w:fill="FFFFFF"/>
        </w:rPr>
        <w:t xml:space="preserve"> </w:t>
      </w:r>
      <w:r>
        <w:rPr>
          <w:rFonts w:ascii="Times New Roman" w:hAnsi="Times New Roman" w:eastAsia="Segoe UI"/>
          <w:sz w:val="24"/>
          <w:shd w:val="clear" w:color="auto" w:fill="FFFFFF"/>
        </w:rPr>
        <w:t>2 options, the best of</w:t>
      </w:r>
      <w:r>
        <w:rPr>
          <w:rFonts w:ascii="Times New Roman" w:hAnsi="Times New Roman"/>
          <w:sz w:val="24"/>
          <w:shd w:val="clear" w:color="auto" w:fill="FFFFFF"/>
        </w:rPr>
        <w:t xml:space="preserve"> </w:t>
      </w:r>
      <w:r>
        <w:rPr>
          <w:rFonts w:ascii="Times New Roman" w:hAnsi="Times New Roman" w:eastAsia="Segoe UI"/>
          <w:sz w:val="24"/>
          <w:shd w:val="clear" w:color="auto" w:fill="FFFFFF"/>
        </w:rPr>
        <w:t>3 options, and so on.</w:t>
      </w:r>
    </w:p>
    <w:p w14:paraId="6281497C">
      <w:pPr>
        <w:rPr>
          <w:rFonts w:ascii="Times New Roman" w:hAnsi="Times New Roman" w:eastAsia="Segoe UI"/>
          <w:sz w:val="24"/>
          <w:shd w:val="clear" w:color="auto" w:fill="FFFFFF"/>
        </w:rPr>
      </w:pPr>
    </w:p>
    <w:p w14:paraId="6248222C">
      <w:pPr>
        <w:rPr>
          <w:rFonts w:ascii="Times New Roman Bold" w:hAnsi="Times New Roman Bold" w:eastAsia="Segoe UI" w:cs="Times New Roman Bold"/>
          <w:b/>
          <w:bCs/>
          <w:sz w:val="28"/>
          <w:szCs w:val="28"/>
          <w:shd w:val="clear" w:color="auto" w:fill="FFFFFF"/>
        </w:rPr>
      </w:pPr>
      <w:r>
        <w:rPr>
          <w:rFonts w:ascii="Times New Roman Bold" w:hAnsi="Times New Roman Bold" w:eastAsia="Segoe UI" w:cs="Times New Roman Bold"/>
          <w:b/>
          <w:bCs/>
          <w:sz w:val="28"/>
          <w:szCs w:val="28"/>
          <w:shd w:val="clear" w:color="auto" w:fill="FFFFFF"/>
        </w:rPr>
        <w:t>1.</w:t>
      </w:r>
      <w:r>
        <w:rPr>
          <w:rFonts w:hint="eastAsia" w:ascii="Times New Roman Bold" w:hAnsi="Times New Roman Bold" w:eastAsia="Segoe UI" w:cs="Times New Roman Bold"/>
          <w:b/>
          <w:bCs/>
          <w:sz w:val="28"/>
          <w:szCs w:val="28"/>
          <w:shd w:val="clear" w:color="auto" w:fill="FFFFFF"/>
        </w:rPr>
        <w:t>4</w:t>
      </w:r>
      <w:r>
        <w:rPr>
          <w:rFonts w:ascii="Times New Roman Bold" w:hAnsi="Times New Roman Bold" w:eastAsia="Segoe UI" w:cs="Times New Roman Bold"/>
          <w:b/>
          <w:bCs/>
          <w:sz w:val="28"/>
          <w:szCs w:val="28"/>
          <w:shd w:val="clear" w:color="auto" w:fill="FFFFFF"/>
        </w:rPr>
        <w:t xml:space="preserve"> Comparative effectiveness</w:t>
      </w:r>
    </w:p>
    <w:p w14:paraId="1029FD55">
      <w:pPr>
        <w:rPr>
          <w:rFonts w:ascii="Times New Roman Bold" w:hAnsi="Times New Roman Bold" w:eastAsia="Segoe UI" w:cs="Times New Roman Bold"/>
          <w:b/>
          <w:bCs/>
          <w:sz w:val="28"/>
          <w:szCs w:val="28"/>
          <w:shd w:val="clear" w:color="auto" w:fill="FFFFFF"/>
        </w:rPr>
      </w:pPr>
      <w:r>
        <w:rPr>
          <w:rFonts w:hint="eastAsia" w:ascii="Times New Roman Bold" w:hAnsi="Times New Roman Bold" w:eastAsia="Segoe UI" w:cs="Times New Roman Bold"/>
          <w:b/>
          <w:bCs/>
          <w:sz w:val="28"/>
          <w:szCs w:val="28"/>
          <w:shd w:val="clear" w:color="auto" w:fill="FFFFFF"/>
        </w:rPr>
        <w:drawing>
          <wp:inline distT="0" distB="0" distL="114300" distR="114300">
            <wp:extent cx="5354320" cy="1924685"/>
            <wp:effectExtent l="0" t="0" r="5080" b="5715"/>
            <wp:docPr id="14" name="图片 14" descr="/Users/meijingqidemac/Desktop/截屏2026-05-10 12.27.36.png截屏2026-05-10 12.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Users/meijingqidemac/Desktop/截屏2026-05-10 12.27.36.png截屏2026-05-10 12.27.36"/>
                    <pic:cNvPicPr>
                      <a:picLocks noChangeAspect="1"/>
                    </pic:cNvPicPr>
                  </pic:nvPicPr>
                  <pic:blipFill>
                    <a:blip r:embed="rId18"/>
                    <a:srcRect l="198" r="806"/>
                    <a:stretch>
                      <a:fillRect/>
                    </a:stretch>
                  </pic:blipFill>
                  <pic:spPr>
                    <a:xfrm>
                      <a:off x="0" y="0"/>
                      <a:ext cx="5354320" cy="1924685"/>
                    </a:xfrm>
                    <a:prstGeom prst="rect">
                      <a:avLst/>
                    </a:prstGeom>
                  </pic:spPr>
                </pic:pic>
              </a:graphicData>
            </a:graphic>
          </wp:inline>
        </w:drawing>
      </w:r>
    </w:p>
    <w:p w14:paraId="17939FA5">
      <w:pPr>
        <w:rPr>
          <w:rFonts w:ascii="Times New Roman" w:hAnsi="Times New Roman"/>
          <w:kern w:val="0"/>
          <w:sz w:val="24"/>
        </w:rPr>
      </w:pPr>
      <w:r>
        <w:rPr>
          <w:rFonts w:ascii="Times New Roman" w:hAnsi="Times New Roman"/>
          <w:b/>
          <w:bCs/>
          <w:sz w:val="24"/>
        </w:rPr>
        <w:t xml:space="preserve">Figure </w:t>
      </w:r>
      <w:r>
        <w:rPr>
          <w:rFonts w:hint="eastAsia" w:ascii="Times New Roman" w:hAnsi="Times New Roman"/>
          <w:b/>
          <w:bCs/>
          <w:sz w:val="24"/>
        </w:rPr>
        <w:t>7</w:t>
      </w:r>
      <w:r>
        <w:rPr>
          <w:rFonts w:ascii="Times New Roman" w:hAnsi="Times New Roman" w:eastAsia="Segoe UI"/>
          <w:sz w:val="24"/>
          <w:shd w:val="clear" w:color="auto" w:fill="FFFFFF"/>
        </w:rPr>
        <w:t xml:space="preserve"> </w:t>
      </w:r>
      <w:r>
        <w:rPr>
          <w:rFonts w:hint="eastAsia" w:ascii="Times New Roman" w:hAnsi="Times New Roman" w:eastAsia="Segoe UI"/>
          <w:sz w:val="24"/>
          <w:shd w:val="clear" w:color="auto" w:fill="FFFFFF"/>
        </w:rPr>
        <w:t>Comparative Efficacy Results for inattention. Each cell displays the standardized mean difference (SMD) and its 95% confidence interval (CI).</w:t>
      </w:r>
    </w:p>
    <w:p w14:paraId="14C92331">
      <w:pPr>
        <w:rPr>
          <w:rFonts w:ascii="Times New Roman" w:hAnsi="Times New Roman" w:eastAsia="Segoe UI"/>
          <w:sz w:val="24"/>
          <w:shd w:val="clear" w:color="auto" w:fill="FFFFFF"/>
        </w:rPr>
      </w:pPr>
    </w:p>
    <w:bookmarkEnd w:id="10"/>
    <w:p w14:paraId="7533302D">
      <w:pPr>
        <w:pStyle w:val="4"/>
        <w:rPr>
          <w:rFonts w:ascii="Times New Roman" w:hAnsi="Times New Roman"/>
        </w:rPr>
      </w:pPr>
      <w:bookmarkStart w:id="11" w:name="_Toc13504"/>
      <w:r>
        <w:rPr>
          <w:rFonts w:ascii="Times New Roman" w:hAnsi="Times New Roman"/>
        </w:rPr>
        <w:t>1.</w:t>
      </w:r>
      <w:r>
        <w:rPr>
          <w:rFonts w:hint="eastAsia" w:ascii="Times New Roman" w:hAnsi="Times New Roman"/>
        </w:rPr>
        <w:t>5</w:t>
      </w:r>
      <w:r>
        <w:rPr>
          <w:rFonts w:ascii="Times New Roman" w:hAnsi="Times New Roman"/>
        </w:rPr>
        <w:t xml:space="preserve"> Funnel plot</w:t>
      </w:r>
      <w:bookmarkEnd w:id="11"/>
    </w:p>
    <w:p w14:paraId="7D86E42E">
      <w:pPr>
        <w:jc w:val="left"/>
      </w:pPr>
      <w:r>
        <w:rPr>
          <w:rFonts w:hint="eastAsia"/>
        </w:rPr>
        <w:drawing>
          <wp:inline distT="0" distB="0" distL="114300" distR="114300">
            <wp:extent cx="4025900" cy="2879725"/>
            <wp:effectExtent l="0" t="0" r="12700" b="1587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9" cstate="print">
                      <a:extLst>
                        <a:ext uri="{28A0092B-C50C-407E-A947-70E740481C1C}">
                          <a14:useLocalDpi xmlns:a14="http://schemas.microsoft.com/office/drawing/2010/main" val="0"/>
                        </a:ext>
                      </a:extLst>
                    </a:blip>
                    <a:srcRect t="530" b="530"/>
                    <a:stretch>
                      <a:fillRect/>
                    </a:stretch>
                  </pic:blipFill>
                  <pic:spPr>
                    <a:xfrm>
                      <a:off x="0" y="0"/>
                      <a:ext cx="4025900" cy="2879725"/>
                    </a:xfrm>
                    <a:prstGeom prst="rect">
                      <a:avLst/>
                    </a:prstGeom>
                  </pic:spPr>
                </pic:pic>
              </a:graphicData>
            </a:graphic>
          </wp:inline>
        </w:drawing>
      </w:r>
    </w:p>
    <w:p w14:paraId="5D8E604A"/>
    <w:p w14:paraId="1C38743B">
      <w:pPr>
        <w:jc w:val="left"/>
        <w:rPr>
          <w:rFonts w:ascii="Times New Roman" w:hAnsi="Times New Roman"/>
          <w:sz w:val="24"/>
        </w:rPr>
      </w:pPr>
      <w:r>
        <w:rPr>
          <w:rFonts w:ascii="Times New Roman Bold" w:hAnsi="Times New Roman Bold" w:cs="Times New Roman Bold"/>
          <w:b/>
          <w:bCs/>
          <w:sz w:val="24"/>
        </w:rPr>
        <w:t xml:space="preserve">Figure 8 </w:t>
      </w:r>
      <w:r>
        <w:rPr>
          <w:rFonts w:hint="eastAsia" w:ascii="Times New Roman" w:hAnsi="Times New Roman"/>
          <w:sz w:val="24"/>
        </w:rPr>
        <w:t>Funnel plot of included literature for inattention</w:t>
      </w:r>
      <w:r>
        <w:rPr>
          <w:rFonts w:ascii="Times New Roman" w:hAnsi="Times New Roman"/>
          <w:sz w:val="24"/>
        </w:rPr>
        <w:t>.</w:t>
      </w:r>
    </w:p>
    <w:p w14:paraId="56D6F2E4">
      <w:pPr>
        <w:jc w:val="left"/>
        <w:rPr>
          <w:rFonts w:ascii="Times New Roman" w:hAnsi="Times New Roman"/>
          <w:sz w:val="24"/>
        </w:rPr>
      </w:pPr>
      <w:bookmarkStart w:id="12" w:name="_Toc29247"/>
      <w:bookmarkStart w:id="13" w:name="_Toc8871"/>
      <w:r>
        <w:rPr>
          <w:rFonts w:ascii="Times New Roman" w:hAnsi="Times New Roman"/>
          <w:sz w:val="24"/>
        </w:rPr>
        <w:t>A=</w:t>
      </w:r>
      <w:r>
        <w:rPr>
          <w:rFonts w:hint="eastAsia" w:ascii="Times New Roman" w:hAnsi="Times New Roman"/>
          <w:sz w:val="24"/>
        </w:rPr>
        <w:t>HI-LF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B=</w:t>
      </w:r>
      <w:r>
        <w:rPr>
          <w:rFonts w:hint="eastAsia" w:ascii="Times New Roman" w:hAnsi="Times New Roman"/>
          <w:sz w:val="24"/>
        </w:rPr>
        <w:t>LI-LF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C=</w:t>
      </w:r>
      <w:r>
        <w:rPr>
          <w:rFonts w:hint="eastAsia" w:ascii="Times New Roman" w:hAnsi="Times New Roman"/>
          <w:sz w:val="24"/>
        </w:rPr>
        <w:t>MI-LF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D=</w:t>
      </w:r>
      <w:r>
        <w:rPr>
          <w:rFonts w:hint="eastAsia" w:ascii="Times New Roman" w:hAnsi="Times New Roman"/>
          <w:sz w:val="24"/>
        </w:rPr>
        <w:t>HI-HF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E=</w:t>
      </w:r>
      <w:r>
        <w:rPr>
          <w:rFonts w:hint="eastAsia" w:ascii="Times New Roman" w:hAnsi="Times New Roman"/>
          <w:sz w:val="24"/>
        </w:rPr>
        <w:t>MI-HF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F=UC</w:t>
      </w:r>
    </w:p>
    <w:bookmarkEnd w:id="12"/>
    <w:bookmarkEnd w:id="13"/>
    <w:p w14:paraId="49005555">
      <w:pPr>
        <w:pStyle w:val="3"/>
        <w:rPr>
          <w:rFonts w:ascii="Times New Roman" w:hAnsi="Times New Roman"/>
        </w:rPr>
      </w:pPr>
      <w:r>
        <w:rPr>
          <w:rFonts w:hint="eastAsia" w:ascii="Times New Roman" w:hAnsi="Times New Roman"/>
        </w:rPr>
        <w:t>Fatigue</w:t>
      </w:r>
    </w:p>
    <w:p w14:paraId="758A9B09">
      <w:pPr>
        <w:pStyle w:val="4"/>
        <w:rPr>
          <w:rFonts w:ascii="Times New Roman" w:hAnsi="Times New Roman"/>
        </w:rPr>
      </w:pPr>
      <w:bookmarkStart w:id="14" w:name="_Toc25102"/>
      <w:r>
        <w:rPr>
          <w:rFonts w:hint="eastAsia" w:ascii="Times New Roman" w:hAnsi="Times New Roman"/>
        </w:rPr>
        <w:t>2</w:t>
      </w:r>
      <w:r>
        <w:rPr>
          <w:rFonts w:ascii="Times New Roman" w:hAnsi="Times New Roman"/>
        </w:rPr>
        <w:t>.</w:t>
      </w:r>
      <w:r>
        <w:rPr>
          <w:rFonts w:hint="eastAsia" w:ascii="Times New Roman" w:hAnsi="Times New Roman"/>
        </w:rPr>
        <w:t>1</w:t>
      </w:r>
      <w:r>
        <w:rPr>
          <w:rFonts w:ascii="Times New Roman" w:hAnsi="Times New Roman"/>
        </w:rPr>
        <w:t xml:space="preserve"> The node splitting</w:t>
      </w:r>
      <w:bookmarkEnd w:id="14"/>
    </w:p>
    <w:p w14:paraId="54561E23">
      <w:r>
        <w:rPr>
          <w:rFonts w:hint="eastAsia" w:ascii="Times New Roman" w:hAnsi="Times New Roman"/>
        </w:rPr>
        <w:drawing>
          <wp:inline distT="0" distB="0" distL="114300" distR="114300">
            <wp:extent cx="4932045" cy="1528445"/>
            <wp:effectExtent l="0" t="0" r="20955" b="20955"/>
            <wp:docPr id="26" name="图片 26" descr="/Users/meijingqidemac/Desktop/截屏2026-01-26 21.58.01.png截屏2026-01-26 21.5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Users/meijingqidemac/Desktop/截屏2026-01-26 21.58.01.png截屏2026-01-26 21.58.01"/>
                    <pic:cNvPicPr>
                      <a:picLocks noChangeAspect="1"/>
                    </pic:cNvPicPr>
                  </pic:nvPicPr>
                  <pic:blipFill>
                    <a:blip r:embed="rId20"/>
                    <a:srcRect l="-892" r="520"/>
                    <a:stretch>
                      <a:fillRect/>
                    </a:stretch>
                  </pic:blipFill>
                  <pic:spPr>
                    <a:xfrm>
                      <a:off x="0" y="0"/>
                      <a:ext cx="4932045" cy="1528445"/>
                    </a:xfrm>
                    <a:prstGeom prst="rect">
                      <a:avLst/>
                    </a:prstGeom>
                  </pic:spPr>
                </pic:pic>
              </a:graphicData>
            </a:graphic>
          </wp:inline>
        </w:drawing>
      </w:r>
    </w:p>
    <w:p w14:paraId="1722B497">
      <w:pPr>
        <w:rPr>
          <w:rFonts w:ascii="Times New Roman" w:hAnsi="Times New Roman"/>
          <w:sz w:val="24"/>
        </w:rPr>
      </w:pPr>
    </w:p>
    <w:p w14:paraId="7D51631C">
      <w:pPr>
        <w:jc w:val="left"/>
        <w:rPr>
          <w:rFonts w:ascii="Times New Roman" w:hAnsi="Times New Roman"/>
          <w:sz w:val="24"/>
        </w:rPr>
      </w:pPr>
      <w:r>
        <w:rPr>
          <w:rFonts w:ascii="Times New Roman Bold" w:hAnsi="Times New Roman Bold" w:cs="Times New Roman Bold"/>
          <w:b/>
          <w:bCs/>
          <w:sz w:val="24"/>
        </w:rPr>
        <w:t>Figure 9</w:t>
      </w:r>
      <w:r>
        <w:rPr>
          <w:rFonts w:hint="eastAsia" w:ascii="Times New Roman" w:hAnsi="Times New Roman"/>
          <w:sz w:val="24"/>
        </w:rPr>
        <w:t xml:space="preserve"> Detection of Local Inconsistencies for hyperactive impulse.</w:t>
      </w:r>
    </w:p>
    <w:p w14:paraId="413F858A">
      <w:pPr>
        <w:jc w:val="left"/>
        <w:rPr>
          <w:rFonts w:ascii="Times New Roman" w:hAnsi="Times New Roman"/>
          <w:sz w:val="24"/>
        </w:rPr>
      </w:pPr>
      <w:bookmarkStart w:id="15" w:name="_Toc13295"/>
      <w:r>
        <w:rPr>
          <w:rFonts w:hint="eastAsia" w:ascii="Times New Roman" w:hAnsi="Times New Roman"/>
          <w:sz w:val="24"/>
        </w:rPr>
        <w:t>A=HI-LF, B=LI-LF, C=MI-LF, D=HI-HF, E=MI-HF, F=UC</w:t>
      </w:r>
    </w:p>
    <w:p w14:paraId="653D3D4C">
      <w:pPr>
        <w:rPr>
          <w:rFonts w:ascii="Times New Roman" w:hAnsi="Times New Roman"/>
          <w:sz w:val="24"/>
        </w:rPr>
      </w:pPr>
    </w:p>
    <w:p w14:paraId="47EEDFBD">
      <w:pPr>
        <w:pStyle w:val="4"/>
        <w:rPr>
          <w:rFonts w:ascii="Times New Roman" w:hAnsi="Times New Roman"/>
        </w:rPr>
      </w:pPr>
      <w:r>
        <w:rPr>
          <w:rFonts w:hint="eastAsia" w:ascii="Times New Roman" w:hAnsi="Times New Roman"/>
        </w:rPr>
        <w:t>2</w:t>
      </w:r>
      <w:r>
        <w:rPr>
          <w:rFonts w:ascii="Times New Roman" w:hAnsi="Times New Roman"/>
        </w:rPr>
        <w:t>.</w:t>
      </w:r>
      <w:r>
        <w:rPr>
          <w:rFonts w:hint="eastAsia" w:ascii="Times New Roman" w:hAnsi="Times New Roman"/>
        </w:rPr>
        <w:t>2</w:t>
      </w:r>
      <w:r>
        <w:rPr>
          <w:rFonts w:ascii="Times New Roman" w:hAnsi="Times New Roman"/>
        </w:rPr>
        <w:t xml:space="preserve"> Forest plot</w:t>
      </w:r>
      <w:bookmarkEnd w:id="15"/>
    </w:p>
    <w:p w14:paraId="73A19F2A">
      <w:pPr>
        <w:jc w:val="left"/>
      </w:pPr>
      <w:r>
        <w:rPr>
          <w:rFonts w:hint="eastAsia"/>
        </w:rPr>
        <w:drawing>
          <wp:inline distT="0" distB="0" distL="114300" distR="114300">
            <wp:extent cx="4211320" cy="3021965"/>
            <wp:effectExtent l="0" t="0" r="5080" b="635"/>
            <wp:docPr id="29" name="图片 29" descr="/Users/meijingqidemac/Desktop/截屏2026-05-10 14.14.37.png截屏2026-05-10 14.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Users/meijingqidemac/Desktop/截屏2026-05-10 14.14.37.png截屏2026-05-10 14.14.37"/>
                    <pic:cNvPicPr>
                      <a:picLocks noChangeAspect="1"/>
                    </pic:cNvPicPr>
                  </pic:nvPicPr>
                  <pic:blipFill>
                    <a:blip r:embed="rId21"/>
                    <a:srcRect t="79" b="79"/>
                    <a:stretch>
                      <a:fillRect/>
                    </a:stretch>
                  </pic:blipFill>
                  <pic:spPr>
                    <a:xfrm>
                      <a:off x="0" y="0"/>
                      <a:ext cx="4211320" cy="3021965"/>
                    </a:xfrm>
                    <a:prstGeom prst="rect">
                      <a:avLst/>
                    </a:prstGeom>
                  </pic:spPr>
                </pic:pic>
              </a:graphicData>
            </a:graphic>
          </wp:inline>
        </w:drawing>
      </w:r>
    </w:p>
    <w:p w14:paraId="6D2A2A89">
      <w:pPr>
        <w:jc w:val="left"/>
      </w:pPr>
    </w:p>
    <w:p w14:paraId="07989EE0">
      <w:pPr>
        <w:jc w:val="left"/>
        <w:rPr>
          <w:rFonts w:ascii="Times New Roman" w:hAnsi="Times New Roman"/>
          <w:kern w:val="0"/>
          <w:sz w:val="24"/>
        </w:rPr>
      </w:pPr>
      <w:r>
        <w:rPr>
          <w:rFonts w:ascii="Times New Roman Bold" w:hAnsi="Times New Roman Bold" w:cs="Times New Roman Bold"/>
          <w:b/>
          <w:bCs/>
          <w:sz w:val="24"/>
        </w:rPr>
        <w:t xml:space="preserve">Figure 10 </w:t>
      </w:r>
      <w:r>
        <w:rPr>
          <w:rFonts w:ascii="Times New Roman" w:hAnsi="Times New Roman"/>
          <w:kern w:val="0"/>
          <w:sz w:val="24"/>
        </w:rPr>
        <w:t>Pairwise comparison of digital cognitive interventions</w:t>
      </w:r>
      <w:r>
        <w:rPr>
          <w:rFonts w:hint="eastAsia" w:ascii="Times New Roman" w:hAnsi="Times New Roman"/>
          <w:kern w:val="0"/>
          <w:sz w:val="24"/>
        </w:rPr>
        <w:t xml:space="preserve"> for hyperactive impulse.</w:t>
      </w:r>
      <w:bookmarkStart w:id="16" w:name="_Toc4291"/>
    </w:p>
    <w:p w14:paraId="0322D26D">
      <w:pPr>
        <w:jc w:val="left"/>
        <w:rPr>
          <w:rFonts w:ascii="Times New Roman" w:hAnsi="Times New Roman"/>
          <w:kern w:val="0"/>
          <w:sz w:val="24"/>
        </w:rPr>
      </w:pPr>
      <w:r>
        <w:rPr>
          <w:rFonts w:hint="eastAsia" w:ascii="Times New Roman" w:hAnsi="Times New Roman"/>
          <w:kern w:val="0"/>
          <w:sz w:val="24"/>
        </w:rPr>
        <w:drawing>
          <wp:inline distT="0" distB="0" distL="114300" distR="114300">
            <wp:extent cx="4018280" cy="2879725"/>
            <wp:effectExtent l="0" t="0" r="20320" b="15875"/>
            <wp:docPr id="31" name="图片 31" descr="/Users/meijingqidemac/Desktop/截屏2026-01-26 21.52.54.png截屏2026-01-26 21.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Users/meijingqidemac/Desktop/截屏2026-01-26 21.52.54.png截屏2026-01-26 21.52.54"/>
                    <pic:cNvPicPr>
                      <a:picLocks noChangeAspect="1"/>
                    </pic:cNvPicPr>
                  </pic:nvPicPr>
                  <pic:blipFill>
                    <a:blip r:embed="rId22"/>
                    <a:srcRect t="97" b="97"/>
                    <a:stretch>
                      <a:fillRect/>
                    </a:stretch>
                  </pic:blipFill>
                  <pic:spPr>
                    <a:xfrm>
                      <a:off x="0" y="0"/>
                      <a:ext cx="4018280" cy="2879725"/>
                    </a:xfrm>
                    <a:prstGeom prst="rect">
                      <a:avLst/>
                    </a:prstGeom>
                  </pic:spPr>
                </pic:pic>
              </a:graphicData>
            </a:graphic>
          </wp:inline>
        </w:drawing>
      </w:r>
    </w:p>
    <w:p w14:paraId="5CF419B1">
      <w:pPr>
        <w:jc w:val="left"/>
        <w:rPr>
          <w:rFonts w:ascii="Times New Roman" w:hAnsi="Times New Roman"/>
          <w:b/>
          <w:bCs/>
          <w:sz w:val="24"/>
        </w:rPr>
      </w:pPr>
    </w:p>
    <w:p w14:paraId="04462996">
      <w:pPr>
        <w:jc w:val="left"/>
        <w:rPr>
          <w:rFonts w:ascii="Times New Roman" w:hAnsi="Times New Roman"/>
          <w:sz w:val="24"/>
        </w:rPr>
      </w:pPr>
      <w:r>
        <w:rPr>
          <w:rFonts w:ascii="Times New Roman" w:hAnsi="Times New Roman"/>
          <w:b/>
          <w:bCs/>
          <w:sz w:val="24"/>
        </w:rPr>
        <w:t>Figure 11</w:t>
      </w:r>
      <w:r>
        <w:rPr>
          <w:rFonts w:hint="eastAsia" w:ascii="Times New Roman" w:hAnsi="Times New Roman"/>
          <w:b/>
          <w:bCs/>
          <w:sz w:val="24"/>
        </w:rPr>
        <w:t xml:space="preserve"> </w:t>
      </w:r>
      <w:r>
        <w:rPr>
          <w:rFonts w:hint="eastAsia" w:ascii="Times New Roman" w:hAnsi="Times New Roman"/>
          <w:sz w:val="24"/>
        </w:rPr>
        <w:t>Interval Plot for the Network Meta-Analysis of hyperactive impulse</w:t>
      </w:r>
    </w:p>
    <w:p w14:paraId="027518FB">
      <w:pPr>
        <w:jc w:val="left"/>
        <w:rPr>
          <w:rFonts w:ascii="Times New Roman" w:hAnsi="Times New Roman"/>
          <w:sz w:val="24"/>
        </w:rPr>
      </w:pPr>
      <w:r>
        <w:rPr>
          <w:rFonts w:ascii="Times New Roman" w:hAnsi="Times New Roman"/>
          <w:sz w:val="24"/>
        </w:rPr>
        <w:t>A=</w:t>
      </w:r>
      <w:r>
        <w:rPr>
          <w:rFonts w:hint="eastAsia" w:ascii="Times New Roman" w:hAnsi="Times New Roman"/>
          <w:sz w:val="24"/>
        </w:rPr>
        <w:t>HI-LF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B=</w:t>
      </w:r>
      <w:r>
        <w:rPr>
          <w:rFonts w:hint="eastAsia" w:ascii="Times New Roman" w:hAnsi="Times New Roman"/>
          <w:sz w:val="24"/>
        </w:rPr>
        <w:t>LI-LF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C=</w:t>
      </w:r>
      <w:r>
        <w:rPr>
          <w:rFonts w:hint="eastAsia" w:ascii="Times New Roman" w:hAnsi="Times New Roman"/>
          <w:sz w:val="24"/>
        </w:rPr>
        <w:t>MI-LF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D=</w:t>
      </w:r>
      <w:r>
        <w:rPr>
          <w:rFonts w:hint="eastAsia" w:ascii="Times New Roman" w:hAnsi="Times New Roman"/>
          <w:sz w:val="24"/>
        </w:rPr>
        <w:t>HI-HF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E=</w:t>
      </w:r>
      <w:r>
        <w:rPr>
          <w:rFonts w:hint="eastAsia" w:ascii="Times New Roman" w:hAnsi="Times New Roman"/>
          <w:sz w:val="24"/>
        </w:rPr>
        <w:t>MI-HF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F=UC</w:t>
      </w:r>
    </w:p>
    <w:p w14:paraId="0321C928">
      <w:pPr>
        <w:rPr>
          <w:rFonts w:ascii="Times New Roman" w:hAnsi="Times New Roman"/>
          <w:kern w:val="0"/>
          <w:sz w:val="24"/>
        </w:rPr>
      </w:pPr>
    </w:p>
    <w:p w14:paraId="798F4F79">
      <w:pPr>
        <w:pStyle w:val="4"/>
        <w:rPr>
          <w:rFonts w:ascii="Times New Roman" w:hAnsi="Times New Roman" w:eastAsia="Segoe UI"/>
          <w:sz w:val="24"/>
          <w:shd w:val="clear" w:color="auto" w:fill="FFFFFF"/>
        </w:rPr>
      </w:pPr>
      <w:r>
        <w:rPr>
          <w:rFonts w:hint="eastAsia" w:ascii="Times New Roman" w:hAnsi="Times New Roman"/>
        </w:rPr>
        <w:t xml:space="preserve">2.3 </w:t>
      </w:r>
      <w:r>
        <w:rPr>
          <w:rFonts w:ascii="Times New Roman" w:hAnsi="Times New Roman" w:eastAsia="Segoe UI"/>
          <w:sz w:val="24"/>
          <w:shd w:val="clear" w:color="auto" w:fill="FFFFFF"/>
        </w:rPr>
        <w:t>Cumulative ranking probability plots</w:t>
      </w:r>
      <w:bookmarkEnd w:id="16"/>
    </w:p>
    <w:p w14:paraId="3A5F737D">
      <w:pPr>
        <w:jc w:val="left"/>
      </w:pPr>
      <w:r>
        <w:rPr>
          <w:rFonts w:hint="eastAsia"/>
        </w:rPr>
        <w:drawing>
          <wp:inline distT="0" distB="0" distL="114300" distR="114300">
            <wp:extent cx="3945255" cy="2879725"/>
            <wp:effectExtent l="0" t="0" r="17145" b="15875"/>
            <wp:docPr id="30" name="图片 30" descr="/Users/meijingqidemac/Desktop/截屏2026-01-26 21.47.23.png截屏2026-01-26 21.4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Users/meijingqidemac/Desktop/截屏2026-01-26 21.47.23.png截屏2026-01-26 21.47.23"/>
                    <pic:cNvPicPr>
                      <a:picLocks noChangeAspect="1"/>
                    </pic:cNvPicPr>
                  </pic:nvPicPr>
                  <pic:blipFill>
                    <a:blip r:embed="rId23"/>
                    <a:srcRect l="967" r="967"/>
                    <a:stretch>
                      <a:fillRect/>
                    </a:stretch>
                  </pic:blipFill>
                  <pic:spPr>
                    <a:xfrm>
                      <a:off x="0" y="0"/>
                      <a:ext cx="3945255" cy="2879725"/>
                    </a:xfrm>
                    <a:prstGeom prst="rect">
                      <a:avLst/>
                    </a:prstGeom>
                  </pic:spPr>
                </pic:pic>
              </a:graphicData>
            </a:graphic>
          </wp:inline>
        </w:drawing>
      </w:r>
    </w:p>
    <w:p w14:paraId="1824E413"/>
    <w:p w14:paraId="1343D6EA">
      <w:pPr>
        <w:rPr>
          <w:rFonts w:ascii="Times New Roman" w:hAnsi="Times New Roman" w:eastAsia="Segoe UI"/>
          <w:sz w:val="24"/>
          <w:shd w:val="clear" w:color="auto" w:fill="FFFFFF"/>
        </w:rPr>
      </w:pPr>
      <w:r>
        <w:rPr>
          <w:rFonts w:ascii="Times New Roman Bold" w:hAnsi="Times New Roman Bold" w:cs="Times New Roman Bold"/>
          <w:b/>
          <w:bCs/>
          <w:sz w:val="24"/>
        </w:rPr>
        <w:t xml:space="preserve">Figure </w:t>
      </w:r>
      <w:r>
        <w:rPr>
          <w:rFonts w:ascii="Times New Roman" w:hAnsi="Times New Roman" w:eastAsia="Segoe UI"/>
          <w:b/>
          <w:bCs/>
          <w:sz w:val="24"/>
          <w:shd w:val="clear" w:color="auto" w:fill="FFFFFF"/>
        </w:rPr>
        <w:t>12</w:t>
      </w:r>
      <w:r>
        <w:rPr>
          <w:rFonts w:ascii="Times New Roman" w:hAnsi="Times New Roman" w:eastAsia="Segoe UI"/>
          <w:sz w:val="24"/>
          <w:shd w:val="clear" w:color="auto" w:fill="FFFFFF"/>
        </w:rPr>
        <w:t xml:space="preserve"> Cumulative ranking probability plots for </w:t>
      </w:r>
      <w:r>
        <w:rPr>
          <w:rFonts w:hint="eastAsia" w:ascii="Times New Roman" w:hAnsi="Times New Roman"/>
          <w:sz w:val="24"/>
        </w:rPr>
        <w:t>hyperactive impulse</w:t>
      </w:r>
      <w:r>
        <w:rPr>
          <w:rFonts w:ascii="Times New Roman" w:hAnsi="Times New Roman"/>
          <w:sz w:val="24"/>
        </w:rPr>
        <w:t>.</w:t>
      </w:r>
      <w:r>
        <w:rPr>
          <w:rFonts w:hint="eastAsia" w:ascii="Times New Roman" w:hAnsi="Times New Roman" w:eastAsia="Segoe UI"/>
          <w:sz w:val="24"/>
          <w:shd w:val="clear" w:color="auto" w:fill="FFFFFF"/>
        </w:rPr>
        <w:t xml:space="preserve"> </w:t>
      </w:r>
      <w:r>
        <w:rPr>
          <w:rFonts w:ascii="Times New Roman" w:hAnsi="Times New Roman" w:eastAsia="Segoe UI"/>
          <w:sz w:val="24"/>
          <w:shd w:val="clear" w:color="auto" w:fill="FFFFFF"/>
        </w:rPr>
        <w:t>The horizontal axis represents the possible rank of</w:t>
      </w:r>
      <w:r>
        <w:rPr>
          <w:rFonts w:ascii="Times New Roman" w:hAnsi="Times New Roman"/>
          <w:sz w:val="24"/>
          <w:shd w:val="clear" w:color="auto" w:fill="FFFFFF"/>
        </w:rPr>
        <w:t xml:space="preserve"> </w:t>
      </w:r>
      <w:r>
        <w:rPr>
          <w:rFonts w:ascii="Times New Roman" w:hAnsi="Times New Roman" w:eastAsia="Segoe UI"/>
          <w:sz w:val="24"/>
          <w:shd w:val="clear" w:color="auto" w:fill="FFFFFF"/>
        </w:rPr>
        <w:t>each treatment (from best to worst according to the outcome). The vertical axis represents the cumulative probability for each treatment to be the best option, the best of</w:t>
      </w:r>
      <w:r>
        <w:rPr>
          <w:rFonts w:ascii="Times New Roman" w:hAnsi="Times New Roman"/>
          <w:sz w:val="24"/>
          <w:shd w:val="clear" w:color="auto" w:fill="FFFFFF"/>
        </w:rPr>
        <w:t xml:space="preserve"> </w:t>
      </w:r>
      <w:r>
        <w:rPr>
          <w:rFonts w:ascii="Times New Roman" w:hAnsi="Times New Roman" w:eastAsia="Segoe UI"/>
          <w:sz w:val="24"/>
          <w:shd w:val="clear" w:color="auto" w:fill="FFFFFF"/>
        </w:rPr>
        <w:t>2 options, the best of</w:t>
      </w:r>
      <w:r>
        <w:rPr>
          <w:rFonts w:ascii="Times New Roman" w:hAnsi="Times New Roman"/>
          <w:sz w:val="24"/>
          <w:shd w:val="clear" w:color="auto" w:fill="FFFFFF"/>
        </w:rPr>
        <w:t xml:space="preserve"> </w:t>
      </w:r>
      <w:r>
        <w:rPr>
          <w:rFonts w:ascii="Times New Roman" w:hAnsi="Times New Roman" w:eastAsia="Segoe UI"/>
          <w:sz w:val="24"/>
          <w:shd w:val="clear" w:color="auto" w:fill="FFFFFF"/>
        </w:rPr>
        <w:t>3 options, and so on.</w:t>
      </w:r>
    </w:p>
    <w:p w14:paraId="285930CD">
      <w:pPr>
        <w:rPr>
          <w:rFonts w:ascii="Times New Roman" w:hAnsi="Times New Roman" w:eastAsia="Segoe UI"/>
          <w:sz w:val="24"/>
          <w:shd w:val="clear" w:color="auto" w:fill="FFFFFF"/>
        </w:rPr>
      </w:pPr>
      <w:r>
        <w:rPr>
          <w:rFonts w:ascii="Times New Roman Bold" w:hAnsi="Times New Roman Bold" w:eastAsia="Segoe UI" w:cs="Times New Roman Bold"/>
          <w:b/>
          <w:bCs/>
          <w:sz w:val="28"/>
          <w:szCs w:val="28"/>
          <w:shd w:val="clear" w:color="auto" w:fill="FFFFFF"/>
        </w:rPr>
        <w:t>2.</w:t>
      </w:r>
      <w:r>
        <w:rPr>
          <w:rFonts w:hint="eastAsia" w:ascii="Times New Roman Bold" w:hAnsi="Times New Roman Bold" w:eastAsia="Segoe UI" w:cs="Times New Roman Bold"/>
          <w:b/>
          <w:bCs/>
          <w:sz w:val="28"/>
          <w:szCs w:val="28"/>
          <w:shd w:val="clear" w:color="auto" w:fill="FFFFFF"/>
        </w:rPr>
        <w:t>4</w:t>
      </w:r>
      <w:r>
        <w:rPr>
          <w:rFonts w:ascii="Times New Roman Bold" w:hAnsi="Times New Roman Bold" w:eastAsia="Segoe UI" w:cs="Times New Roman Bold"/>
          <w:b/>
          <w:bCs/>
          <w:sz w:val="28"/>
          <w:szCs w:val="28"/>
          <w:shd w:val="clear" w:color="auto" w:fill="FFFFFF"/>
        </w:rPr>
        <w:t xml:space="preserve"> Comparative effectiveness</w:t>
      </w:r>
    </w:p>
    <w:p w14:paraId="23C49F3F">
      <w:pPr>
        <w:jc w:val="center"/>
      </w:pPr>
      <w:r>
        <w:rPr>
          <w:rFonts w:hint="eastAsia"/>
        </w:rPr>
        <w:drawing>
          <wp:inline distT="0" distB="0" distL="114300" distR="114300">
            <wp:extent cx="5354955" cy="1692275"/>
            <wp:effectExtent l="0" t="0" r="4445" b="9525"/>
            <wp:docPr id="15" name="图片 15" descr="/Users/meijingqidemac/Desktop/截屏2026-05-10 12.36.58.png截屏2026-05-10 12.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Users/meijingqidemac/Desktop/截屏2026-05-10 12.36.58.png截屏2026-05-10 12.36.58"/>
                    <pic:cNvPicPr>
                      <a:picLocks noChangeAspect="1"/>
                    </pic:cNvPicPr>
                  </pic:nvPicPr>
                  <pic:blipFill>
                    <a:blip r:embed="rId24"/>
                    <a:srcRect l="75" r="75"/>
                    <a:stretch>
                      <a:fillRect/>
                    </a:stretch>
                  </pic:blipFill>
                  <pic:spPr>
                    <a:xfrm>
                      <a:off x="0" y="0"/>
                      <a:ext cx="5354955" cy="1692275"/>
                    </a:xfrm>
                    <a:prstGeom prst="rect">
                      <a:avLst/>
                    </a:prstGeom>
                  </pic:spPr>
                </pic:pic>
              </a:graphicData>
            </a:graphic>
          </wp:inline>
        </w:drawing>
      </w:r>
    </w:p>
    <w:p w14:paraId="3C674367">
      <w:pPr>
        <w:jc w:val="left"/>
        <w:rPr>
          <w:rFonts w:ascii="Times New Roman" w:hAnsi="Times New Roman" w:eastAsia="Segoe UI"/>
          <w:sz w:val="24"/>
          <w:shd w:val="clear" w:color="auto" w:fill="FFFFFF"/>
        </w:rPr>
      </w:pPr>
      <w:r>
        <w:rPr>
          <w:rFonts w:ascii="Times New Roman" w:hAnsi="Times New Roman"/>
          <w:b/>
          <w:bCs/>
          <w:sz w:val="24"/>
        </w:rPr>
        <w:t>Figure 13</w:t>
      </w:r>
      <w:r>
        <w:rPr>
          <w:rFonts w:ascii="Times New Roman" w:hAnsi="Times New Roman" w:eastAsia="Segoe UI"/>
          <w:sz w:val="24"/>
          <w:shd w:val="clear" w:color="auto" w:fill="FFFFFF"/>
        </w:rPr>
        <w:t xml:space="preserve"> </w:t>
      </w:r>
      <w:r>
        <w:rPr>
          <w:rFonts w:hint="eastAsia" w:ascii="Times New Roman" w:hAnsi="Times New Roman" w:eastAsia="Segoe UI"/>
          <w:sz w:val="24"/>
          <w:shd w:val="clear" w:color="auto" w:fill="FFFFFF"/>
        </w:rPr>
        <w:t xml:space="preserve">Comparative efficacy results for </w:t>
      </w:r>
      <w:r>
        <w:rPr>
          <w:rFonts w:hint="eastAsia" w:ascii="Times New Roman" w:hAnsi="Times New Roman"/>
          <w:sz w:val="24"/>
        </w:rPr>
        <w:t>hyperactive impulse</w:t>
      </w:r>
      <w:r>
        <w:rPr>
          <w:rFonts w:ascii="Times New Roman" w:hAnsi="Times New Roman"/>
          <w:sz w:val="24"/>
        </w:rPr>
        <w:t>.</w:t>
      </w:r>
      <w:r>
        <w:rPr>
          <w:rFonts w:hint="eastAsia" w:ascii="Times New Roman" w:hAnsi="Times New Roman" w:eastAsia="Segoe UI"/>
          <w:sz w:val="24"/>
          <w:shd w:val="clear" w:color="auto" w:fill="FFFFFF"/>
        </w:rPr>
        <w:t xml:space="preserve"> Each cell displays the standardized mean difference (SMD) and its 95% confidence interval (CI).</w:t>
      </w:r>
    </w:p>
    <w:p w14:paraId="61677623">
      <w:pPr>
        <w:pStyle w:val="4"/>
        <w:rPr>
          <w:rFonts w:ascii="Times New Roman" w:hAnsi="Times New Roman"/>
        </w:rPr>
      </w:pPr>
      <w:bookmarkStart w:id="17" w:name="_Toc26749"/>
      <w:r>
        <w:rPr>
          <w:rFonts w:hint="eastAsia" w:ascii="Times New Roman" w:hAnsi="Times New Roman"/>
        </w:rPr>
        <w:t>2</w:t>
      </w:r>
      <w:r>
        <w:rPr>
          <w:rFonts w:ascii="Times New Roman" w:hAnsi="Times New Roman"/>
        </w:rPr>
        <w:t>.5 Funnel plot</w:t>
      </w:r>
      <w:bookmarkEnd w:id="17"/>
    </w:p>
    <w:p w14:paraId="64F7FD8B">
      <w:pPr>
        <w:jc w:val="left"/>
        <w:rPr>
          <w:rFonts w:ascii="Times New Roman" w:hAnsi="Times New Roman"/>
        </w:rPr>
      </w:pPr>
      <w:r>
        <w:rPr>
          <w:rFonts w:hint="eastAsia" w:ascii="Times New Roman" w:hAnsi="Times New Roman"/>
        </w:rPr>
        <w:drawing>
          <wp:inline distT="0" distB="0" distL="114300" distR="114300">
            <wp:extent cx="4037965" cy="2907030"/>
            <wp:effectExtent l="0" t="0" r="0" b="0"/>
            <wp:docPr id="28" name="图片 28" descr="/Users/meijingqidemac/Desktop/截屏2026-01-26 21.55.19.png截屏2026-01-26 21.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Users/meijingqidemac/Desktop/截屏2026-01-26 21.55.19.png截屏2026-01-26 21.55.19"/>
                    <pic:cNvPicPr>
                      <a:picLocks noChangeAspect="1"/>
                    </pic:cNvPicPr>
                  </pic:nvPicPr>
                  <pic:blipFill>
                    <a:blip r:embed="rId25"/>
                    <a:srcRect t="-913" b="35"/>
                    <a:stretch>
                      <a:fillRect/>
                    </a:stretch>
                  </pic:blipFill>
                  <pic:spPr>
                    <a:xfrm>
                      <a:off x="0" y="0"/>
                      <a:ext cx="4037965" cy="2907030"/>
                    </a:xfrm>
                    <a:prstGeom prst="rect">
                      <a:avLst/>
                    </a:prstGeom>
                  </pic:spPr>
                </pic:pic>
              </a:graphicData>
            </a:graphic>
          </wp:inline>
        </w:drawing>
      </w:r>
    </w:p>
    <w:p w14:paraId="6D0CF1B7">
      <w:pPr>
        <w:jc w:val="left"/>
        <w:rPr>
          <w:rFonts w:ascii="Times New Roman" w:hAnsi="Times New Roman"/>
          <w:sz w:val="24"/>
        </w:rPr>
      </w:pPr>
      <w:r>
        <w:rPr>
          <w:rFonts w:ascii="Times New Roman Bold" w:hAnsi="Times New Roman Bold" w:cs="Times New Roman Bold"/>
          <w:b/>
          <w:bCs/>
          <w:sz w:val="24"/>
        </w:rPr>
        <w:t>Figure 14</w:t>
      </w:r>
      <w:r>
        <w:rPr>
          <w:rFonts w:hint="eastAsia" w:ascii="Times New Roman" w:hAnsi="Times New Roman"/>
          <w:sz w:val="24"/>
        </w:rPr>
        <w:t xml:space="preserve"> Funnel plot of included literature for hyperactive impulse.</w:t>
      </w:r>
    </w:p>
    <w:p w14:paraId="5E6D3054">
      <w:pPr>
        <w:jc w:val="left"/>
        <w:rPr>
          <w:rFonts w:ascii="Times New Roman" w:hAnsi="Times New Roman"/>
          <w:sz w:val="24"/>
        </w:rPr>
      </w:pPr>
      <w:r>
        <w:rPr>
          <w:rFonts w:ascii="Times New Roman" w:hAnsi="Times New Roman"/>
          <w:sz w:val="24"/>
        </w:rPr>
        <w:t>A=</w:t>
      </w:r>
      <w:r>
        <w:rPr>
          <w:rFonts w:hint="eastAsia" w:ascii="Times New Roman" w:hAnsi="Times New Roman"/>
          <w:sz w:val="24"/>
        </w:rPr>
        <w:t>HI-LF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B=</w:t>
      </w:r>
      <w:r>
        <w:rPr>
          <w:rFonts w:hint="eastAsia" w:ascii="Times New Roman" w:hAnsi="Times New Roman"/>
          <w:sz w:val="24"/>
        </w:rPr>
        <w:t>LI-LF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C=</w:t>
      </w:r>
      <w:r>
        <w:rPr>
          <w:rFonts w:hint="eastAsia" w:ascii="Times New Roman" w:hAnsi="Times New Roman"/>
          <w:sz w:val="24"/>
        </w:rPr>
        <w:t>MI-LF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D=</w:t>
      </w:r>
      <w:r>
        <w:rPr>
          <w:rFonts w:hint="eastAsia" w:ascii="Times New Roman" w:hAnsi="Times New Roman"/>
          <w:sz w:val="24"/>
        </w:rPr>
        <w:t>HI-HF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E=</w:t>
      </w:r>
      <w:r>
        <w:rPr>
          <w:rFonts w:hint="eastAsia" w:ascii="Times New Roman" w:hAnsi="Times New Roman"/>
          <w:sz w:val="24"/>
        </w:rPr>
        <w:t>MI-HF</w:t>
      </w:r>
      <w:r>
        <w:rPr>
          <w:rFonts w:ascii="Times New Roman" w:hAnsi="Times New Roman"/>
          <w:sz w:val="24"/>
        </w:rPr>
        <w:t>,</w:t>
      </w:r>
      <w:r>
        <w:rPr>
          <w:rFonts w:hint="eastAsia" w:ascii="Times New Roman" w:hAnsi="Times New Roman"/>
          <w:sz w:val="24"/>
        </w:rPr>
        <w:t xml:space="preserve"> </w:t>
      </w:r>
      <w:r>
        <w:rPr>
          <w:rFonts w:ascii="Times New Roman" w:hAnsi="Times New Roman"/>
          <w:sz w:val="24"/>
        </w:rPr>
        <w:t>F=UC</w:t>
      </w:r>
    </w:p>
    <w:p w14:paraId="2423591F">
      <w:pPr>
        <w:pStyle w:val="4"/>
        <w:rPr>
          <w:rFonts w:ascii="Times New Roman" w:hAnsi="Times New Roman"/>
          <w:b w:val="0"/>
          <w:bCs/>
          <w:color w:val="000000" w:themeColor="text1"/>
          <w14:textFill>
            <w14:solidFill>
              <w14:schemeClr w14:val="tx1"/>
            </w14:solidFill>
          </w14:textFill>
        </w:rPr>
      </w:pPr>
      <w:r>
        <w:rPr>
          <w:rFonts w:hint="eastAsia" w:ascii="Times New Roman" w:hAnsi="Times New Roman"/>
        </w:rPr>
        <w:t>3</w:t>
      </w:r>
      <w:r>
        <w:rPr>
          <w:rFonts w:ascii="Times New Roman" w:hAnsi="Times New Roman"/>
        </w:rPr>
        <w:t xml:space="preserve"> Subgroup Analysis of Quality of Life</w:t>
      </w:r>
    </w:p>
    <w:p w14:paraId="3FC1BF13">
      <w:pPr>
        <w:spacing w:line="360" w:lineRule="auto"/>
        <w:jc w:val="left"/>
        <w:rPr>
          <w:rFonts w:ascii="Times New Roman" w:hAnsi="Times New Roman"/>
          <w:b/>
          <w:bCs/>
          <w:color w:val="000000" w:themeColor="text1"/>
          <w14:textFill>
            <w14:solidFill>
              <w14:schemeClr w14:val="tx1"/>
            </w14:solidFill>
          </w14:textFill>
        </w:rPr>
      </w:pPr>
      <w:r>
        <w:rPr>
          <w:rFonts w:hint="eastAsia" w:ascii="Times New Roman" w:hAnsi="Times New Roman"/>
          <w:b/>
          <w:bCs/>
          <w:color w:val="000000" w:themeColor="text1"/>
          <w14:textFill>
            <w14:solidFill>
              <w14:schemeClr w14:val="tx1"/>
            </w14:solidFill>
          </w14:textFill>
        </w:rPr>
        <w:drawing>
          <wp:inline distT="0" distB="0" distL="114300" distR="114300">
            <wp:extent cx="3010535" cy="3239770"/>
            <wp:effectExtent l="0" t="0" r="12065" b="11430"/>
            <wp:docPr id="36" name="图片 36" descr="/Users/meijingqidemac/Desktop/截屏2026-05-22 22.07.56.png截屏2026-05-22 22.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Users/meijingqidemac/Desktop/截屏2026-05-22 22.07.56.png截屏2026-05-22 22.07.56"/>
                    <pic:cNvPicPr>
                      <a:picLocks noChangeAspect="1"/>
                    </pic:cNvPicPr>
                  </pic:nvPicPr>
                  <pic:blipFill>
                    <a:blip r:embed="rId26"/>
                    <a:srcRect t="2151" b="2151"/>
                    <a:stretch>
                      <a:fillRect/>
                    </a:stretch>
                  </pic:blipFill>
                  <pic:spPr>
                    <a:xfrm>
                      <a:off x="0" y="0"/>
                      <a:ext cx="3010535" cy="3241702"/>
                    </a:xfrm>
                    <a:prstGeom prst="rect">
                      <a:avLst/>
                    </a:prstGeom>
                  </pic:spPr>
                </pic:pic>
              </a:graphicData>
            </a:graphic>
          </wp:inline>
        </w:drawing>
      </w:r>
    </w:p>
    <w:p w14:paraId="22EA266F">
      <w:pPr>
        <w:spacing w:line="360" w:lineRule="auto"/>
        <w:jc w:val="left"/>
        <w:rPr>
          <w:rFonts w:ascii="Times New Roman" w:hAnsi="Times New Roman"/>
          <w:b/>
          <w:bCs/>
          <w:color w:val="000000" w:themeColor="text1"/>
          <w:sz w:val="24"/>
          <w:szCs w:val="32"/>
          <w14:textFill>
            <w14:solidFill>
              <w14:schemeClr w14:val="tx1"/>
            </w14:solidFill>
          </w14:textFill>
        </w:rPr>
      </w:pPr>
      <w:r>
        <w:rPr>
          <w:rFonts w:hint="eastAsia" w:ascii="Times New Roman" w:hAnsi="Times New Roman"/>
          <w:b/>
          <w:bCs/>
          <w:color w:val="000000" w:themeColor="text1"/>
          <w:sz w:val="24"/>
          <w:szCs w:val="32"/>
          <w14:textFill>
            <w14:solidFill>
              <w14:schemeClr w14:val="tx1"/>
            </w14:solidFill>
          </w14:textFill>
        </w:rPr>
        <w:t>Figure 15. Meta-analysis forest plot for subgroup analysis of intervention measures</w:t>
      </w:r>
    </w:p>
    <w:p w14:paraId="340B1277">
      <w:pPr>
        <w:spacing w:line="360" w:lineRule="auto"/>
        <w:jc w:val="left"/>
        <w:rPr>
          <w:rFonts w:ascii="Times New Roman" w:hAnsi="Times New Roman"/>
          <w:b/>
          <w:bCs/>
          <w:color w:val="000000" w:themeColor="text1"/>
          <w14:textFill>
            <w14:solidFill>
              <w14:schemeClr w14:val="tx1"/>
            </w14:solidFill>
          </w14:textFill>
        </w:rPr>
      </w:pPr>
      <w:r>
        <w:rPr>
          <w:rFonts w:hint="eastAsia" w:ascii="Times New Roman" w:hAnsi="Times New Roman"/>
          <w:b/>
          <w:bCs/>
          <w:color w:val="000000" w:themeColor="text1"/>
          <w14:textFill>
            <w14:solidFill>
              <w14:schemeClr w14:val="tx1"/>
            </w14:solidFill>
          </w14:textFill>
        </w:rPr>
        <w:drawing>
          <wp:inline distT="0" distB="0" distL="114300" distR="114300">
            <wp:extent cx="3105785" cy="3239770"/>
            <wp:effectExtent l="0" t="0" r="18415" b="11430"/>
            <wp:docPr id="39" name="图片 39" descr="/Users/meijingqidemac/Desktop/截屏2026-05-22 21.51.47.png截屏2026-05-22 21.5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Users/meijingqidemac/Desktop/截屏2026-05-22 21.51.47.png截屏2026-05-22 21.51.47"/>
                    <pic:cNvPicPr>
                      <a:picLocks noChangeAspect="1"/>
                    </pic:cNvPicPr>
                  </pic:nvPicPr>
                  <pic:blipFill>
                    <a:blip r:embed="rId27"/>
                    <a:srcRect l="108" r="108"/>
                    <a:stretch>
                      <a:fillRect/>
                    </a:stretch>
                  </pic:blipFill>
                  <pic:spPr>
                    <a:xfrm>
                      <a:off x="0" y="0"/>
                      <a:ext cx="3105785" cy="3239770"/>
                    </a:xfrm>
                    <a:prstGeom prst="rect">
                      <a:avLst/>
                    </a:prstGeom>
                  </pic:spPr>
                </pic:pic>
              </a:graphicData>
            </a:graphic>
          </wp:inline>
        </w:drawing>
      </w:r>
    </w:p>
    <w:p w14:paraId="43E7D9F3">
      <w:pPr>
        <w:spacing w:line="360" w:lineRule="auto"/>
        <w:rPr>
          <w:rFonts w:ascii="Times New Roman" w:hAnsi="Times New Roman"/>
          <w:b/>
          <w:bCs/>
          <w:color w:val="000000" w:themeColor="text1"/>
          <w:sz w:val="24"/>
          <w:szCs w:val="32"/>
          <w14:textFill>
            <w14:solidFill>
              <w14:schemeClr w14:val="tx1"/>
            </w14:solidFill>
          </w14:textFill>
        </w:rPr>
      </w:pPr>
      <w:r>
        <w:rPr>
          <w:rFonts w:hint="eastAsia" w:ascii="Times New Roman" w:hAnsi="Times New Roman"/>
          <w:b/>
          <w:bCs/>
          <w:color w:val="000000" w:themeColor="text1"/>
          <w:sz w:val="24"/>
          <w:szCs w:val="32"/>
          <w14:textFill>
            <w14:solidFill>
              <w14:schemeClr w14:val="tx1"/>
            </w14:solidFill>
          </w14:textFill>
        </w:rPr>
        <w:t>Figure 16: Meta-analysis forest plot for assessment scale subgroups</w:t>
      </w:r>
    </w:p>
    <w:p w14:paraId="651BB1D8">
      <w:pPr>
        <w:spacing w:line="360" w:lineRule="auto"/>
        <w:rPr>
          <w:rFonts w:ascii="Times New Roman" w:hAnsi="Times New Roman"/>
          <w:b/>
          <w:bCs/>
          <w:color w:val="000000" w:themeColor="text1"/>
          <w14:textFill>
            <w14:solidFill>
              <w14:schemeClr w14:val="tx1"/>
            </w14:solidFill>
          </w14:textFill>
        </w:rPr>
      </w:pPr>
    </w:p>
    <w:p w14:paraId="2EE263F9">
      <w:pPr>
        <w:spacing w:line="360" w:lineRule="auto"/>
        <w:jc w:val="left"/>
        <w:rPr>
          <w:rFonts w:ascii="Times New Roman" w:hAnsi="Times New Roman"/>
          <w:b/>
          <w:bCs/>
          <w:color w:val="000000" w:themeColor="text1"/>
          <w14:textFill>
            <w14:solidFill>
              <w14:schemeClr w14:val="tx1"/>
            </w14:solidFill>
          </w14:textFill>
        </w:rPr>
      </w:pPr>
      <w:r>
        <w:rPr>
          <w:rFonts w:hint="eastAsia" w:ascii="Times New Roman" w:hAnsi="Times New Roman"/>
          <w:b/>
          <w:bCs/>
          <w:color w:val="000000" w:themeColor="text1"/>
          <w14:textFill>
            <w14:solidFill>
              <w14:schemeClr w14:val="tx1"/>
            </w14:solidFill>
          </w14:textFill>
        </w:rPr>
        <w:drawing>
          <wp:inline distT="0" distB="0" distL="114300" distR="114300">
            <wp:extent cx="3128645" cy="2791460"/>
            <wp:effectExtent l="0" t="0" r="20955" b="2540"/>
            <wp:docPr id="41" name="图片 41" descr="/Users/meijingqidemac/Desktop/截屏2026-05-22 21.49.55.png截屏2026-05-22 21.4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Users/meijingqidemac/Desktop/截屏2026-05-22 21.49.55.png截屏2026-05-22 21.49.55"/>
                    <pic:cNvPicPr>
                      <a:picLocks noChangeAspect="1"/>
                    </pic:cNvPicPr>
                  </pic:nvPicPr>
                  <pic:blipFill>
                    <a:blip r:embed="rId28"/>
                    <a:srcRect l="377" t="267" r="1029"/>
                    <a:stretch>
                      <a:fillRect/>
                    </a:stretch>
                  </pic:blipFill>
                  <pic:spPr>
                    <a:xfrm>
                      <a:off x="0" y="0"/>
                      <a:ext cx="3128645" cy="2791460"/>
                    </a:xfrm>
                    <a:prstGeom prst="rect">
                      <a:avLst/>
                    </a:prstGeom>
                  </pic:spPr>
                </pic:pic>
              </a:graphicData>
            </a:graphic>
          </wp:inline>
        </w:drawing>
      </w:r>
    </w:p>
    <w:p w14:paraId="7D9A0B43">
      <w:pPr>
        <w:spacing w:line="360" w:lineRule="auto"/>
        <w:rPr>
          <w:rFonts w:ascii="Times New Roman" w:hAnsi="Times New Roman"/>
          <w:b/>
          <w:bCs/>
          <w:color w:val="000000" w:themeColor="text1"/>
          <w:sz w:val="24"/>
          <w:szCs w:val="32"/>
          <w14:textFill>
            <w14:solidFill>
              <w14:schemeClr w14:val="tx1"/>
            </w14:solidFill>
          </w14:textFill>
        </w:rPr>
      </w:pPr>
      <w:r>
        <w:rPr>
          <w:rFonts w:hint="eastAsia" w:ascii="Times New Roman" w:hAnsi="Times New Roman"/>
          <w:b/>
          <w:bCs/>
          <w:color w:val="000000" w:themeColor="text1"/>
          <w:sz w:val="24"/>
          <w:szCs w:val="32"/>
          <w14:textFill>
            <w14:solidFill>
              <w14:schemeClr w14:val="tx1"/>
            </w14:solidFill>
          </w14:textFill>
        </w:rPr>
        <w:t>Figure 17: Meta-analysis forest plot for questionnaire type subgroups</w:t>
      </w:r>
    </w:p>
    <w:p w14:paraId="2BD5B528">
      <w:pPr>
        <w:spacing w:line="360" w:lineRule="auto"/>
        <w:rPr>
          <w:rFonts w:ascii="Times New Roman" w:hAnsi="Times New Roman"/>
          <w:b/>
          <w:bCs/>
          <w:color w:val="000000" w:themeColor="text1"/>
          <w:sz w:val="24"/>
          <w:szCs w:val="32"/>
          <w14:textFill>
            <w14:solidFill>
              <w14:schemeClr w14:val="tx1"/>
            </w14:solidFill>
          </w14:textFill>
        </w:rPr>
      </w:pPr>
    </w:p>
    <w:p w14:paraId="3DC133A5">
      <w:pPr>
        <w:jc w:val="left"/>
        <w:rPr>
          <w:rFonts w:ascii="Times New Roman Regular" w:hAnsi="Times New Roman Regular" w:cs="Times New Roman Regular"/>
          <w:sz w:val="24"/>
        </w:rPr>
      </w:pPr>
      <w:r>
        <w:rPr>
          <w:rFonts w:hint="eastAsia" w:ascii="Times New Roman Regular" w:hAnsi="Times New Roman Regular" w:cs="Times New Roman Regular"/>
          <w:sz w:val="24"/>
        </w:rPr>
        <w:drawing>
          <wp:inline distT="0" distB="0" distL="114300" distR="114300">
            <wp:extent cx="3571240" cy="3738880"/>
            <wp:effectExtent l="0" t="0" r="10160" b="20320"/>
            <wp:docPr id="42" name="图片 42" descr="/Users/meijingqidemac/Desktop/截屏2026-05-22 21.48.11.png截屏2026-05-22 21.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Users/meijingqidemac/Desktop/截屏2026-05-22 21.48.11.png截屏2026-05-22 21.48.11"/>
                    <pic:cNvPicPr>
                      <a:picLocks noChangeAspect="1"/>
                    </pic:cNvPicPr>
                  </pic:nvPicPr>
                  <pic:blipFill>
                    <a:blip r:embed="rId29"/>
                    <a:srcRect t="1112" b="422"/>
                    <a:stretch>
                      <a:fillRect/>
                    </a:stretch>
                  </pic:blipFill>
                  <pic:spPr>
                    <a:xfrm>
                      <a:off x="0" y="0"/>
                      <a:ext cx="3571240" cy="3738880"/>
                    </a:xfrm>
                    <a:prstGeom prst="rect">
                      <a:avLst/>
                    </a:prstGeom>
                    <a:ln>
                      <a:noFill/>
                    </a:ln>
                  </pic:spPr>
                </pic:pic>
              </a:graphicData>
            </a:graphic>
          </wp:inline>
        </w:drawing>
      </w:r>
    </w:p>
    <w:p w14:paraId="6196A56C">
      <w:pPr>
        <w:spacing w:line="360" w:lineRule="auto"/>
        <w:rPr>
          <w:rFonts w:ascii="Times New Roman" w:hAnsi="Times New Roman"/>
          <w:b/>
          <w:bCs/>
          <w:color w:val="000000" w:themeColor="text1"/>
          <w:sz w:val="24"/>
          <w:szCs w:val="32"/>
          <w14:textFill>
            <w14:solidFill>
              <w14:schemeClr w14:val="tx1"/>
            </w14:solidFill>
          </w14:textFill>
        </w:rPr>
      </w:pPr>
      <w:r>
        <w:rPr>
          <w:rFonts w:hint="eastAsia" w:ascii="Times New Roman Regular" w:hAnsi="Times New Roman Regular" w:cs="Times New Roman Regular"/>
          <w:sz w:val="32"/>
          <w:szCs w:val="32"/>
        </w:rPr>
        <w:t xml:space="preserve"> </w:t>
      </w:r>
      <w:r>
        <w:rPr>
          <w:rFonts w:ascii="Times New Roman" w:hAnsi="Times New Roman"/>
          <w:b/>
          <w:bCs/>
          <w:color w:val="000000" w:themeColor="text1"/>
          <w:sz w:val="24"/>
          <w:szCs w:val="32"/>
          <w14:textFill>
            <w14:solidFill>
              <w14:schemeClr w14:val="tx1"/>
            </w14:solidFill>
          </w14:textFill>
        </w:rPr>
        <w:t xml:space="preserve">Figure </w:t>
      </w:r>
      <w:r>
        <w:rPr>
          <w:rFonts w:hint="eastAsia" w:ascii="Times New Roman" w:hAnsi="Times New Roman"/>
          <w:b/>
          <w:bCs/>
          <w:color w:val="000000" w:themeColor="text1"/>
          <w:sz w:val="24"/>
          <w:szCs w:val="32"/>
          <w14:textFill>
            <w14:solidFill>
              <w14:schemeClr w14:val="tx1"/>
            </w14:solidFill>
          </w14:textFill>
        </w:rPr>
        <w:t>18</w:t>
      </w:r>
      <w:r>
        <w:rPr>
          <w:rFonts w:ascii="Times New Roman" w:hAnsi="Times New Roman"/>
          <w:b/>
          <w:bCs/>
          <w:color w:val="000000" w:themeColor="text1"/>
          <w:sz w:val="24"/>
          <w:szCs w:val="32"/>
          <w14:textFill>
            <w14:solidFill>
              <w14:schemeClr w14:val="tx1"/>
            </w14:solidFill>
          </w14:textFill>
        </w:rPr>
        <w:t xml:space="preserve">. </w:t>
      </w:r>
      <w:r>
        <w:rPr>
          <w:rFonts w:hint="eastAsia" w:ascii="Times New Roman" w:hAnsi="Times New Roman"/>
          <w:b/>
          <w:bCs/>
          <w:color w:val="000000" w:themeColor="text1"/>
          <w:sz w:val="24"/>
          <w:szCs w:val="32"/>
          <w14:textFill>
            <w14:solidFill>
              <w14:schemeClr w14:val="tx1"/>
            </w14:solidFill>
          </w14:textFill>
        </w:rPr>
        <w:t>Meta-analysis forest plot for subgroup analysis of Cancer types</w:t>
      </w:r>
    </w:p>
    <w:p w14:paraId="1450DC2E">
      <w:pPr>
        <w:jc w:val="left"/>
        <w:rPr>
          <w:rFonts w:ascii="Times New Roman Regular" w:hAnsi="Times New Roman Regular" w:cs="Times New Roman Regular"/>
          <w:sz w:val="24"/>
        </w:rPr>
      </w:pPr>
      <w:r>
        <w:rPr>
          <w:rFonts w:hint="eastAsia" w:ascii="Times New Roman Regular" w:hAnsi="Times New Roman Regular" w:cs="Times New Roman Regular"/>
          <w:sz w:val="24"/>
        </w:rPr>
        <w:drawing>
          <wp:inline distT="0" distB="0" distL="114300" distR="114300">
            <wp:extent cx="3248660" cy="3284220"/>
            <wp:effectExtent l="0" t="0" r="2540" b="17780"/>
            <wp:docPr id="40" name="图片 40" descr="/Users/meijingqidemac/Desktop/截屏2026-05-22 21.45.33.png截屏2026-05-22 21.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Users/meijingqidemac/Desktop/截屏2026-05-22 21.45.33.png截屏2026-05-22 21.45.33"/>
                    <pic:cNvPicPr>
                      <a:picLocks noChangeAspect="1"/>
                    </pic:cNvPicPr>
                  </pic:nvPicPr>
                  <pic:blipFill>
                    <a:blip r:embed="rId30"/>
                    <a:srcRect l="236" r="461"/>
                    <a:stretch>
                      <a:fillRect/>
                    </a:stretch>
                  </pic:blipFill>
                  <pic:spPr>
                    <a:xfrm>
                      <a:off x="0" y="0"/>
                      <a:ext cx="3248660" cy="3284220"/>
                    </a:xfrm>
                    <a:prstGeom prst="rect">
                      <a:avLst/>
                    </a:prstGeom>
                  </pic:spPr>
                </pic:pic>
              </a:graphicData>
            </a:graphic>
          </wp:inline>
        </w:drawing>
      </w:r>
    </w:p>
    <w:p w14:paraId="755A3FB0">
      <w:pPr>
        <w:spacing w:line="360" w:lineRule="auto"/>
        <w:rPr>
          <w:rFonts w:ascii="Times New Roman" w:hAnsi="Times New Roman"/>
          <w:b/>
          <w:bCs/>
          <w:color w:val="000000" w:themeColor="text1"/>
          <w:sz w:val="24"/>
          <w:szCs w:val="32"/>
          <w14:textFill>
            <w14:solidFill>
              <w14:schemeClr w14:val="tx1"/>
            </w14:solidFill>
          </w14:textFill>
        </w:rPr>
      </w:pPr>
      <w:r>
        <w:rPr>
          <w:rFonts w:hint="eastAsia" w:ascii="Times New Roman" w:hAnsi="Times New Roman"/>
          <w:b/>
          <w:bCs/>
          <w:color w:val="000000" w:themeColor="text1"/>
          <w:sz w:val="24"/>
          <w:szCs w:val="32"/>
          <w14:textFill>
            <w14:solidFill>
              <w14:schemeClr w14:val="tx1"/>
            </w14:solidFill>
          </w14:textFill>
        </w:rPr>
        <w:t>Figure 19: Meta-analysis forest plot for the treatment phase subgroup</w:t>
      </w:r>
    </w:p>
    <w:p w14:paraId="21406BAE">
      <w:pPr>
        <w:spacing w:line="360" w:lineRule="auto"/>
        <w:rPr>
          <w:rFonts w:ascii="Times New Roman" w:hAnsi="Times New Roman"/>
          <w:b/>
          <w:bCs/>
          <w:color w:val="000000" w:themeColor="text1"/>
          <w:sz w:val="24"/>
          <w:szCs w:val="32"/>
          <w14:textFill>
            <w14:solidFill>
              <w14:schemeClr w14:val="tx1"/>
            </w14:solidFill>
          </w14:textFill>
        </w:rPr>
      </w:pPr>
    </w:p>
    <w:p w14:paraId="02979CB5">
      <w:pPr>
        <w:spacing w:line="360" w:lineRule="auto"/>
        <w:rPr>
          <w:rFonts w:ascii="Times New Roman" w:hAnsi="Times New Roman"/>
          <w:b/>
          <w:bCs/>
          <w:color w:val="000000" w:themeColor="text1"/>
          <w:sz w:val="24"/>
          <w:szCs w:val="32"/>
          <w14:textFill>
            <w14:solidFill>
              <w14:schemeClr w14:val="tx1"/>
            </w14:solidFill>
          </w14:textFill>
        </w:rPr>
      </w:pPr>
    </w:p>
    <w:p w14:paraId="3AA31D36">
      <w:pPr>
        <w:spacing w:line="360" w:lineRule="auto"/>
        <w:rPr>
          <w:rFonts w:ascii="Times New Roman" w:hAnsi="Times New Roman"/>
          <w:b/>
          <w:bCs/>
          <w:color w:val="000000" w:themeColor="text1"/>
          <w:sz w:val="24"/>
          <w:szCs w:val="32"/>
          <w14:textFill>
            <w14:solidFill>
              <w14:schemeClr w14:val="tx1"/>
            </w14:solidFill>
          </w14:textFill>
        </w:rPr>
      </w:pPr>
    </w:p>
    <w:p w14:paraId="69BC16CA">
      <w:pPr>
        <w:spacing w:line="360" w:lineRule="auto"/>
        <w:rPr>
          <w:rFonts w:ascii="Times New Roman" w:hAnsi="Times New Roman"/>
          <w:b/>
          <w:bCs/>
          <w:color w:val="000000" w:themeColor="text1"/>
          <w:sz w:val="24"/>
          <w:szCs w:val="32"/>
          <w14:textFill>
            <w14:solidFill>
              <w14:schemeClr w14:val="tx1"/>
            </w14:solidFill>
          </w14:textFill>
        </w:rPr>
      </w:pPr>
    </w:p>
    <w:p w14:paraId="49291115">
      <w:pPr>
        <w:spacing w:line="360" w:lineRule="auto"/>
        <w:rPr>
          <w:rFonts w:ascii="Times New Roman" w:hAnsi="Times New Roman"/>
          <w:b/>
          <w:bCs/>
          <w:color w:val="000000" w:themeColor="text1"/>
          <w:sz w:val="24"/>
          <w:szCs w:val="32"/>
          <w14:textFill>
            <w14:solidFill>
              <w14:schemeClr w14:val="tx1"/>
            </w14:solidFill>
          </w14:textFill>
        </w:rPr>
      </w:pPr>
    </w:p>
    <w:p w14:paraId="5CE63527">
      <w:pPr>
        <w:spacing w:line="360" w:lineRule="auto"/>
        <w:rPr>
          <w:rFonts w:ascii="Times New Roman" w:hAnsi="Times New Roman"/>
          <w:b/>
          <w:bCs/>
          <w:color w:val="000000" w:themeColor="text1"/>
          <w:sz w:val="24"/>
          <w:szCs w:val="32"/>
          <w14:textFill>
            <w14:solidFill>
              <w14:schemeClr w14:val="tx1"/>
            </w14:solidFill>
          </w14:textFill>
        </w:rPr>
      </w:pPr>
    </w:p>
    <w:p w14:paraId="42C21D47">
      <w:pPr>
        <w:pStyle w:val="4"/>
        <w:rPr>
          <w:rFonts w:ascii="Times New Roman" w:hAnsi="Times New Roman"/>
          <w:b w:val="0"/>
          <w:bCs/>
          <w:color w:val="000000" w:themeColor="text1"/>
          <w14:textFill>
            <w14:solidFill>
              <w14:schemeClr w14:val="tx1"/>
            </w14:solidFill>
          </w14:textFill>
        </w:rPr>
      </w:pPr>
      <w:r>
        <w:rPr>
          <w:rFonts w:hint="eastAsia" w:ascii="Times New Roman" w:hAnsi="Times New Roman"/>
        </w:rPr>
        <w:t>4</w:t>
      </w:r>
      <w:r>
        <w:rPr>
          <w:rFonts w:ascii="Times New Roman" w:hAnsi="Times New Roman"/>
        </w:rPr>
        <w:t xml:space="preserve"> Subgroup Analysis of Fatigue</w:t>
      </w:r>
    </w:p>
    <w:p w14:paraId="557AFDAD">
      <w:pPr>
        <w:jc w:val="left"/>
        <w:rPr>
          <w:rFonts w:ascii="Times New Roman Regular" w:hAnsi="Times New Roman Regular" w:cs="Times New Roman Regular"/>
          <w:sz w:val="24"/>
        </w:rPr>
      </w:pPr>
      <w:r>
        <w:rPr>
          <w:rFonts w:hint="eastAsia" w:ascii="Times New Roman Regular" w:hAnsi="Times New Roman Regular" w:cs="Times New Roman Regular"/>
          <w:sz w:val="24"/>
        </w:rPr>
        <w:drawing>
          <wp:inline distT="0" distB="0" distL="114300" distR="114300">
            <wp:extent cx="2933065" cy="2879090"/>
            <wp:effectExtent l="0" t="0" r="13335" b="16510"/>
            <wp:docPr id="43" name="图片 43" descr="/Users/meijingqidemac/Desktop/截屏2026-05-10 10.48.15.png截屏2026-05-10 10.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Users/meijingqidemac/Desktop/截屏2026-05-10 10.48.15.png截屏2026-05-10 10.48.15"/>
                    <pic:cNvPicPr>
                      <a:picLocks noChangeAspect="1"/>
                    </pic:cNvPicPr>
                  </pic:nvPicPr>
                  <pic:blipFill>
                    <a:blip r:embed="rId31"/>
                    <a:srcRect l="-988" r="1827"/>
                    <a:stretch>
                      <a:fillRect/>
                    </a:stretch>
                  </pic:blipFill>
                  <pic:spPr>
                    <a:xfrm>
                      <a:off x="0" y="0"/>
                      <a:ext cx="2933065" cy="2879090"/>
                    </a:xfrm>
                    <a:prstGeom prst="rect">
                      <a:avLst/>
                    </a:prstGeom>
                  </pic:spPr>
                </pic:pic>
              </a:graphicData>
            </a:graphic>
          </wp:inline>
        </w:drawing>
      </w:r>
    </w:p>
    <w:p w14:paraId="6BF1D6EB">
      <w:pPr>
        <w:rPr>
          <w:rFonts w:ascii="Times New Roman Regular" w:hAnsi="Times New Roman Regular" w:cs="Times New Roman Regular"/>
          <w:b/>
          <w:bCs/>
          <w:sz w:val="24"/>
        </w:rPr>
      </w:pPr>
      <w:r>
        <w:rPr>
          <w:rFonts w:hint="eastAsia" w:ascii="Times New Roman Regular" w:hAnsi="Times New Roman Regular" w:cs="Times New Roman Regular"/>
          <w:b/>
          <w:bCs/>
          <w:sz w:val="24"/>
        </w:rPr>
        <w:t>Figure 20: Meta-analysis forest plot for questionnaire type subgroups</w:t>
      </w:r>
    </w:p>
    <w:p w14:paraId="2FC9B794">
      <w:pPr>
        <w:rPr>
          <w:rFonts w:ascii="Times New Roman Regular" w:hAnsi="Times New Roman Regular" w:cs="Times New Roman Regular"/>
          <w:b/>
          <w:bCs/>
          <w:sz w:val="24"/>
        </w:rPr>
      </w:pPr>
    </w:p>
    <w:p w14:paraId="559357F7">
      <w:pPr>
        <w:jc w:val="left"/>
        <w:rPr>
          <w:rFonts w:ascii="Times New Roman Regular" w:hAnsi="Times New Roman Regular" w:cs="Times New Roman Regular"/>
          <w:sz w:val="24"/>
        </w:rPr>
      </w:pPr>
      <w:r>
        <w:rPr>
          <w:rFonts w:hint="eastAsia" w:ascii="Times New Roman Regular" w:hAnsi="Times New Roman Regular" w:cs="Times New Roman Regular"/>
          <w:sz w:val="24"/>
        </w:rPr>
        <w:drawing>
          <wp:inline distT="0" distB="0" distL="114300" distR="114300">
            <wp:extent cx="3194050" cy="3195955"/>
            <wp:effectExtent l="0" t="0" r="6350" b="4445"/>
            <wp:docPr id="2" name="图片 2" descr="/Users/meijingqidemac/Desktop/截屏2026-05-10 10.50.57.png截屏2026-05-10 10.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sers/meijingqidemac/Desktop/截屏2026-05-10 10.50.57.png截屏2026-05-10 10.50.57"/>
                    <pic:cNvPicPr>
                      <a:picLocks noChangeAspect="1"/>
                    </pic:cNvPicPr>
                  </pic:nvPicPr>
                  <pic:blipFill>
                    <a:blip r:embed="rId32"/>
                    <a:srcRect t="-517" b="300"/>
                    <a:stretch>
                      <a:fillRect/>
                    </a:stretch>
                  </pic:blipFill>
                  <pic:spPr>
                    <a:xfrm>
                      <a:off x="0" y="0"/>
                      <a:ext cx="3194050" cy="3195955"/>
                    </a:xfrm>
                    <a:prstGeom prst="rect">
                      <a:avLst/>
                    </a:prstGeom>
                  </pic:spPr>
                </pic:pic>
              </a:graphicData>
            </a:graphic>
          </wp:inline>
        </w:drawing>
      </w:r>
    </w:p>
    <w:p w14:paraId="21767073">
      <w:pPr>
        <w:rPr>
          <w:rFonts w:ascii="Times New Roman Regular" w:hAnsi="Times New Roman Regular" w:cs="Times New Roman Regular"/>
          <w:b/>
          <w:bCs/>
          <w:sz w:val="24"/>
        </w:rPr>
      </w:pPr>
      <w:r>
        <w:rPr>
          <w:rFonts w:hint="eastAsia" w:ascii="Times New Roman Regular" w:hAnsi="Times New Roman Regular" w:cs="Times New Roman Regular"/>
          <w:b/>
          <w:bCs/>
          <w:sz w:val="24"/>
        </w:rPr>
        <w:t>Figure 21: Meta-analysis forest plot for assessment scale subgroups</w:t>
      </w:r>
    </w:p>
    <w:p w14:paraId="7BC14A9C">
      <w:pPr>
        <w:jc w:val="left"/>
        <w:rPr>
          <w:rFonts w:ascii="Times New Roman Regular" w:hAnsi="Times New Roman Regular" w:cs="Times New Roman Regular"/>
          <w:sz w:val="24"/>
        </w:rPr>
      </w:pPr>
      <w:r>
        <w:rPr>
          <w:rFonts w:hint="eastAsia" w:ascii="Times New Roman Regular" w:hAnsi="Times New Roman Regular" w:cs="Times New Roman Regular"/>
          <w:sz w:val="24"/>
        </w:rPr>
        <w:drawing>
          <wp:inline distT="0" distB="0" distL="114300" distR="114300">
            <wp:extent cx="3203575" cy="3239770"/>
            <wp:effectExtent l="0" t="0" r="22225" b="11430"/>
            <wp:docPr id="45" name="图片 45" descr="/Users/meijingqidemac/Desktop/截屏2026-01-27 22.53.28.png截屏2026-01-27 22.5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Users/meijingqidemac/Desktop/截屏2026-01-27 22.53.28.png截屏2026-01-27 22.53.28"/>
                    <pic:cNvPicPr>
                      <a:picLocks noChangeAspect="1"/>
                    </pic:cNvPicPr>
                  </pic:nvPicPr>
                  <pic:blipFill>
                    <a:blip r:embed="rId33"/>
                    <a:srcRect l="751" r="751"/>
                    <a:stretch>
                      <a:fillRect/>
                    </a:stretch>
                  </pic:blipFill>
                  <pic:spPr>
                    <a:xfrm>
                      <a:off x="0" y="0"/>
                      <a:ext cx="3203575" cy="3239770"/>
                    </a:xfrm>
                    <a:prstGeom prst="rect">
                      <a:avLst/>
                    </a:prstGeom>
                  </pic:spPr>
                </pic:pic>
              </a:graphicData>
            </a:graphic>
          </wp:inline>
        </w:drawing>
      </w:r>
    </w:p>
    <w:p w14:paraId="42EAEA57">
      <w:pPr>
        <w:jc w:val="left"/>
        <w:rPr>
          <w:rFonts w:ascii="Times New Roman" w:hAnsi="Times New Roman"/>
          <w:b/>
          <w:bCs/>
          <w:color w:val="000000" w:themeColor="text1"/>
          <w:sz w:val="24"/>
          <w:szCs w:val="32"/>
          <w14:textFill>
            <w14:solidFill>
              <w14:schemeClr w14:val="tx1"/>
            </w14:solidFill>
          </w14:textFill>
        </w:rPr>
      </w:pPr>
      <w:r>
        <w:rPr>
          <w:rFonts w:hint="eastAsia" w:ascii="Times New Roman" w:hAnsi="Times New Roman"/>
          <w:b/>
          <w:bCs/>
          <w:color w:val="000000" w:themeColor="text1"/>
          <w:sz w:val="24"/>
          <w:szCs w:val="32"/>
          <w14:textFill>
            <w14:solidFill>
              <w14:schemeClr w14:val="tx1"/>
            </w14:solidFill>
          </w14:textFill>
        </w:rPr>
        <w:t>Figure 22: Meta-analysis forest plot for the treatment phase subgroup</w:t>
      </w:r>
    </w:p>
    <w:p w14:paraId="2620FB25">
      <w:pPr>
        <w:jc w:val="left"/>
        <w:rPr>
          <w:rFonts w:ascii="Times New Roman" w:hAnsi="Times New Roman"/>
          <w:b/>
          <w:bCs/>
          <w:color w:val="000000" w:themeColor="text1"/>
          <w:sz w:val="24"/>
          <w:szCs w:val="32"/>
          <w14:textFill>
            <w14:solidFill>
              <w14:schemeClr w14:val="tx1"/>
            </w14:solidFill>
          </w14:textFill>
        </w:rPr>
      </w:pPr>
    </w:p>
    <w:p w14:paraId="766E3462">
      <w:pPr>
        <w:spacing w:line="360" w:lineRule="auto"/>
        <w:jc w:val="left"/>
        <w:rPr>
          <w:rFonts w:ascii="Times New Roman" w:hAnsi="Times New Roman"/>
          <w:b/>
          <w:bCs/>
          <w:color w:val="000000" w:themeColor="text1"/>
          <w14:textFill>
            <w14:solidFill>
              <w14:schemeClr w14:val="tx1"/>
            </w14:solidFill>
          </w14:textFill>
        </w:rPr>
      </w:pPr>
      <w:r>
        <w:rPr>
          <w:rFonts w:hint="eastAsia" w:ascii="Times New Roman" w:hAnsi="Times New Roman"/>
          <w:b/>
          <w:bCs/>
          <w:color w:val="000000" w:themeColor="text1"/>
          <w14:textFill>
            <w14:solidFill>
              <w14:schemeClr w14:val="tx1"/>
            </w14:solidFill>
          </w14:textFill>
        </w:rPr>
        <w:drawing>
          <wp:inline distT="0" distB="0" distL="114300" distR="114300">
            <wp:extent cx="3159125" cy="3239770"/>
            <wp:effectExtent l="0" t="0" r="15875" b="11430"/>
            <wp:docPr id="48" name="图片 48" descr="/Users/meijingqidemac/Desktop/截屏2026-01-27 22.54.48.png截屏2026-01-27 22.5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Users/meijingqidemac/Desktop/截屏2026-01-27 22.54.48.png截屏2026-01-27 22.54.48"/>
                    <pic:cNvPicPr>
                      <a:picLocks noChangeAspect="1"/>
                    </pic:cNvPicPr>
                  </pic:nvPicPr>
                  <pic:blipFill>
                    <a:blip r:embed="rId34"/>
                    <a:srcRect l="1027" r="1027"/>
                    <a:stretch>
                      <a:fillRect/>
                    </a:stretch>
                  </pic:blipFill>
                  <pic:spPr>
                    <a:xfrm>
                      <a:off x="0" y="0"/>
                      <a:ext cx="3159125" cy="3239770"/>
                    </a:xfrm>
                    <a:prstGeom prst="rect">
                      <a:avLst/>
                    </a:prstGeom>
                  </pic:spPr>
                </pic:pic>
              </a:graphicData>
            </a:graphic>
          </wp:inline>
        </w:drawing>
      </w:r>
    </w:p>
    <w:p w14:paraId="0CBB05F8">
      <w:pPr>
        <w:spacing w:line="360" w:lineRule="auto"/>
        <w:rPr>
          <w:rFonts w:ascii="Times New Roman" w:hAnsi="Times New Roman"/>
          <w:b/>
          <w:bCs/>
          <w:color w:val="000000" w:themeColor="text1"/>
          <w:sz w:val="24"/>
          <w:szCs w:val="32"/>
          <w14:textFill>
            <w14:solidFill>
              <w14:schemeClr w14:val="tx1"/>
            </w14:solidFill>
          </w14:textFill>
        </w:rPr>
      </w:pPr>
      <w:r>
        <w:rPr>
          <w:rFonts w:ascii="Times New Roman" w:hAnsi="Times New Roman"/>
          <w:b/>
          <w:bCs/>
          <w:color w:val="000000" w:themeColor="text1"/>
          <w:sz w:val="24"/>
          <w:szCs w:val="32"/>
          <w14:textFill>
            <w14:solidFill>
              <w14:schemeClr w14:val="tx1"/>
            </w14:solidFill>
          </w14:textFill>
        </w:rPr>
        <w:t xml:space="preserve">Figure </w:t>
      </w:r>
      <w:r>
        <w:rPr>
          <w:rFonts w:hint="eastAsia" w:ascii="Times New Roman" w:hAnsi="Times New Roman"/>
          <w:b/>
          <w:bCs/>
          <w:color w:val="000000" w:themeColor="text1"/>
          <w:sz w:val="24"/>
          <w:szCs w:val="32"/>
          <w14:textFill>
            <w14:solidFill>
              <w14:schemeClr w14:val="tx1"/>
            </w14:solidFill>
          </w14:textFill>
        </w:rPr>
        <w:t>2</w:t>
      </w:r>
      <w:r>
        <w:rPr>
          <w:rFonts w:ascii="Times New Roman" w:hAnsi="Times New Roman"/>
          <w:b/>
          <w:bCs/>
          <w:color w:val="000000" w:themeColor="text1"/>
          <w:sz w:val="24"/>
          <w:szCs w:val="32"/>
          <w14:textFill>
            <w14:solidFill>
              <w14:schemeClr w14:val="tx1"/>
            </w14:solidFill>
          </w14:textFill>
        </w:rPr>
        <w:t xml:space="preserve">3. </w:t>
      </w:r>
      <w:r>
        <w:rPr>
          <w:rFonts w:hint="eastAsia" w:ascii="Times New Roman" w:hAnsi="Times New Roman"/>
          <w:b/>
          <w:bCs/>
          <w:color w:val="000000" w:themeColor="text1"/>
          <w:sz w:val="24"/>
          <w:szCs w:val="32"/>
          <w14:textFill>
            <w14:solidFill>
              <w14:schemeClr w14:val="tx1"/>
            </w14:solidFill>
          </w14:textFill>
        </w:rPr>
        <w:t>Meta-analysis forest plot for subgroup analysis of Cancer types</w:t>
      </w:r>
    </w:p>
    <w:p w14:paraId="3837CDF9">
      <w:pPr>
        <w:spacing w:line="360" w:lineRule="auto"/>
        <w:jc w:val="left"/>
        <w:rPr>
          <w:rFonts w:ascii="Times New Roman" w:hAnsi="Times New Roman"/>
          <w:b/>
          <w:bCs/>
          <w:color w:val="000000" w:themeColor="text1"/>
          <w14:textFill>
            <w14:solidFill>
              <w14:schemeClr w14:val="tx1"/>
            </w14:solidFill>
          </w14:textFill>
        </w:rPr>
      </w:pPr>
      <w:r>
        <w:rPr>
          <w:rFonts w:hint="eastAsia" w:ascii="Times New Roman" w:hAnsi="Times New Roman"/>
          <w:b/>
          <w:bCs/>
          <w:color w:val="000000" w:themeColor="text1"/>
          <w14:textFill>
            <w14:solidFill>
              <w14:schemeClr w14:val="tx1"/>
            </w14:solidFill>
          </w14:textFill>
        </w:rPr>
        <w:drawing>
          <wp:inline distT="0" distB="0" distL="114300" distR="114300">
            <wp:extent cx="3233420" cy="3239770"/>
            <wp:effectExtent l="0" t="0" r="17780" b="11430"/>
            <wp:docPr id="47" name="图片 47" descr="/Users/meijingqidemac/Desktop/截屏2026-05-10 10.43.32.png截屏2026-05-10 10.4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Users/meijingqidemac/Desktop/截屏2026-05-10 10.43.32.png截屏2026-05-10 10.43.32"/>
                    <pic:cNvPicPr>
                      <a:picLocks noChangeAspect="1"/>
                    </pic:cNvPicPr>
                  </pic:nvPicPr>
                  <pic:blipFill>
                    <a:blip r:embed="rId35"/>
                    <a:srcRect l="598" r="598"/>
                    <a:stretch>
                      <a:fillRect/>
                    </a:stretch>
                  </pic:blipFill>
                  <pic:spPr>
                    <a:xfrm>
                      <a:off x="0" y="0"/>
                      <a:ext cx="3233420" cy="3239770"/>
                    </a:xfrm>
                    <a:prstGeom prst="rect">
                      <a:avLst/>
                    </a:prstGeom>
                  </pic:spPr>
                </pic:pic>
              </a:graphicData>
            </a:graphic>
          </wp:inline>
        </w:drawing>
      </w:r>
    </w:p>
    <w:p w14:paraId="4F44B919">
      <w:pPr>
        <w:spacing w:line="360" w:lineRule="auto"/>
        <w:rPr>
          <w:rFonts w:ascii="Times New Roman" w:hAnsi="Times New Roman"/>
          <w:b/>
          <w:bCs/>
          <w:color w:val="000000" w:themeColor="text1"/>
          <w:sz w:val="24"/>
          <w:szCs w:val="32"/>
          <w14:textFill>
            <w14:solidFill>
              <w14:schemeClr w14:val="tx1"/>
            </w14:solidFill>
          </w14:textFill>
        </w:rPr>
      </w:pPr>
      <w:r>
        <w:rPr>
          <w:rFonts w:ascii="Times New Roman" w:hAnsi="Times New Roman"/>
          <w:b/>
          <w:bCs/>
          <w:color w:val="000000" w:themeColor="text1"/>
          <w:sz w:val="24"/>
          <w:szCs w:val="32"/>
          <w14:textFill>
            <w14:solidFill>
              <w14:schemeClr w14:val="tx1"/>
            </w14:solidFill>
          </w14:textFill>
        </w:rPr>
        <w:t xml:space="preserve">Figure </w:t>
      </w:r>
      <w:r>
        <w:rPr>
          <w:rFonts w:hint="eastAsia" w:ascii="Times New Roman" w:hAnsi="Times New Roman"/>
          <w:b/>
          <w:bCs/>
          <w:color w:val="000000" w:themeColor="text1"/>
          <w:sz w:val="24"/>
          <w:szCs w:val="32"/>
          <w14:textFill>
            <w14:solidFill>
              <w14:schemeClr w14:val="tx1"/>
            </w14:solidFill>
          </w14:textFill>
        </w:rPr>
        <w:t>24</w:t>
      </w:r>
      <w:r>
        <w:rPr>
          <w:rFonts w:ascii="Times New Roman" w:hAnsi="Times New Roman"/>
          <w:b/>
          <w:bCs/>
          <w:color w:val="000000" w:themeColor="text1"/>
          <w:sz w:val="24"/>
          <w:szCs w:val="32"/>
          <w14:textFill>
            <w14:solidFill>
              <w14:schemeClr w14:val="tx1"/>
            </w14:solidFill>
          </w14:textFill>
        </w:rPr>
        <w:t xml:space="preserve">. </w:t>
      </w:r>
      <w:r>
        <w:rPr>
          <w:rFonts w:hint="eastAsia" w:ascii="Times New Roman" w:hAnsi="Times New Roman"/>
          <w:b/>
          <w:bCs/>
          <w:color w:val="000000" w:themeColor="text1"/>
          <w:sz w:val="24"/>
          <w:szCs w:val="32"/>
          <w14:textFill>
            <w14:solidFill>
              <w14:schemeClr w14:val="tx1"/>
            </w14:solidFill>
          </w14:textFill>
        </w:rPr>
        <w:t>Meta-analysis forest plot for subgroup analysis of intervention measures</w:t>
      </w:r>
    </w:p>
    <w:p w14:paraId="2A4D6ECF">
      <w:pPr>
        <w:rPr>
          <w:rFonts w:ascii="Times New Roman" w:hAnsi="Times New Roman"/>
          <w:b/>
          <w:bCs/>
          <w:color w:val="000000" w:themeColor="text1"/>
          <w14:textFill>
            <w14:solidFill>
              <w14:schemeClr w14:val="tx1"/>
            </w14:solidFill>
          </w14:textFill>
        </w:rPr>
      </w:pPr>
    </w:p>
    <w:p w14:paraId="4BB05F3C">
      <w:pPr>
        <w:rPr>
          <w:rFonts w:ascii="Times New Roman" w:hAnsi="Times New Roman"/>
          <w:b/>
          <w:bCs/>
          <w:color w:val="000000" w:themeColor="text1"/>
          <w14:textFill>
            <w14:solidFill>
              <w14:schemeClr w14:val="tx1"/>
            </w14:solidFill>
          </w14:textFill>
        </w:rPr>
      </w:pPr>
    </w:p>
    <w:p w14:paraId="48EED4CE">
      <w:pPr>
        <w:rPr>
          <w:rFonts w:ascii="Times New Roman" w:hAnsi="Times New Roman"/>
          <w:b/>
          <w:bCs/>
          <w:color w:val="000000" w:themeColor="text1"/>
          <w14:textFill>
            <w14:solidFill>
              <w14:schemeClr w14:val="tx1"/>
            </w14:solidFill>
          </w14:textFill>
        </w:rPr>
      </w:pPr>
    </w:p>
    <w:p w14:paraId="65B0F97C">
      <w:pPr>
        <w:rPr>
          <w:rFonts w:ascii="Times New Roman" w:hAnsi="Times New Roman"/>
          <w:b/>
          <w:bCs/>
          <w:color w:val="000000" w:themeColor="text1"/>
          <w14:textFill>
            <w14:solidFill>
              <w14:schemeClr w14:val="tx1"/>
            </w14:solidFill>
          </w14:textFill>
        </w:rPr>
      </w:pPr>
    </w:p>
    <w:p w14:paraId="269DA46B">
      <w:pPr>
        <w:rPr>
          <w:rFonts w:ascii="Times New Roman" w:hAnsi="Times New Roman"/>
          <w:b/>
          <w:bCs/>
          <w:color w:val="000000" w:themeColor="text1"/>
          <w14:textFill>
            <w14:solidFill>
              <w14:schemeClr w14:val="tx1"/>
            </w14:solidFill>
          </w14:textFill>
        </w:rPr>
      </w:pPr>
    </w:p>
    <w:p w14:paraId="1177F905">
      <w:pPr>
        <w:rPr>
          <w:rFonts w:ascii="Times New Roman" w:hAnsi="Times New Roman"/>
          <w:b/>
          <w:bCs/>
          <w:color w:val="000000" w:themeColor="text1"/>
          <w14:textFill>
            <w14:solidFill>
              <w14:schemeClr w14:val="tx1"/>
            </w14:solidFill>
          </w14:textFill>
        </w:rPr>
      </w:pPr>
    </w:p>
    <w:p w14:paraId="7E4BEF54">
      <w:pPr>
        <w:rPr>
          <w:rFonts w:ascii="Times New Roman" w:hAnsi="Times New Roman"/>
          <w:b/>
          <w:bCs/>
          <w:color w:val="000000" w:themeColor="text1"/>
          <w14:textFill>
            <w14:solidFill>
              <w14:schemeClr w14:val="tx1"/>
            </w14:solidFill>
          </w14:textFill>
        </w:rPr>
      </w:pPr>
    </w:p>
    <w:p w14:paraId="243019BD">
      <w:pPr>
        <w:rPr>
          <w:rFonts w:ascii="Times New Roman Bold" w:hAnsi="Times New Roman Bold" w:cs="Times New Roman Bold"/>
          <w:b/>
          <w:bCs/>
          <w:sz w:val="32"/>
          <w:szCs w:val="32"/>
        </w:rPr>
      </w:pPr>
      <w:r>
        <w:rPr>
          <w:rFonts w:ascii="Times New Roman Bold" w:hAnsi="Times New Roman Bold" w:cs="Times New Roman Bold"/>
          <w:b/>
          <w:bCs/>
          <w:sz w:val="32"/>
          <w:szCs w:val="32"/>
        </w:rPr>
        <w:t xml:space="preserve">Appendix </w:t>
      </w:r>
      <w:r>
        <w:rPr>
          <w:rFonts w:hint="eastAsia" w:ascii="Times New Roman Bold" w:hAnsi="Times New Roman Bold" w:cs="Times New Roman Bold"/>
          <w:b/>
          <w:bCs/>
          <w:sz w:val="32"/>
          <w:szCs w:val="32"/>
        </w:rPr>
        <w:t>5</w:t>
      </w:r>
      <w:r>
        <w:rPr>
          <w:rFonts w:ascii="Times New Roman Bold" w:hAnsi="Times New Roman Bold" w:cs="Times New Roman Bold"/>
          <w:b/>
          <w:bCs/>
          <w:sz w:val="32"/>
          <w:szCs w:val="32"/>
        </w:rPr>
        <w:t xml:space="preserve"> The Preferred Reporting Items for Systematic reviews and Meta-Analysis (PRISMA) 2020 Main Checklist.</w:t>
      </w:r>
    </w:p>
    <w:p w14:paraId="1ECE9FD6">
      <w:pPr>
        <w:rPr>
          <w:rFonts w:ascii="Times New Roman Bold" w:hAnsi="Times New Roman Bold" w:cs="Times New Roman Bold"/>
          <w:b/>
          <w:bCs/>
          <w:sz w:val="36"/>
          <w:szCs w:val="36"/>
        </w:rPr>
      </w:pPr>
    </w:p>
    <w:tbl>
      <w:tblPr>
        <w:tblStyle w:val="13"/>
        <w:tblW w:w="9316" w:type="dxa"/>
        <w:jc w:val="center"/>
        <w:tblLayout w:type="autofit"/>
        <w:tblCellMar>
          <w:top w:w="0" w:type="dxa"/>
          <w:left w:w="108" w:type="dxa"/>
          <w:bottom w:w="0" w:type="dxa"/>
          <w:right w:w="108" w:type="dxa"/>
        </w:tblCellMar>
      </w:tblPr>
      <w:tblGrid>
        <w:gridCol w:w="2193"/>
        <w:gridCol w:w="691"/>
        <w:gridCol w:w="4701"/>
        <w:gridCol w:w="1731"/>
      </w:tblGrid>
      <w:tr w14:paraId="7F9EC926">
        <w:trPr>
          <w:cantSplit/>
          <w:jc w:val="center"/>
        </w:trPr>
        <w:tc>
          <w:tcPr>
            <w:tcW w:w="2193" w:type="dxa"/>
            <w:tcBorders>
              <w:top w:val="single" w:color="000000" w:sz="8" w:space="0"/>
              <w:left w:val="single" w:color="000000" w:sz="8" w:space="0"/>
              <w:bottom w:val="single" w:color="000000" w:sz="8" w:space="0"/>
              <w:right w:val="nil"/>
            </w:tcBorders>
            <w:shd w:val="clear" w:color="auto" w:fill="63639A"/>
            <w:tcMar>
              <w:top w:w="0" w:type="dxa"/>
              <w:left w:w="0" w:type="dxa"/>
              <w:bottom w:w="0" w:type="dxa"/>
              <w:right w:w="0" w:type="dxa"/>
            </w:tcMar>
            <w:vAlign w:val="center"/>
          </w:tcPr>
          <w:p w14:paraId="72367AF6">
            <w:pPr>
              <w:widowControl/>
              <w:jc w:val="left"/>
              <w:rPr>
                <w:color w:val="000000"/>
                <w:sz w:val="22"/>
                <w:szCs w:val="22"/>
              </w:rPr>
            </w:pPr>
            <w:r>
              <w:rPr>
                <w:b/>
                <w:color w:val="000000"/>
                <w:sz w:val="22"/>
                <w:szCs w:val="22"/>
              </w:rPr>
              <w:t>Topic</w:t>
            </w:r>
          </w:p>
        </w:tc>
        <w:tc>
          <w:tcPr>
            <w:tcW w:w="691" w:type="dxa"/>
            <w:tcBorders>
              <w:top w:val="single" w:color="000000" w:sz="8" w:space="0"/>
              <w:left w:val="nil"/>
              <w:bottom w:val="single" w:color="000000" w:sz="8" w:space="0"/>
              <w:right w:val="nil"/>
            </w:tcBorders>
            <w:shd w:val="clear" w:color="auto" w:fill="63639A"/>
            <w:tcMar>
              <w:top w:w="0" w:type="dxa"/>
              <w:left w:w="0" w:type="dxa"/>
              <w:bottom w:w="0" w:type="dxa"/>
              <w:right w:w="0" w:type="dxa"/>
            </w:tcMar>
            <w:vAlign w:val="center"/>
          </w:tcPr>
          <w:p w14:paraId="3F05D50A">
            <w:pPr>
              <w:widowControl/>
              <w:rPr>
                <w:color w:val="000000"/>
                <w:sz w:val="22"/>
                <w:szCs w:val="22"/>
              </w:rPr>
            </w:pPr>
            <w:r>
              <w:rPr>
                <w:b/>
                <w:color w:val="000000"/>
                <w:sz w:val="22"/>
                <w:szCs w:val="22"/>
              </w:rPr>
              <w:t>No.</w:t>
            </w:r>
          </w:p>
        </w:tc>
        <w:tc>
          <w:tcPr>
            <w:tcW w:w="4701" w:type="dxa"/>
            <w:tcBorders>
              <w:top w:val="single" w:color="000000" w:sz="8" w:space="0"/>
              <w:left w:val="nil"/>
              <w:bottom w:val="single" w:color="000000" w:sz="8" w:space="0"/>
              <w:right w:val="nil"/>
            </w:tcBorders>
            <w:shd w:val="clear" w:color="auto" w:fill="63639A"/>
            <w:tcMar>
              <w:top w:w="0" w:type="dxa"/>
              <w:left w:w="0" w:type="dxa"/>
              <w:bottom w:w="0" w:type="dxa"/>
              <w:right w:w="0" w:type="dxa"/>
            </w:tcMar>
            <w:vAlign w:val="center"/>
          </w:tcPr>
          <w:p w14:paraId="275DB68C">
            <w:pPr>
              <w:widowControl/>
              <w:rPr>
                <w:color w:val="000000"/>
                <w:sz w:val="22"/>
                <w:szCs w:val="22"/>
              </w:rPr>
            </w:pPr>
            <w:r>
              <w:rPr>
                <w:b/>
                <w:color w:val="000000"/>
                <w:sz w:val="22"/>
                <w:szCs w:val="22"/>
              </w:rPr>
              <w:t>Item</w:t>
            </w:r>
          </w:p>
        </w:tc>
        <w:tc>
          <w:tcPr>
            <w:tcW w:w="1731" w:type="dxa"/>
            <w:tcBorders>
              <w:top w:val="single" w:color="000000" w:sz="8" w:space="0"/>
              <w:left w:val="nil"/>
              <w:bottom w:val="single" w:color="000000" w:sz="8" w:space="0"/>
              <w:right w:val="single" w:color="000000" w:sz="8" w:space="0"/>
            </w:tcBorders>
            <w:shd w:val="clear" w:color="auto" w:fill="63639A"/>
            <w:tcMar>
              <w:top w:w="0" w:type="dxa"/>
              <w:left w:w="0" w:type="dxa"/>
              <w:bottom w:w="0" w:type="dxa"/>
              <w:right w:w="0" w:type="dxa"/>
            </w:tcMar>
            <w:vAlign w:val="center"/>
          </w:tcPr>
          <w:p w14:paraId="6A0165A1">
            <w:pPr>
              <w:widowControl/>
              <w:rPr>
                <w:color w:val="000000"/>
                <w:sz w:val="22"/>
                <w:szCs w:val="22"/>
              </w:rPr>
            </w:pPr>
            <w:r>
              <w:rPr>
                <w:b/>
                <w:color w:val="000000"/>
                <w:sz w:val="22"/>
                <w:szCs w:val="22"/>
              </w:rPr>
              <w:t>Location where item is reported</w:t>
            </w:r>
          </w:p>
        </w:tc>
      </w:tr>
      <w:tr w14:paraId="6104E388">
        <w:trPr>
          <w:cantSplit/>
          <w:jc w:val="center"/>
        </w:trPr>
        <w:tc>
          <w:tcPr>
            <w:tcW w:w="2193" w:type="dxa"/>
            <w:tcBorders>
              <w:top w:val="nil"/>
              <w:left w:val="single" w:color="000000" w:sz="8" w:space="0"/>
              <w:bottom w:val="nil"/>
              <w:right w:val="nil"/>
            </w:tcBorders>
            <w:shd w:val="clear" w:color="auto" w:fill="FFFFCC"/>
            <w:tcMar>
              <w:top w:w="0" w:type="dxa"/>
              <w:left w:w="0" w:type="dxa"/>
              <w:bottom w:w="0" w:type="dxa"/>
              <w:right w:w="0" w:type="dxa"/>
            </w:tcMar>
          </w:tcPr>
          <w:p w14:paraId="06B043AC">
            <w:pPr>
              <w:widowControl/>
              <w:jc w:val="left"/>
              <w:rPr>
                <w:color w:val="000000"/>
                <w:sz w:val="22"/>
                <w:szCs w:val="22"/>
              </w:rPr>
            </w:pPr>
            <w:r>
              <w:rPr>
                <w:b/>
                <w:color w:val="000000"/>
                <w:sz w:val="22"/>
                <w:szCs w:val="22"/>
              </w:rPr>
              <w:t>TITLE</w:t>
            </w:r>
          </w:p>
        </w:tc>
        <w:tc>
          <w:tcPr>
            <w:tcW w:w="691" w:type="dxa"/>
            <w:tcBorders>
              <w:top w:val="nil"/>
              <w:left w:val="nil"/>
              <w:bottom w:val="nil"/>
              <w:right w:val="nil"/>
            </w:tcBorders>
            <w:shd w:val="clear" w:color="auto" w:fill="FFFFCC"/>
            <w:tcMar>
              <w:top w:w="0" w:type="dxa"/>
              <w:left w:w="0" w:type="dxa"/>
              <w:bottom w:w="0" w:type="dxa"/>
              <w:right w:w="0" w:type="dxa"/>
            </w:tcMar>
          </w:tcPr>
          <w:p w14:paraId="4B6EA155">
            <w:pPr>
              <w:widowControl/>
              <w:rPr>
                <w:color w:val="000000"/>
                <w:sz w:val="22"/>
                <w:szCs w:val="22"/>
              </w:rPr>
            </w:pPr>
          </w:p>
        </w:tc>
        <w:tc>
          <w:tcPr>
            <w:tcW w:w="4701" w:type="dxa"/>
            <w:tcBorders>
              <w:top w:val="nil"/>
              <w:left w:val="nil"/>
              <w:bottom w:val="nil"/>
              <w:right w:val="nil"/>
            </w:tcBorders>
            <w:shd w:val="clear" w:color="auto" w:fill="FFFFCC"/>
            <w:tcMar>
              <w:top w:w="0" w:type="dxa"/>
              <w:left w:w="0" w:type="dxa"/>
              <w:bottom w:w="0" w:type="dxa"/>
              <w:right w:w="0" w:type="dxa"/>
            </w:tcMar>
          </w:tcPr>
          <w:p w14:paraId="08F29DCD">
            <w:pPr>
              <w:widowControl/>
              <w:rPr>
                <w:color w:val="000000"/>
                <w:sz w:val="22"/>
                <w:szCs w:val="22"/>
              </w:rPr>
            </w:pPr>
          </w:p>
        </w:tc>
        <w:tc>
          <w:tcPr>
            <w:tcW w:w="1731" w:type="dxa"/>
            <w:tcBorders>
              <w:top w:val="nil"/>
              <w:left w:val="nil"/>
              <w:bottom w:val="nil"/>
              <w:right w:val="single" w:color="000000" w:sz="8" w:space="0"/>
            </w:tcBorders>
            <w:shd w:val="clear" w:color="auto" w:fill="FFFFCC"/>
            <w:tcMar>
              <w:top w:w="0" w:type="dxa"/>
              <w:left w:w="0" w:type="dxa"/>
              <w:bottom w:w="0" w:type="dxa"/>
              <w:right w:w="0" w:type="dxa"/>
            </w:tcMar>
          </w:tcPr>
          <w:p w14:paraId="774E9F01">
            <w:pPr>
              <w:widowControl/>
              <w:rPr>
                <w:color w:val="000000"/>
                <w:sz w:val="22"/>
                <w:szCs w:val="22"/>
              </w:rPr>
            </w:pPr>
          </w:p>
        </w:tc>
      </w:tr>
      <w:tr w14:paraId="1DF8F54C">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3AAB98E3">
            <w:pPr>
              <w:widowControl/>
              <w:jc w:val="left"/>
              <w:rPr>
                <w:color w:val="000000"/>
                <w:sz w:val="22"/>
                <w:szCs w:val="22"/>
              </w:rPr>
            </w:pPr>
            <w:r>
              <w:rPr>
                <w:b/>
                <w:color w:val="000000"/>
                <w:sz w:val="22"/>
                <w:szCs w:val="22"/>
              </w:rPr>
              <w:t>Title</w:t>
            </w:r>
          </w:p>
        </w:tc>
        <w:tc>
          <w:tcPr>
            <w:tcW w:w="691" w:type="dxa"/>
            <w:tcBorders>
              <w:top w:val="nil"/>
              <w:left w:val="nil"/>
              <w:bottom w:val="nil"/>
              <w:right w:val="nil"/>
            </w:tcBorders>
            <w:shd w:val="clear" w:color="auto" w:fill="FFFFFF"/>
            <w:tcMar>
              <w:top w:w="0" w:type="dxa"/>
              <w:left w:w="0" w:type="dxa"/>
              <w:bottom w:w="0" w:type="dxa"/>
              <w:right w:w="0" w:type="dxa"/>
            </w:tcMar>
          </w:tcPr>
          <w:p w14:paraId="61D3A661">
            <w:pPr>
              <w:widowControl/>
              <w:rPr>
                <w:color w:val="000000"/>
                <w:sz w:val="22"/>
                <w:szCs w:val="22"/>
              </w:rPr>
            </w:pPr>
            <w:r>
              <w:rPr>
                <w:color w:val="000000"/>
                <w:sz w:val="22"/>
                <w:szCs w:val="22"/>
              </w:rPr>
              <w:t>1</w:t>
            </w:r>
          </w:p>
        </w:tc>
        <w:tc>
          <w:tcPr>
            <w:tcW w:w="4701" w:type="dxa"/>
            <w:tcBorders>
              <w:top w:val="nil"/>
              <w:left w:val="nil"/>
              <w:bottom w:val="nil"/>
              <w:right w:val="nil"/>
            </w:tcBorders>
            <w:shd w:val="clear" w:color="auto" w:fill="FFFFFF"/>
            <w:tcMar>
              <w:top w:w="0" w:type="dxa"/>
              <w:left w:w="0" w:type="dxa"/>
              <w:bottom w:w="0" w:type="dxa"/>
              <w:right w:w="0" w:type="dxa"/>
            </w:tcMar>
          </w:tcPr>
          <w:p w14:paraId="43F9027A">
            <w:pPr>
              <w:widowControl/>
              <w:rPr>
                <w:color w:val="000000"/>
                <w:sz w:val="22"/>
                <w:szCs w:val="22"/>
              </w:rPr>
            </w:pPr>
            <w:r>
              <w:rPr>
                <w:color w:val="000000"/>
                <w:sz w:val="22"/>
                <w:szCs w:val="22"/>
              </w:rPr>
              <w:t xml:space="preserve">Identify the report as a systematic review. </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7E1E91E0">
            <w:pPr>
              <w:widowControl/>
              <w:rPr>
                <w:color w:val="000000"/>
                <w:sz w:val="22"/>
                <w:szCs w:val="22"/>
              </w:rPr>
            </w:pPr>
            <w:r>
              <w:rPr>
                <w:color w:val="000000"/>
                <w:sz w:val="22"/>
                <w:szCs w:val="22"/>
              </w:rPr>
              <w:t xml:space="preserve">Page </w:t>
            </w:r>
            <w:r>
              <w:rPr>
                <w:rFonts w:hint="eastAsia"/>
                <w:color w:val="000000"/>
                <w:sz w:val="22"/>
                <w:szCs w:val="22"/>
              </w:rPr>
              <w:t>1</w:t>
            </w:r>
          </w:p>
        </w:tc>
      </w:tr>
      <w:tr w14:paraId="3693AF0A">
        <w:trPr>
          <w:cantSplit/>
          <w:jc w:val="center"/>
        </w:trPr>
        <w:tc>
          <w:tcPr>
            <w:tcW w:w="2193" w:type="dxa"/>
            <w:tcBorders>
              <w:top w:val="nil"/>
              <w:left w:val="single" w:color="000000" w:sz="8" w:space="0"/>
              <w:bottom w:val="nil"/>
              <w:right w:val="nil"/>
            </w:tcBorders>
            <w:shd w:val="clear" w:color="auto" w:fill="FFFFCC"/>
            <w:tcMar>
              <w:top w:w="0" w:type="dxa"/>
              <w:left w:w="0" w:type="dxa"/>
              <w:bottom w:w="0" w:type="dxa"/>
              <w:right w:w="0" w:type="dxa"/>
            </w:tcMar>
          </w:tcPr>
          <w:p w14:paraId="1038A57A">
            <w:pPr>
              <w:widowControl/>
              <w:jc w:val="left"/>
              <w:rPr>
                <w:color w:val="000000"/>
                <w:sz w:val="22"/>
                <w:szCs w:val="22"/>
              </w:rPr>
            </w:pPr>
            <w:r>
              <w:rPr>
                <w:b/>
                <w:color w:val="000000"/>
                <w:sz w:val="22"/>
                <w:szCs w:val="22"/>
              </w:rPr>
              <w:t>ABSTRACT</w:t>
            </w:r>
          </w:p>
        </w:tc>
        <w:tc>
          <w:tcPr>
            <w:tcW w:w="691" w:type="dxa"/>
            <w:tcBorders>
              <w:top w:val="nil"/>
              <w:left w:val="nil"/>
              <w:bottom w:val="nil"/>
              <w:right w:val="nil"/>
            </w:tcBorders>
            <w:shd w:val="clear" w:color="auto" w:fill="FFFFCC"/>
            <w:tcMar>
              <w:top w:w="0" w:type="dxa"/>
              <w:left w:w="0" w:type="dxa"/>
              <w:bottom w:w="0" w:type="dxa"/>
              <w:right w:w="0" w:type="dxa"/>
            </w:tcMar>
          </w:tcPr>
          <w:p w14:paraId="5653949A">
            <w:pPr>
              <w:widowControl/>
              <w:rPr>
                <w:color w:val="000000"/>
                <w:sz w:val="22"/>
                <w:szCs w:val="22"/>
              </w:rPr>
            </w:pPr>
          </w:p>
        </w:tc>
        <w:tc>
          <w:tcPr>
            <w:tcW w:w="4701" w:type="dxa"/>
            <w:tcBorders>
              <w:top w:val="nil"/>
              <w:left w:val="nil"/>
              <w:bottom w:val="nil"/>
              <w:right w:val="nil"/>
            </w:tcBorders>
            <w:shd w:val="clear" w:color="auto" w:fill="FFFFCC"/>
            <w:tcMar>
              <w:top w:w="0" w:type="dxa"/>
              <w:left w:w="0" w:type="dxa"/>
              <w:bottom w:w="0" w:type="dxa"/>
              <w:right w:w="0" w:type="dxa"/>
            </w:tcMar>
          </w:tcPr>
          <w:p w14:paraId="40EEEDFB">
            <w:pPr>
              <w:widowControl/>
              <w:rPr>
                <w:color w:val="000000"/>
                <w:sz w:val="22"/>
                <w:szCs w:val="22"/>
              </w:rPr>
            </w:pPr>
          </w:p>
        </w:tc>
        <w:tc>
          <w:tcPr>
            <w:tcW w:w="1731" w:type="dxa"/>
            <w:tcBorders>
              <w:top w:val="nil"/>
              <w:left w:val="nil"/>
              <w:bottom w:val="nil"/>
              <w:right w:val="single" w:color="000000" w:sz="8" w:space="0"/>
            </w:tcBorders>
            <w:shd w:val="clear" w:color="auto" w:fill="FFFFCC"/>
            <w:tcMar>
              <w:top w:w="0" w:type="dxa"/>
              <w:left w:w="0" w:type="dxa"/>
              <w:bottom w:w="0" w:type="dxa"/>
              <w:right w:w="0" w:type="dxa"/>
            </w:tcMar>
          </w:tcPr>
          <w:p w14:paraId="7A1BC6DF">
            <w:pPr>
              <w:widowControl/>
              <w:rPr>
                <w:color w:val="000000"/>
                <w:sz w:val="22"/>
                <w:szCs w:val="22"/>
              </w:rPr>
            </w:pPr>
          </w:p>
        </w:tc>
      </w:tr>
      <w:tr w14:paraId="7521D5F9">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10D2C67B">
            <w:pPr>
              <w:widowControl/>
              <w:jc w:val="left"/>
              <w:rPr>
                <w:color w:val="000000"/>
                <w:sz w:val="22"/>
                <w:szCs w:val="22"/>
              </w:rPr>
            </w:pPr>
            <w:r>
              <w:rPr>
                <w:b/>
                <w:color w:val="000000"/>
                <w:sz w:val="22"/>
                <w:szCs w:val="22"/>
              </w:rPr>
              <w:t>Abstract</w:t>
            </w:r>
          </w:p>
        </w:tc>
        <w:tc>
          <w:tcPr>
            <w:tcW w:w="691" w:type="dxa"/>
            <w:tcBorders>
              <w:top w:val="nil"/>
              <w:left w:val="nil"/>
              <w:bottom w:val="nil"/>
              <w:right w:val="nil"/>
            </w:tcBorders>
            <w:shd w:val="clear" w:color="auto" w:fill="FFFFFF"/>
            <w:tcMar>
              <w:top w:w="0" w:type="dxa"/>
              <w:left w:w="0" w:type="dxa"/>
              <w:bottom w:w="0" w:type="dxa"/>
              <w:right w:w="0" w:type="dxa"/>
            </w:tcMar>
          </w:tcPr>
          <w:p w14:paraId="16F770AB">
            <w:pPr>
              <w:widowControl/>
              <w:rPr>
                <w:color w:val="000000"/>
                <w:sz w:val="22"/>
                <w:szCs w:val="22"/>
              </w:rPr>
            </w:pPr>
            <w:r>
              <w:rPr>
                <w:color w:val="000000"/>
                <w:sz w:val="22"/>
                <w:szCs w:val="22"/>
              </w:rPr>
              <w:t>2</w:t>
            </w:r>
          </w:p>
        </w:tc>
        <w:tc>
          <w:tcPr>
            <w:tcW w:w="4701" w:type="dxa"/>
            <w:tcBorders>
              <w:top w:val="nil"/>
              <w:left w:val="nil"/>
              <w:bottom w:val="nil"/>
              <w:right w:val="nil"/>
            </w:tcBorders>
            <w:shd w:val="clear" w:color="auto" w:fill="FFFFFF"/>
            <w:tcMar>
              <w:top w:w="0" w:type="dxa"/>
              <w:left w:w="0" w:type="dxa"/>
              <w:bottom w:w="0" w:type="dxa"/>
              <w:right w:w="0" w:type="dxa"/>
            </w:tcMar>
          </w:tcPr>
          <w:p w14:paraId="7E78AB0A">
            <w:pPr>
              <w:widowControl/>
              <w:rPr>
                <w:color w:val="000000"/>
                <w:sz w:val="22"/>
                <w:szCs w:val="22"/>
              </w:rPr>
            </w:pPr>
            <w:r>
              <w:rPr>
                <w:color w:val="000000"/>
                <w:sz w:val="22"/>
                <w:szCs w:val="22"/>
              </w:rPr>
              <w:t>See the PRISMA 2020 for Abstracts checklist</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4181F1AB">
            <w:pPr>
              <w:widowControl/>
              <w:rPr>
                <w:rFonts w:hint="eastAsia" w:eastAsia="宋体"/>
                <w:color w:val="000000"/>
                <w:sz w:val="22"/>
                <w:szCs w:val="22"/>
                <w:lang w:val="en-US" w:eastAsia="zh-CN"/>
              </w:rPr>
            </w:pPr>
            <w:r>
              <w:rPr>
                <w:color w:val="000000"/>
                <w:sz w:val="22"/>
                <w:szCs w:val="22"/>
              </w:rPr>
              <w:t xml:space="preserve">Page </w:t>
            </w:r>
            <w:r>
              <w:rPr>
                <w:rFonts w:hint="eastAsia"/>
                <w:color w:val="000000"/>
                <w:sz w:val="22"/>
                <w:szCs w:val="22"/>
              </w:rPr>
              <w:t>1-</w:t>
            </w:r>
            <w:r>
              <w:rPr>
                <w:rFonts w:hint="eastAsia"/>
                <w:color w:val="000000"/>
                <w:sz w:val="22"/>
                <w:szCs w:val="22"/>
                <w:lang w:val="en-US" w:eastAsia="zh-CN"/>
              </w:rPr>
              <w:t>3</w:t>
            </w:r>
          </w:p>
        </w:tc>
      </w:tr>
      <w:tr w14:paraId="1F883588">
        <w:trPr>
          <w:cantSplit/>
          <w:jc w:val="center"/>
        </w:trPr>
        <w:tc>
          <w:tcPr>
            <w:tcW w:w="2193" w:type="dxa"/>
            <w:tcBorders>
              <w:top w:val="nil"/>
              <w:left w:val="single" w:color="000000" w:sz="8" w:space="0"/>
              <w:bottom w:val="nil"/>
              <w:right w:val="nil"/>
            </w:tcBorders>
            <w:shd w:val="clear" w:color="auto" w:fill="FFFFCC"/>
            <w:tcMar>
              <w:top w:w="0" w:type="dxa"/>
              <w:left w:w="0" w:type="dxa"/>
              <w:bottom w:w="0" w:type="dxa"/>
              <w:right w:w="0" w:type="dxa"/>
            </w:tcMar>
          </w:tcPr>
          <w:p w14:paraId="1D6E1162">
            <w:pPr>
              <w:widowControl/>
              <w:jc w:val="left"/>
              <w:rPr>
                <w:color w:val="000000"/>
                <w:sz w:val="22"/>
                <w:szCs w:val="22"/>
              </w:rPr>
            </w:pPr>
            <w:r>
              <w:rPr>
                <w:b/>
                <w:color w:val="000000"/>
                <w:sz w:val="22"/>
                <w:szCs w:val="22"/>
              </w:rPr>
              <w:t>INTRODUCTION</w:t>
            </w:r>
          </w:p>
        </w:tc>
        <w:tc>
          <w:tcPr>
            <w:tcW w:w="691" w:type="dxa"/>
            <w:tcBorders>
              <w:top w:val="nil"/>
              <w:left w:val="nil"/>
              <w:bottom w:val="nil"/>
              <w:right w:val="nil"/>
            </w:tcBorders>
            <w:shd w:val="clear" w:color="auto" w:fill="FFFFCC"/>
            <w:tcMar>
              <w:top w:w="0" w:type="dxa"/>
              <w:left w:w="0" w:type="dxa"/>
              <w:bottom w:w="0" w:type="dxa"/>
              <w:right w:w="0" w:type="dxa"/>
            </w:tcMar>
          </w:tcPr>
          <w:p w14:paraId="05B44F1C">
            <w:pPr>
              <w:widowControl/>
              <w:rPr>
                <w:color w:val="000000"/>
                <w:sz w:val="22"/>
                <w:szCs w:val="22"/>
              </w:rPr>
            </w:pPr>
          </w:p>
        </w:tc>
        <w:tc>
          <w:tcPr>
            <w:tcW w:w="4701" w:type="dxa"/>
            <w:tcBorders>
              <w:top w:val="nil"/>
              <w:left w:val="nil"/>
              <w:bottom w:val="nil"/>
              <w:right w:val="nil"/>
            </w:tcBorders>
            <w:shd w:val="clear" w:color="auto" w:fill="FFFFCC"/>
            <w:tcMar>
              <w:top w:w="0" w:type="dxa"/>
              <w:left w:w="0" w:type="dxa"/>
              <w:bottom w:w="0" w:type="dxa"/>
              <w:right w:w="0" w:type="dxa"/>
            </w:tcMar>
          </w:tcPr>
          <w:p w14:paraId="5181B282">
            <w:pPr>
              <w:widowControl/>
              <w:rPr>
                <w:color w:val="000000"/>
                <w:sz w:val="22"/>
                <w:szCs w:val="22"/>
              </w:rPr>
            </w:pPr>
          </w:p>
        </w:tc>
        <w:tc>
          <w:tcPr>
            <w:tcW w:w="1731" w:type="dxa"/>
            <w:tcBorders>
              <w:top w:val="nil"/>
              <w:left w:val="nil"/>
              <w:bottom w:val="nil"/>
              <w:right w:val="single" w:color="000000" w:sz="8" w:space="0"/>
            </w:tcBorders>
            <w:shd w:val="clear" w:color="auto" w:fill="FFFFCC"/>
            <w:tcMar>
              <w:top w:w="0" w:type="dxa"/>
              <w:left w:w="0" w:type="dxa"/>
              <w:bottom w:w="0" w:type="dxa"/>
              <w:right w:w="0" w:type="dxa"/>
            </w:tcMar>
          </w:tcPr>
          <w:p w14:paraId="2075C8D5">
            <w:pPr>
              <w:widowControl/>
              <w:rPr>
                <w:color w:val="000000"/>
                <w:sz w:val="22"/>
                <w:szCs w:val="22"/>
              </w:rPr>
            </w:pPr>
          </w:p>
        </w:tc>
      </w:tr>
      <w:tr w14:paraId="5F18896E">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21F9FC9D">
            <w:pPr>
              <w:widowControl/>
              <w:jc w:val="left"/>
              <w:rPr>
                <w:color w:val="000000"/>
                <w:sz w:val="22"/>
                <w:szCs w:val="22"/>
              </w:rPr>
            </w:pPr>
            <w:r>
              <w:rPr>
                <w:b/>
                <w:color w:val="000000"/>
                <w:sz w:val="22"/>
                <w:szCs w:val="22"/>
              </w:rPr>
              <w:t>Rationale</w:t>
            </w:r>
          </w:p>
        </w:tc>
        <w:tc>
          <w:tcPr>
            <w:tcW w:w="691" w:type="dxa"/>
            <w:tcBorders>
              <w:top w:val="nil"/>
              <w:left w:val="nil"/>
              <w:bottom w:val="nil"/>
              <w:right w:val="nil"/>
            </w:tcBorders>
            <w:shd w:val="clear" w:color="auto" w:fill="FFFFFF"/>
            <w:tcMar>
              <w:top w:w="0" w:type="dxa"/>
              <w:left w:w="0" w:type="dxa"/>
              <w:bottom w:w="0" w:type="dxa"/>
              <w:right w:w="0" w:type="dxa"/>
            </w:tcMar>
          </w:tcPr>
          <w:p w14:paraId="54E834BA">
            <w:pPr>
              <w:widowControl/>
              <w:rPr>
                <w:color w:val="000000"/>
                <w:sz w:val="22"/>
                <w:szCs w:val="22"/>
              </w:rPr>
            </w:pPr>
            <w:r>
              <w:rPr>
                <w:color w:val="000000"/>
                <w:sz w:val="22"/>
                <w:szCs w:val="22"/>
              </w:rPr>
              <w:t>3</w:t>
            </w:r>
          </w:p>
        </w:tc>
        <w:tc>
          <w:tcPr>
            <w:tcW w:w="4701" w:type="dxa"/>
            <w:tcBorders>
              <w:top w:val="nil"/>
              <w:left w:val="nil"/>
              <w:bottom w:val="nil"/>
              <w:right w:val="nil"/>
            </w:tcBorders>
            <w:shd w:val="clear" w:color="auto" w:fill="FFFFFF"/>
            <w:tcMar>
              <w:top w:w="0" w:type="dxa"/>
              <w:left w:w="0" w:type="dxa"/>
              <w:bottom w:w="0" w:type="dxa"/>
              <w:right w:w="0" w:type="dxa"/>
            </w:tcMar>
          </w:tcPr>
          <w:p w14:paraId="107FE51F">
            <w:pPr>
              <w:widowControl/>
              <w:rPr>
                <w:color w:val="000000"/>
                <w:sz w:val="22"/>
                <w:szCs w:val="22"/>
              </w:rPr>
            </w:pPr>
            <w:r>
              <w:rPr>
                <w:color w:val="000000"/>
                <w:sz w:val="22"/>
                <w:szCs w:val="22"/>
              </w:rPr>
              <w:t xml:space="preserve">Describe the rationale for the review in the context of existing knowledge. </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410C8849">
            <w:pPr>
              <w:widowControl/>
              <w:rPr>
                <w:color w:val="000000"/>
                <w:sz w:val="22"/>
                <w:szCs w:val="22"/>
              </w:rPr>
            </w:pPr>
            <w:bookmarkStart w:id="18" w:name="OLE_LINK1"/>
            <w:r>
              <w:rPr>
                <w:color w:val="000000"/>
                <w:sz w:val="22"/>
                <w:szCs w:val="22"/>
              </w:rPr>
              <w:t>Page</w:t>
            </w:r>
            <w:bookmarkEnd w:id="18"/>
            <w:r>
              <w:rPr>
                <w:color w:val="000000"/>
                <w:sz w:val="22"/>
                <w:szCs w:val="22"/>
              </w:rPr>
              <w:t xml:space="preserve"> </w:t>
            </w:r>
            <w:r>
              <w:rPr>
                <w:rFonts w:hint="eastAsia"/>
                <w:color w:val="000000"/>
                <w:sz w:val="22"/>
                <w:szCs w:val="22"/>
              </w:rPr>
              <w:t>3-4</w:t>
            </w:r>
          </w:p>
        </w:tc>
      </w:tr>
      <w:tr w14:paraId="159F7340">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3DF0C463">
            <w:pPr>
              <w:widowControl/>
              <w:jc w:val="left"/>
              <w:rPr>
                <w:color w:val="000000"/>
                <w:sz w:val="22"/>
                <w:szCs w:val="22"/>
              </w:rPr>
            </w:pPr>
            <w:r>
              <w:rPr>
                <w:b/>
                <w:color w:val="000000"/>
                <w:sz w:val="22"/>
                <w:szCs w:val="22"/>
              </w:rPr>
              <w:t>Objectives</w:t>
            </w:r>
          </w:p>
        </w:tc>
        <w:tc>
          <w:tcPr>
            <w:tcW w:w="691" w:type="dxa"/>
            <w:tcBorders>
              <w:top w:val="nil"/>
              <w:left w:val="nil"/>
              <w:bottom w:val="nil"/>
              <w:right w:val="nil"/>
            </w:tcBorders>
            <w:shd w:val="clear" w:color="auto" w:fill="FFFFFF"/>
            <w:tcMar>
              <w:top w:w="0" w:type="dxa"/>
              <w:left w:w="0" w:type="dxa"/>
              <w:bottom w:w="0" w:type="dxa"/>
              <w:right w:w="0" w:type="dxa"/>
            </w:tcMar>
          </w:tcPr>
          <w:p w14:paraId="56DC9749">
            <w:pPr>
              <w:widowControl/>
              <w:rPr>
                <w:color w:val="000000"/>
                <w:sz w:val="22"/>
                <w:szCs w:val="22"/>
              </w:rPr>
            </w:pPr>
            <w:r>
              <w:rPr>
                <w:color w:val="000000"/>
                <w:sz w:val="22"/>
                <w:szCs w:val="22"/>
              </w:rPr>
              <w:t>4</w:t>
            </w:r>
          </w:p>
        </w:tc>
        <w:tc>
          <w:tcPr>
            <w:tcW w:w="4701" w:type="dxa"/>
            <w:tcBorders>
              <w:top w:val="nil"/>
              <w:left w:val="nil"/>
              <w:bottom w:val="nil"/>
              <w:right w:val="nil"/>
            </w:tcBorders>
            <w:shd w:val="clear" w:color="auto" w:fill="FFFFFF"/>
            <w:tcMar>
              <w:top w:w="0" w:type="dxa"/>
              <w:left w:w="0" w:type="dxa"/>
              <w:bottom w:w="0" w:type="dxa"/>
              <w:right w:w="0" w:type="dxa"/>
            </w:tcMar>
          </w:tcPr>
          <w:p w14:paraId="2EA94A4A">
            <w:pPr>
              <w:widowControl/>
              <w:rPr>
                <w:color w:val="000000"/>
                <w:sz w:val="22"/>
                <w:szCs w:val="22"/>
              </w:rPr>
            </w:pPr>
            <w:r>
              <w:rPr>
                <w:color w:val="000000"/>
                <w:sz w:val="22"/>
                <w:szCs w:val="22"/>
              </w:rPr>
              <w:t>Provide an explicit statement of the objective(s) or question(s) the review addresses.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732CCBE8">
            <w:pPr>
              <w:widowControl/>
              <w:rPr>
                <w:color w:val="000000"/>
                <w:sz w:val="22"/>
                <w:szCs w:val="22"/>
              </w:rPr>
            </w:pPr>
            <w:r>
              <w:rPr>
                <w:color w:val="000000"/>
                <w:sz w:val="22"/>
                <w:szCs w:val="22"/>
              </w:rPr>
              <w:t xml:space="preserve">Page </w:t>
            </w:r>
            <w:r>
              <w:rPr>
                <w:rFonts w:hint="eastAsia"/>
                <w:color w:val="000000"/>
                <w:sz w:val="22"/>
                <w:szCs w:val="22"/>
              </w:rPr>
              <w:t>4</w:t>
            </w:r>
          </w:p>
        </w:tc>
      </w:tr>
      <w:tr w14:paraId="72830264">
        <w:trPr>
          <w:cantSplit/>
          <w:jc w:val="center"/>
        </w:trPr>
        <w:tc>
          <w:tcPr>
            <w:tcW w:w="2193" w:type="dxa"/>
            <w:tcBorders>
              <w:top w:val="nil"/>
              <w:left w:val="single" w:color="000000" w:sz="8" w:space="0"/>
              <w:bottom w:val="nil"/>
              <w:right w:val="nil"/>
            </w:tcBorders>
            <w:shd w:val="clear" w:color="auto" w:fill="FFFFCC"/>
            <w:tcMar>
              <w:top w:w="0" w:type="dxa"/>
              <w:left w:w="0" w:type="dxa"/>
              <w:bottom w:w="0" w:type="dxa"/>
              <w:right w:w="0" w:type="dxa"/>
            </w:tcMar>
          </w:tcPr>
          <w:p w14:paraId="33471BFB">
            <w:pPr>
              <w:widowControl/>
              <w:jc w:val="left"/>
              <w:rPr>
                <w:color w:val="000000"/>
                <w:sz w:val="22"/>
                <w:szCs w:val="22"/>
              </w:rPr>
            </w:pPr>
            <w:r>
              <w:rPr>
                <w:b/>
                <w:color w:val="000000"/>
                <w:sz w:val="22"/>
                <w:szCs w:val="22"/>
              </w:rPr>
              <w:t>METHODS</w:t>
            </w:r>
          </w:p>
        </w:tc>
        <w:tc>
          <w:tcPr>
            <w:tcW w:w="691" w:type="dxa"/>
            <w:tcBorders>
              <w:top w:val="nil"/>
              <w:left w:val="nil"/>
              <w:bottom w:val="nil"/>
              <w:right w:val="nil"/>
            </w:tcBorders>
            <w:shd w:val="clear" w:color="auto" w:fill="FFFFCC"/>
            <w:tcMar>
              <w:top w:w="0" w:type="dxa"/>
              <w:left w:w="0" w:type="dxa"/>
              <w:bottom w:w="0" w:type="dxa"/>
              <w:right w:w="0" w:type="dxa"/>
            </w:tcMar>
          </w:tcPr>
          <w:p w14:paraId="3708A8E7">
            <w:pPr>
              <w:widowControl/>
              <w:rPr>
                <w:color w:val="000000"/>
                <w:sz w:val="22"/>
                <w:szCs w:val="22"/>
              </w:rPr>
            </w:pPr>
          </w:p>
        </w:tc>
        <w:tc>
          <w:tcPr>
            <w:tcW w:w="4701" w:type="dxa"/>
            <w:tcBorders>
              <w:top w:val="nil"/>
              <w:left w:val="nil"/>
              <w:bottom w:val="nil"/>
              <w:right w:val="nil"/>
            </w:tcBorders>
            <w:shd w:val="clear" w:color="auto" w:fill="FFFFCC"/>
            <w:tcMar>
              <w:top w:w="0" w:type="dxa"/>
              <w:left w:w="0" w:type="dxa"/>
              <w:bottom w:w="0" w:type="dxa"/>
              <w:right w:w="0" w:type="dxa"/>
            </w:tcMar>
          </w:tcPr>
          <w:p w14:paraId="3A4C818F">
            <w:pPr>
              <w:widowControl/>
              <w:rPr>
                <w:color w:val="000000"/>
                <w:sz w:val="22"/>
                <w:szCs w:val="22"/>
              </w:rPr>
            </w:pPr>
          </w:p>
        </w:tc>
        <w:tc>
          <w:tcPr>
            <w:tcW w:w="1731" w:type="dxa"/>
            <w:tcBorders>
              <w:top w:val="nil"/>
              <w:left w:val="nil"/>
              <w:bottom w:val="nil"/>
              <w:right w:val="single" w:color="000000" w:sz="8" w:space="0"/>
            </w:tcBorders>
            <w:shd w:val="clear" w:color="auto" w:fill="FFFFCC"/>
            <w:tcMar>
              <w:top w:w="0" w:type="dxa"/>
              <w:left w:w="0" w:type="dxa"/>
              <w:bottom w:w="0" w:type="dxa"/>
              <w:right w:w="0" w:type="dxa"/>
            </w:tcMar>
          </w:tcPr>
          <w:p w14:paraId="2847C9F4">
            <w:pPr>
              <w:widowControl/>
              <w:rPr>
                <w:color w:val="000000"/>
                <w:sz w:val="22"/>
                <w:szCs w:val="22"/>
              </w:rPr>
            </w:pPr>
          </w:p>
        </w:tc>
      </w:tr>
      <w:tr w14:paraId="54C7F9A0">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7884E009">
            <w:pPr>
              <w:widowControl/>
              <w:jc w:val="left"/>
              <w:rPr>
                <w:color w:val="000000"/>
                <w:sz w:val="22"/>
                <w:szCs w:val="22"/>
              </w:rPr>
            </w:pPr>
            <w:r>
              <w:rPr>
                <w:b/>
                <w:color w:val="000000"/>
                <w:sz w:val="22"/>
                <w:szCs w:val="22"/>
              </w:rPr>
              <w:t>Eligibility criteria</w:t>
            </w:r>
          </w:p>
        </w:tc>
        <w:tc>
          <w:tcPr>
            <w:tcW w:w="691" w:type="dxa"/>
            <w:tcBorders>
              <w:top w:val="nil"/>
              <w:left w:val="nil"/>
              <w:bottom w:val="nil"/>
              <w:right w:val="nil"/>
            </w:tcBorders>
            <w:shd w:val="clear" w:color="auto" w:fill="FFFFFF"/>
            <w:tcMar>
              <w:top w:w="0" w:type="dxa"/>
              <w:left w:w="0" w:type="dxa"/>
              <w:bottom w:w="0" w:type="dxa"/>
              <w:right w:w="0" w:type="dxa"/>
            </w:tcMar>
          </w:tcPr>
          <w:p w14:paraId="50027807">
            <w:pPr>
              <w:widowControl/>
              <w:rPr>
                <w:color w:val="000000"/>
                <w:sz w:val="22"/>
                <w:szCs w:val="22"/>
              </w:rPr>
            </w:pPr>
            <w:r>
              <w:rPr>
                <w:color w:val="000000"/>
                <w:sz w:val="22"/>
                <w:szCs w:val="22"/>
              </w:rPr>
              <w:t>5</w:t>
            </w:r>
          </w:p>
        </w:tc>
        <w:tc>
          <w:tcPr>
            <w:tcW w:w="4701" w:type="dxa"/>
            <w:tcBorders>
              <w:top w:val="nil"/>
              <w:left w:val="nil"/>
              <w:bottom w:val="nil"/>
              <w:right w:val="nil"/>
            </w:tcBorders>
            <w:shd w:val="clear" w:color="auto" w:fill="FFFFFF"/>
            <w:tcMar>
              <w:top w:w="0" w:type="dxa"/>
              <w:left w:w="0" w:type="dxa"/>
              <w:bottom w:w="0" w:type="dxa"/>
              <w:right w:w="0" w:type="dxa"/>
            </w:tcMar>
          </w:tcPr>
          <w:p w14:paraId="254C8CB7">
            <w:pPr>
              <w:widowControl/>
              <w:rPr>
                <w:color w:val="000000"/>
                <w:sz w:val="22"/>
                <w:szCs w:val="22"/>
              </w:rPr>
            </w:pPr>
            <w:r>
              <w:rPr>
                <w:color w:val="000000"/>
                <w:sz w:val="22"/>
                <w:szCs w:val="22"/>
              </w:rPr>
              <w:t>Specify the inclusion and exclusion criteria for the review and how studies were grouped for the syntheses.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4D003D66">
            <w:pPr>
              <w:widowControl/>
              <w:rPr>
                <w:color w:val="000000"/>
                <w:sz w:val="22"/>
                <w:szCs w:val="22"/>
              </w:rPr>
            </w:pPr>
            <w:r>
              <w:rPr>
                <w:color w:val="000000"/>
                <w:sz w:val="22"/>
                <w:szCs w:val="22"/>
              </w:rPr>
              <w:t xml:space="preserve">Page </w:t>
            </w:r>
            <w:r>
              <w:rPr>
                <w:rFonts w:hint="eastAsia"/>
                <w:color w:val="000000"/>
                <w:sz w:val="22"/>
                <w:szCs w:val="22"/>
              </w:rPr>
              <w:t>5-6</w:t>
            </w:r>
          </w:p>
        </w:tc>
      </w:tr>
      <w:tr w14:paraId="417B0B64">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5F9F22B5">
            <w:pPr>
              <w:widowControl/>
              <w:jc w:val="left"/>
              <w:rPr>
                <w:color w:val="000000"/>
                <w:sz w:val="22"/>
                <w:szCs w:val="22"/>
              </w:rPr>
            </w:pPr>
            <w:r>
              <w:rPr>
                <w:b/>
                <w:color w:val="000000"/>
                <w:sz w:val="22"/>
                <w:szCs w:val="22"/>
              </w:rPr>
              <w:t>Information sources</w:t>
            </w:r>
          </w:p>
        </w:tc>
        <w:tc>
          <w:tcPr>
            <w:tcW w:w="691" w:type="dxa"/>
            <w:tcBorders>
              <w:top w:val="nil"/>
              <w:left w:val="nil"/>
              <w:bottom w:val="nil"/>
              <w:right w:val="nil"/>
            </w:tcBorders>
            <w:shd w:val="clear" w:color="auto" w:fill="FFFFFF"/>
            <w:tcMar>
              <w:top w:w="0" w:type="dxa"/>
              <w:left w:w="0" w:type="dxa"/>
              <w:bottom w:w="0" w:type="dxa"/>
              <w:right w:w="0" w:type="dxa"/>
            </w:tcMar>
          </w:tcPr>
          <w:p w14:paraId="146BE47C">
            <w:pPr>
              <w:widowControl/>
              <w:rPr>
                <w:color w:val="000000"/>
                <w:sz w:val="22"/>
                <w:szCs w:val="22"/>
              </w:rPr>
            </w:pPr>
            <w:r>
              <w:rPr>
                <w:color w:val="000000"/>
                <w:sz w:val="22"/>
                <w:szCs w:val="22"/>
              </w:rPr>
              <w:t>6</w:t>
            </w:r>
          </w:p>
        </w:tc>
        <w:tc>
          <w:tcPr>
            <w:tcW w:w="4701" w:type="dxa"/>
            <w:tcBorders>
              <w:top w:val="nil"/>
              <w:left w:val="nil"/>
              <w:bottom w:val="nil"/>
              <w:right w:val="nil"/>
            </w:tcBorders>
            <w:shd w:val="clear" w:color="auto" w:fill="FFFFFF"/>
            <w:tcMar>
              <w:top w:w="0" w:type="dxa"/>
              <w:left w:w="0" w:type="dxa"/>
              <w:bottom w:w="0" w:type="dxa"/>
              <w:right w:w="0" w:type="dxa"/>
            </w:tcMar>
          </w:tcPr>
          <w:p w14:paraId="7EB73E01">
            <w:pPr>
              <w:widowControl/>
              <w:rPr>
                <w:color w:val="000000"/>
                <w:sz w:val="22"/>
                <w:szCs w:val="22"/>
              </w:rPr>
            </w:pPr>
            <w:r>
              <w:rPr>
                <w:color w:val="000000"/>
                <w:sz w:val="22"/>
                <w:szCs w:val="22"/>
              </w:rPr>
              <w:t>Specify all databases, registers, websites, organizations, reference lists and other sources searched or consulted to identify studies. Specify the date when each source was last searched or consulted.</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4C277268">
            <w:pPr>
              <w:widowControl/>
              <w:rPr>
                <w:color w:val="000000"/>
                <w:sz w:val="22"/>
                <w:szCs w:val="22"/>
              </w:rPr>
            </w:pPr>
            <w:r>
              <w:rPr>
                <w:color w:val="000000"/>
                <w:sz w:val="22"/>
                <w:szCs w:val="22"/>
              </w:rPr>
              <w:t xml:space="preserve">Page </w:t>
            </w:r>
            <w:r>
              <w:rPr>
                <w:rFonts w:hint="eastAsia"/>
                <w:color w:val="000000"/>
                <w:sz w:val="22"/>
                <w:szCs w:val="22"/>
              </w:rPr>
              <w:t>5</w:t>
            </w:r>
          </w:p>
        </w:tc>
      </w:tr>
      <w:tr w14:paraId="2AF8FCC8">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00BFC10F">
            <w:pPr>
              <w:widowControl/>
              <w:jc w:val="left"/>
              <w:rPr>
                <w:color w:val="000000"/>
                <w:sz w:val="22"/>
                <w:szCs w:val="22"/>
              </w:rPr>
            </w:pPr>
            <w:r>
              <w:rPr>
                <w:b/>
                <w:color w:val="000000"/>
                <w:sz w:val="22"/>
                <w:szCs w:val="22"/>
              </w:rPr>
              <w:t>Search strategy</w:t>
            </w:r>
          </w:p>
        </w:tc>
        <w:tc>
          <w:tcPr>
            <w:tcW w:w="691" w:type="dxa"/>
            <w:tcBorders>
              <w:top w:val="nil"/>
              <w:left w:val="nil"/>
              <w:bottom w:val="nil"/>
              <w:right w:val="nil"/>
            </w:tcBorders>
            <w:shd w:val="clear" w:color="auto" w:fill="FFFFFF"/>
            <w:tcMar>
              <w:top w:w="0" w:type="dxa"/>
              <w:left w:w="0" w:type="dxa"/>
              <w:bottom w:w="0" w:type="dxa"/>
              <w:right w:w="0" w:type="dxa"/>
            </w:tcMar>
          </w:tcPr>
          <w:p w14:paraId="537FDD43">
            <w:pPr>
              <w:widowControl/>
              <w:rPr>
                <w:color w:val="000000"/>
                <w:sz w:val="22"/>
                <w:szCs w:val="22"/>
              </w:rPr>
            </w:pPr>
            <w:r>
              <w:rPr>
                <w:color w:val="000000"/>
                <w:sz w:val="22"/>
                <w:szCs w:val="22"/>
              </w:rPr>
              <w:t>7</w:t>
            </w:r>
          </w:p>
        </w:tc>
        <w:tc>
          <w:tcPr>
            <w:tcW w:w="4701" w:type="dxa"/>
            <w:tcBorders>
              <w:top w:val="nil"/>
              <w:left w:val="nil"/>
              <w:bottom w:val="nil"/>
              <w:right w:val="nil"/>
            </w:tcBorders>
            <w:shd w:val="clear" w:color="auto" w:fill="FFFFFF"/>
            <w:tcMar>
              <w:top w:w="0" w:type="dxa"/>
              <w:left w:w="0" w:type="dxa"/>
              <w:bottom w:w="0" w:type="dxa"/>
              <w:right w:w="0" w:type="dxa"/>
            </w:tcMar>
          </w:tcPr>
          <w:p w14:paraId="5CEC075F">
            <w:pPr>
              <w:widowControl/>
              <w:rPr>
                <w:color w:val="000000"/>
                <w:sz w:val="22"/>
                <w:szCs w:val="22"/>
              </w:rPr>
            </w:pPr>
            <w:r>
              <w:rPr>
                <w:color w:val="000000"/>
                <w:sz w:val="22"/>
                <w:szCs w:val="22"/>
              </w:rPr>
              <w:t>Present the full search strategies for all databases, registers and websites, including any filters and limits used.</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1C86B63D">
            <w:pPr>
              <w:widowControl/>
              <w:rPr>
                <w:color w:val="000000"/>
                <w:sz w:val="22"/>
                <w:szCs w:val="22"/>
              </w:rPr>
            </w:pPr>
            <w:r>
              <w:rPr>
                <w:color w:val="000000"/>
                <w:sz w:val="22"/>
                <w:szCs w:val="22"/>
              </w:rPr>
              <w:t>A</w:t>
            </w:r>
            <w:r>
              <w:rPr>
                <w:rFonts w:hint="eastAsia"/>
                <w:color w:val="000000"/>
                <w:sz w:val="22"/>
                <w:szCs w:val="22"/>
              </w:rPr>
              <w:t>ppendix1</w:t>
            </w:r>
          </w:p>
        </w:tc>
      </w:tr>
      <w:tr w14:paraId="662C3D7E">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77C88F01">
            <w:pPr>
              <w:widowControl/>
              <w:jc w:val="left"/>
              <w:rPr>
                <w:color w:val="000000"/>
                <w:sz w:val="22"/>
                <w:szCs w:val="22"/>
              </w:rPr>
            </w:pPr>
            <w:r>
              <w:rPr>
                <w:b/>
                <w:color w:val="000000"/>
                <w:sz w:val="22"/>
                <w:szCs w:val="22"/>
              </w:rPr>
              <w:t>Selection process</w:t>
            </w:r>
          </w:p>
        </w:tc>
        <w:tc>
          <w:tcPr>
            <w:tcW w:w="691" w:type="dxa"/>
            <w:tcBorders>
              <w:top w:val="nil"/>
              <w:left w:val="nil"/>
              <w:bottom w:val="nil"/>
              <w:right w:val="nil"/>
            </w:tcBorders>
            <w:shd w:val="clear" w:color="auto" w:fill="FFFFFF"/>
            <w:tcMar>
              <w:top w:w="0" w:type="dxa"/>
              <w:left w:w="0" w:type="dxa"/>
              <w:bottom w:w="0" w:type="dxa"/>
              <w:right w:w="0" w:type="dxa"/>
            </w:tcMar>
          </w:tcPr>
          <w:p w14:paraId="4617F952">
            <w:pPr>
              <w:widowControl/>
              <w:rPr>
                <w:color w:val="000000"/>
                <w:sz w:val="22"/>
                <w:szCs w:val="22"/>
              </w:rPr>
            </w:pPr>
            <w:r>
              <w:rPr>
                <w:color w:val="000000"/>
                <w:sz w:val="22"/>
                <w:szCs w:val="22"/>
              </w:rPr>
              <w:t>8</w:t>
            </w:r>
          </w:p>
        </w:tc>
        <w:tc>
          <w:tcPr>
            <w:tcW w:w="4701" w:type="dxa"/>
            <w:tcBorders>
              <w:top w:val="nil"/>
              <w:left w:val="nil"/>
              <w:bottom w:val="nil"/>
              <w:right w:val="nil"/>
            </w:tcBorders>
            <w:shd w:val="clear" w:color="auto" w:fill="FFFFFF"/>
            <w:tcMar>
              <w:top w:w="0" w:type="dxa"/>
              <w:left w:w="0" w:type="dxa"/>
              <w:bottom w:w="0" w:type="dxa"/>
              <w:right w:w="0" w:type="dxa"/>
            </w:tcMar>
          </w:tcPr>
          <w:p w14:paraId="66488CAA">
            <w:pPr>
              <w:widowControl/>
              <w:rPr>
                <w:color w:val="000000"/>
                <w:sz w:val="22"/>
                <w:szCs w:val="22"/>
              </w:rPr>
            </w:pPr>
            <w:r>
              <w:rPr>
                <w:color w:val="000000"/>
                <w:sz w:val="22"/>
                <w:szCs w:val="2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4D60A96A">
            <w:pPr>
              <w:widowControl/>
              <w:rPr>
                <w:rFonts w:hint="eastAsia" w:eastAsia="宋体"/>
                <w:color w:val="000000"/>
                <w:sz w:val="22"/>
                <w:szCs w:val="22"/>
                <w:lang w:val="en-US" w:eastAsia="zh-CN"/>
              </w:rPr>
            </w:pPr>
            <w:r>
              <w:rPr>
                <w:color w:val="000000"/>
                <w:sz w:val="22"/>
                <w:szCs w:val="22"/>
              </w:rPr>
              <w:t>Page</w:t>
            </w:r>
            <w:r>
              <w:rPr>
                <w:rFonts w:hint="eastAsia"/>
                <w:color w:val="000000"/>
                <w:sz w:val="22"/>
                <w:szCs w:val="22"/>
              </w:rPr>
              <w:t xml:space="preserve"> </w:t>
            </w:r>
            <w:r>
              <w:rPr>
                <w:rFonts w:hint="eastAsia"/>
                <w:color w:val="000000"/>
                <w:sz w:val="22"/>
                <w:szCs w:val="22"/>
                <w:lang w:val="en-US" w:eastAsia="zh-CN"/>
              </w:rPr>
              <w:t>7</w:t>
            </w:r>
          </w:p>
        </w:tc>
      </w:tr>
      <w:tr w14:paraId="797743E5">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2E625371">
            <w:pPr>
              <w:widowControl/>
              <w:jc w:val="left"/>
              <w:rPr>
                <w:color w:val="000000"/>
                <w:sz w:val="22"/>
                <w:szCs w:val="22"/>
              </w:rPr>
            </w:pPr>
            <w:r>
              <w:rPr>
                <w:b/>
                <w:color w:val="000000"/>
                <w:sz w:val="22"/>
                <w:szCs w:val="22"/>
              </w:rPr>
              <w:t>Data collection process</w:t>
            </w:r>
          </w:p>
        </w:tc>
        <w:tc>
          <w:tcPr>
            <w:tcW w:w="691" w:type="dxa"/>
            <w:tcBorders>
              <w:top w:val="nil"/>
              <w:left w:val="nil"/>
              <w:bottom w:val="nil"/>
              <w:right w:val="nil"/>
            </w:tcBorders>
            <w:shd w:val="clear" w:color="auto" w:fill="FFFFFF"/>
            <w:tcMar>
              <w:top w:w="0" w:type="dxa"/>
              <w:left w:w="0" w:type="dxa"/>
              <w:bottom w:w="0" w:type="dxa"/>
              <w:right w:w="0" w:type="dxa"/>
            </w:tcMar>
          </w:tcPr>
          <w:p w14:paraId="5C3742F8">
            <w:pPr>
              <w:widowControl/>
              <w:rPr>
                <w:color w:val="000000"/>
                <w:sz w:val="22"/>
                <w:szCs w:val="22"/>
              </w:rPr>
            </w:pPr>
            <w:r>
              <w:rPr>
                <w:color w:val="000000"/>
                <w:sz w:val="22"/>
                <w:szCs w:val="22"/>
              </w:rPr>
              <w:t>9</w:t>
            </w:r>
          </w:p>
        </w:tc>
        <w:tc>
          <w:tcPr>
            <w:tcW w:w="4701" w:type="dxa"/>
            <w:tcBorders>
              <w:top w:val="nil"/>
              <w:left w:val="nil"/>
              <w:bottom w:val="nil"/>
              <w:right w:val="nil"/>
            </w:tcBorders>
            <w:shd w:val="clear" w:color="auto" w:fill="FFFFFF"/>
            <w:tcMar>
              <w:top w:w="0" w:type="dxa"/>
              <w:left w:w="0" w:type="dxa"/>
              <w:bottom w:w="0" w:type="dxa"/>
              <w:right w:w="0" w:type="dxa"/>
            </w:tcMar>
          </w:tcPr>
          <w:p w14:paraId="2C532715">
            <w:pPr>
              <w:widowControl/>
              <w:rPr>
                <w:color w:val="000000"/>
                <w:sz w:val="22"/>
                <w:szCs w:val="22"/>
              </w:rPr>
            </w:pPr>
            <w:r>
              <w:rPr>
                <w:color w:val="000000"/>
                <w:sz w:val="22"/>
                <w:szCs w:val="22"/>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55A6FF9A">
            <w:pPr>
              <w:widowControl/>
              <w:rPr>
                <w:rFonts w:hint="eastAsia" w:eastAsia="宋体"/>
                <w:color w:val="000000"/>
                <w:sz w:val="22"/>
                <w:szCs w:val="22"/>
                <w:lang w:val="en-US" w:eastAsia="zh-CN"/>
              </w:rPr>
            </w:pPr>
            <w:bookmarkStart w:id="19" w:name="OLE_LINK3"/>
            <w:r>
              <w:rPr>
                <w:color w:val="000000"/>
                <w:sz w:val="22"/>
                <w:szCs w:val="22"/>
              </w:rPr>
              <w:t xml:space="preserve">Page </w:t>
            </w:r>
            <w:bookmarkEnd w:id="19"/>
            <w:r>
              <w:rPr>
                <w:rFonts w:hint="eastAsia"/>
                <w:color w:val="000000"/>
                <w:sz w:val="22"/>
                <w:szCs w:val="22"/>
                <w:lang w:val="en-US" w:eastAsia="zh-CN"/>
              </w:rPr>
              <w:t>9</w:t>
            </w:r>
          </w:p>
        </w:tc>
      </w:tr>
      <w:tr w14:paraId="41D85DF0">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6CD0BD78">
            <w:pPr>
              <w:widowControl/>
              <w:jc w:val="left"/>
              <w:rPr>
                <w:color w:val="000000"/>
                <w:sz w:val="22"/>
                <w:szCs w:val="22"/>
              </w:rPr>
            </w:pPr>
            <w:r>
              <w:rPr>
                <w:b/>
                <w:color w:val="000000"/>
                <w:sz w:val="22"/>
                <w:szCs w:val="22"/>
              </w:rPr>
              <w:t>Data items</w:t>
            </w:r>
          </w:p>
        </w:tc>
        <w:tc>
          <w:tcPr>
            <w:tcW w:w="691" w:type="dxa"/>
            <w:tcBorders>
              <w:top w:val="nil"/>
              <w:left w:val="nil"/>
              <w:bottom w:val="nil"/>
              <w:right w:val="nil"/>
            </w:tcBorders>
            <w:shd w:val="clear" w:color="auto" w:fill="FFFFFF"/>
            <w:tcMar>
              <w:top w:w="0" w:type="dxa"/>
              <w:left w:w="0" w:type="dxa"/>
              <w:bottom w:w="0" w:type="dxa"/>
              <w:right w:w="0" w:type="dxa"/>
            </w:tcMar>
          </w:tcPr>
          <w:p w14:paraId="40FD1035">
            <w:pPr>
              <w:widowControl/>
              <w:rPr>
                <w:color w:val="000000"/>
                <w:sz w:val="22"/>
                <w:szCs w:val="22"/>
              </w:rPr>
            </w:pPr>
            <w:r>
              <w:rPr>
                <w:color w:val="000000"/>
                <w:sz w:val="22"/>
                <w:szCs w:val="22"/>
              </w:rPr>
              <w:t>10a</w:t>
            </w:r>
          </w:p>
        </w:tc>
        <w:tc>
          <w:tcPr>
            <w:tcW w:w="4701" w:type="dxa"/>
            <w:tcBorders>
              <w:top w:val="nil"/>
              <w:left w:val="nil"/>
              <w:bottom w:val="nil"/>
              <w:right w:val="nil"/>
            </w:tcBorders>
            <w:shd w:val="clear" w:color="auto" w:fill="FFFFFF"/>
            <w:tcMar>
              <w:top w:w="0" w:type="dxa"/>
              <w:left w:w="0" w:type="dxa"/>
              <w:bottom w:w="0" w:type="dxa"/>
              <w:right w:w="0" w:type="dxa"/>
            </w:tcMar>
          </w:tcPr>
          <w:p w14:paraId="415EE9F8">
            <w:pPr>
              <w:widowControl/>
              <w:rPr>
                <w:color w:val="000000"/>
                <w:sz w:val="22"/>
                <w:szCs w:val="22"/>
              </w:rPr>
            </w:pPr>
            <w:r>
              <w:rPr>
                <w:color w:val="000000"/>
                <w:sz w:val="22"/>
                <w:szCs w:val="2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223107BB">
            <w:pPr>
              <w:widowControl/>
              <w:rPr>
                <w:color w:val="000000"/>
                <w:sz w:val="22"/>
                <w:szCs w:val="22"/>
              </w:rPr>
            </w:pPr>
            <w:r>
              <w:rPr>
                <w:color w:val="000000"/>
                <w:sz w:val="22"/>
                <w:szCs w:val="22"/>
              </w:rPr>
              <w:t xml:space="preserve">Page </w:t>
            </w:r>
            <w:r>
              <w:rPr>
                <w:rFonts w:hint="eastAsia"/>
                <w:color w:val="000000"/>
                <w:sz w:val="22"/>
                <w:szCs w:val="22"/>
              </w:rPr>
              <w:t>7</w:t>
            </w:r>
          </w:p>
        </w:tc>
      </w:tr>
      <w:tr w14:paraId="453A9691">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4B5C0550">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5AB617CF">
            <w:pPr>
              <w:widowControl/>
              <w:rPr>
                <w:color w:val="000000"/>
                <w:sz w:val="22"/>
                <w:szCs w:val="22"/>
              </w:rPr>
            </w:pPr>
            <w:r>
              <w:rPr>
                <w:color w:val="000000"/>
                <w:sz w:val="22"/>
                <w:szCs w:val="22"/>
              </w:rPr>
              <w:t>10b</w:t>
            </w:r>
          </w:p>
        </w:tc>
        <w:tc>
          <w:tcPr>
            <w:tcW w:w="4701" w:type="dxa"/>
            <w:tcBorders>
              <w:top w:val="nil"/>
              <w:left w:val="nil"/>
              <w:bottom w:val="nil"/>
              <w:right w:val="nil"/>
            </w:tcBorders>
            <w:shd w:val="clear" w:color="auto" w:fill="FFFFFF"/>
            <w:tcMar>
              <w:top w:w="0" w:type="dxa"/>
              <w:left w:w="0" w:type="dxa"/>
              <w:bottom w:w="0" w:type="dxa"/>
              <w:right w:w="0" w:type="dxa"/>
            </w:tcMar>
          </w:tcPr>
          <w:p w14:paraId="1A75FAE1">
            <w:pPr>
              <w:widowControl/>
              <w:rPr>
                <w:color w:val="000000"/>
                <w:sz w:val="22"/>
                <w:szCs w:val="22"/>
              </w:rPr>
            </w:pPr>
            <w:r>
              <w:rPr>
                <w:color w:val="000000"/>
                <w:sz w:val="22"/>
                <w:szCs w:val="22"/>
              </w:rPr>
              <w:t>List and define all other variables for which data were sought (e.g. participant and intervention characteristics, funding sources). Describe any assumptions made about any missing or unclear information.</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5051433B">
            <w:pPr>
              <w:widowControl/>
              <w:rPr>
                <w:color w:val="000000"/>
                <w:sz w:val="22"/>
                <w:szCs w:val="22"/>
              </w:rPr>
            </w:pPr>
            <w:r>
              <w:rPr>
                <w:color w:val="000000"/>
                <w:sz w:val="22"/>
                <w:szCs w:val="22"/>
              </w:rPr>
              <w:t>Page</w:t>
            </w:r>
            <w:r>
              <w:rPr>
                <w:rFonts w:hint="eastAsia"/>
                <w:color w:val="000000"/>
                <w:sz w:val="22"/>
                <w:szCs w:val="22"/>
              </w:rPr>
              <w:t xml:space="preserve"> 7</w:t>
            </w:r>
          </w:p>
        </w:tc>
      </w:tr>
      <w:tr w14:paraId="334179C9">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4CADAC87">
            <w:pPr>
              <w:widowControl/>
              <w:jc w:val="left"/>
              <w:rPr>
                <w:color w:val="000000"/>
                <w:sz w:val="22"/>
                <w:szCs w:val="22"/>
              </w:rPr>
            </w:pPr>
            <w:r>
              <w:rPr>
                <w:b/>
                <w:color w:val="000000"/>
                <w:sz w:val="22"/>
                <w:szCs w:val="22"/>
              </w:rPr>
              <w:t>Study risk of bias assessment</w:t>
            </w:r>
          </w:p>
        </w:tc>
        <w:tc>
          <w:tcPr>
            <w:tcW w:w="691" w:type="dxa"/>
            <w:tcBorders>
              <w:top w:val="nil"/>
              <w:left w:val="nil"/>
              <w:bottom w:val="nil"/>
              <w:right w:val="nil"/>
            </w:tcBorders>
            <w:shd w:val="clear" w:color="auto" w:fill="FFFFFF"/>
            <w:tcMar>
              <w:top w:w="0" w:type="dxa"/>
              <w:left w:w="0" w:type="dxa"/>
              <w:bottom w:w="0" w:type="dxa"/>
              <w:right w:w="0" w:type="dxa"/>
            </w:tcMar>
          </w:tcPr>
          <w:p w14:paraId="7665DD20">
            <w:pPr>
              <w:widowControl/>
              <w:rPr>
                <w:color w:val="000000"/>
                <w:sz w:val="22"/>
                <w:szCs w:val="22"/>
              </w:rPr>
            </w:pPr>
            <w:r>
              <w:rPr>
                <w:color w:val="000000"/>
                <w:sz w:val="22"/>
                <w:szCs w:val="22"/>
              </w:rPr>
              <w:t>11</w:t>
            </w:r>
          </w:p>
        </w:tc>
        <w:tc>
          <w:tcPr>
            <w:tcW w:w="4701" w:type="dxa"/>
            <w:tcBorders>
              <w:top w:val="nil"/>
              <w:left w:val="nil"/>
              <w:bottom w:val="nil"/>
              <w:right w:val="nil"/>
            </w:tcBorders>
            <w:shd w:val="clear" w:color="auto" w:fill="FFFFFF"/>
            <w:tcMar>
              <w:top w:w="0" w:type="dxa"/>
              <w:left w:w="0" w:type="dxa"/>
              <w:bottom w:w="0" w:type="dxa"/>
              <w:right w:w="0" w:type="dxa"/>
            </w:tcMar>
          </w:tcPr>
          <w:p w14:paraId="31BE45D7">
            <w:pPr>
              <w:widowControl/>
              <w:rPr>
                <w:color w:val="000000"/>
                <w:sz w:val="22"/>
                <w:szCs w:val="22"/>
              </w:rPr>
            </w:pPr>
            <w:r>
              <w:rPr>
                <w:color w:val="000000"/>
                <w:sz w:val="22"/>
                <w:szCs w:val="22"/>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3D615CC4">
            <w:pPr>
              <w:widowControl/>
              <w:rPr>
                <w:color w:val="000000"/>
                <w:sz w:val="22"/>
                <w:szCs w:val="22"/>
              </w:rPr>
            </w:pPr>
            <w:r>
              <w:rPr>
                <w:color w:val="000000"/>
                <w:sz w:val="22"/>
                <w:szCs w:val="22"/>
              </w:rPr>
              <w:t>Page</w:t>
            </w:r>
            <w:r>
              <w:rPr>
                <w:rFonts w:hint="eastAsia"/>
                <w:color w:val="000000"/>
                <w:sz w:val="22"/>
                <w:szCs w:val="22"/>
              </w:rPr>
              <w:t xml:space="preserve"> 8</w:t>
            </w:r>
          </w:p>
        </w:tc>
      </w:tr>
      <w:tr w14:paraId="2BC7800A">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5BA13D44">
            <w:pPr>
              <w:widowControl/>
              <w:jc w:val="left"/>
              <w:rPr>
                <w:color w:val="000000"/>
                <w:sz w:val="22"/>
                <w:szCs w:val="22"/>
              </w:rPr>
            </w:pPr>
            <w:r>
              <w:rPr>
                <w:b/>
                <w:color w:val="000000"/>
                <w:sz w:val="22"/>
                <w:szCs w:val="22"/>
              </w:rPr>
              <w:t>Effect measures</w:t>
            </w:r>
          </w:p>
        </w:tc>
        <w:tc>
          <w:tcPr>
            <w:tcW w:w="691" w:type="dxa"/>
            <w:tcBorders>
              <w:top w:val="nil"/>
              <w:left w:val="nil"/>
              <w:bottom w:val="nil"/>
              <w:right w:val="nil"/>
            </w:tcBorders>
            <w:shd w:val="clear" w:color="auto" w:fill="FFFFFF"/>
            <w:tcMar>
              <w:top w:w="0" w:type="dxa"/>
              <w:left w:w="0" w:type="dxa"/>
              <w:bottom w:w="0" w:type="dxa"/>
              <w:right w:w="0" w:type="dxa"/>
            </w:tcMar>
          </w:tcPr>
          <w:p w14:paraId="2D354AC3">
            <w:pPr>
              <w:widowControl/>
              <w:rPr>
                <w:color w:val="000000"/>
                <w:sz w:val="22"/>
                <w:szCs w:val="22"/>
              </w:rPr>
            </w:pPr>
            <w:r>
              <w:rPr>
                <w:color w:val="000000"/>
                <w:sz w:val="22"/>
                <w:szCs w:val="22"/>
              </w:rPr>
              <w:t>12</w:t>
            </w:r>
          </w:p>
        </w:tc>
        <w:tc>
          <w:tcPr>
            <w:tcW w:w="4701" w:type="dxa"/>
            <w:tcBorders>
              <w:top w:val="nil"/>
              <w:left w:val="nil"/>
              <w:bottom w:val="nil"/>
              <w:right w:val="nil"/>
            </w:tcBorders>
            <w:shd w:val="clear" w:color="auto" w:fill="FFFFFF"/>
            <w:tcMar>
              <w:top w:w="0" w:type="dxa"/>
              <w:left w:w="0" w:type="dxa"/>
              <w:bottom w:w="0" w:type="dxa"/>
              <w:right w:w="0" w:type="dxa"/>
            </w:tcMar>
          </w:tcPr>
          <w:p w14:paraId="701A8ABE">
            <w:pPr>
              <w:widowControl/>
              <w:rPr>
                <w:color w:val="000000"/>
                <w:sz w:val="22"/>
                <w:szCs w:val="22"/>
              </w:rPr>
            </w:pPr>
            <w:r>
              <w:rPr>
                <w:color w:val="000000"/>
                <w:sz w:val="22"/>
                <w:szCs w:val="22"/>
              </w:rPr>
              <w:t>Specify for each outcome the effect measure(s) (e.g. risk ratio, mean difference) used in the synthesis or presentation of results.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088D92CB">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9-10</w:t>
            </w:r>
          </w:p>
        </w:tc>
      </w:tr>
      <w:tr w14:paraId="18DB95B4">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4EDA17B5">
            <w:pPr>
              <w:widowControl/>
              <w:jc w:val="left"/>
              <w:rPr>
                <w:color w:val="000000"/>
                <w:sz w:val="22"/>
                <w:szCs w:val="22"/>
              </w:rPr>
            </w:pPr>
            <w:r>
              <w:rPr>
                <w:b/>
                <w:color w:val="000000"/>
                <w:sz w:val="22"/>
                <w:szCs w:val="22"/>
              </w:rPr>
              <w:t>Synthesis methods</w:t>
            </w:r>
          </w:p>
        </w:tc>
        <w:tc>
          <w:tcPr>
            <w:tcW w:w="691" w:type="dxa"/>
            <w:tcBorders>
              <w:top w:val="nil"/>
              <w:left w:val="nil"/>
              <w:bottom w:val="nil"/>
              <w:right w:val="nil"/>
            </w:tcBorders>
            <w:shd w:val="clear" w:color="auto" w:fill="FFFFFF"/>
            <w:tcMar>
              <w:top w:w="0" w:type="dxa"/>
              <w:left w:w="0" w:type="dxa"/>
              <w:bottom w:w="0" w:type="dxa"/>
              <w:right w:w="0" w:type="dxa"/>
            </w:tcMar>
          </w:tcPr>
          <w:p w14:paraId="7E5D848C">
            <w:pPr>
              <w:widowControl/>
              <w:rPr>
                <w:color w:val="000000"/>
                <w:sz w:val="22"/>
                <w:szCs w:val="22"/>
              </w:rPr>
            </w:pPr>
            <w:r>
              <w:rPr>
                <w:color w:val="000000"/>
                <w:sz w:val="22"/>
                <w:szCs w:val="22"/>
              </w:rPr>
              <w:t>13a</w:t>
            </w:r>
          </w:p>
        </w:tc>
        <w:tc>
          <w:tcPr>
            <w:tcW w:w="4701" w:type="dxa"/>
            <w:tcBorders>
              <w:top w:val="nil"/>
              <w:left w:val="nil"/>
              <w:bottom w:val="nil"/>
              <w:right w:val="nil"/>
            </w:tcBorders>
            <w:shd w:val="clear" w:color="auto" w:fill="FFFFFF"/>
            <w:tcMar>
              <w:top w:w="0" w:type="dxa"/>
              <w:left w:w="0" w:type="dxa"/>
              <w:bottom w:w="0" w:type="dxa"/>
              <w:right w:w="0" w:type="dxa"/>
            </w:tcMar>
          </w:tcPr>
          <w:p w14:paraId="61CA4714">
            <w:pPr>
              <w:widowControl/>
              <w:rPr>
                <w:color w:val="000000"/>
                <w:sz w:val="22"/>
                <w:szCs w:val="22"/>
              </w:rPr>
            </w:pPr>
            <w:r>
              <w:rPr>
                <w:color w:val="000000"/>
                <w:sz w:val="22"/>
                <w:szCs w:val="22"/>
              </w:rPr>
              <w:t>Describe the processes used to decide which studies were eligible for each synthesis (e.g. tabulating the study intervention characteristics and comparing against the planned groups for each synthesis (item 5)).</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70020E9E">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5-7</w:t>
            </w:r>
          </w:p>
        </w:tc>
      </w:tr>
      <w:tr w14:paraId="25989B65">
        <w:trPr>
          <w:cantSplit/>
          <w:jc w:val="center"/>
        </w:trPr>
        <w:tc>
          <w:tcPr>
            <w:tcW w:w="2193" w:type="dxa"/>
            <w:vMerge w:val="restart"/>
            <w:tcBorders>
              <w:top w:val="nil"/>
              <w:left w:val="single" w:color="000000" w:sz="8" w:space="0"/>
              <w:bottom w:val="nil"/>
              <w:right w:val="nil"/>
            </w:tcBorders>
            <w:shd w:val="clear" w:color="auto" w:fill="FFFFFF"/>
            <w:tcMar>
              <w:top w:w="0" w:type="dxa"/>
              <w:left w:w="0" w:type="dxa"/>
              <w:bottom w:w="0" w:type="dxa"/>
              <w:right w:w="0" w:type="dxa"/>
            </w:tcMar>
          </w:tcPr>
          <w:p w14:paraId="1520C0F6">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61C4EB2E">
            <w:pPr>
              <w:widowControl/>
              <w:rPr>
                <w:color w:val="000000"/>
                <w:sz w:val="22"/>
                <w:szCs w:val="22"/>
              </w:rPr>
            </w:pPr>
            <w:r>
              <w:rPr>
                <w:color w:val="000000"/>
                <w:sz w:val="22"/>
                <w:szCs w:val="22"/>
              </w:rPr>
              <w:t>13b</w:t>
            </w:r>
          </w:p>
        </w:tc>
        <w:tc>
          <w:tcPr>
            <w:tcW w:w="4701" w:type="dxa"/>
            <w:tcBorders>
              <w:top w:val="nil"/>
              <w:left w:val="nil"/>
              <w:bottom w:val="nil"/>
              <w:right w:val="nil"/>
            </w:tcBorders>
            <w:shd w:val="clear" w:color="auto" w:fill="FFFFFF"/>
            <w:tcMar>
              <w:top w:w="0" w:type="dxa"/>
              <w:left w:w="0" w:type="dxa"/>
              <w:bottom w:w="0" w:type="dxa"/>
              <w:right w:w="0" w:type="dxa"/>
            </w:tcMar>
          </w:tcPr>
          <w:p w14:paraId="653D26C6">
            <w:pPr>
              <w:widowControl/>
              <w:rPr>
                <w:color w:val="000000"/>
                <w:sz w:val="22"/>
                <w:szCs w:val="22"/>
              </w:rPr>
            </w:pPr>
            <w:r>
              <w:rPr>
                <w:color w:val="000000"/>
                <w:sz w:val="22"/>
                <w:szCs w:val="22"/>
              </w:rPr>
              <w:t>Describe any methods required to prepare the data for presentation or synthesis, such as handling of missing summary statistics, or data conversions.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03B24B9D">
            <w:pPr>
              <w:widowControl/>
              <w:rPr>
                <w:rFonts w:hint="eastAsia"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9</w:t>
            </w:r>
          </w:p>
        </w:tc>
      </w:tr>
      <w:tr w14:paraId="5AB0C5D7">
        <w:trPr>
          <w:cantSplit/>
          <w:jc w:val="center"/>
        </w:trPr>
        <w:tc>
          <w:tcPr>
            <w:tcW w:w="2193" w:type="dxa"/>
            <w:vMerge w:val="continue"/>
            <w:tcBorders>
              <w:top w:val="nil"/>
              <w:left w:val="single" w:color="000000" w:sz="8" w:space="0"/>
              <w:bottom w:val="nil"/>
              <w:right w:val="nil"/>
            </w:tcBorders>
            <w:vAlign w:val="center"/>
          </w:tcPr>
          <w:p w14:paraId="0F6C51B2">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2FCD79BC">
            <w:pPr>
              <w:widowControl/>
              <w:rPr>
                <w:color w:val="000000"/>
                <w:sz w:val="22"/>
                <w:szCs w:val="22"/>
              </w:rPr>
            </w:pPr>
            <w:r>
              <w:rPr>
                <w:color w:val="000000"/>
                <w:sz w:val="22"/>
                <w:szCs w:val="22"/>
              </w:rPr>
              <w:t>13c</w:t>
            </w:r>
          </w:p>
        </w:tc>
        <w:tc>
          <w:tcPr>
            <w:tcW w:w="4701" w:type="dxa"/>
            <w:tcBorders>
              <w:top w:val="nil"/>
              <w:left w:val="nil"/>
              <w:bottom w:val="nil"/>
              <w:right w:val="nil"/>
            </w:tcBorders>
            <w:shd w:val="clear" w:color="auto" w:fill="FFFFFF"/>
            <w:tcMar>
              <w:top w:w="0" w:type="dxa"/>
              <w:left w:w="0" w:type="dxa"/>
              <w:bottom w:w="0" w:type="dxa"/>
              <w:right w:w="0" w:type="dxa"/>
            </w:tcMar>
          </w:tcPr>
          <w:p w14:paraId="3203F6A8">
            <w:pPr>
              <w:widowControl/>
              <w:rPr>
                <w:color w:val="000000"/>
                <w:sz w:val="22"/>
                <w:szCs w:val="22"/>
              </w:rPr>
            </w:pPr>
            <w:r>
              <w:rPr>
                <w:color w:val="000000"/>
                <w:sz w:val="22"/>
                <w:szCs w:val="22"/>
              </w:rPr>
              <w:t>Describe any methods used to tabulate or visually display results of individual studies and syntheses.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06AD7EC2">
            <w:pPr>
              <w:widowControl/>
              <w:rPr>
                <w:color w:val="000000"/>
                <w:sz w:val="22"/>
                <w:szCs w:val="22"/>
              </w:rPr>
            </w:pPr>
            <w:r>
              <w:rPr>
                <w:color w:val="000000"/>
                <w:sz w:val="22"/>
                <w:szCs w:val="22"/>
              </w:rPr>
              <w:t xml:space="preserve">Page </w:t>
            </w:r>
            <w:r>
              <w:rPr>
                <w:rFonts w:hint="eastAsia"/>
                <w:color w:val="000000"/>
                <w:sz w:val="22"/>
                <w:szCs w:val="22"/>
                <w:lang w:val="en-US" w:eastAsia="zh-CN"/>
              </w:rPr>
              <w:t>9</w:t>
            </w:r>
            <w:r>
              <w:rPr>
                <w:color w:val="000000"/>
                <w:sz w:val="22"/>
                <w:szCs w:val="22"/>
              </w:rPr>
              <w:t>,</w:t>
            </w:r>
            <w:r>
              <w:rPr>
                <w:rFonts w:hint="eastAsia"/>
                <w:color w:val="000000"/>
                <w:sz w:val="22"/>
                <w:szCs w:val="22"/>
              </w:rPr>
              <w:t>Figure 2</w:t>
            </w:r>
          </w:p>
        </w:tc>
      </w:tr>
      <w:tr w14:paraId="2889B077">
        <w:trPr>
          <w:cantSplit/>
          <w:jc w:val="center"/>
        </w:trPr>
        <w:tc>
          <w:tcPr>
            <w:tcW w:w="2193" w:type="dxa"/>
            <w:vMerge w:val="continue"/>
            <w:tcBorders>
              <w:top w:val="nil"/>
              <w:left w:val="single" w:color="000000" w:sz="8" w:space="0"/>
              <w:bottom w:val="nil"/>
              <w:right w:val="nil"/>
            </w:tcBorders>
            <w:vAlign w:val="center"/>
          </w:tcPr>
          <w:p w14:paraId="1739CC46">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4BAA7C81">
            <w:pPr>
              <w:widowControl/>
              <w:rPr>
                <w:color w:val="000000"/>
                <w:sz w:val="22"/>
                <w:szCs w:val="22"/>
              </w:rPr>
            </w:pPr>
            <w:r>
              <w:rPr>
                <w:color w:val="000000"/>
                <w:sz w:val="22"/>
                <w:szCs w:val="22"/>
              </w:rPr>
              <w:t>13d</w:t>
            </w:r>
          </w:p>
        </w:tc>
        <w:tc>
          <w:tcPr>
            <w:tcW w:w="4701" w:type="dxa"/>
            <w:tcBorders>
              <w:top w:val="nil"/>
              <w:left w:val="nil"/>
              <w:bottom w:val="nil"/>
              <w:right w:val="nil"/>
            </w:tcBorders>
            <w:shd w:val="clear" w:color="auto" w:fill="FFFFFF"/>
            <w:tcMar>
              <w:top w:w="0" w:type="dxa"/>
              <w:left w:w="0" w:type="dxa"/>
              <w:bottom w:w="0" w:type="dxa"/>
              <w:right w:w="0" w:type="dxa"/>
            </w:tcMar>
          </w:tcPr>
          <w:p w14:paraId="01E2C9A2">
            <w:pPr>
              <w:widowControl/>
              <w:rPr>
                <w:color w:val="000000"/>
                <w:sz w:val="22"/>
                <w:szCs w:val="22"/>
              </w:rPr>
            </w:pPr>
            <w:r>
              <w:rPr>
                <w:color w:val="000000"/>
                <w:sz w:val="22"/>
                <w:szCs w:val="22"/>
              </w:rPr>
              <w:t>Describe any methods used to synthesize results and provide a rationale for the choice(s). If meta-analysis was performed, describe the model(s), method(s) to identify the presence and extent of statistical heterogeneity, and software package(s) used.</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2E994493">
            <w:pPr>
              <w:widowControl/>
              <w:rPr>
                <w:color w:val="000000"/>
                <w:sz w:val="22"/>
                <w:szCs w:val="22"/>
              </w:rPr>
            </w:pPr>
            <w:r>
              <w:rPr>
                <w:color w:val="000000"/>
                <w:sz w:val="22"/>
                <w:szCs w:val="22"/>
              </w:rPr>
              <w:t xml:space="preserve">Page </w:t>
            </w:r>
            <w:r>
              <w:rPr>
                <w:rFonts w:hint="eastAsia"/>
                <w:color w:val="000000"/>
                <w:sz w:val="22"/>
                <w:szCs w:val="22"/>
              </w:rPr>
              <w:t>9</w:t>
            </w:r>
          </w:p>
        </w:tc>
      </w:tr>
      <w:tr w14:paraId="49D42D05">
        <w:trPr>
          <w:cantSplit/>
          <w:jc w:val="center"/>
        </w:trPr>
        <w:tc>
          <w:tcPr>
            <w:tcW w:w="2193" w:type="dxa"/>
            <w:vMerge w:val="continue"/>
            <w:tcBorders>
              <w:top w:val="nil"/>
              <w:left w:val="single" w:color="000000" w:sz="8" w:space="0"/>
              <w:bottom w:val="nil"/>
              <w:right w:val="nil"/>
            </w:tcBorders>
            <w:vAlign w:val="center"/>
          </w:tcPr>
          <w:p w14:paraId="4C4C166D">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25AB8EB1">
            <w:pPr>
              <w:widowControl/>
              <w:rPr>
                <w:color w:val="000000"/>
                <w:sz w:val="22"/>
                <w:szCs w:val="22"/>
              </w:rPr>
            </w:pPr>
            <w:r>
              <w:rPr>
                <w:color w:val="000000"/>
                <w:sz w:val="22"/>
                <w:szCs w:val="22"/>
              </w:rPr>
              <w:t>13e</w:t>
            </w:r>
          </w:p>
        </w:tc>
        <w:tc>
          <w:tcPr>
            <w:tcW w:w="4701" w:type="dxa"/>
            <w:tcBorders>
              <w:top w:val="nil"/>
              <w:left w:val="nil"/>
              <w:bottom w:val="nil"/>
              <w:right w:val="nil"/>
            </w:tcBorders>
            <w:shd w:val="clear" w:color="auto" w:fill="FFFFFF"/>
            <w:tcMar>
              <w:top w:w="0" w:type="dxa"/>
              <w:left w:w="0" w:type="dxa"/>
              <w:bottom w:w="0" w:type="dxa"/>
              <w:right w:w="0" w:type="dxa"/>
            </w:tcMar>
          </w:tcPr>
          <w:p w14:paraId="4191046C">
            <w:pPr>
              <w:widowControl/>
              <w:rPr>
                <w:color w:val="000000"/>
                <w:sz w:val="22"/>
                <w:szCs w:val="22"/>
              </w:rPr>
            </w:pPr>
            <w:r>
              <w:rPr>
                <w:color w:val="000000"/>
                <w:sz w:val="22"/>
                <w:szCs w:val="22"/>
              </w:rPr>
              <w:t>Describe any methods used to explore possible causes of heterogeneity among study results (e.g. subgroup analysis, meta-regression).</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23E654A5">
            <w:pPr>
              <w:widowControl/>
              <w:rPr>
                <w:rFonts w:hint="eastAsia" w:eastAsia="宋体"/>
                <w:color w:val="000000"/>
                <w:sz w:val="22"/>
                <w:szCs w:val="22"/>
                <w:lang w:eastAsia="zh-CN"/>
              </w:rPr>
            </w:pPr>
            <w:r>
              <w:rPr>
                <w:color w:val="000000"/>
                <w:sz w:val="22"/>
                <w:szCs w:val="22"/>
              </w:rPr>
              <w:t xml:space="preserve">Page </w:t>
            </w:r>
            <w:r>
              <w:rPr>
                <w:rFonts w:hint="eastAsia"/>
                <w:color w:val="000000"/>
                <w:sz w:val="22"/>
                <w:szCs w:val="22"/>
                <w:lang w:val="en-US" w:eastAsia="zh-CN"/>
              </w:rPr>
              <w:t>9</w:t>
            </w:r>
          </w:p>
        </w:tc>
      </w:tr>
      <w:tr w14:paraId="5C3EB664">
        <w:trPr>
          <w:cantSplit/>
          <w:jc w:val="center"/>
        </w:trPr>
        <w:tc>
          <w:tcPr>
            <w:tcW w:w="2193" w:type="dxa"/>
            <w:vMerge w:val="continue"/>
            <w:tcBorders>
              <w:top w:val="nil"/>
              <w:left w:val="single" w:color="000000" w:sz="8" w:space="0"/>
              <w:bottom w:val="nil"/>
              <w:right w:val="nil"/>
            </w:tcBorders>
            <w:vAlign w:val="center"/>
          </w:tcPr>
          <w:p w14:paraId="6B443185">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5160CACF">
            <w:pPr>
              <w:widowControl/>
              <w:rPr>
                <w:color w:val="000000"/>
                <w:sz w:val="22"/>
                <w:szCs w:val="22"/>
              </w:rPr>
            </w:pPr>
            <w:r>
              <w:rPr>
                <w:color w:val="000000"/>
                <w:sz w:val="22"/>
                <w:szCs w:val="22"/>
              </w:rPr>
              <w:t>13f</w:t>
            </w:r>
          </w:p>
        </w:tc>
        <w:tc>
          <w:tcPr>
            <w:tcW w:w="4701" w:type="dxa"/>
            <w:tcBorders>
              <w:top w:val="nil"/>
              <w:left w:val="nil"/>
              <w:bottom w:val="nil"/>
              <w:right w:val="nil"/>
            </w:tcBorders>
            <w:shd w:val="clear" w:color="auto" w:fill="FFFFFF"/>
            <w:tcMar>
              <w:top w:w="0" w:type="dxa"/>
              <w:left w:w="0" w:type="dxa"/>
              <w:bottom w:w="0" w:type="dxa"/>
              <w:right w:w="0" w:type="dxa"/>
            </w:tcMar>
          </w:tcPr>
          <w:p w14:paraId="0E3D319C">
            <w:pPr>
              <w:widowControl/>
              <w:rPr>
                <w:color w:val="000000"/>
                <w:sz w:val="22"/>
                <w:szCs w:val="22"/>
              </w:rPr>
            </w:pPr>
            <w:r>
              <w:rPr>
                <w:color w:val="000000"/>
                <w:sz w:val="22"/>
                <w:szCs w:val="22"/>
              </w:rPr>
              <w:t>Describe any sensitivity analyses conducted to assess robustness of the synthesized results.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2FEFB2E5">
            <w:pPr>
              <w:widowControl/>
              <w:rPr>
                <w:color w:val="000000"/>
                <w:sz w:val="22"/>
                <w:szCs w:val="22"/>
              </w:rPr>
            </w:pPr>
            <w:r>
              <w:rPr>
                <w:color w:val="000000"/>
                <w:sz w:val="22"/>
                <w:szCs w:val="22"/>
              </w:rPr>
              <w:t xml:space="preserve">Page </w:t>
            </w:r>
            <w:r>
              <w:rPr>
                <w:rFonts w:hint="eastAsia"/>
                <w:color w:val="000000"/>
                <w:sz w:val="22"/>
                <w:szCs w:val="22"/>
              </w:rPr>
              <w:t>9</w:t>
            </w:r>
          </w:p>
        </w:tc>
      </w:tr>
      <w:tr w14:paraId="419E2FA2">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11B54078">
            <w:pPr>
              <w:widowControl/>
              <w:jc w:val="left"/>
              <w:rPr>
                <w:color w:val="000000"/>
                <w:sz w:val="22"/>
                <w:szCs w:val="22"/>
              </w:rPr>
            </w:pPr>
            <w:r>
              <w:rPr>
                <w:b/>
                <w:color w:val="000000"/>
                <w:sz w:val="22"/>
                <w:szCs w:val="22"/>
              </w:rPr>
              <w:t>Reporting bias assessment</w:t>
            </w:r>
          </w:p>
        </w:tc>
        <w:tc>
          <w:tcPr>
            <w:tcW w:w="691" w:type="dxa"/>
            <w:tcBorders>
              <w:top w:val="nil"/>
              <w:left w:val="nil"/>
              <w:bottom w:val="nil"/>
              <w:right w:val="nil"/>
            </w:tcBorders>
            <w:shd w:val="clear" w:color="auto" w:fill="FFFFFF"/>
            <w:tcMar>
              <w:top w:w="0" w:type="dxa"/>
              <w:left w:w="0" w:type="dxa"/>
              <w:bottom w:w="0" w:type="dxa"/>
              <w:right w:w="0" w:type="dxa"/>
            </w:tcMar>
          </w:tcPr>
          <w:p w14:paraId="791DC3B4">
            <w:pPr>
              <w:widowControl/>
              <w:rPr>
                <w:color w:val="000000"/>
                <w:sz w:val="22"/>
                <w:szCs w:val="22"/>
              </w:rPr>
            </w:pPr>
            <w:r>
              <w:rPr>
                <w:color w:val="000000"/>
                <w:sz w:val="22"/>
                <w:szCs w:val="22"/>
              </w:rPr>
              <w:t>14</w:t>
            </w:r>
          </w:p>
        </w:tc>
        <w:tc>
          <w:tcPr>
            <w:tcW w:w="4701" w:type="dxa"/>
            <w:tcBorders>
              <w:top w:val="nil"/>
              <w:left w:val="nil"/>
              <w:bottom w:val="nil"/>
              <w:right w:val="nil"/>
            </w:tcBorders>
            <w:shd w:val="clear" w:color="auto" w:fill="FFFFFF"/>
            <w:tcMar>
              <w:top w:w="0" w:type="dxa"/>
              <w:left w:w="0" w:type="dxa"/>
              <w:bottom w:w="0" w:type="dxa"/>
              <w:right w:w="0" w:type="dxa"/>
            </w:tcMar>
          </w:tcPr>
          <w:p w14:paraId="60C079B3">
            <w:pPr>
              <w:widowControl/>
              <w:rPr>
                <w:color w:val="000000"/>
                <w:sz w:val="22"/>
                <w:szCs w:val="22"/>
              </w:rPr>
            </w:pPr>
            <w:r>
              <w:rPr>
                <w:color w:val="000000"/>
                <w:sz w:val="22"/>
                <w:szCs w:val="22"/>
              </w:rPr>
              <w:t>Describe any methods used to assess risk of bias due to missing results in a synthesis (arising from reporting biases).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6AE1CD48">
            <w:pPr>
              <w:widowControl/>
              <w:rPr>
                <w:color w:val="000000"/>
                <w:sz w:val="22"/>
                <w:szCs w:val="22"/>
              </w:rPr>
            </w:pPr>
            <w:bookmarkStart w:id="20" w:name="OLE_LINK6"/>
            <w:r>
              <w:rPr>
                <w:color w:val="000000"/>
                <w:sz w:val="22"/>
                <w:szCs w:val="22"/>
              </w:rPr>
              <w:t>Page</w:t>
            </w:r>
            <w:bookmarkEnd w:id="20"/>
            <w:r>
              <w:rPr>
                <w:color w:val="000000"/>
                <w:sz w:val="22"/>
                <w:szCs w:val="22"/>
              </w:rPr>
              <w:t xml:space="preserve"> </w:t>
            </w:r>
            <w:r>
              <w:rPr>
                <w:rFonts w:hint="eastAsia"/>
                <w:color w:val="000000"/>
                <w:sz w:val="22"/>
                <w:szCs w:val="22"/>
              </w:rPr>
              <w:t>8</w:t>
            </w:r>
          </w:p>
        </w:tc>
      </w:tr>
      <w:tr w14:paraId="4389D2F2">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29D365BC">
            <w:pPr>
              <w:widowControl/>
              <w:jc w:val="left"/>
              <w:rPr>
                <w:color w:val="000000"/>
                <w:sz w:val="22"/>
                <w:szCs w:val="22"/>
              </w:rPr>
            </w:pPr>
            <w:r>
              <w:rPr>
                <w:b/>
                <w:color w:val="000000"/>
                <w:sz w:val="22"/>
                <w:szCs w:val="22"/>
              </w:rPr>
              <w:t>Certainty assessment</w:t>
            </w:r>
          </w:p>
        </w:tc>
        <w:tc>
          <w:tcPr>
            <w:tcW w:w="691" w:type="dxa"/>
            <w:tcBorders>
              <w:top w:val="nil"/>
              <w:left w:val="nil"/>
              <w:bottom w:val="nil"/>
              <w:right w:val="nil"/>
            </w:tcBorders>
            <w:shd w:val="clear" w:color="auto" w:fill="FFFFFF"/>
            <w:tcMar>
              <w:top w:w="0" w:type="dxa"/>
              <w:left w:w="0" w:type="dxa"/>
              <w:bottom w:w="0" w:type="dxa"/>
              <w:right w:w="0" w:type="dxa"/>
            </w:tcMar>
          </w:tcPr>
          <w:p w14:paraId="34B92067">
            <w:pPr>
              <w:widowControl/>
              <w:rPr>
                <w:color w:val="000000"/>
                <w:sz w:val="22"/>
                <w:szCs w:val="22"/>
              </w:rPr>
            </w:pPr>
            <w:r>
              <w:rPr>
                <w:color w:val="000000"/>
                <w:sz w:val="22"/>
                <w:szCs w:val="22"/>
              </w:rPr>
              <w:t>15</w:t>
            </w:r>
          </w:p>
        </w:tc>
        <w:tc>
          <w:tcPr>
            <w:tcW w:w="4701" w:type="dxa"/>
            <w:tcBorders>
              <w:top w:val="nil"/>
              <w:left w:val="nil"/>
              <w:bottom w:val="nil"/>
              <w:right w:val="nil"/>
            </w:tcBorders>
            <w:shd w:val="clear" w:color="auto" w:fill="FFFFFF"/>
            <w:tcMar>
              <w:top w:w="0" w:type="dxa"/>
              <w:left w:w="0" w:type="dxa"/>
              <w:bottom w:w="0" w:type="dxa"/>
              <w:right w:w="0" w:type="dxa"/>
            </w:tcMar>
          </w:tcPr>
          <w:p w14:paraId="1770D9A3">
            <w:pPr>
              <w:widowControl/>
              <w:rPr>
                <w:color w:val="000000"/>
                <w:sz w:val="22"/>
                <w:szCs w:val="22"/>
              </w:rPr>
            </w:pPr>
            <w:r>
              <w:rPr>
                <w:color w:val="000000"/>
                <w:sz w:val="22"/>
                <w:szCs w:val="22"/>
              </w:rPr>
              <w:t>Describe any methods used to assess certainty (or confidence) in the body of evidence for an outcome.</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643D839D">
            <w:pPr>
              <w:widowControl/>
              <w:rPr>
                <w:rFonts w:hint="eastAsia"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8</w:t>
            </w:r>
          </w:p>
        </w:tc>
      </w:tr>
      <w:tr w14:paraId="34D278E7">
        <w:trPr>
          <w:cantSplit/>
          <w:jc w:val="center"/>
        </w:trPr>
        <w:tc>
          <w:tcPr>
            <w:tcW w:w="2193" w:type="dxa"/>
            <w:tcBorders>
              <w:top w:val="nil"/>
              <w:left w:val="single" w:color="000000" w:sz="8" w:space="0"/>
              <w:bottom w:val="nil"/>
              <w:right w:val="nil"/>
            </w:tcBorders>
            <w:shd w:val="clear" w:color="auto" w:fill="FFFFCC"/>
            <w:tcMar>
              <w:top w:w="0" w:type="dxa"/>
              <w:left w:w="0" w:type="dxa"/>
              <w:bottom w:w="0" w:type="dxa"/>
              <w:right w:w="0" w:type="dxa"/>
            </w:tcMar>
          </w:tcPr>
          <w:p w14:paraId="2C815656">
            <w:pPr>
              <w:widowControl/>
              <w:jc w:val="left"/>
              <w:rPr>
                <w:color w:val="000000"/>
                <w:sz w:val="22"/>
                <w:szCs w:val="22"/>
              </w:rPr>
            </w:pPr>
            <w:r>
              <w:rPr>
                <w:b/>
                <w:color w:val="000000"/>
                <w:sz w:val="22"/>
                <w:szCs w:val="22"/>
              </w:rPr>
              <w:t>RESULTS</w:t>
            </w:r>
          </w:p>
        </w:tc>
        <w:tc>
          <w:tcPr>
            <w:tcW w:w="691" w:type="dxa"/>
            <w:tcBorders>
              <w:top w:val="nil"/>
              <w:left w:val="nil"/>
              <w:bottom w:val="nil"/>
              <w:right w:val="nil"/>
            </w:tcBorders>
            <w:shd w:val="clear" w:color="auto" w:fill="FFFFCC"/>
            <w:tcMar>
              <w:top w:w="0" w:type="dxa"/>
              <w:left w:w="0" w:type="dxa"/>
              <w:bottom w:w="0" w:type="dxa"/>
              <w:right w:w="0" w:type="dxa"/>
            </w:tcMar>
          </w:tcPr>
          <w:p w14:paraId="1CA66CAA">
            <w:pPr>
              <w:widowControl/>
              <w:rPr>
                <w:color w:val="000000"/>
                <w:sz w:val="22"/>
                <w:szCs w:val="22"/>
              </w:rPr>
            </w:pPr>
          </w:p>
        </w:tc>
        <w:tc>
          <w:tcPr>
            <w:tcW w:w="4701" w:type="dxa"/>
            <w:tcBorders>
              <w:top w:val="nil"/>
              <w:left w:val="nil"/>
              <w:bottom w:val="nil"/>
              <w:right w:val="nil"/>
            </w:tcBorders>
            <w:shd w:val="clear" w:color="auto" w:fill="FFFFCC"/>
            <w:tcMar>
              <w:top w:w="0" w:type="dxa"/>
              <w:left w:w="0" w:type="dxa"/>
              <w:bottom w:w="0" w:type="dxa"/>
              <w:right w:w="0" w:type="dxa"/>
            </w:tcMar>
          </w:tcPr>
          <w:p w14:paraId="6C0F5E9D">
            <w:pPr>
              <w:widowControl/>
              <w:rPr>
                <w:color w:val="000000"/>
                <w:sz w:val="22"/>
                <w:szCs w:val="22"/>
              </w:rPr>
            </w:pPr>
          </w:p>
        </w:tc>
        <w:tc>
          <w:tcPr>
            <w:tcW w:w="1731" w:type="dxa"/>
            <w:tcBorders>
              <w:top w:val="nil"/>
              <w:left w:val="nil"/>
              <w:bottom w:val="nil"/>
              <w:right w:val="single" w:color="000000" w:sz="8" w:space="0"/>
            </w:tcBorders>
            <w:shd w:val="clear" w:color="auto" w:fill="FFFFCC"/>
            <w:tcMar>
              <w:top w:w="0" w:type="dxa"/>
              <w:left w:w="0" w:type="dxa"/>
              <w:bottom w:w="0" w:type="dxa"/>
              <w:right w:w="0" w:type="dxa"/>
            </w:tcMar>
          </w:tcPr>
          <w:p w14:paraId="29CAEAF0">
            <w:pPr>
              <w:widowControl/>
              <w:rPr>
                <w:color w:val="000000"/>
                <w:sz w:val="22"/>
                <w:szCs w:val="22"/>
              </w:rPr>
            </w:pPr>
          </w:p>
        </w:tc>
      </w:tr>
      <w:tr w14:paraId="665CB66E">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026F6A67">
            <w:pPr>
              <w:widowControl/>
              <w:jc w:val="left"/>
              <w:rPr>
                <w:color w:val="000000"/>
                <w:sz w:val="22"/>
                <w:szCs w:val="22"/>
              </w:rPr>
            </w:pPr>
            <w:r>
              <w:rPr>
                <w:b/>
                <w:color w:val="000000"/>
                <w:sz w:val="22"/>
                <w:szCs w:val="22"/>
              </w:rPr>
              <w:t>Study selection</w:t>
            </w:r>
          </w:p>
        </w:tc>
        <w:tc>
          <w:tcPr>
            <w:tcW w:w="691" w:type="dxa"/>
            <w:tcBorders>
              <w:top w:val="nil"/>
              <w:left w:val="nil"/>
              <w:bottom w:val="nil"/>
              <w:right w:val="nil"/>
            </w:tcBorders>
            <w:shd w:val="clear" w:color="auto" w:fill="FFFFFF"/>
            <w:tcMar>
              <w:top w:w="0" w:type="dxa"/>
              <w:left w:w="0" w:type="dxa"/>
              <w:bottom w:w="0" w:type="dxa"/>
              <w:right w:w="0" w:type="dxa"/>
            </w:tcMar>
          </w:tcPr>
          <w:p w14:paraId="685F531C">
            <w:pPr>
              <w:widowControl/>
              <w:rPr>
                <w:color w:val="000000"/>
                <w:sz w:val="22"/>
                <w:szCs w:val="22"/>
              </w:rPr>
            </w:pPr>
            <w:r>
              <w:rPr>
                <w:color w:val="000000"/>
                <w:sz w:val="22"/>
                <w:szCs w:val="22"/>
              </w:rPr>
              <w:t>16a</w:t>
            </w:r>
          </w:p>
        </w:tc>
        <w:tc>
          <w:tcPr>
            <w:tcW w:w="4701" w:type="dxa"/>
            <w:tcBorders>
              <w:top w:val="nil"/>
              <w:left w:val="nil"/>
              <w:bottom w:val="nil"/>
              <w:right w:val="nil"/>
            </w:tcBorders>
            <w:shd w:val="clear" w:color="auto" w:fill="FFFFFF"/>
            <w:tcMar>
              <w:top w:w="0" w:type="dxa"/>
              <w:left w:w="0" w:type="dxa"/>
              <w:bottom w:w="0" w:type="dxa"/>
              <w:right w:w="0" w:type="dxa"/>
            </w:tcMar>
          </w:tcPr>
          <w:p w14:paraId="68DF5285">
            <w:pPr>
              <w:widowControl/>
              <w:rPr>
                <w:color w:val="000000"/>
                <w:sz w:val="22"/>
                <w:szCs w:val="22"/>
              </w:rPr>
            </w:pPr>
            <w:r>
              <w:rPr>
                <w:color w:val="000000"/>
                <w:sz w:val="22"/>
                <w:szCs w:val="22"/>
              </w:rPr>
              <w:t>Describe the results of the search and selection process, from the number of records identified in the search to the number of studies included in the review, ideally using a flow diagram.</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0CA93EF3">
            <w:pPr>
              <w:widowControl/>
              <w:jc w:val="left"/>
              <w:rPr>
                <w:color w:val="000000"/>
                <w:sz w:val="22"/>
                <w:szCs w:val="22"/>
              </w:rPr>
            </w:pPr>
            <w:r>
              <w:rPr>
                <w:color w:val="000000"/>
                <w:sz w:val="22"/>
                <w:szCs w:val="22"/>
              </w:rPr>
              <w:t xml:space="preserve">Page </w:t>
            </w:r>
            <w:r>
              <w:rPr>
                <w:rFonts w:hint="eastAsia"/>
                <w:color w:val="000000"/>
                <w:sz w:val="22"/>
                <w:szCs w:val="22"/>
              </w:rPr>
              <w:t>10</w:t>
            </w:r>
            <w:r>
              <w:rPr>
                <w:color w:val="000000"/>
                <w:sz w:val="22"/>
                <w:szCs w:val="22"/>
              </w:rPr>
              <w:t>,</w:t>
            </w:r>
          </w:p>
          <w:p w14:paraId="7998F057">
            <w:pPr>
              <w:widowControl/>
              <w:jc w:val="left"/>
              <w:rPr>
                <w:sz w:val="18"/>
                <w:szCs w:val="21"/>
              </w:rPr>
            </w:pPr>
            <w:r>
              <w:rPr>
                <w:rFonts w:ascii="Times New Roman" w:hAnsi="Times New Roman" w:eastAsia="DengXian"/>
                <w:b/>
                <w:bCs/>
                <w:color w:val="000000"/>
                <w:szCs w:val="21"/>
                <w:lang w:bidi="ar"/>
              </w:rPr>
              <w:t xml:space="preserve">Figure </w:t>
            </w:r>
            <w:r>
              <w:rPr>
                <w:rFonts w:eastAsia="DengXian"/>
                <w:b/>
                <w:bCs/>
                <w:color w:val="000000"/>
                <w:szCs w:val="21"/>
                <w:lang w:bidi="ar"/>
              </w:rPr>
              <w:t>1</w:t>
            </w:r>
            <w:r>
              <w:rPr>
                <w:rFonts w:hint="eastAsia" w:ascii="宋体" w:hAnsi="宋体" w:cs="宋体"/>
                <w:sz w:val="32"/>
                <w:szCs w:val="32"/>
                <w:lang w:bidi="ar"/>
              </w:rPr>
              <w:t xml:space="preserve"> </w:t>
            </w:r>
          </w:p>
          <w:p w14:paraId="20BA19B0">
            <w:pPr>
              <w:widowControl/>
              <w:rPr>
                <w:color w:val="000000"/>
                <w:sz w:val="22"/>
                <w:szCs w:val="22"/>
              </w:rPr>
            </w:pPr>
          </w:p>
        </w:tc>
      </w:tr>
      <w:tr w14:paraId="6EB26A94">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194F0F87">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00848090">
            <w:pPr>
              <w:widowControl/>
              <w:rPr>
                <w:color w:val="000000"/>
                <w:sz w:val="22"/>
                <w:szCs w:val="22"/>
              </w:rPr>
            </w:pPr>
            <w:r>
              <w:rPr>
                <w:color w:val="000000"/>
                <w:sz w:val="22"/>
                <w:szCs w:val="22"/>
              </w:rPr>
              <w:t>16b</w:t>
            </w:r>
          </w:p>
        </w:tc>
        <w:tc>
          <w:tcPr>
            <w:tcW w:w="4701" w:type="dxa"/>
            <w:tcBorders>
              <w:top w:val="nil"/>
              <w:left w:val="nil"/>
              <w:bottom w:val="nil"/>
              <w:right w:val="nil"/>
            </w:tcBorders>
            <w:shd w:val="clear" w:color="auto" w:fill="FFFFFF"/>
            <w:tcMar>
              <w:top w:w="0" w:type="dxa"/>
              <w:left w:w="0" w:type="dxa"/>
              <w:bottom w:w="0" w:type="dxa"/>
              <w:right w:w="0" w:type="dxa"/>
            </w:tcMar>
          </w:tcPr>
          <w:p w14:paraId="5D6857A5">
            <w:pPr>
              <w:widowControl/>
              <w:rPr>
                <w:color w:val="000000"/>
                <w:sz w:val="22"/>
                <w:szCs w:val="22"/>
              </w:rPr>
            </w:pPr>
            <w:r>
              <w:rPr>
                <w:color w:val="000000"/>
                <w:sz w:val="22"/>
                <w:szCs w:val="22"/>
              </w:rPr>
              <w:t>Cite studies that might appear to meet the inclusion criteria, but which were excluded, and explain why they were excluded.</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1CCA4CBD">
            <w:pPr>
              <w:widowControl/>
              <w:jc w:val="left"/>
              <w:rPr>
                <w:sz w:val="18"/>
                <w:szCs w:val="21"/>
              </w:rPr>
            </w:pPr>
            <w:r>
              <w:rPr>
                <w:color w:val="000000"/>
                <w:sz w:val="22"/>
                <w:szCs w:val="22"/>
              </w:rPr>
              <w:t>Page</w:t>
            </w:r>
            <w:r>
              <w:rPr>
                <w:rFonts w:hint="eastAsia"/>
                <w:color w:val="000000"/>
                <w:sz w:val="22"/>
                <w:szCs w:val="22"/>
                <w:lang w:val="en-US" w:eastAsia="zh-CN"/>
              </w:rPr>
              <w:t xml:space="preserve"> </w:t>
            </w:r>
            <w:r>
              <w:rPr>
                <w:rFonts w:hint="eastAsia"/>
                <w:color w:val="000000"/>
                <w:sz w:val="22"/>
                <w:szCs w:val="22"/>
              </w:rPr>
              <w:t>10</w:t>
            </w:r>
          </w:p>
          <w:p w14:paraId="1D023EDB">
            <w:pPr>
              <w:widowControl/>
              <w:rPr>
                <w:color w:val="000000"/>
                <w:sz w:val="22"/>
                <w:szCs w:val="22"/>
              </w:rPr>
            </w:pPr>
          </w:p>
        </w:tc>
      </w:tr>
      <w:tr w14:paraId="78FA0F96">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3760C2F1">
            <w:pPr>
              <w:widowControl/>
              <w:jc w:val="left"/>
              <w:rPr>
                <w:color w:val="000000"/>
                <w:sz w:val="22"/>
                <w:szCs w:val="22"/>
              </w:rPr>
            </w:pPr>
            <w:r>
              <w:rPr>
                <w:b/>
                <w:color w:val="000000"/>
                <w:sz w:val="22"/>
                <w:szCs w:val="22"/>
              </w:rPr>
              <w:t>Study characteristics</w:t>
            </w:r>
          </w:p>
        </w:tc>
        <w:tc>
          <w:tcPr>
            <w:tcW w:w="691" w:type="dxa"/>
            <w:tcBorders>
              <w:top w:val="nil"/>
              <w:left w:val="nil"/>
              <w:bottom w:val="nil"/>
              <w:right w:val="nil"/>
            </w:tcBorders>
            <w:shd w:val="clear" w:color="auto" w:fill="FFFFFF"/>
            <w:tcMar>
              <w:top w:w="0" w:type="dxa"/>
              <w:left w:w="0" w:type="dxa"/>
              <w:bottom w:w="0" w:type="dxa"/>
              <w:right w:w="0" w:type="dxa"/>
            </w:tcMar>
          </w:tcPr>
          <w:p w14:paraId="6392353A">
            <w:pPr>
              <w:widowControl/>
              <w:rPr>
                <w:color w:val="000000"/>
                <w:sz w:val="22"/>
                <w:szCs w:val="22"/>
              </w:rPr>
            </w:pPr>
            <w:r>
              <w:rPr>
                <w:color w:val="000000"/>
                <w:sz w:val="22"/>
                <w:szCs w:val="22"/>
              </w:rPr>
              <w:t>17</w:t>
            </w:r>
          </w:p>
        </w:tc>
        <w:tc>
          <w:tcPr>
            <w:tcW w:w="4701" w:type="dxa"/>
            <w:tcBorders>
              <w:top w:val="nil"/>
              <w:left w:val="nil"/>
              <w:bottom w:val="nil"/>
              <w:right w:val="nil"/>
            </w:tcBorders>
            <w:shd w:val="clear" w:color="auto" w:fill="FFFFFF"/>
            <w:tcMar>
              <w:top w:w="0" w:type="dxa"/>
              <w:left w:w="0" w:type="dxa"/>
              <w:bottom w:w="0" w:type="dxa"/>
              <w:right w:w="0" w:type="dxa"/>
            </w:tcMar>
          </w:tcPr>
          <w:p w14:paraId="739DC544">
            <w:pPr>
              <w:widowControl/>
              <w:rPr>
                <w:color w:val="000000"/>
                <w:sz w:val="22"/>
                <w:szCs w:val="22"/>
              </w:rPr>
            </w:pPr>
            <w:r>
              <w:rPr>
                <w:color w:val="000000"/>
                <w:sz w:val="22"/>
                <w:szCs w:val="22"/>
              </w:rPr>
              <w:t>Cite each included study and present its characteristics.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46F6C2D4">
            <w:pPr>
              <w:widowControl/>
              <w:rPr>
                <w:color w:val="000000"/>
                <w:sz w:val="22"/>
                <w:szCs w:val="22"/>
              </w:rPr>
            </w:pPr>
            <w:r>
              <w:rPr>
                <w:color w:val="000000"/>
                <w:sz w:val="22"/>
                <w:szCs w:val="22"/>
              </w:rPr>
              <w:t xml:space="preserve">Page </w:t>
            </w:r>
            <w:r>
              <w:rPr>
                <w:rFonts w:hint="eastAsia"/>
                <w:color w:val="000000"/>
                <w:sz w:val="22"/>
                <w:szCs w:val="22"/>
              </w:rPr>
              <w:t>11</w:t>
            </w:r>
          </w:p>
          <w:p w14:paraId="73A1D05A">
            <w:pPr>
              <w:widowControl/>
              <w:rPr>
                <w:color w:val="000000"/>
                <w:sz w:val="22"/>
                <w:szCs w:val="22"/>
              </w:rPr>
            </w:pPr>
            <w:r>
              <w:rPr>
                <w:rFonts w:ascii="Times New Roman Bold" w:hAnsi="Times New Roman Bold" w:cs="Times New Roman Bold"/>
                <w:b/>
                <w:color w:val="000000"/>
                <w:sz w:val="22"/>
                <w:szCs w:val="22"/>
              </w:rPr>
              <w:t>Table 1</w:t>
            </w:r>
          </w:p>
        </w:tc>
      </w:tr>
      <w:tr w14:paraId="3669BBB5">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353039F0">
            <w:pPr>
              <w:widowControl/>
              <w:jc w:val="left"/>
              <w:rPr>
                <w:color w:val="000000"/>
                <w:sz w:val="22"/>
                <w:szCs w:val="22"/>
              </w:rPr>
            </w:pPr>
            <w:r>
              <w:rPr>
                <w:b/>
                <w:color w:val="000000"/>
                <w:sz w:val="22"/>
                <w:szCs w:val="22"/>
              </w:rPr>
              <w:t>Risk of bias in studies</w:t>
            </w:r>
          </w:p>
        </w:tc>
        <w:tc>
          <w:tcPr>
            <w:tcW w:w="691" w:type="dxa"/>
            <w:tcBorders>
              <w:top w:val="nil"/>
              <w:left w:val="nil"/>
              <w:bottom w:val="nil"/>
              <w:right w:val="nil"/>
            </w:tcBorders>
            <w:shd w:val="clear" w:color="auto" w:fill="FFFFFF"/>
            <w:tcMar>
              <w:top w:w="0" w:type="dxa"/>
              <w:left w:w="0" w:type="dxa"/>
              <w:bottom w:w="0" w:type="dxa"/>
              <w:right w:w="0" w:type="dxa"/>
            </w:tcMar>
          </w:tcPr>
          <w:p w14:paraId="21B0D01F">
            <w:pPr>
              <w:widowControl/>
              <w:rPr>
                <w:color w:val="000000"/>
                <w:sz w:val="22"/>
                <w:szCs w:val="22"/>
              </w:rPr>
            </w:pPr>
            <w:r>
              <w:rPr>
                <w:color w:val="000000"/>
                <w:sz w:val="22"/>
                <w:szCs w:val="22"/>
              </w:rPr>
              <w:t>18</w:t>
            </w:r>
          </w:p>
        </w:tc>
        <w:tc>
          <w:tcPr>
            <w:tcW w:w="4701" w:type="dxa"/>
            <w:tcBorders>
              <w:top w:val="nil"/>
              <w:left w:val="nil"/>
              <w:bottom w:val="nil"/>
              <w:right w:val="nil"/>
            </w:tcBorders>
            <w:shd w:val="clear" w:color="auto" w:fill="FFFFFF"/>
            <w:tcMar>
              <w:top w:w="0" w:type="dxa"/>
              <w:left w:w="0" w:type="dxa"/>
              <w:bottom w:w="0" w:type="dxa"/>
              <w:right w:w="0" w:type="dxa"/>
            </w:tcMar>
          </w:tcPr>
          <w:p w14:paraId="312FC8BC">
            <w:pPr>
              <w:widowControl/>
              <w:rPr>
                <w:color w:val="000000"/>
                <w:sz w:val="22"/>
                <w:szCs w:val="22"/>
              </w:rPr>
            </w:pPr>
            <w:r>
              <w:rPr>
                <w:color w:val="000000"/>
                <w:sz w:val="22"/>
                <w:szCs w:val="22"/>
              </w:rPr>
              <w:t>Present assessments of risk of bias for each included study.</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52FDE689">
            <w:pPr>
              <w:widowControl/>
              <w:rPr>
                <w:color w:val="000000"/>
                <w:sz w:val="22"/>
                <w:szCs w:val="22"/>
              </w:rPr>
            </w:pPr>
            <w:r>
              <w:rPr>
                <w:color w:val="000000"/>
                <w:sz w:val="22"/>
                <w:szCs w:val="22"/>
              </w:rPr>
              <w:t xml:space="preserve">Page </w:t>
            </w:r>
            <w:r>
              <w:rPr>
                <w:rFonts w:hint="eastAsia"/>
                <w:color w:val="000000"/>
                <w:sz w:val="22"/>
                <w:szCs w:val="22"/>
              </w:rPr>
              <w:t>12</w:t>
            </w:r>
          </w:p>
        </w:tc>
      </w:tr>
      <w:tr w14:paraId="06CEEDD8">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16B0B06E">
            <w:pPr>
              <w:widowControl/>
              <w:jc w:val="left"/>
              <w:rPr>
                <w:color w:val="000000"/>
                <w:sz w:val="22"/>
                <w:szCs w:val="22"/>
              </w:rPr>
            </w:pPr>
            <w:r>
              <w:rPr>
                <w:b/>
                <w:color w:val="000000"/>
                <w:sz w:val="22"/>
                <w:szCs w:val="22"/>
              </w:rPr>
              <w:t>Results of individual studies</w:t>
            </w:r>
          </w:p>
        </w:tc>
        <w:tc>
          <w:tcPr>
            <w:tcW w:w="691" w:type="dxa"/>
            <w:tcBorders>
              <w:top w:val="nil"/>
              <w:left w:val="nil"/>
              <w:bottom w:val="nil"/>
              <w:right w:val="nil"/>
            </w:tcBorders>
            <w:shd w:val="clear" w:color="auto" w:fill="FFFFFF"/>
            <w:tcMar>
              <w:top w:w="0" w:type="dxa"/>
              <w:left w:w="0" w:type="dxa"/>
              <w:bottom w:w="0" w:type="dxa"/>
              <w:right w:w="0" w:type="dxa"/>
            </w:tcMar>
          </w:tcPr>
          <w:p w14:paraId="4B9D0867">
            <w:pPr>
              <w:widowControl/>
              <w:rPr>
                <w:color w:val="000000"/>
                <w:sz w:val="22"/>
                <w:szCs w:val="22"/>
              </w:rPr>
            </w:pPr>
            <w:r>
              <w:rPr>
                <w:color w:val="000000"/>
                <w:sz w:val="22"/>
                <w:szCs w:val="22"/>
              </w:rPr>
              <w:t>19</w:t>
            </w:r>
          </w:p>
        </w:tc>
        <w:tc>
          <w:tcPr>
            <w:tcW w:w="4701" w:type="dxa"/>
            <w:tcBorders>
              <w:top w:val="nil"/>
              <w:left w:val="nil"/>
              <w:bottom w:val="nil"/>
              <w:right w:val="nil"/>
            </w:tcBorders>
            <w:shd w:val="clear" w:color="auto" w:fill="FFFFFF"/>
            <w:tcMar>
              <w:top w:w="0" w:type="dxa"/>
              <w:left w:w="0" w:type="dxa"/>
              <w:bottom w:w="0" w:type="dxa"/>
              <w:right w:w="0" w:type="dxa"/>
            </w:tcMar>
          </w:tcPr>
          <w:p w14:paraId="71B5A042">
            <w:pPr>
              <w:widowControl/>
              <w:rPr>
                <w:color w:val="000000"/>
                <w:sz w:val="22"/>
                <w:szCs w:val="22"/>
              </w:rPr>
            </w:pPr>
            <w:r>
              <w:rPr>
                <w:color w:val="000000"/>
                <w:sz w:val="22"/>
                <w:szCs w:val="22"/>
              </w:rPr>
              <w:t>For all outcomes, present, for each study: (a) summary statistics for each group (where appropriate) and (b) an effect estimates and its precision (e.g. confidence/credible interval), ideally using structured tables or plots.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21A646D9">
            <w:pPr>
              <w:pStyle w:val="12"/>
              <w:keepNext w:val="0"/>
              <w:keepLines w:val="0"/>
              <w:widowControl/>
              <w:suppressLineNumbers w:val="0"/>
              <w:rPr>
                <w:rFonts w:hint="default" w:ascii="Times New Roman Bold" w:hAnsi="Times New Roman Bold" w:cs="Times New Roman Bold"/>
                <w:b/>
                <w:bCs w:val="0"/>
              </w:rPr>
            </w:pPr>
            <w:r>
              <w:rPr>
                <w:rFonts w:hint="default" w:ascii="Times New Roman Bold" w:hAnsi="Times New Roman Bold" w:cs="Times New Roman Bold"/>
                <w:b/>
                <w:bCs w:val="0"/>
              </w:rPr>
              <w:t>Table 1</w:t>
            </w:r>
          </w:p>
          <w:p w14:paraId="313415B4">
            <w:pPr>
              <w:widowControl/>
              <w:rPr>
                <w:color w:val="000000"/>
                <w:sz w:val="22"/>
                <w:szCs w:val="22"/>
              </w:rPr>
            </w:pPr>
          </w:p>
        </w:tc>
      </w:tr>
      <w:tr w14:paraId="21F1D632">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5C870B47">
            <w:pPr>
              <w:widowControl/>
              <w:jc w:val="left"/>
              <w:rPr>
                <w:color w:val="000000"/>
                <w:sz w:val="22"/>
                <w:szCs w:val="22"/>
              </w:rPr>
            </w:pPr>
            <w:r>
              <w:rPr>
                <w:b/>
                <w:color w:val="000000"/>
                <w:sz w:val="22"/>
                <w:szCs w:val="22"/>
              </w:rPr>
              <w:t>Results of syntheses</w:t>
            </w:r>
          </w:p>
        </w:tc>
        <w:tc>
          <w:tcPr>
            <w:tcW w:w="691" w:type="dxa"/>
            <w:tcBorders>
              <w:top w:val="nil"/>
              <w:left w:val="nil"/>
              <w:bottom w:val="nil"/>
              <w:right w:val="nil"/>
            </w:tcBorders>
            <w:shd w:val="clear" w:color="auto" w:fill="FFFFFF"/>
            <w:tcMar>
              <w:top w:w="0" w:type="dxa"/>
              <w:left w:w="0" w:type="dxa"/>
              <w:bottom w:w="0" w:type="dxa"/>
              <w:right w:w="0" w:type="dxa"/>
            </w:tcMar>
          </w:tcPr>
          <w:p w14:paraId="5F728837">
            <w:pPr>
              <w:widowControl/>
              <w:rPr>
                <w:color w:val="000000"/>
                <w:sz w:val="22"/>
                <w:szCs w:val="22"/>
              </w:rPr>
            </w:pPr>
            <w:r>
              <w:rPr>
                <w:color w:val="000000"/>
                <w:sz w:val="22"/>
                <w:szCs w:val="22"/>
              </w:rPr>
              <w:t>20a</w:t>
            </w:r>
          </w:p>
        </w:tc>
        <w:tc>
          <w:tcPr>
            <w:tcW w:w="4701" w:type="dxa"/>
            <w:tcBorders>
              <w:top w:val="nil"/>
              <w:left w:val="nil"/>
              <w:bottom w:val="nil"/>
              <w:right w:val="nil"/>
            </w:tcBorders>
            <w:shd w:val="clear" w:color="auto" w:fill="FFFFFF"/>
            <w:tcMar>
              <w:top w:w="0" w:type="dxa"/>
              <w:left w:w="0" w:type="dxa"/>
              <w:bottom w:w="0" w:type="dxa"/>
              <w:right w:w="0" w:type="dxa"/>
            </w:tcMar>
          </w:tcPr>
          <w:p w14:paraId="3C12A4DF">
            <w:pPr>
              <w:widowControl/>
              <w:rPr>
                <w:color w:val="000000"/>
                <w:sz w:val="22"/>
                <w:szCs w:val="22"/>
              </w:rPr>
            </w:pPr>
            <w:r>
              <w:rPr>
                <w:color w:val="000000"/>
                <w:sz w:val="22"/>
                <w:szCs w:val="22"/>
              </w:rPr>
              <w:t>For each synthesis, briefly summaries the characteristics and risk of bias among contributing studies.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43569E59">
            <w:pPr>
              <w:widowControl/>
              <w:rPr>
                <w:color w:val="000000"/>
                <w:sz w:val="22"/>
                <w:szCs w:val="22"/>
              </w:rPr>
            </w:pPr>
            <w:r>
              <w:rPr>
                <w:color w:val="000000"/>
                <w:sz w:val="22"/>
                <w:szCs w:val="22"/>
              </w:rPr>
              <w:t>Page 1</w:t>
            </w:r>
            <w:r>
              <w:rPr>
                <w:rFonts w:hint="eastAsia"/>
                <w:color w:val="000000"/>
                <w:sz w:val="22"/>
                <w:szCs w:val="22"/>
              </w:rPr>
              <w:t>1-12</w:t>
            </w:r>
          </w:p>
        </w:tc>
      </w:tr>
      <w:tr w14:paraId="0A3C164B">
        <w:trPr>
          <w:cantSplit/>
          <w:jc w:val="center"/>
        </w:trPr>
        <w:tc>
          <w:tcPr>
            <w:tcW w:w="2193" w:type="dxa"/>
            <w:vMerge w:val="restart"/>
            <w:tcBorders>
              <w:top w:val="nil"/>
              <w:left w:val="single" w:color="000000" w:sz="8" w:space="0"/>
              <w:bottom w:val="nil"/>
              <w:right w:val="nil"/>
            </w:tcBorders>
            <w:shd w:val="clear" w:color="auto" w:fill="FFFFFF"/>
            <w:tcMar>
              <w:top w:w="0" w:type="dxa"/>
              <w:left w:w="0" w:type="dxa"/>
              <w:bottom w:w="0" w:type="dxa"/>
              <w:right w:w="0" w:type="dxa"/>
            </w:tcMar>
          </w:tcPr>
          <w:p w14:paraId="0738AFA6">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7AB97420">
            <w:pPr>
              <w:widowControl/>
              <w:rPr>
                <w:color w:val="000000"/>
                <w:sz w:val="22"/>
                <w:szCs w:val="22"/>
              </w:rPr>
            </w:pPr>
            <w:r>
              <w:rPr>
                <w:color w:val="000000"/>
                <w:sz w:val="22"/>
                <w:szCs w:val="22"/>
              </w:rPr>
              <w:t>20b</w:t>
            </w:r>
          </w:p>
        </w:tc>
        <w:tc>
          <w:tcPr>
            <w:tcW w:w="4701" w:type="dxa"/>
            <w:tcBorders>
              <w:top w:val="nil"/>
              <w:left w:val="nil"/>
              <w:bottom w:val="nil"/>
              <w:right w:val="nil"/>
            </w:tcBorders>
            <w:shd w:val="clear" w:color="auto" w:fill="FFFFFF"/>
            <w:tcMar>
              <w:top w:w="0" w:type="dxa"/>
              <w:left w:w="0" w:type="dxa"/>
              <w:bottom w:w="0" w:type="dxa"/>
              <w:right w:w="0" w:type="dxa"/>
            </w:tcMar>
          </w:tcPr>
          <w:p w14:paraId="448C93AF">
            <w:pPr>
              <w:widowControl/>
              <w:rPr>
                <w:color w:val="000000"/>
                <w:sz w:val="22"/>
                <w:szCs w:val="22"/>
              </w:rPr>
            </w:pPr>
            <w:r>
              <w:rPr>
                <w:color w:val="000000"/>
                <w:sz w:val="22"/>
                <w:szCs w:val="22"/>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422B1E3A">
            <w:pPr>
              <w:widowControl/>
              <w:rPr>
                <w:rFonts w:hint="eastAsia" w:eastAsia="宋体"/>
                <w:color w:val="000000"/>
                <w:sz w:val="22"/>
                <w:szCs w:val="22"/>
                <w:lang w:val="en-US" w:eastAsia="zh-CN"/>
              </w:rPr>
            </w:pPr>
            <w:r>
              <w:rPr>
                <w:color w:val="000000"/>
                <w:sz w:val="22"/>
                <w:szCs w:val="22"/>
              </w:rPr>
              <w:t xml:space="preserve">Page </w:t>
            </w:r>
            <w:r>
              <w:rPr>
                <w:rFonts w:hint="eastAsia"/>
                <w:color w:val="000000"/>
                <w:sz w:val="22"/>
                <w:szCs w:val="22"/>
              </w:rPr>
              <w:t>1</w:t>
            </w:r>
            <w:r>
              <w:rPr>
                <w:rFonts w:hint="eastAsia"/>
                <w:color w:val="000000"/>
                <w:sz w:val="22"/>
                <w:szCs w:val="22"/>
                <w:lang w:val="en-US" w:eastAsia="zh-CN"/>
              </w:rPr>
              <w:t>3</w:t>
            </w:r>
            <w:r>
              <w:rPr>
                <w:rFonts w:hint="eastAsia"/>
                <w:color w:val="000000"/>
                <w:sz w:val="22"/>
                <w:szCs w:val="22"/>
              </w:rPr>
              <w:t>-1</w:t>
            </w:r>
            <w:r>
              <w:rPr>
                <w:rFonts w:hint="eastAsia"/>
                <w:color w:val="000000"/>
                <w:sz w:val="22"/>
                <w:szCs w:val="22"/>
                <w:lang w:val="en-US" w:eastAsia="zh-CN"/>
              </w:rPr>
              <w:t>9</w:t>
            </w:r>
          </w:p>
        </w:tc>
      </w:tr>
      <w:tr w14:paraId="169611A3">
        <w:trPr>
          <w:cantSplit/>
          <w:trHeight w:val="601" w:hRule="atLeast"/>
          <w:jc w:val="center"/>
        </w:trPr>
        <w:tc>
          <w:tcPr>
            <w:tcW w:w="2193" w:type="dxa"/>
            <w:vMerge w:val="continue"/>
            <w:tcBorders>
              <w:top w:val="nil"/>
              <w:left w:val="single" w:color="000000" w:sz="8" w:space="0"/>
              <w:bottom w:val="nil"/>
              <w:right w:val="nil"/>
            </w:tcBorders>
            <w:vAlign w:val="center"/>
          </w:tcPr>
          <w:p w14:paraId="1F684D75">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0E6E1534">
            <w:pPr>
              <w:widowControl/>
              <w:rPr>
                <w:color w:val="000000"/>
                <w:sz w:val="22"/>
                <w:szCs w:val="22"/>
              </w:rPr>
            </w:pPr>
            <w:r>
              <w:rPr>
                <w:color w:val="000000"/>
                <w:sz w:val="22"/>
                <w:szCs w:val="22"/>
              </w:rPr>
              <w:t>20c</w:t>
            </w:r>
          </w:p>
        </w:tc>
        <w:tc>
          <w:tcPr>
            <w:tcW w:w="4701" w:type="dxa"/>
            <w:tcBorders>
              <w:top w:val="nil"/>
              <w:left w:val="nil"/>
              <w:bottom w:val="nil"/>
              <w:right w:val="nil"/>
            </w:tcBorders>
            <w:shd w:val="clear" w:color="auto" w:fill="FFFFFF"/>
            <w:tcMar>
              <w:top w:w="0" w:type="dxa"/>
              <w:left w:w="0" w:type="dxa"/>
              <w:bottom w:w="0" w:type="dxa"/>
              <w:right w:w="0" w:type="dxa"/>
            </w:tcMar>
          </w:tcPr>
          <w:p w14:paraId="1EB57E12">
            <w:pPr>
              <w:widowControl/>
              <w:rPr>
                <w:color w:val="000000"/>
                <w:sz w:val="22"/>
                <w:szCs w:val="22"/>
              </w:rPr>
            </w:pPr>
            <w:r>
              <w:rPr>
                <w:color w:val="000000"/>
                <w:sz w:val="22"/>
                <w:szCs w:val="22"/>
              </w:rPr>
              <w:t>Present results of all investigations of possible causes of heterogeneity among study results.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166DEB39">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13-17</w:t>
            </w:r>
          </w:p>
        </w:tc>
      </w:tr>
      <w:tr w14:paraId="3BF8EFD8">
        <w:trPr>
          <w:cantSplit/>
          <w:jc w:val="center"/>
        </w:trPr>
        <w:tc>
          <w:tcPr>
            <w:tcW w:w="2193" w:type="dxa"/>
            <w:vMerge w:val="continue"/>
            <w:tcBorders>
              <w:top w:val="nil"/>
              <w:left w:val="single" w:color="000000" w:sz="8" w:space="0"/>
              <w:bottom w:val="nil"/>
              <w:right w:val="nil"/>
            </w:tcBorders>
            <w:vAlign w:val="center"/>
          </w:tcPr>
          <w:p w14:paraId="57DA79A4">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288C3F47">
            <w:pPr>
              <w:widowControl/>
              <w:rPr>
                <w:color w:val="000000"/>
                <w:sz w:val="22"/>
                <w:szCs w:val="22"/>
              </w:rPr>
            </w:pPr>
            <w:r>
              <w:rPr>
                <w:color w:val="000000"/>
                <w:sz w:val="22"/>
                <w:szCs w:val="22"/>
              </w:rPr>
              <w:t>20d</w:t>
            </w:r>
          </w:p>
        </w:tc>
        <w:tc>
          <w:tcPr>
            <w:tcW w:w="4701" w:type="dxa"/>
            <w:tcBorders>
              <w:top w:val="nil"/>
              <w:left w:val="nil"/>
              <w:bottom w:val="nil"/>
              <w:right w:val="nil"/>
            </w:tcBorders>
            <w:shd w:val="clear" w:color="auto" w:fill="FFFFFF"/>
            <w:tcMar>
              <w:top w:w="0" w:type="dxa"/>
              <w:left w:w="0" w:type="dxa"/>
              <w:bottom w:w="0" w:type="dxa"/>
              <w:right w:w="0" w:type="dxa"/>
            </w:tcMar>
          </w:tcPr>
          <w:p w14:paraId="419A6A85">
            <w:pPr>
              <w:widowControl/>
              <w:rPr>
                <w:color w:val="000000"/>
                <w:sz w:val="22"/>
                <w:szCs w:val="22"/>
              </w:rPr>
            </w:pPr>
            <w:r>
              <w:rPr>
                <w:color w:val="000000"/>
                <w:sz w:val="22"/>
                <w:szCs w:val="22"/>
              </w:rPr>
              <w:t>Present results of all sensitivity analyses conducted to assess the robustness of the synthesized results.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039B3F90">
            <w:pPr>
              <w:widowControl/>
              <w:rPr>
                <w:color w:val="000000"/>
                <w:sz w:val="22"/>
                <w:szCs w:val="22"/>
              </w:rPr>
            </w:pPr>
            <w:r>
              <w:rPr>
                <w:color w:val="000000"/>
                <w:sz w:val="22"/>
                <w:szCs w:val="22"/>
              </w:rPr>
              <w:t>Page N/A</w:t>
            </w:r>
          </w:p>
        </w:tc>
      </w:tr>
      <w:tr w14:paraId="79600FD2">
        <w:trPr>
          <w:cantSplit/>
          <w:trHeight w:val="734" w:hRule="atLeas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2E281A4A">
            <w:pPr>
              <w:widowControl/>
              <w:jc w:val="left"/>
              <w:rPr>
                <w:color w:val="000000"/>
                <w:sz w:val="22"/>
                <w:szCs w:val="22"/>
              </w:rPr>
            </w:pPr>
            <w:r>
              <w:rPr>
                <w:b/>
                <w:color w:val="000000"/>
                <w:sz w:val="22"/>
                <w:szCs w:val="22"/>
              </w:rPr>
              <w:t>Reporting biases</w:t>
            </w:r>
          </w:p>
        </w:tc>
        <w:tc>
          <w:tcPr>
            <w:tcW w:w="691" w:type="dxa"/>
            <w:tcBorders>
              <w:top w:val="nil"/>
              <w:left w:val="nil"/>
              <w:bottom w:val="nil"/>
              <w:right w:val="nil"/>
            </w:tcBorders>
            <w:shd w:val="clear" w:color="auto" w:fill="FFFFFF"/>
            <w:tcMar>
              <w:top w:w="0" w:type="dxa"/>
              <w:left w:w="0" w:type="dxa"/>
              <w:bottom w:w="0" w:type="dxa"/>
              <w:right w:w="0" w:type="dxa"/>
            </w:tcMar>
          </w:tcPr>
          <w:p w14:paraId="0ABF0AAF">
            <w:pPr>
              <w:widowControl/>
              <w:rPr>
                <w:color w:val="000000"/>
                <w:sz w:val="22"/>
                <w:szCs w:val="22"/>
              </w:rPr>
            </w:pPr>
            <w:r>
              <w:rPr>
                <w:color w:val="000000"/>
                <w:sz w:val="22"/>
                <w:szCs w:val="22"/>
              </w:rPr>
              <w:t>21</w:t>
            </w:r>
          </w:p>
        </w:tc>
        <w:tc>
          <w:tcPr>
            <w:tcW w:w="4701" w:type="dxa"/>
            <w:tcBorders>
              <w:top w:val="nil"/>
              <w:left w:val="nil"/>
              <w:bottom w:val="nil"/>
              <w:right w:val="nil"/>
            </w:tcBorders>
            <w:shd w:val="clear" w:color="auto" w:fill="FFFFFF"/>
            <w:tcMar>
              <w:top w:w="0" w:type="dxa"/>
              <w:left w:w="0" w:type="dxa"/>
              <w:bottom w:w="0" w:type="dxa"/>
              <w:right w:w="0" w:type="dxa"/>
            </w:tcMar>
          </w:tcPr>
          <w:p w14:paraId="47689BAD">
            <w:pPr>
              <w:widowControl/>
              <w:rPr>
                <w:color w:val="000000"/>
                <w:sz w:val="22"/>
                <w:szCs w:val="22"/>
              </w:rPr>
            </w:pPr>
            <w:r>
              <w:rPr>
                <w:color w:val="000000"/>
                <w:sz w:val="22"/>
                <w:szCs w:val="22"/>
              </w:rPr>
              <w:t>Present assessments of risk of bias due to missing results (arising from reporting biases) for each synthesis assessed.</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7CDD5D99">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20</w:t>
            </w:r>
          </w:p>
        </w:tc>
      </w:tr>
      <w:tr w14:paraId="6FD5E40A">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5B25F026">
            <w:pPr>
              <w:widowControl/>
              <w:jc w:val="left"/>
              <w:rPr>
                <w:color w:val="000000"/>
                <w:sz w:val="22"/>
                <w:szCs w:val="22"/>
              </w:rPr>
            </w:pPr>
            <w:r>
              <w:rPr>
                <w:b/>
                <w:color w:val="000000"/>
                <w:sz w:val="22"/>
                <w:szCs w:val="22"/>
              </w:rPr>
              <w:t>Certainty of evidence</w:t>
            </w:r>
          </w:p>
        </w:tc>
        <w:tc>
          <w:tcPr>
            <w:tcW w:w="691" w:type="dxa"/>
            <w:tcBorders>
              <w:top w:val="nil"/>
              <w:left w:val="nil"/>
              <w:bottom w:val="nil"/>
              <w:right w:val="nil"/>
            </w:tcBorders>
            <w:shd w:val="clear" w:color="auto" w:fill="FFFFFF"/>
            <w:tcMar>
              <w:top w:w="0" w:type="dxa"/>
              <w:left w:w="0" w:type="dxa"/>
              <w:bottom w:w="0" w:type="dxa"/>
              <w:right w:w="0" w:type="dxa"/>
            </w:tcMar>
          </w:tcPr>
          <w:p w14:paraId="39C055A1">
            <w:pPr>
              <w:widowControl/>
              <w:rPr>
                <w:color w:val="000000"/>
                <w:sz w:val="22"/>
                <w:szCs w:val="22"/>
              </w:rPr>
            </w:pPr>
            <w:r>
              <w:rPr>
                <w:color w:val="000000"/>
                <w:sz w:val="22"/>
                <w:szCs w:val="22"/>
              </w:rPr>
              <w:t>22</w:t>
            </w:r>
          </w:p>
        </w:tc>
        <w:tc>
          <w:tcPr>
            <w:tcW w:w="4701" w:type="dxa"/>
            <w:tcBorders>
              <w:top w:val="nil"/>
              <w:left w:val="nil"/>
              <w:bottom w:val="nil"/>
              <w:right w:val="nil"/>
            </w:tcBorders>
            <w:shd w:val="clear" w:color="auto" w:fill="FFFFFF"/>
            <w:tcMar>
              <w:top w:w="0" w:type="dxa"/>
              <w:left w:w="0" w:type="dxa"/>
              <w:bottom w:w="0" w:type="dxa"/>
              <w:right w:w="0" w:type="dxa"/>
            </w:tcMar>
          </w:tcPr>
          <w:p w14:paraId="19401298">
            <w:pPr>
              <w:widowControl/>
              <w:rPr>
                <w:color w:val="000000"/>
                <w:sz w:val="22"/>
                <w:szCs w:val="22"/>
              </w:rPr>
            </w:pPr>
            <w:r>
              <w:rPr>
                <w:color w:val="000000"/>
                <w:sz w:val="22"/>
                <w:szCs w:val="22"/>
              </w:rPr>
              <w:t>Present assessments of certainty (or confidence) in the body of evidence for each outcome assessed.</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419FAF9E">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13</w:t>
            </w:r>
          </w:p>
        </w:tc>
      </w:tr>
      <w:tr w14:paraId="26110A6E">
        <w:trPr>
          <w:cantSplit/>
          <w:jc w:val="center"/>
        </w:trPr>
        <w:tc>
          <w:tcPr>
            <w:tcW w:w="2193" w:type="dxa"/>
            <w:tcBorders>
              <w:top w:val="nil"/>
              <w:left w:val="single" w:color="000000" w:sz="8" w:space="0"/>
              <w:bottom w:val="nil"/>
              <w:right w:val="nil"/>
            </w:tcBorders>
            <w:shd w:val="clear" w:color="auto" w:fill="FFFFCC"/>
            <w:tcMar>
              <w:top w:w="0" w:type="dxa"/>
              <w:left w:w="0" w:type="dxa"/>
              <w:bottom w:w="0" w:type="dxa"/>
              <w:right w:w="0" w:type="dxa"/>
            </w:tcMar>
          </w:tcPr>
          <w:p w14:paraId="4EDF2388">
            <w:pPr>
              <w:widowControl/>
              <w:jc w:val="left"/>
              <w:rPr>
                <w:color w:val="000000"/>
                <w:sz w:val="22"/>
                <w:szCs w:val="22"/>
              </w:rPr>
            </w:pPr>
            <w:r>
              <w:rPr>
                <w:b/>
                <w:color w:val="000000"/>
                <w:sz w:val="22"/>
                <w:szCs w:val="22"/>
              </w:rPr>
              <w:t>DISCUSSION</w:t>
            </w:r>
          </w:p>
        </w:tc>
        <w:tc>
          <w:tcPr>
            <w:tcW w:w="691" w:type="dxa"/>
            <w:tcBorders>
              <w:top w:val="nil"/>
              <w:left w:val="nil"/>
              <w:bottom w:val="nil"/>
              <w:right w:val="nil"/>
            </w:tcBorders>
            <w:shd w:val="clear" w:color="auto" w:fill="FFFFCC"/>
            <w:tcMar>
              <w:top w:w="0" w:type="dxa"/>
              <w:left w:w="0" w:type="dxa"/>
              <w:bottom w:w="0" w:type="dxa"/>
              <w:right w:w="0" w:type="dxa"/>
            </w:tcMar>
          </w:tcPr>
          <w:p w14:paraId="51552113">
            <w:pPr>
              <w:widowControl/>
              <w:rPr>
                <w:color w:val="000000"/>
                <w:sz w:val="22"/>
                <w:szCs w:val="22"/>
              </w:rPr>
            </w:pPr>
          </w:p>
        </w:tc>
        <w:tc>
          <w:tcPr>
            <w:tcW w:w="4701" w:type="dxa"/>
            <w:tcBorders>
              <w:top w:val="nil"/>
              <w:left w:val="nil"/>
              <w:bottom w:val="nil"/>
              <w:right w:val="nil"/>
            </w:tcBorders>
            <w:shd w:val="clear" w:color="auto" w:fill="FFFFCC"/>
            <w:tcMar>
              <w:top w:w="0" w:type="dxa"/>
              <w:left w:w="0" w:type="dxa"/>
              <w:bottom w:w="0" w:type="dxa"/>
              <w:right w:w="0" w:type="dxa"/>
            </w:tcMar>
          </w:tcPr>
          <w:p w14:paraId="2E2A82F6">
            <w:pPr>
              <w:widowControl/>
              <w:rPr>
                <w:color w:val="000000"/>
                <w:sz w:val="22"/>
                <w:szCs w:val="22"/>
              </w:rPr>
            </w:pPr>
          </w:p>
        </w:tc>
        <w:tc>
          <w:tcPr>
            <w:tcW w:w="1731" w:type="dxa"/>
            <w:tcBorders>
              <w:top w:val="nil"/>
              <w:left w:val="nil"/>
              <w:bottom w:val="nil"/>
              <w:right w:val="single" w:color="000000" w:sz="8" w:space="0"/>
            </w:tcBorders>
            <w:shd w:val="clear" w:color="auto" w:fill="FFFFCC"/>
            <w:tcMar>
              <w:top w:w="0" w:type="dxa"/>
              <w:left w:w="0" w:type="dxa"/>
              <w:bottom w:w="0" w:type="dxa"/>
              <w:right w:w="0" w:type="dxa"/>
            </w:tcMar>
          </w:tcPr>
          <w:p w14:paraId="741F91B9">
            <w:pPr>
              <w:widowControl/>
              <w:rPr>
                <w:color w:val="000000"/>
                <w:sz w:val="22"/>
                <w:szCs w:val="22"/>
              </w:rPr>
            </w:pPr>
          </w:p>
        </w:tc>
      </w:tr>
      <w:tr w14:paraId="077146BD">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1B915BBF">
            <w:pPr>
              <w:widowControl/>
              <w:jc w:val="left"/>
              <w:rPr>
                <w:color w:val="000000"/>
                <w:sz w:val="22"/>
                <w:szCs w:val="22"/>
              </w:rPr>
            </w:pPr>
            <w:r>
              <w:rPr>
                <w:b/>
                <w:color w:val="000000"/>
                <w:sz w:val="22"/>
                <w:szCs w:val="22"/>
              </w:rPr>
              <w:t>Discussion</w:t>
            </w:r>
          </w:p>
        </w:tc>
        <w:tc>
          <w:tcPr>
            <w:tcW w:w="691" w:type="dxa"/>
            <w:tcBorders>
              <w:top w:val="nil"/>
              <w:left w:val="nil"/>
              <w:bottom w:val="nil"/>
              <w:right w:val="nil"/>
            </w:tcBorders>
            <w:shd w:val="clear" w:color="auto" w:fill="FFFFFF"/>
            <w:tcMar>
              <w:top w:w="0" w:type="dxa"/>
              <w:left w:w="0" w:type="dxa"/>
              <w:bottom w:w="0" w:type="dxa"/>
              <w:right w:w="0" w:type="dxa"/>
            </w:tcMar>
          </w:tcPr>
          <w:p w14:paraId="17F0B8B5">
            <w:pPr>
              <w:widowControl/>
              <w:rPr>
                <w:color w:val="000000"/>
                <w:sz w:val="22"/>
                <w:szCs w:val="22"/>
              </w:rPr>
            </w:pPr>
            <w:r>
              <w:rPr>
                <w:color w:val="000000"/>
                <w:sz w:val="22"/>
                <w:szCs w:val="22"/>
              </w:rPr>
              <w:t>23a</w:t>
            </w:r>
          </w:p>
        </w:tc>
        <w:tc>
          <w:tcPr>
            <w:tcW w:w="4701" w:type="dxa"/>
            <w:tcBorders>
              <w:top w:val="nil"/>
              <w:left w:val="nil"/>
              <w:bottom w:val="nil"/>
              <w:right w:val="nil"/>
            </w:tcBorders>
            <w:shd w:val="clear" w:color="auto" w:fill="FFFFFF"/>
            <w:tcMar>
              <w:top w:w="0" w:type="dxa"/>
              <w:left w:w="0" w:type="dxa"/>
              <w:bottom w:w="0" w:type="dxa"/>
              <w:right w:w="0" w:type="dxa"/>
            </w:tcMar>
          </w:tcPr>
          <w:p w14:paraId="1F7FB79D">
            <w:pPr>
              <w:widowControl/>
              <w:rPr>
                <w:color w:val="000000"/>
                <w:sz w:val="22"/>
                <w:szCs w:val="22"/>
              </w:rPr>
            </w:pPr>
            <w:r>
              <w:rPr>
                <w:color w:val="000000"/>
                <w:sz w:val="22"/>
                <w:szCs w:val="22"/>
              </w:rPr>
              <w:t>Provide a general interpretation of the results in the context of other evidence.</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6139B353">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rPr>
              <w:t>2</w:t>
            </w:r>
            <w:r>
              <w:rPr>
                <w:rFonts w:hint="eastAsia"/>
                <w:color w:val="000000"/>
                <w:sz w:val="22"/>
                <w:szCs w:val="22"/>
                <w:lang w:val="en-US" w:eastAsia="zh-CN"/>
              </w:rPr>
              <w:t>1</w:t>
            </w:r>
            <w:r>
              <w:rPr>
                <w:rFonts w:hint="eastAsia"/>
                <w:color w:val="000000"/>
                <w:sz w:val="22"/>
                <w:szCs w:val="22"/>
              </w:rPr>
              <w:t>-</w:t>
            </w:r>
            <w:r>
              <w:rPr>
                <w:rFonts w:hint="eastAsia"/>
                <w:color w:val="000000"/>
                <w:sz w:val="22"/>
                <w:szCs w:val="22"/>
                <w:lang w:val="en-US" w:eastAsia="zh-CN"/>
              </w:rPr>
              <w:t>30</w:t>
            </w:r>
          </w:p>
        </w:tc>
      </w:tr>
      <w:tr w14:paraId="0412CFDD">
        <w:trPr>
          <w:cantSplit/>
          <w:jc w:val="center"/>
        </w:trPr>
        <w:tc>
          <w:tcPr>
            <w:tcW w:w="2193" w:type="dxa"/>
            <w:vMerge w:val="restart"/>
            <w:tcBorders>
              <w:top w:val="nil"/>
              <w:left w:val="single" w:color="000000" w:sz="8" w:space="0"/>
              <w:bottom w:val="nil"/>
              <w:right w:val="nil"/>
            </w:tcBorders>
            <w:shd w:val="clear" w:color="auto" w:fill="FFFFFF"/>
            <w:tcMar>
              <w:top w:w="0" w:type="dxa"/>
              <w:left w:w="0" w:type="dxa"/>
              <w:bottom w:w="0" w:type="dxa"/>
              <w:right w:w="0" w:type="dxa"/>
            </w:tcMar>
          </w:tcPr>
          <w:p w14:paraId="59682315">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0D3EE527">
            <w:pPr>
              <w:widowControl/>
              <w:rPr>
                <w:color w:val="000000"/>
                <w:sz w:val="22"/>
                <w:szCs w:val="22"/>
              </w:rPr>
            </w:pPr>
            <w:r>
              <w:rPr>
                <w:color w:val="000000"/>
                <w:sz w:val="22"/>
                <w:szCs w:val="22"/>
              </w:rPr>
              <w:t>23b</w:t>
            </w:r>
          </w:p>
        </w:tc>
        <w:tc>
          <w:tcPr>
            <w:tcW w:w="4701" w:type="dxa"/>
            <w:tcBorders>
              <w:top w:val="nil"/>
              <w:left w:val="nil"/>
              <w:bottom w:val="nil"/>
              <w:right w:val="nil"/>
            </w:tcBorders>
            <w:shd w:val="clear" w:color="auto" w:fill="FFFFFF"/>
            <w:tcMar>
              <w:top w:w="0" w:type="dxa"/>
              <w:left w:w="0" w:type="dxa"/>
              <w:bottom w:w="0" w:type="dxa"/>
              <w:right w:w="0" w:type="dxa"/>
            </w:tcMar>
          </w:tcPr>
          <w:p w14:paraId="57FE6A80">
            <w:pPr>
              <w:widowControl/>
              <w:rPr>
                <w:color w:val="000000"/>
                <w:sz w:val="22"/>
                <w:szCs w:val="22"/>
              </w:rPr>
            </w:pPr>
            <w:r>
              <w:rPr>
                <w:color w:val="000000"/>
                <w:sz w:val="22"/>
                <w:szCs w:val="22"/>
              </w:rPr>
              <w:t>Discuss any limitations of the evidence included in the review.</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2E00A661">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30</w:t>
            </w:r>
          </w:p>
        </w:tc>
      </w:tr>
      <w:tr w14:paraId="6E237112">
        <w:trPr>
          <w:cantSplit/>
          <w:jc w:val="center"/>
        </w:trPr>
        <w:tc>
          <w:tcPr>
            <w:tcW w:w="2193" w:type="dxa"/>
            <w:vMerge w:val="continue"/>
            <w:tcBorders>
              <w:top w:val="nil"/>
              <w:left w:val="single" w:color="000000" w:sz="8" w:space="0"/>
              <w:bottom w:val="nil"/>
              <w:right w:val="nil"/>
            </w:tcBorders>
            <w:vAlign w:val="center"/>
          </w:tcPr>
          <w:p w14:paraId="2E77E6CB">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477BDEC9">
            <w:pPr>
              <w:widowControl/>
              <w:rPr>
                <w:color w:val="000000"/>
                <w:sz w:val="22"/>
                <w:szCs w:val="22"/>
              </w:rPr>
            </w:pPr>
            <w:r>
              <w:rPr>
                <w:color w:val="000000"/>
                <w:sz w:val="22"/>
                <w:szCs w:val="22"/>
              </w:rPr>
              <w:t>23c</w:t>
            </w:r>
          </w:p>
        </w:tc>
        <w:tc>
          <w:tcPr>
            <w:tcW w:w="4701" w:type="dxa"/>
            <w:tcBorders>
              <w:top w:val="nil"/>
              <w:left w:val="nil"/>
              <w:bottom w:val="nil"/>
              <w:right w:val="nil"/>
            </w:tcBorders>
            <w:shd w:val="clear" w:color="auto" w:fill="FFFFFF"/>
            <w:tcMar>
              <w:top w:w="0" w:type="dxa"/>
              <w:left w:w="0" w:type="dxa"/>
              <w:bottom w:w="0" w:type="dxa"/>
              <w:right w:w="0" w:type="dxa"/>
            </w:tcMar>
          </w:tcPr>
          <w:p w14:paraId="545E3233">
            <w:pPr>
              <w:widowControl/>
              <w:rPr>
                <w:color w:val="000000"/>
                <w:sz w:val="22"/>
                <w:szCs w:val="22"/>
              </w:rPr>
            </w:pPr>
            <w:r>
              <w:rPr>
                <w:color w:val="000000"/>
                <w:sz w:val="22"/>
                <w:szCs w:val="22"/>
              </w:rPr>
              <w:t>Discuss any limitations of the review processes used.</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34F14187">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30</w:t>
            </w:r>
          </w:p>
        </w:tc>
      </w:tr>
      <w:tr w14:paraId="12C7BC44">
        <w:trPr>
          <w:cantSplit/>
          <w:jc w:val="center"/>
        </w:trPr>
        <w:tc>
          <w:tcPr>
            <w:tcW w:w="2193" w:type="dxa"/>
            <w:vMerge w:val="continue"/>
            <w:tcBorders>
              <w:top w:val="nil"/>
              <w:left w:val="single" w:color="000000" w:sz="8" w:space="0"/>
              <w:bottom w:val="nil"/>
              <w:right w:val="nil"/>
            </w:tcBorders>
            <w:vAlign w:val="center"/>
          </w:tcPr>
          <w:p w14:paraId="00EA4186">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5B0469C9">
            <w:pPr>
              <w:widowControl/>
              <w:rPr>
                <w:color w:val="000000"/>
                <w:sz w:val="22"/>
                <w:szCs w:val="22"/>
              </w:rPr>
            </w:pPr>
            <w:r>
              <w:rPr>
                <w:color w:val="000000"/>
                <w:sz w:val="22"/>
                <w:szCs w:val="22"/>
              </w:rPr>
              <w:t>23d</w:t>
            </w:r>
          </w:p>
        </w:tc>
        <w:tc>
          <w:tcPr>
            <w:tcW w:w="4701" w:type="dxa"/>
            <w:tcBorders>
              <w:top w:val="nil"/>
              <w:left w:val="nil"/>
              <w:bottom w:val="nil"/>
              <w:right w:val="nil"/>
            </w:tcBorders>
            <w:shd w:val="clear" w:color="auto" w:fill="FFFFFF"/>
            <w:tcMar>
              <w:top w:w="0" w:type="dxa"/>
              <w:left w:w="0" w:type="dxa"/>
              <w:bottom w:w="0" w:type="dxa"/>
              <w:right w:w="0" w:type="dxa"/>
            </w:tcMar>
          </w:tcPr>
          <w:p w14:paraId="34CBE7B4">
            <w:pPr>
              <w:widowControl/>
              <w:rPr>
                <w:color w:val="000000"/>
                <w:sz w:val="22"/>
                <w:szCs w:val="22"/>
              </w:rPr>
            </w:pPr>
            <w:r>
              <w:rPr>
                <w:color w:val="000000"/>
                <w:sz w:val="22"/>
                <w:szCs w:val="22"/>
              </w:rPr>
              <w:t>Discuss implications of the results for practice, policy, and future research.</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78E0561A">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31</w:t>
            </w:r>
          </w:p>
        </w:tc>
      </w:tr>
      <w:tr w14:paraId="3E0B7FE2">
        <w:trPr>
          <w:cantSplit/>
          <w:jc w:val="center"/>
        </w:trPr>
        <w:tc>
          <w:tcPr>
            <w:tcW w:w="2193" w:type="dxa"/>
            <w:tcBorders>
              <w:top w:val="nil"/>
              <w:left w:val="single" w:color="000000" w:sz="8" w:space="0"/>
              <w:bottom w:val="nil"/>
              <w:right w:val="nil"/>
            </w:tcBorders>
            <w:shd w:val="clear" w:color="auto" w:fill="FFFFCC"/>
            <w:tcMar>
              <w:top w:w="0" w:type="dxa"/>
              <w:left w:w="0" w:type="dxa"/>
              <w:bottom w:w="0" w:type="dxa"/>
              <w:right w:w="0" w:type="dxa"/>
            </w:tcMar>
          </w:tcPr>
          <w:p w14:paraId="1502FB60">
            <w:pPr>
              <w:widowControl/>
              <w:jc w:val="left"/>
              <w:rPr>
                <w:color w:val="000000"/>
                <w:sz w:val="22"/>
                <w:szCs w:val="22"/>
              </w:rPr>
            </w:pPr>
            <w:r>
              <w:rPr>
                <w:b/>
                <w:color w:val="000000"/>
                <w:sz w:val="22"/>
                <w:szCs w:val="22"/>
              </w:rPr>
              <w:t>OTHER INFORMATION</w:t>
            </w:r>
          </w:p>
        </w:tc>
        <w:tc>
          <w:tcPr>
            <w:tcW w:w="691" w:type="dxa"/>
            <w:tcBorders>
              <w:top w:val="nil"/>
              <w:left w:val="nil"/>
              <w:bottom w:val="nil"/>
              <w:right w:val="nil"/>
            </w:tcBorders>
            <w:shd w:val="clear" w:color="auto" w:fill="FFFFCC"/>
            <w:tcMar>
              <w:top w:w="0" w:type="dxa"/>
              <w:left w:w="0" w:type="dxa"/>
              <w:bottom w:w="0" w:type="dxa"/>
              <w:right w:w="0" w:type="dxa"/>
            </w:tcMar>
          </w:tcPr>
          <w:p w14:paraId="3C0362F3">
            <w:pPr>
              <w:widowControl/>
              <w:rPr>
                <w:color w:val="000000"/>
                <w:sz w:val="22"/>
                <w:szCs w:val="22"/>
              </w:rPr>
            </w:pPr>
          </w:p>
        </w:tc>
        <w:tc>
          <w:tcPr>
            <w:tcW w:w="4701" w:type="dxa"/>
            <w:tcBorders>
              <w:top w:val="nil"/>
              <w:left w:val="nil"/>
              <w:bottom w:val="nil"/>
              <w:right w:val="nil"/>
            </w:tcBorders>
            <w:shd w:val="clear" w:color="auto" w:fill="FFFFCC"/>
            <w:tcMar>
              <w:top w:w="0" w:type="dxa"/>
              <w:left w:w="0" w:type="dxa"/>
              <w:bottom w:w="0" w:type="dxa"/>
              <w:right w:w="0" w:type="dxa"/>
            </w:tcMar>
          </w:tcPr>
          <w:p w14:paraId="0B913440">
            <w:pPr>
              <w:widowControl/>
              <w:rPr>
                <w:color w:val="000000"/>
                <w:sz w:val="22"/>
                <w:szCs w:val="22"/>
              </w:rPr>
            </w:pPr>
          </w:p>
        </w:tc>
        <w:tc>
          <w:tcPr>
            <w:tcW w:w="1731" w:type="dxa"/>
            <w:tcBorders>
              <w:top w:val="nil"/>
              <w:left w:val="nil"/>
              <w:bottom w:val="nil"/>
              <w:right w:val="single" w:color="000000" w:sz="8" w:space="0"/>
            </w:tcBorders>
            <w:shd w:val="clear" w:color="auto" w:fill="FFFFCC"/>
            <w:tcMar>
              <w:top w:w="0" w:type="dxa"/>
              <w:left w:w="0" w:type="dxa"/>
              <w:bottom w:w="0" w:type="dxa"/>
              <w:right w:w="0" w:type="dxa"/>
            </w:tcMar>
          </w:tcPr>
          <w:p w14:paraId="14E1DB3C">
            <w:pPr>
              <w:widowControl/>
              <w:rPr>
                <w:color w:val="000000"/>
                <w:sz w:val="22"/>
                <w:szCs w:val="22"/>
              </w:rPr>
            </w:pPr>
          </w:p>
        </w:tc>
      </w:tr>
      <w:tr w14:paraId="406775BF">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0A474796">
            <w:pPr>
              <w:widowControl/>
              <w:jc w:val="left"/>
              <w:rPr>
                <w:color w:val="000000"/>
                <w:sz w:val="22"/>
                <w:szCs w:val="22"/>
              </w:rPr>
            </w:pPr>
            <w:r>
              <w:rPr>
                <w:b/>
                <w:color w:val="000000"/>
                <w:sz w:val="22"/>
                <w:szCs w:val="22"/>
              </w:rPr>
              <w:t>Registration and protocol</w:t>
            </w:r>
          </w:p>
        </w:tc>
        <w:tc>
          <w:tcPr>
            <w:tcW w:w="691" w:type="dxa"/>
            <w:tcBorders>
              <w:top w:val="nil"/>
              <w:left w:val="nil"/>
              <w:bottom w:val="nil"/>
              <w:right w:val="nil"/>
            </w:tcBorders>
            <w:shd w:val="clear" w:color="auto" w:fill="FFFFFF"/>
            <w:tcMar>
              <w:top w:w="0" w:type="dxa"/>
              <w:left w:w="0" w:type="dxa"/>
              <w:bottom w:w="0" w:type="dxa"/>
              <w:right w:w="0" w:type="dxa"/>
            </w:tcMar>
          </w:tcPr>
          <w:p w14:paraId="21C44ED1">
            <w:pPr>
              <w:widowControl/>
              <w:rPr>
                <w:color w:val="000000"/>
                <w:sz w:val="22"/>
                <w:szCs w:val="22"/>
              </w:rPr>
            </w:pPr>
            <w:r>
              <w:rPr>
                <w:color w:val="000000"/>
                <w:sz w:val="22"/>
                <w:szCs w:val="22"/>
              </w:rPr>
              <w:t>24a</w:t>
            </w:r>
          </w:p>
        </w:tc>
        <w:tc>
          <w:tcPr>
            <w:tcW w:w="4701" w:type="dxa"/>
            <w:tcBorders>
              <w:top w:val="nil"/>
              <w:left w:val="nil"/>
              <w:bottom w:val="nil"/>
              <w:right w:val="nil"/>
            </w:tcBorders>
            <w:shd w:val="clear" w:color="auto" w:fill="FFFFFF"/>
            <w:tcMar>
              <w:top w:w="0" w:type="dxa"/>
              <w:left w:w="0" w:type="dxa"/>
              <w:bottom w:w="0" w:type="dxa"/>
              <w:right w:w="0" w:type="dxa"/>
            </w:tcMar>
          </w:tcPr>
          <w:p w14:paraId="2BD3358A">
            <w:pPr>
              <w:widowControl/>
              <w:rPr>
                <w:color w:val="000000"/>
                <w:sz w:val="22"/>
                <w:szCs w:val="22"/>
              </w:rPr>
            </w:pPr>
            <w:r>
              <w:rPr>
                <w:color w:val="000000"/>
                <w:sz w:val="22"/>
                <w:szCs w:val="22"/>
              </w:rPr>
              <w:t xml:space="preserve">Provide registration information for the review, including register name and registration number, or state that the review was not registered. </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07E8A853">
            <w:pPr>
              <w:widowControl/>
              <w:rPr>
                <w:color w:val="000000"/>
                <w:sz w:val="22"/>
                <w:szCs w:val="22"/>
              </w:rPr>
            </w:pPr>
            <w:r>
              <w:rPr>
                <w:color w:val="000000"/>
                <w:sz w:val="22"/>
                <w:szCs w:val="22"/>
              </w:rPr>
              <w:t>Page</w:t>
            </w:r>
            <w:r>
              <w:rPr>
                <w:rFonts w:hint="eastAsia"/>
                <w:color w:val="000000"/>
                <w:sz w:val="22"/>
                <w:szCs w:val="22"/>
              </w:rPr>
              <w:t xml:space="preserve"> 4-5</w:t>
            </w:r>
          </w:p>
        </w:tc>
      </w:tr>
      <w:tr w14:paraId="24FC37DF">
        <w:trPr>
          <w:cantSplit/>
          <w:jc w:val="center"/>
        </w:trPr>
        <w:tc>
          <w:tcPr>
            <w:tcW w:w="2193" w:type="dxa"/>
            <w:vMerge w:val="restart"/>
            <w:tcBorders>
              <w:top w:val="nil"/>
              <w:left w:val="single" w:color="000000" w:sz="8" w:space="0"/>
              <w:bottom w:val="nil"/>
              <w:right w:val="nil"/>
            </w:tcBorders>
            <w:shd w:val="clear" w:color="auto" w:fill="FFFFFF"/>
            <w:tcMar>
              <w:top w:w="0" w:type="dxa"/>
              <w:left w:w="0" w:type="dxa"/>
              <w:bottom w:w="0" w:type="dxa"/>
              <w:right w:w="0" w:type="dxa"/>
            </w:tcMar>
          </w:tcPr>
          <w:p w14:paraId="37D9D7FE">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6B535B1D">
            <w:pPr>
              <w:widowControl/>
              <w:rPr>
                <w:color w:val="000000"/>
                <w:sz w:val="22"/>
                <w:szCs w:val="22"/>
              </w:rPr>
            </w:pPr>
            <w:r>
              <w:rPr>
                <w:color w:val="000000"/>
                <w:sz w:val="22"/>
                <w:szCs w:val="22"/>
              </w:rPr>
              <w:t>24b</w:t>
            </w:r>
          </w:p>
        </w:tc>
        <w:tc>
          <w:tcPr>
            <w:tcW w:w="4701" w:type="dxa"/>
            <w:tcBorders>
              <w:top w:val="nil"/>
              <w:left w:val="nil"/>
              <w:bottom w:val="nil"/>
              <w:right w:val="nil"/>
            </w:tcBorders>
            <w:shd w:val="clear" w:color="auto" w:fill="FFFFFF"/>
            <w:tcMar>
              <w:top w:w="0" w:type="dxa"/>
              <w:left w:w="0" w:type="dxa"/>
              <w:bottom w:w="0" w:type="dxa"/>
              <w:right w:w="0" w:type="dxa"/>
            </w:tcMar>
          </w:tcPr>
          <w:p w14:paraId="4DA0B0A0">
            <w:pPr>
              <w:widowControl/>
              <w:rPr>
                <w:color w:val="000000"/>
                <w:sz w:val="22"/>
                <w:szCs w:val="22"/>
              </w:rPr>
            </w:pPr>
            <w:r>
              <w:rPr>
                <w:color w:val="000000"/>
                <w:sz w:val="22"/>
                <w:szCs w:val="22"/>
              </w:rPr>
              <w:t>Indicate where the review protocol can be accessed, or state that a protocol was not prepared.</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53C29B5A">
            <w:pPr>
              <w:widowControl/>
              <w:rPr>
                <w:rFonts w:hint="eastAsia"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5</w:t>
            </w:r>
          </w:p>
        </w:tc>
      </w:tr>
      <w:tr w14:paraId="2BDC7D4C">
        <w:trPr>
          <w:cantSplit/>
          <w:jc w:val="center"/>
        </w:trPr>
        <w:tc>
          <w:tcPr>
            <w:tcW w:w="2193" w:type="dxa"/>
            <w:vMerge w:val="continue"/>
            <w:tcBorders>
              <w:top w:val="nil"/>
              <w:left w:val="single" w:color="000000" w:sz="8" w:space="0"/>
              <w:bottom w:val="nil"/>
              <w:right w:val="nil"/>
            </w:tcBorders>
            <w:vAlign w:val="center"/>
          </w:tcPr>
          <w:p w14:paraId="47657A73">
            <w:pPr>
              <w:widowControl/>
              <w:jc w:val="left"/>
              <w:rPr>
                <w:color w:val="000000"/>
                <w:sz w:val="22"/>
                <w:szCs w:val="22"/>
              </w:rPr>
            </w:pPr>
          </w:p>
        </w:tc>
        <w:tc>
          <w:tcPr>
            <w:tcW w:w="691" w:type="dxa"/>
            <w:tcBorders>
              <w:top w:val="nil"/>
              <w:left w:val="nil"/>
              <w:bottom w:val="nil"/>
              <w:right w:val="nil"/>
            </w:tcBorders>
            <w:shd w:val="clear" w:color="auto" w:fill="FFFFFF"/>
            <w:tcMar>
              <w:top w:w="0" w:type="dxa"/>
              <w:left w:w="0" w:type="dxa"/>
              <w:bottom w:w="0" w:type="dxa"/>
              <w:right w:w="0" w:type="dxa"/>
            </w:tcMar>
          </w:tcPr>
          <w:p w14:paraId="5F485F4C">
            <w:pPr>
              <w:widowControl/>
              <w:rPr>
                <w:color w:val="000000"/>
                <w:sz w:val="22"/>
                <w:szCs w:val="22"/>
              </w:rPr>
            </w:pPr>
            <w:r>
              <w:rPr>
                <w:color w:val="000000"/>
                <w:sz w:val="22"/>
                <w:szCs w:val="22"/>
              </w:rPr>
              <w:t>24c</w:t>
            </w:r>
          </w:p>
        </w:tc>
        <w:tc>
          <w:tcPr>
            <w:tcW w:w="4701" w:type="dxa"/>
            <w:tcBorders>
              <w:top w:val="nil"/>
              <w:left w:val="nil"/>
              <w:bottom w:val="nil"/>
              <w:right w:val="nil"/>
            </w:tcBorders>
            <w:shd w:val="clear" w:color="auto" w:fill="FFFFFF"/>
            <w:tcMar>
              <w:top w:w="0" w:type="dxa"/>
              <w:left w:w="0" w:type="dxa"/>
              <w:bottom w:w="0" w:type="dxa"/>
              <w:right w:w="0" w:type="dxa"/>
            </w:tcMar>
          </w:tcPr>
          <w:p w14:paraId="2E87FC87">
            <w:pPr>
              <w:widowControl/>
              <w:rPr>
                <w:color w:val="000000"/>
                <w:sz w:val="22"/>
                <w:szCs w:val="22"/>
              </w:rPr>
            </w:pPr>
            <w:r>
              <w:rPr>
                <w:color w:val="000000"/>
                <w:sz w:val="22"/>
                <w:szCs w:val="22"/>
              </w:rPr>
              <w:t>Describe and explain any amendments to information provided at registration or in the protocol.</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510AC421">
            <w:pPr>
              <w:widowControl/>
              <w:rPr>
                <w:color w:val="000000"/>
                <w:sz w:val="22"/>
                <w:szCs w:val="22"/>
              </w:rPr>
            </w:pPr>
            <w:r>
              <w:rPr>
                <w:color w:val="000000"/>
                <w:sz w:val="22"/>
                <w:szCs w:val="22"/>
              </w:rPr>
              <w:t>Page N/A</w:t>
            </w:r>
          </w:p>
        </w:tc>
      </w:tr>
      <w:tr w14:paraId="5F0C6053">
        <w:trPr>
          <w:cantSplit/>
          <w:trHeight w:val="999" w:hRule="atLeas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62B2BC40">
            <w:pPr>
              <w:widowControl/>
              <w:jc w:val="left"/>
              <w:rPr>
                <w:color w:val="000000"/>
                <w:sz w:val="22"/>
                <w:szCs w:val="22"/>
              </w:rPr>
            </w:pPr>
            <w:r>
              <w:rPr>
                <w:b/>
                <w:color w:val="000000"/>
                <w:sz w:val="22"/>
                <w:szCs w:val="22"/>
              </w:rPr>
              <w:t>Support</w:t>
            </w:r>
          </w:p>
        </w:tc>
        <w:tc>
          <w:tcPr>
            <w:tcW w:w="691" w:type="dxa"/>
            <w:tcBorders>
              <w:top w:val="nil"/>
              <w:left w:val="nil"/>
              <w:bottom w:val="nil"/>
              <w:right w:val="nil"/>
            </w:tcBorders>
            <w:shd w:val="clear" w:color="auto" w:fill="FFFFFF"/>
            <w:tcMar>
              <w:top w:w="0" w:type="dxa"/>
              <w:left w:w="0" w:type="dxa"/>
              <w:bottom w:w="0" w:type="dxa"/>
              <w:right w:w="0" w:type="dxa"/>
            </w:tcMar>
          </w:tcPr>
          <w:p w14:paraId="7F2FA209">
            <w:pPr>
              <w:widowControl/>
              <w:rPr>
                <w:color w:val="000000"/>
                <w:sz w:val="22"/>
                <w:szCs w:val="22"/>
              </w:rPr>
            </w:pPr>
            <w:r>
              <w:rPr>
                <w:color w:val="000000"/>
                <w:sz w:val="22"/>
                <w:szCs w:val="22"/>
              </w:rPr>
              <w:t>25</w:t>
            </w:r>
          </w:p>
        </w:tc>
        <w:tc>
          <w:tcPr>
            <w:tcW w:w="4701" w:type="dxa"/>
            <w:tcBorders>
              <w:top w:val="nil"/>
              <w:left w:val="nil"/>
              <w:bottom w:val="nil"/>
              <w:right w:val="nil"/>
            </w:tcBorders>
            <w:shd w:val="clear" w:color="auto" w:fill="FFFFFF"/>
            <w:tcMar>
              <w:top w:w="0" w:type="dxa"/>
              <w:left w:w="0" w:type="dxa"/>
              <w:bottom w:w="0" w:type="dxa"/>
              <w:right w:w="0" w:type="dxa"/>
            </w:tcMar>
          </w:tcPr>
          <w:p w14:paraId="23199072">
            <w:pPr>
              <w:widowControl/>
              <w:rPr>
                <w:color w:val="000000"/>
                <w:sz w:val="22"/>
                <w:szCs w:val="22"/>
              </w:rPr>
            </w:pPr>
            <w:r>
              <w:rPr>
                <w:color w:val="000000"/>
                <w:sz w:val="22"/>
                <w:szCs w:val="22"/>
              </w:rPr>
              <w:t>Describe sources of financial or non-financial support for the review, and the role of the funders or sponsors in the review.</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2C46E5D0">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32</w:t>
            </w:r>
          </w:p>
        </w:tc>
      </w:tr>
      <w:tr w14:paraId="714873B4">
        <w:trPr>
          <w:cantSplit/>
          <w:jc w:val="center"/>
        </w:trPr>
        <w:tc>
          <w:tcPr>
            <w:tcW w:w="2193" w:type="dxa"/>
            <w:tcBorders>
              <w:top w:val="nil"/>
              <w:left w:val="single" w:color="000000" w:sz="8" w:space="0"/>
              <w:bottom w:val="nil"/>
              <w:right w:val="nil"/>
            </w:tcBorders>
            <w:shd w:val="clear" w:color="auto" w:fill="FFFFFF"/>
            <w:tcMar>
              <w:top w:w="0" w:type="dxa"/>
              <w:left w:w="0" w:type="dxa"/>
              <w:bottom w:w="0" w:type="dxa"/>
              <w:right w:w="0" w:type="dxa"/>
            </w:tcMar>
          </w:tcPr>
          <w:p w14:paraId="7EDE29AC">
            <w:pPr>
              <w:widowControl/>
              <w:jc w:val="left"/>
              <w:rPr>
                <w:color w:val="000000"/>
                <w:sz w:val="22"/>
                <w:szCs w:val="22"/>
              </w:rPr>
            </w:pPr>
            <w:r>
              <w:rPr>
                <w:b/>
                <w:color w:val="000000"/>
                <w:sz w:val="22"/>
                <w:szCs w:val="22"/>
              </w:rPr>
              <w:t>Competing interests</w:t>
            </w:r>
          </w:p>
        </w:tc>
        <w:tc>
          <w:tcPr>
            <w:tcW w:w="691" w:type="dxa"/>
            <w:tcBorders>
              <w:top w:val="nil"/>
              <w:left w:val="nil"/>
              <w:bottom w:val="nil"/>
              <w:right w:val="nil"/>
            </w:tcBorders>
            <w:shd w:val="clear" w:color="auto" w:fill="FFFFFF"/>
            <w:tcMar>
              <w:top w:w="0" w:type="dxa"/>
              <w:left w:w="0" w:type="dxa"/>
              <w:bottom w:w="0" w:type="dxa"/>
              <w:right w:w="0" w:type="dxa"/>
            </w:tcMar>
          </w:tcPr>
          <w:p w14:paraId="17249483">
            <w:pPr>
              <w:widowControl/>
              <w:rPr>
                <w:color w:val="000000"/>
                <w:sz w:val="22"/>
                <w:szCs w:val="22"/>
              </w:rPr>
            </w:pPr>
            <w:r>
              <w:rPr>
                <w:color w:val="000000"/>
                <w:sz w:val="22"/>
                <w:szCs w:val="22"/>
              </w:rPr>
              <w:t>26</w:t>
            </w:r>
          </w:p>
        </w:tc>
        <w:tc>
          <w:tcPr>
            <w:tcW w:w="4701" w:type="dxa"/>
            <w:tcBorders>
              <w:top w:val="nil"/>
              <w:left w:val="nil"/>
              <w:bottom w:val="nil"/>
              <w:right w:val="nil"/>
            </w:tcBorders>
            <w:shd w:val="clear" w:color="auto" w:fill="FFFFFF"/>
            <w:tcMar>
              <w:top w:w="0" w:type="dxa"/>
              <w:left w:w="0" w:type="dxa"/>
              <w:bottom w:w="0" w:type="dxa"/>
              <w:right w:w="0" w:type="dxa"/>
            </w:tcMar>
          </w:tcPr>
          <w:p w14:paraId="34CAA353">
            <w:pPr>
              <w:widowControl/>
              <w:rPr>
                <w:color w:val="000000"/>
                <w:sz w:val="22"/>
                <w:szCs w:val="22"/>
              </w:rPr>
            </w:pPr>
            <w:r>
              <w:rPr>
                <w:color w:val="000000"/>
                <w:sz w:val="22"/>
                <w:szCs w:val="22"/>
              </w:rPr>
              <w:t>Declare any competing interests of review authors.</w:t>
            </w:r>
          </w:p>
        </w:tc>
        <w:tc>
          <w:tcPr>
            <w:tcW w:w="1731" w:type="dxa"/>
            <w:tcBorders>
              <w:top w:val="nil"/>
              <w:left w:val="nil"/>
              <w:bottom w:val="nil"/>
              <w:right w:val="single" w:color="000000" w:sz="8" w:space="0"/>
            </w:tcBorders>
            <w:shd w:val="clear" w:color="auto" w:fill="FFFFFF"/>
            <w:tcMar>
              <w:top w:w="0" w:type="dxa"/>
              <w:left w:w="0" w:type="dxa"/>
              <w:bottom w:w="0" w:type="dxa"/>
              <w:right w:w="0" w:type="dxa"/>
            </w:tcMar>
          </w:tcPr>
          <w:p w14:paraId="73EFB499">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32</w:t>
            </w:r>
          </w:p>
        </w:tc>
      </w:tr>
      <w:tr w14:paraId="2358C3B9">
        <w:trPr>
          <w:cantSplit/>
          <w:jc w:val="center"/>
        </w:trPr>
        <w:tc>
          <w:tcPr>
            <w:tcW w:w="2193" w:type="dxa"/>
            <w:tcBorders>
              <w:top w:val="nil"/>
              <w:left w:val="single" w:color="000000" w:sz="8" w:space="0"/>
              <w:bottom w:val="single" w:color="000000" w:sz="8" w:space="0"/>
              <w:right w:val="nil"/>
            </w:tcBorders>
            <w:shd w:val="clear" w:color="auto" w:fill="FFFFFF"/>
            <w:tcMar>
              <w:top w:w="0" w:type="dxa"/>
              <w:left w:w="0" w:type="dxa"/>
              <w:bottom w:w="0" w:type="dxa"/>
              <w:right w:w="0" w:type="dxa"/>
            </w:tcMar>
          </w:tcPr>
          <w:p w14:paraId="57671CA2">
            <w:pPr>
              <w:widowControl/>
              <w:jc w:val="left"/>
              <w:rPr>
                <w:color w:val="000000"/>
                <w:sz w:val="22"/>
                <w:szCs w:val="22"/>
              </w:rPr>
            </w:pPr>
            <w:r>
              <w:rPr>
                <w:b/>
                <w:color w:val="000000"/>
                <w:sz w:val="22"/>
                <w:szCs w:val="22"/>
              </w:rPr>
              <w:t>Availability of data, code and other materials</w:t>
            </w:r>
          </w:p>
        </w:tc>
        <w:tc>
          <w:tcPr>
            <w:tcW w:w="691" w:type="dxa"/>
            <w:tcBorders>
              <w:top w:val="nil"/>
              <w:left w:val="nil"/>
              <w:bottom w:val="single" w:color="000000" w:sz="8" w:space="0"/>
              <w:right w:val="nil"/>
            </w:tcBorders>
            <w:shd w:val="clear" w:color="auto" w:fill="FFFFFF"/>
            <w:tcMar>
              <w:top w:w="0" w:type="dxa"/>
              <w:left w:w="0" w:type="dxa"/>
              <w:bottom w:w="0" w:type="dxa"/>
              <w:right w:w="0" w:type="dxa"/>
            </w:tcMar>
          </w:tcPr>
          <w:p w14:paraId="7C72A826">
            <w:pPr>
              <w:widowControl/>
              <w:rPr>
                <w:color w:val="000000"/>
                <w:sz w:val="22"/>
                <w:szCs w:val="22"/>
              </w:rPr>
            </w:pPr>
            <w:r>
              <w:rPr>
                <w:color w:val="000000"/>
                <w:sz w:val="22"/>
                <w:szCs w:val="22"/>
              </w:rPr>
              <w:t>27</w:t>
            </w:r>
          </w:p>
        </w:tc>
        <w:tc>
          <w:tcPr>
            <w:tcW w:w="4701" w:type="dxa"/>
            <w:tcBorders>
              <w:top w:val="nil"/>
              <w:left w:val="nil"/>
              <w:bottom w:val="single" w:color="000000" w:sz="8" w:space="0"/>
              <w:right w:val="nil"/>
            </w:tcBorders>
            <w:shd w:val="clear" w:color="auto" w:fill="FFFFFF"/>
            <w:tcMar>
              <w:top w:w="0" w:type="dxa"/>
              <w:left w:w="0" w:type="dxa"/>
              <w:bottom w:w="0" w:type="dxa"/>
              <w:right w:w="0" w:type="dxa"/>
            </w:tcMar>
          </w:tcPr>
          <w:p w14:paraId="32303FD0">
            <w:pPr>
              <w:widowControl/>
              <w:rPr>
                <w:color w:val="000000"/>
                <w:sz w:val="22"/>
                <w:szCs w:val="22"/>
              </w:rPr>
            </w:pPr>
            <w:r>
              <w:rPr>
                <w:color w:val="000000"/>
                <w:sz w:val="22"/>
                <w:szCs w:val="22"/>
              </w:rPr>
              <w:t>Report which of the following are publicly available and where they can be found template data collection forms; data extracted from included studies; data used for all analyses; analytic code; any other materials used in the review.</w:t>
            </w:r>
          </w:p>
        </w:tc>
        <w:tc>
          <w:tcPr>
            <w:tcW w:w="1731" w:type="dxa"/>
            <w:tcBorders>
              <w:top w:val="nil"/>
              <w:left w:val="nil"/>
              <w:bottom w:val="single" w:color="000000" w:sz="8" w:space="0"/>
              <w:right w:val="single" w:color="000000" w:sz="8" w:space="0"/>
            </w:tcBorders>
            <w:shd w:val="clear" w:color="auto" w:fill="FFFFFF"/>
            <w:tcMar>
              <w:top w:w="0" w:type="dxa"/>
              <w:left w:w="0" w:type="dxa"/>
              <w:bottom w:w="0" w:type="dxa"/>
              <w:right w:w="0" w:type="dxa"/>
            </w:tcMar>
          </w:tcPr>
          <w:p w14:paraId="63EE7796">
            <w:pPr>
              <w:widowControl/>
              <w:rPr>
                <w:rFonts w:hint="default" w:eastAsia="宋体"/>
                <w:color w:val="000000"/>
                <w:sz w:val="22"/>
                <w:szCs w:val="22"/>
                <w:lang w:val="en-US" w:eastAsia="zh-CN"/>
              </w:rPr>
            </w:pPr>
            <w:r>
              <w:rPr>
                <w:color w:val="000000"/>
                <w:sz w:val="22"/>
                <w:szCs w:val="22"/>
              </w:rPr>
              <w:t xml:space="preserve">Page </w:t>
            </w:r>
            <w:r>
              <w:rPr>
                <w:rFonts w:hint="eastAsia"/>
                <w:color w:val="000000"/>
                <w:sz w:val="22"/>
                <w:szCs w:val="22"/>
                <w:lang w:val="en-US" w:eastAsia="zh-CN"/>
              </w:rPr>
              <w:t>33</w:t>
            </w:r>
            <w:bookmarkStart w:id="21" w:name="_GoBack"/>
            <w:bookmarkEnd w:id="21"/>
          </w:p>
        </w:tc>
      </w:tr>
    </w:tbl>
    <w:p w14:paraId="1C5143E5">
      <w:pPr>
        <w:rPr>
          <w:rFonts w:ascii="Times New Roman" w:hAnsi="Times New Roman"/>
          <w:sz w:val="24"/>
        </w:rPr>
      </w:pPr>
    </w:p>
    <w:sectPr>
      <w:headerReference r:id="rId8"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20F0302020204030204"/>
    <w:charset w:val="00"/>
    <w:family w:val="swiss"/>
    <w:pitch w:val="default"/>
    <w:sig w:usb0="00000000" w:usb1="00000000" w:usb2="00000009" w:usb3="00000000" w:csb0="000001FF" w:csb1="00000000"/>
  </w:font>
  <w:font w:name="Arial">
    <w:panose1 w:val="020B0604020202090204"/>
    <w:charset w:val="00"/>
    <w:family w:val="swiss"/>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Segoe UI">
    <w:altName w:val="苹方-简"/>
    <w:panose1 w:val="020B0502040204020203"/>
    <w:charset w:val="00"/>
    <w:family w:val="swiss"/>
    <w:pitch w:val="default"/>
    <w:sig w:usb0="00000000" w:usb1="00000000" w:usb2="00000009" w:usb3="00000000" w:csb0="000001FF" w:csb1="00000000"/>
  </w:font>
  <w:font w:name="Times New Roman Regular">
    <w:panose1 w:val="02020503050405090304"/>
    <w:charset w:val="00"/>
    <w:family w:val="auto"/>
    <w:pitch w:val="default"/>
    <w:sig w:usb0="E0000AFF" w:usb1="00007843" w:usb2="00000001" w:usb3="00000000" w:csb0="400001BF" w:csb1="DFF70000"/>
  </w:font>
  <w:font w:name="Cambria Math">
    <w:altName w:val="Kingsoft Math"/>
    <w:panose1 w:val="02040503050406030204"/>
    <w:charset w:val="00"/>
    <w:family w:val="roman"/>
    <w:pitch w:val="default"/>
    <w:sig w:usb0="00000000" w:usb1="00000000" w:usb2="00000000" w:usb3="00000000" w:csb0="0000019F" w:csb1="00000000"/>
  </w:font>
  <w:font w:name="Cambria">
    <w:altName w:val="苹方-简"/>
    <w:panose1 w:val="02040503050406030204"/>
    <w:charset w:val="00"/>
    <w:family w:val="roman"/>
    <w:pitch w:val="default"/>
    <w:sig w:usb0="00000000" w:usb1="00000000" w:usb2="00000000" w:usb3="00000000" w:csb0="0000019F" w:csb1="00000000"/>
  </w:font>
  <w:font w:name="Helvetica">
    <w:panose1 w:val="00000000000000000000"/>
    <w:charset w:val="00"/>
    <w:family w:val="auto"/>
    <w:pitch w:val="default"/>
    <w:sig w:usb0="E00002FF" w:usb1="5000785B" w:usb2="00000000" w:usb3="00000000" w:csb0="2000019F" w:csb1="4F010000"/>
  </w:font>
  <w:font w:name="DengXian">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Kingsoft Math">
    <w:panose1 w:val="02040503050406030204"/>
    <w:charset w:val="00"/>
    <w:family w:val="auto"/>
    <w:pitch w:val="default"/>
    <w:sig w:usb0="80000087" w:usb1="00002068" w:usb2="00000000" w:usb3="00000000" w:csb0="2000019F"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E825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98344">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D5175">
    <w:pPr>
      <w:pStyle w:val="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
      <w:docPartObj>
        <w:docPartGallery w:val="autotext"/>
      </w:docPartObj>
    </w:sdtPr>
    <w:sdtEndPr>
      <w:rPr>
        <w:rStyle w:val="17"/>
      </w:rPr>
    </w:sdtEndPr>
    <w:sdtContent>
      <w:p w14:paraId="2C562C2A">
        <w:pPr>
          <w:pStyle w:val="9"/>
          <w:framePr w:wrap="auto" w:vAnchor="text" w:hAnchor="margin" w:xAlign="right" w:y="1"/>
          <w:rPr>
            <w:rStyle w:val="17"/>
          </w:rPr>
        </w:pPr>
        <w:r>
          <w:rPr>
            <w:rStyle w:val="17"/>
          </w:rPr>
          <w:fldChar w:fldCharType="begin"/>
        </w:r>
        <w:r>
          <w:rPr>
            <w:rStyle w:val="17"/>
          </w:rPr>
          <w:instrText xml:space="preserve"> PAGE </w:instrText>
        </w:r>
        <w:r>
          <w:rPr>
            <w:rStyle w:val="17"/>
          </w:rPr>
          <w:fldChar w:fldCharType="separate"/>
        </w:r>
        <w:r>
          <w:rPr>
            <w:rStyle w:val="17"/>
          </w:rPr>
          <w:fldChar w:fldCharType="end"/>
        </w:r>
      </w:p>
    </w:sdtContent>
  </w:sdt>
  <w:p w14:paraId="21DF87A6">
    <w:pPr>
      <w:pStyle w:val="9"/>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7FFE7">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4B7E3">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QwY2Y4ODQ0YmVmZDAxYThlNjBkYWE3ZjAxY2MwY2YifQ=="/>
  </w:docVars>
  <w:rsids>
    <w:rsidRoot w:val="004E3FCD"/>
    <w:rsid w:val="00004110"/>
    <w:rsid w:val="000274C9"/>
    <w:rsid w:val="00042BE4"/>
    <w:rsid w:val="000627F2"/>
    <w:rsid w:val="000926DE"/>
    <w:rsid w:val="000A3EA6"/>
    <w:rsid w:val="000A5303"/>
    <w:rsid w:val="0012432C"/>
    <w:rsid w:val="00177326"/>
    <w:rsid w:val="00177483"/>
    <w:rsid w:val="001F19F2"/>
    <w:rsid w:val="001F49F2"/>
    <w:rsid w:val="00201573"/>
    <w:rsid w:val="0023321C"/>
    <w:rsid w:val="002B5C6D"/>
    <w:rsid w:val="002F2FF8"/>
    <w:rsid w:val="0033057E"/>
    <w:rsid w:val="00340A15"/>
    <w:rsid w:val="00342721"/>
    <w:rsid w:val="00372E1D"/>
    <w:rsid w:val="00385ABF"/>
    <w:rsid w:val="003E2388"/>
    <w:rsid w:val="003E3386"/>
    <w:rsid w:val="003E4EBB"/>
    <w:rsid w:val="00454169"/>
    <w:rsid w:val="00476D74"/>
    <w:rsid w:val="004C3619"/>
    <w:rsid w:val="004E3FCD"/>
    <w:rsid w:val="004E5B2E"/>
    <w:rsid w:val="00516FAD"/>
    <w:rsid w:val="005406A1"/>
    <w:rsid w:val="00592EBC"/>
    <w:rsid w:val="006002E2"/>
    <w:rsid w:val="0062335C"/>
    <w:rsid w:val="0064310D"/>
    <w:rsid w:val="00657342"/>
    <w:rsid w:val="00671EA9"/>
    <w:rsid w:val="00677EA0"/>
    <w:rsid w:val="006B2E28"/>
    <w:rsid w:val="00720141"/>
    <w:rsid w:val="007560B8"/>
    <w:rsid w:val="00776876"/>
    <w:rsid w:val="007A2933"/>
    <w:rsid w:val="007B18E2"/>
    <w:rsid w:val="007D45F1"/>
    <w:rsid w:val="0088153A"/>
    <w:rsid w:val="0090767A"/>
    <w:rsid w:val="00994A10"/>
    <w:rsid w:val="009C09C5"/>
    <w:rsid w:val="009C69CC"/>
    <w:rsid w:val="009E47AD"/>
    <w:rsid w:val="009F1849"/>
    <w:rsid w:val="00A07A8A"/>
    <w:rsid w:val="00A36F20"/>
    <w:rsid w:val="00A43CE8"/>
    <w:rsid w:val="00A824D6"/>
    <w:rsid w:val="00A8636A"/>
    <w:rsid w:val="00AC7A4E"/>
    <w:rsid w:val="00AD54FD"/>
    <w:rsid w:val="00B10354"/>
    <w:rsid w:val="00B11426"/>
    <w:rsid w:val="00B15061"/>
    <w:rsid w:val="00B678FF"/>
    <w:rsid w:val="00C80CFC"/>
    <w:rsid w:val="00C86892"/>
    <w:rsid w:val="00C87603"/>
    <w:rsid w:val="00CF6272"/>
    <w:rsid w:val="00D26FF5"/>
    <w:rsid w:val="00D346CD"/>
    <w:rsid w:val="00D507DA"/>
    <w:rsid w:val="00D82737"/>
    <w:rsid w:val="00DF09A1"/>
    <w:rsid w:val="00DF1214"/>
    <w:rsid w:val="00E5111E"/>
    <w:rsid w:val="00E80E99"/>
    <w:rsid w:val="00EA57FF"/>
    <w:rsid w:val="00EA67D1"/>
    <w:rsid w:val="00EB4896"/>
    <w:rsid w:val="00EE6A88"/>
    <w:rsid w:val="00F2580E"/>
    <w:rsid w:val="01FE27DD"/>
    <w:rsid w:val="029F75FD"/>
    <w:rsid w:val="03F746D0"/>
    <w:rsid w:val="04B82B54"/>
    <w:rsid w:val="0D1B4875"/>
    <w:rsid w:val="0D2371C8"/>
    <w:rsid w:val="0FEDE0FD"/>
    <w:rsid w:val="0FFB51E3"/>
    <w:rsid w:val="0FFFA42F"/>
    <w:rsid w:val="11F79402"/>
    <w:rsid w:val="123054C8"/>
    <w:rsid w:val="15229536"/>
    <w:rsid w:val="159FB89C"/>
    <w:rsid w:val="16521A82"/>
    <w:rsid w:val="177FD9EC"/>
    <w:rsid w:val="17CD078E"/>
    <w:rsid w:val="17DF4BD3"/>
    <w:rsid w:val="17EDCAEF"/>
    <w:rsid w:val="18E62F3C"/>
    <w:rsid w:val="1A6DA540"/>
    <w:rsid w:val="1B078CE5"/>
    <w:rsid w:val="1BABBA22"/>
    <w:rsid w:val="1BFBBB00"/>
    <w:rsid w:val="1BFD0B61"/>
    <w:rsid w:val="1BFEE1F3"/>
    <w:rsid w:val="1DBF59C3"/>
    <w:rsid w:val="1DE7E897"/>
    <w:rsid w:val="1DFD82FE"/>
    <w:rsid w:val="1E8E8683"/>
    <w:rsid w:val="1EAF3DA1"/>
    <w:rsid w:val="1EDF12FB"/>
    <w:rsid w:val="1EF52C86"/>
    <w:rsid w:val="1EFF5816"/>
    <w:rsid w:val="1F7E4B81"/>
    <w:rsid w:val="1FC64145"/>
    <w:rsid w:val="1FEF4001"/>
    <w:rsid w:val="1FF951BC"/>
    <w:rsid w:val="1FFAC388"/>
    <w:rsid w:val="1FFCEBE1"/>
    <w:rsid w:val="1FFE22ED"/>
    <w:rsid w:val="22E9C8D1"/>
    <w:rsid w:val="239EDD8C"/>
    <w:rsid w:val="249DFFE5"/>
    <w:rsid w:val="26DF171F"/>
    <w:rsid w:val="273F2C1D"/>
    <w:rsid w:val="277056C7"/>
    <w:rsid w:val="27B28BBD"/>
    <w:rsid w:val="27BF1F0F"/>
    <w:rsid w:val="27EFF664"/>
    <w:rsid w:val="2AD74E2E"/>
    <w:rsid w:val="2BA7731F"/>
    <w:rsid w:val="2BBEE239"/>
    <w:rsid w:val="2DCEC971"/>
    <w:rsid w:val="2DD4E711"/>
    <w:rsid w:val="2DFE23D7"/>
    <w:rsid w:val="2E6F046F"/>
    <w:rsid w:val="2EBF1D4E"/>
    <w:rsid w:val="2EC58713"/>
    <w:rsid w:val="2EC62787"/>
    <w:rsid w:val="2EDEC7B0"/>
    <w:rsid w:val="2F3F7E1F"/>
    <w:rsid w:val="2F552226"/>
    <w:rsid w:val="2F6C7C56"/>
    <w:rsid w:val="2F7F2FFF"/>
    <w:rsid w:val="2FD17725"/>
    <w:rsid w:val="2FE7F031"/>
    <w:rsid w:val="2FEF04EC"/>
    <w:rsid w:val="2FFD25AB"/>
    <w:rsid w:val="3239DCB1"/>
    <w:rsid w:val="336DA525"/>
    <w:rsid w:val="33778B53"/>
    <w:rsid w:val="33A11B25"/>
    <w:rsid w:val="33DFF4DE"/>
    <w:rsid w:val="33FBE522"/>
    <w:rsid w:val="3579DF39"/>
    <w:rsid w:val="35F547AF"/>
    <w:rsid w:val="35FD84EA"/>
    <w:rsid w:val="35FF40B5"/>
    <w:rsid w:val="36E30F62"/>
    <w:rsid w:val="36F7F1DE"/>
    <w:rsid w:val="3733C084"/>
    <w:rsid w:val="377DC30F"/>
    <w:rsid w:val="377F1563"/>
    <w:rsid w:val="378E6340"/>
    <w:rsid w:val="378F5607"/>
    <w:rsid w:val="379FB580"/>
    <w:rsid w:val="37BFBE08"/>
    <w:rsid w:val="37DA575B"/>
    <w:rsid w:val="37EF2412"/>
    <w:rsid w:val="37F7A78D"/>
    <w:rsid w:val="37FB4A22"/>
    <w:rsid w:val="37FFE157"/>
    <w:rsid w:val="393FB707"/>
    <w:rsid w:val="397B00F2"/>
    <w:rsid w:val="39CDF230"/>
    <w:rsid w:val="39F70379"/>
    <w:rsid w:val="39FBB9C0"/>
    <w:rsid w:val="3A6623FA"/>
    <w:rsid w:val="3BAA3D91"/>
    <w:rsid w:val="3BCF8142"/>
    <w:rsid w:val="3BDD876D"/>
    <w:rsid w:val="3BDF2B23"/>
    <w:rsid w:val="3BEEDB2C"/>
    <w:rsid w:val="3BEF1CAB"/>
    <w:rsid w:val="3BEFD484"/>
    <w:rsid w:val="3BF592CE"/>
    <w:rsid w:val="3BF7CB49"/>
    <w:rsid w:val="3BF9128A"/>
    <w:rsid w:val="3CF8892D"/>
    <w:rsid w:val="3CFF9A6C"/>
    <w:rsid w:val="3D6B3060"/>
    <w:rsid w:val="3D6F911D"/>
    <w:rsid w:val="3D7792D2"/>
    <w:rsid w:val="3D7F361F"/>
    <w:rsid w:val="3DA9193F"/>
    <w:rsid w:val="3DEFDF5C"/>
    <w:rsid w:val="3DFC0706"/>
    <w:rsid w:val="3DFD84CE"/>
    <w:rsid w:val="3DFFA87E"/>
    <w:rsid w:val="3E5EBF44"/>
    <w:rsid w:val="3E5F005E"/>
    <w:rsid w:val="3E7E6B82"/>
    <w:rsid w:val="3E926C1D"/>
    <w:rsid w:val="3EB5F59D"/>
    <w:rsid w:val="3EB76863"/>
    <w:rsid w:val="3EDB5F52"/>
    <w:rsid w:val="3EEB721A"/>
    <w:rsid w:val="3EF7FD10"/>
    <w:rsid w:val="3EFF575B"/>
    <w:rsid w:val="3F2996DB"/>
    <w:rsid w:val="3F5BB31C"/>
    <w:rsid w:val="3F5BDF7B"/>
    <w:rsid w:val="3F6F1961"/>
    <w:rsid w:val="3F7B0813"/>
    <w:rsid w:val="3F7F0672"/>
    <w:rsid w:val="3FB26D9C"/>
    <w:rsid w:val="3FBEB619"/>
    <w:rsid w:val="3FBEF08E"/>
    <w:rsid w:val="3FBF886B"/>
    <w:rsid w:val="3FCD42D3"/>
    <w:rsid w:val="3FD70DE9"/>
    <w:rsid w:val="3FD94653"/>
    <w:rsid w:val="3FEF7914"/>
    <w:rsid w:val="3FF51230"/>
    <w:rsid w:val="3FF9A02E"/>
    <w:rsid w:val="3FFB5979"/>
    <w:rsid w:val="3FFE67C6"/>
    <w:rsid w:val="3FFECD48"/>
    <w:rsid w:val="3FFF42B4"/>
    <w:rsid w:val="3FFF7A35"/>
    <w:rsid w:val="3FFFB2E6"/>
    <w:rsid w:val="43BBCDB0"/>
    <w:rsid w:val="43FFB7E9"/>
    <w:rsid w:val="4777E7A6"/>
    <w:rsid w:val="47D742E3"/>
    <w:rsid w:val="47FB2E99"/>
    <w:rsid w:val="49B315B8"/>
    <w:rsid w:val="4ABF729F"/>
    <w:rsid w:val="4B7E47CE"/>
    <w:rsid w:val="4BDDD3F8"/>
    <w:rsid w:val="4BDF72C5"/>
    <w:rsid w:val="4BE3F315"/>
    <w:rsid w:val="4BF912DB"/>
    <w:rsid w:val="4C5FC698"/>
    <w:rsid w:val="4C8E78D6"/>
    <w:rsid w:val="4D6DCCF6"/>
    <w:rsid w:val="4DBFDADA"/>
    <w:rsid w:val="4DF2B73A"/>
    <w:rsid w:val="4DFF0D1A"/>
    <w:rsid w:val="4DFFE32F"/>
    <w:rsid w:val="4E59D8D8"/>
    <w:rsid w:val="4E7E04EC"/>
    <w:rsid w:val="4EB69F8E"/>
    <w:rsid w:val="4EB6F72A"/>
    <w:rsid w:val="4EDFD95C"/>
    <w:rsid w:val="4F7F2281"/>
    <w:rsid w:val="4FBD11B8"/>
    <w:rsid w:val="4FE1E943"/>
    <w:rsid w:val="4FEFF925"/>
    <w:rsid w:val="4FF9391F"/>
    <w:rsid w:val="4FFB5825"/>
    <w:rsid w:val="4FFF5FF3"/>
    <w:rsid w:val="509F9D77"/>
    <w:rsid w:val="524401F6"/>
    <w:rsid w:val="5254B42A"/>
    <w:rsid w:val="52ED646D"/>
    <w:rsid w:val="52FFDB24"/>
    <w:rsid w:val="537B65E3"/>
    <w:rsid w:val="537F0638"/>
    <w:rsid w:val="53DF4F57"/>
    <w:rsid w:val="54DF02A2"/>
    <w:rsid w:val="54F5FF1B"/>
    <w:rsid w:val="55543D1D"/>
    <w:rsid w:val="555FF9AB"/>
    <w:rsid w:val="55FF311F"/>
    <w:rsid w:val="569F4155"/>
    <w:rsid w:val="56BE302D"/>
    <w:rsid w:val="56DE3BCE"/>
    <w:rsid w:val="56FB1AA9"/>
    <w:rsid w:val="575F44A6"/>
    <w:rsid w:val="57BDE689"/>
    <w:rsid w:val="57DFDC44"/>
    <w:rsid w:val="57F6B9D9"/>
    <w:rsid w:val="57FB1472"/>
    <w:rsid w:val="57FB66B1"/>
    <w:rsid w:val="57FE144F"/>
    <w:rsid w:val="57FEE2A3"/>
    <w:rsid w:val="58EFF286"/>
    <w:rsid w:val="59922567"/>
    <w:rsid w:val="59B7A3CA"/>
    <w:rsid w:val="59BE5754"/>
    <w:rsid w:val="59FE218F"/>
    <w:rsid w:val="5A5F86AF"/>
    <w:rsid w:val="5AFA5124"/>
    <w:rsid w:val="5AFB5831"/>
    <w:rsid w:val="5B1624D4"/>
    <w:rsid w:val="5B1FACF6"/>
    <w:rsid w:val="5B7D0F77"/>
    <w:rsid w:val="5B9F0F29"/>
    <w:rsid w:val="5BCC288D"/>
    <w:rsid w:val="5BD7A26F"/>
    <w:rsid w:val="5BDB8883"/>
    <w:rsid w:val="5BDEEC28"/>
    <w:rsid w:val="5BDF2E69"/>
    <w:rsid w:val="5BFD0A93"/>
    <w:rsid w:val="5CFE7CCC"/>
    <w:rsid w:val="5D3F41AF"/>
    <w:rsid w:val="5D5578C3"/>
    <w:rsid w:val="5D94F581"/>
    <w:rsid w:val="5D9E8D38"/>
    <w:rsid w:val="5DF72440"/>
    <w:rsid w:val="5DFDAEE5"/>
    <w:rsid w:val="5E3F1F14"/>
    <w:rsid w:val="5E7F5F8A"/>
    <w:rsid w:val="5E7F89A3"/>
    <w:rsid w:val="5E9F7754"/>
    <w:rsid w:val="5EB74957"/>
    <w:rsid w:val="5ECB626D"/>
    <w:rsid w:val="5EEC1B4F"/>
    <w:rsid w:val="5EFF29E4"/>
    <w:rsid w:val="5EFF878C"/>
    <w:rsid w:val="5F365286"/>
    <w:rsid w:val="5F3E9E1C"/>
    <w:rsid w:val="5F5FB126"/>
    <w:rsid w:val="5F6F8567"/>
    <w:rsid w:val="5F7349CD"/>
    <w:rsid w:val="5F7712A2"/>
    <w:rsid w:val="5F7B4769"/>
    <w:rsid w:val="5F7B4E8A"/>
    <w:rsid w:val="5F7CF8EC"/>
    <w:rsid w:val="5F870A41"/>
    <w:rsid w:val="5FABF6FB"/>
    <w:rsid w:val="5FAFA701"/>
    <w:rsid w:val="5FAFB503"/>
    <w:rsid w:val="5FB7F423"/>
    <w:rsid w:val="5FBBB87E"/>
    <w:rsid w:val="5FBE66ED"/>
    <w:rsid w:val="5FC78070"/>
    <w:rsid w:val="5FCFD459"/>
    <w:rsid w:val="5FD69BAC"/>
    <w:rsid w:val="5FDB7F77"/>
    <w:rsid w:val="5FEB1FBA"/>
    <w:rsid w:val="5FEF0A80"/>
    <w:rsid w:val="5FEFFC70"/>
    <w:rsid w:val="5FF3A99C"/>
    <w:rsid w:val="5FF5BBFA"/>
    <w:rsid w:val="5FFD14DA"/>
    <w:rsid w:val="5FFD16D1"/>
    <w:rsid w:val="5FFD47B3"/>
    <w:rsid w:val="5FFF4A04"/>
    <w:rsid w:val="5FFFA2E4"/>
    <w:rsid w:val="61F70E7D"/>
    <w:rsid w:val="624D3B93"/>
    <w:rsid w:val="627DC276"/>
    <w:rsid w:val="62CA30E8"/>
    <w:rsid w:val="63EFA8AA"/>
    <w:rsid w:val="657D745C"/>
    <w:rsid w:val="65BBAEDD"/>
    <w:rsid w:val="665F6E73"/>
    <w:rsid w:val="66734D3F"/>
    <w:rsid w:val="66D744E1"/>
    <w:rsid w:val="66E30E3A"/>
    <w:rsid w:val="66FB4A2E"/>
    <w:rsid w:val="673E7A70"/>
    <w:rsid w:val="677E2ECC"/>
    <w:rsid w:val="67BFFFEE"/>
    <w:rsid w:val="67ED5F37"/>
    <w:rsid w:val="67FD4D66"/>
    <w:rsid w:val="68F99FAE"/>
    <w:rsid w:val="68FF4BCF"/>
    <w:rsid w:val="693B295C"/>
    <w:rsid w:val="69C66F06"/>
    <w:rsid w:val="69E128EB"/>
    <w:rsid w:val="6ABF5F11"/>
    <w:rsid w:val="6ABFC8D1"/>
    <w:rsid w:val="6ADDE77F"/>
    <w:rsid w:val="6ADE7A87"/>
    <w:rsid w:val="6ADF31E7"/>
    <w:rsid w:val="6AFB243A"/>
    <w:rsid w:val="6B2BFCAE"/>
    <w:rsid w:val="6B2C0D62"/>
    <w:rsid w:val="6B6E1994"/>
    <w:rsid w:val="6B6F3467"/>
    <w:rsid w:val="6BDF8132"/>
    <w:rsid w:val="6BFE955E"/>
    <w:rsid w:val="6BFF662E"/>
    <w:rsid w:val="6C0EBD6D"/>
    <w:rsid w:val="6C84861A"/>
    <w:rsid w:val="6CBDD02C"/>
    <w:rsid w:val="6CDBC1A8"/>
    <w:rsid w:val="6CFF9643"/>
    <w:rsid w:val="6D57BB2E"/>
    <w:rsid w:val="6D6FB64B"/>
    <w:rsid w:val="6D7D9CBD"/>
    <w:rsid w:val="6DCB1EFB"/>
    <w:rsid w:val="6DDD1794"/>
    <w:rsid w:val="6DDE66EF"/>
    <w:rsid w:val="6DE59C31"/>
    <w:rsid w:val="6DFDC910"/>
    <w:rsid w:val="6DFFE719"/>
    <w:rsid w:val="6E1F1954"/>
    <w:rsid w:val="6E6F404B"/>
    <w:rsid w:val="6E7FB271"/>
    <w:rsid w:val="6EAFE1DB"/>
    <w:rsid w:val="6EFA0FBD"/>
    <w:rsid w:val="6EFB9487"/>
    <w:rsid w:val="6EFF64FE"/>
    <w:rsid w:val="6F1FF4F1"/>
    <w:rsid w:val="6F319D17"/>
    <w:rsid w:val="6F3447B3"/>
    <w:rsid w:val="6F3FA56C"/>
    <w:rsid w:val="6F4E0B98"/>
    <w:rsid w:val="6F67491D"/>
    <w:rsid w:val="6F74080C"/>
    <w:rsid w:val="6F7C0D55"/>
    <w:rsid w:val="6F7D2A41"/>
    <w:rsid w:val="6F7FDA95"/>
    <w:rsid w:val="6F945F27"/>
    <w:rsid w:val="6F95F2E4"/>
    <w:rsid w:val="6FAB1C75"/>
    <w:rsid w:val="6FABFAA9"/>
    <w:rsid w:val="6FAF142A"/>
    <w:rsid w:val="6FB608FA"/>
    <w:rsid w:val="6FBBACBC"/>
    <w:rsid w:val="6FBF460A"/>
    <w:rsid w:val="6FBFB54A"/>
    <w:rsid w:val="6FD13F53"/>
    <w:rsid w:val="6FD74A18"/>
    <w:rsid w:val="6FDDBCE0"/>
    <w:rsid w:val="6FE78D0C"/>
    <w:rsid w:val="6FEDE2C5"/>
    <w:rsid w:val="6FEF41B6"/>
    <w:rsid w:val="6FF755B3"/>
    <w:rsid w:val="6FFB5799"/>
    <w:rsid w:val="6FFD0A48"/>
    <w:rsid w:val="6FFD73E3"/>
    <w:rsid w:val="6FFE5681"/>
    <w:rsid w:val="6FFF577A"/>
    <w:rsid w:val="6FFFB2F6"/>
    <w:rsid w:val="70EE677D"/>
    <w:rsid w:val="71BF7301"/>
    <w:rsid w:val="727B4126"/>
    <w:rsid w:val="72FEC45F"/>
    <w:rsid w:val="733D77E3"/>
    <w:rsid w:val="7375558A"/>
    <w:rsid w:val="737BF5F6"/>
    <w:rsid w:val="737D92BF"/>
    <w:rsid w:val="737E02F4"/>
    <w:rsid w:val="738E7A59"/>
    <w:rsid w:val="7399E5E1"/>
    <w:rsid w:val="73BDA2E0"/>
    <w:rsid w:val="73DBFF87"/>
    <w:rsid w:val="73DF7E42"/>
    <w:rsid w:val="73F7FAA1"/>
    <w:rsid w:val="73FB2266"/>
    <w:rsid w:val="73FCB51B"/>
    <w:rsid w:val="73FEEA7F"/>
    <w:rsid w:val="73FF0DF8"/>
    <w:rsid w:val="747F6CAA"/>
    <w:rsid w:val="74BB805D"/>
    <w:rsid w:val="74D1B551"/>
    <w:rsid w:val="74EEC221"/>
    <w:rsid w:val="752CC27C"/>
    <w:rsid w:val="75777894"/>
    <w:rsid w:val="759D4ACF"/>
    <w:rsid w:val="75BDCD14"/>
    <w:rsid w:val="75C928CC"/>
    <w:rsid w:val="75CA8987"/>
    <w:rsid w:val="75DB8FAA"/>
    <w:rsid w:val="75DF4F9D"/>
    <w:rsid w:val="75EDA0C5"/>
    <w:rsid w:val="75EF6B99"/>
    <w:rsid w:val="75FA0DA7"/>
    <w:rsid w:val="75FEE9EB"/>
    <w:rsid w:val="75FF2A25"/>
    <w:rsid w:val="76693DF0"/>
    <w:rsid w:val="766BB9BD"/>
    <w:rsid w:val="76872B47"/>
    <w:rsid w:val="769B6F58"/>
    <w:rsid w:val="76ABFA05"/>
    <w:rsid w:val="76DF8B72"/>
    <w:rsid w:val="76F4A89F"/>
    <w:rsid w:val="76F7A66D"/>
    <w:rsid w:val="76F7B606"/>
    <w:rsid w:val="76F7E2C9"/>
    <w:rsid w:val="76F94A51"/>
    <w:rsid w:val="76FB6A16"/>
    <w:rsid w:val="773E0249"/>
    <w:rsid w:val="776E2B71"/>
    <w:rsid w:val="77783300"/>
    <w:rsid w:val="777AC45E"/>
    <w:rsid w:val="777E908E"/>
    <w:rsid w:val="777EDFBB"/>
    <w:rsid w:val="778B0543"/>
    <w:rsid w:val="779D95D9"/>
    <w:rsid w:val="77BD96F0"/>
    <w:rsid w:val="77BD9B0F"/>
    <w:rsid w:val="77BE362F"/>
    <w:rsid w:val="77C7929C"/>
    <w:rsid w:val="77C8FE66"/>
    <w:rsid w:val="77DB2B94"/>
    <w:rsid w:val="77DEEC81"/>
    <w:rsid w:val="77E7919B"/>
    <w:rsid w:val="77EC2403"/>
    <w:rsid w:val="77F32F31"/>
    <w:rsid w:val="77F79ABA"/>
    <w:rsid w:val="77F79F54"/>
    <w:rsid w:val="77FB40B5"/>
    <w:rsid w:val="77FBEAD8"/>
    <w:rsid w:val="77FD19BE"/>
    <w:rsid w:val="77FDD145"/>
    <w:rsid w:val="77FEACCB"/>
    <w:rsid w:val="77FF8CC6"/>
    <w:rsid w:val="77FFCAD9"/>
    <w:rsid w:val="785F9DBB"/>
    <w:rsid w:val="78D3B69E"/>
    <w:rsid w:val="78F8F4B3"/>
    <w:rsid w:val="78FDC9A7"/>
    <w:rsid w:val="793BB9DF"/>
    <w:rsid w:val="795C24C9"/>
    <w:rsid w:val="79778068"/>
    <w:rsid w:val="797A4BE3"/>
    <w:rsid w:val="79CB702C"/>
    <w:rsid w:val="79D9E8C9"/>
    <w:rsid w:val="79DF3A12"/>
    <w:rsid w:val="79EB0B43"/>
    <w:rsid w:val="79F6457A"/>
    <w:rsid w:val="79F905AE"/>
    <w:rsid w:val="79FD1E97"/>
    <w:rsid w:val="79FF8835"/>
    <w:rsid w:val="7A95CF98"/>
    <w:rsid w:val="7ABF4766"/>
    <w:rsid w:val="7ACFA72C"/>
    <w:rsid w:val="7AE6ED1A"/>
    <w:rsid w:val="7AFE2CD1"/>
    <w:rsid w:val="7AFFBDD6"/>
    <w:rsid w:val="7AFFFF0F"/>
    <w:rsid w:val="7B2DB97B"/>
    <w:rsid w:val="7B37480D"/>
    <w:rsid w:val="7BAF3138"/>
    <w:rsid w:val="7BBC82C5"/>
    <w:rsid w:val="7BBE87E2"/>
    <w:rsid w:val="7BBFC836"/>
    <w:rsid w:val="7BD2D6F5"/>
    <w:rsid w:val="7BDD404B"/>
    <w:rsid w:val="7BDE2178"/>
    <w:rsid w:val="7BDE8313"/>
    <w:rsid w:val="7BDEB432"/>
    <w:rsid w:val="7BDF02DA"/>
    <w:rsid w:val="7BDFB58D"/>
    <w:rsid w:val="7BEEFEF4"/>
    <w:rsid w:val="7BEF51CB"/>
    <w:rsid w:val="7BF32D35"/>
    <w:rsid w:val="7BFA703B"/>
    <w:rsid w:val="7BFF66C2"/>
    <w:rsid w:val="7C7A0A6D"/>
    <w:rsid w:val="7C7F6FBA"/>
    <w:rsid w:val="7CBA9735"/>
    <w:rsid w:val="7CBF0C81"/>
    <w:rsid w:val="7CDEEE00"/>
    <w:rsid w:val="7CEF3F86"/>
    <w:rsid w:val="7CF5F0B6"/>
    <w:rsid w:val="7CFB0061"/>
    <w:rsid w:val="7CFCC8A2"/>
    <w:rsid w:val="7CFD874B"/>
    <w:rsid w:val="7CFF00F5"/>
    <w:rsid w:val="7CFFCDD0"/>
    <w:rsid w:val="7D3B7424"/>
    <w:rsid w:val="7D7996AD"/>
    <w:rsid w:val="7D7BC273"/>
    <w:rsid w:val="7D7F0D31"/>
    <w:rsid w:val="7D7F2A7B"/>
    <w:rsid w:val="7D7FD0D1"/>
    <w:rsid w:val="7D9D7B98"/>
    <w:rsid w:val="7D9EDCF1"/>
    <w:rsid w:val="7DAFA19D"/>
    <w:rsid w:val="7DBEEC5F"/>
    <w:rsid w:val="7DBF316B"/>
    <w:rsid w:val="7DBF39CA"/>
    <w:rsid w:val="7DCE25CF"/>
    <w:rsid w:val="7DD798F6"/>
    <w:rsid w:val="7DDC9BEB"/>
    <w:rsid w:val="7DE6071D"/>
    <w:rsid w:val="7DE61B1A"/>
    <w:rsid w:val="7DE7DFD6"/>
    <w:rsid w:val="7DEB9A07"/>
    <w:rsid w:val="7DF7F5CD"/>
    <w:rsid w:val="7DF8224D"/>
    <w:rsid w:val="7DF90B75"/>
    <w:rsid w:val="7DFB163A"/>
    <w:rsid w:val="7DFED028"/>
    <w:rsid w:val="7DFF2671"/>
    <w:rsid w:val="7E1F256D"/>
    <w:rsid w:val="7E3B2E5E"/>
    <w:rsid w:val="7E5BB682"/>
    <w:rsid w:val="7E673C5D"/>
    <w:rsid w:val="7E770D21"/>
    <w:rsid w:val="7E7BA19D"/>
    <w:rsid w:val="7E7DDAD6"/>
    <w:rsid w:val="7E7E88F0"/>
    <w:rsid w:val="7E8F09B1"/>
    <w:rsid w:val="7EAD9887"/>
    <w:rsid w:val="7EBBBB5B"/>
    <w:rsid w:val="7EBE1494"/>
    <w:rsid w:val="7EBE3965"/>
    <w:rsid w:val="7EBFA604"/>
    <w:rsid w:val="7EDADBA1"/>
    <w:rsid w:val="7EEB356F"/>
    <w:rsid w:val="7EEBA803"/>
    <w:rsid w:val="7EEEB973"/>
    <w:rsid w:val="7EF7E157"/>
    <w:rsid w:val="7EFDA188"/>
    <w:rsid w:val="7EFEA32D"/>
    <w:rsid w:val="7EFF5C9D"/>
    <w:rsid w:val="7EFF5FF6"/>
    <w:rsid w:val="7EFF61BE"/>
    <w:rsid w:val="7EFF8C4A"/>
    <w:rsid w:val="7F0F633E"/>
    <w:rsid w:val="7F27FC36"/>
    <w:rsid w:val="7F3F3679"/>
    <w:rsid w:val="7F4CCEC6"/>
    <w:rsid w:val="7F4F27C6"/>
    <w:rsid w:val="7F6762C5"/>
    <w:rsid w:val="7F6B61FD"/>
    <w:rsid w:val="7F6ED332"/>
    <w:rsid w:val="7F6F0DCA"/>
    <w:rsid w:val="7F6F1529"/>
    <w:rsid w:val="7F753812"/>
    <w:rsid w:val="7F76F84F"/>
    <w:rsid w:val="7F772208"/>
    <w:rsid w:val="7F789F8E"/>
    <w:rsid w:val="7F7B58F4"/>
    <w:rsid w:val="7F7BA3BE"/>
    <w:rsid w:val="7F7D1166"/>
    <w:rsid w:val="7F7D2B2C"/>
    <w:rsid w:val="7F7E4515"/>
    <w:rsid w:val="7F7EDECC"/>
    <w:rsid w:val="7F7F3FED"/>
    <w:rsid w:val="7F7F5B39"/>
    <w:rsid w:val="7F91A2D8"/>
    <w:rsid w:val="7F93DD20"/>
    <w:rsid w:val="7F979C01"/>
    <w:rsid w:val="7F9EF06B"/>
    <w:rsid w:val="7F9F7A43"/>
    <w:rsid w:val="7FA7705E"/>
    <w:rsid w:val="7FB369D6"/>
    <w:rsid w:val="7FBA0C57"/>
    <w:rsid w:val="7FBB8F33"/>
    <w:rsid w:val="7FBBCD20"/>
    <w:rsid w:val="7FBEF936"/>
    <w:rsid w:val="7FBF2DD3"/>
    <w:rsid w:val="7FBF464B"/>
    <w:rsid w:val="7FBF865D"/>
    <w:rsid w:val="7FBFD99F"/>
    <w:rsid w:val="7FCB02FE"/>
    <w:rsid w:val="7FCE0C6B"/>
    <w:rsid w:val="7FCF7372"/>
    <w:rsid w:val="7FD6A49D"/>
    <w:rsid w:val="7FD78DFA"/>
    <w:rsid w:val="7FDABC15"/>
    <w:rsid w:val="7FDB6A1B"/>
    <w:rsid w:val="7FDC1EA3"/>
    <w:rsid w:val="7FDF1CBF"/>
    <w:rsid w:val="7FDF392A"/>
    <w:rsid w:val="7FDF7B28"/>
    <w:rsid w:val="7FDF965B"/>
    <w:rsid w:val="7FE89BFD"/>
    <w:rsid w:val="7FEA80C6"/>
    <w:rsid w:val="7FED5C63"/>
    <w:rsid w:val="7FED6104"/>
    <w:rsid w:val="7FED7A4C"/>
    <w:rsid w:val="7FEDF960"/>
    <w:rsid w:val="7FEE052A"/>
    <w:rsid w:val="7FEF4E96"/>
    <w:rsid w:val="7FEF7F29"/>
    <w:rsid w:val="7FEFDC2A"/>
    <w:rsid w:val="7FF0D070"/>
    <w:rsid w:val="7FF1F1BF"/>
    <w:rsid w:val="7FF21FDD"/>
    <w:rsid w:val="7FF55A40"/>
    <w:rsid w:val="7FF5FC93"/>
    <w:rsid w:val="7FF74B91"/>
    <w:rsid w:val="7FF9C216"/>
    <w:rsid w:val="7FFA6E8E"/>
    <w:rsid w:val="7FFB111C"/>
    <w:rsid w:val="7FFB3859"/>
    <w:rsid w:val="7FFBBC2D"/>
    <w:rsid w:val="7FFBDA7C"/>
    <w:rsid w:val="7FFC486D"/>
    <w:rsid w:val="7FFC7A41"/>
    <w:rsid w:val="7FFC7CBC"/>
    <w:rsid w:val="7FFD6A42"/>
    <w:rsid w:val="7FFD8A56"/>
    <w:rsid w:val="7FFD8BCC"/>
    <w:rsid w:val="7FFDCF66"/>
    <w:rsid w:val="7FFE12B0"/>
    <w:rsid w:val="7FFE2004"/>
    <w:rsid w:val="7FFE70A1"/>
    <w:rsid w:val="7FFE95D3"/>
    <w:rsid w:val="7FFECB03"/>
    <w:rsid w:val="7FFEF8C8"/>
    <w:rsid w:val="7FFF3EC6"/>
    <w:rsid w:val="7FFF593F"/>
    <w:rsid w:val="7FFF59A8"/>
    <w:rsid w:val="7FFF5C36"/>
    <w:rsid w:val="7FFF6F8A"/>
    <w:rsid w:val="7FFF9E2B"/>
    <w:rsid w:val="7FFFA7C1"/>
    <w:rsid w:val="7FFFCC99"/>
    <w:rsid w:val="7FFFFB02"/>
    <w:rsid w:val="83D79058"/>
    <w:rsid w:val="86F73542"/>
    <w:rsid w:val="87EFFDBD"/>
    <w:rsid w:val="87FF7C83"/>
    <w:rsid w:val="88FD9A56"/>
    <w:rsid w:val="899F7329"/>
    <w:rsid w:val="8BBF985F"/>
    <w:rsid w:val="8BEF4DC8"/>
    <w:rsid w:val="8CDB0F1E"/>
    <w:rsid w:val="8E5EBB50"/>
    <w:rsid w:val="8EFF1C20"/>
    <w:rsid w:val="8EFF3FE0"/>
    <w:rsid w:val="8F3B5E24"/>
    <w:rsid w:val="8FBAE340"/>
    <w:rsid w:val="8FF320B6"/>
    <w:rsid w:val="93DF46F1"/>
    <w:rsid w:val="96F9B913"/>
    <w:rsid w:val="96FA0F26"/>
    <w:rsid w:val="976E1B3A"/>
    <w:rsid w:val="9C656CAC"/>
    <w:rsid w:val="9CFA76D5"/>
    <w:rsid w:val="9DD2B244"/>
    <w:rsid w:val="9DEF409B"/>
    <w:rsid w:val="9DFF0E3C"/>
    <w:rsid w:val="9E0A8E5D"/>
    <w:rsid w:val="9E776B74"/>
    <w:rsid w:val="9EF7CAE1"/>
    <w:rsid w:val="9F553739"/>
    <w:rsid w:val="9F6F77B7"/>
    <w:rsid w:val="9F97153A"/>
    <w:rsid w:val="9F9FFF01"/>
    <w:rsid w:val="9FAF0612"/>
    <w:rsid w:val="9FDDEE2C"/>
    <w:rsid w:val="9FDE8A4C"/>
    <w:rsid w:val="9FEB36D0"/>
    <w:rsid w:val="9FF2CFC5"/>
    <w:rsid w:val="9FF75585"/>
    <w:rsid w:val="9FFBB64D"/>
    <w:rsid w:val="9FFCC3FB"/>
    <w:rsid w:val="9FFFE950"/>
    <w:rsid w:val="A2E23B33"/>
    <w:rsid w:val="A3FF2775"/>
    <w:rsid w:val="A771BB21"/>
    <w:rsid w:val="A77FCB66"/>
    <w:rsid w:val="A7E7EEF3"/>
    <w:rsid w:val="A7FB1245"/>
    <w:rsid w:val="A87F9612"/>
    <w:rsid w:val="A9BFF53D"/>
    <w:rsid w:val="A9DF0400"/>
    <w:rsid w:val="AAEE04EA"/>
    <w:rsid w:val="ABBFFF5A"/>
    <w:rsid w:val="ACDE6249"/>
    <w:rsid w:val="AD1B96A3"/>
    <w:rsid w:val="AD7FEDCA"/>
    <w:rsid w:val="ADE61EF9"/>
    <w:rsid w:val="ADF7B4FA"/>
    <w:rsid w:val="AEAB68BE"/>
    <w:rsid w:val="AEEFB43F"/>
    <w:rsid w:val="AF772D81"/>
    <w:rsid w:val="AF7C680E"/>
    <w:rsid w:val="AF7F5246"/>
    <w:rsid w:val="AF9E963D"/>
    <w:rsid w:val="AFBF069B"/>
    <w:rsid w:val="AFEA4D99"/>
    <w:rsid w:val="AFEFEF2D"/>
    <w:rsid w:val="AFF54472"/>
    <w:rsid w:val="AFF76300"/>
    <w:rsid w:val="AFFB2CBB"/>
    <w:rsid w:val="B0EFB8BD"/>
    <w:rsid w:val="B17F5FE8"/>
    <w:rsid w:val="B1EB01C7"/>
    <w:rsid w:val="B2FF1963"/>
    <w:rsid w:val="B33F4988"/>
    <w:rsid w:val="B35FB4F6"/>
    <w:rsid w:val="B39E1454"/>
    <w:rsid w:val="B3AE0B67"/>
    <w:rsid w:val="B3BCA513"/>
    <w:rsid w:val="B4FEC5C3"/>
    <w:rsid w:val="B4FFEFE9"/>
    <w:rsid w:val="B55F1B2F"/>
    <w:rsid w:val="B5F42384"/>
    <w:rsid w:val="B6FB0733"/>
    <w:rsid w:val="B6FC2DD0"/>
    <w:rsid w:val="B6FFA6DC"/>
    <w:rsid w:val="B7ABAB37"/>
    <w:rsid w:val="B7AF6A0D"/>
    <w:rsid w:val="B7BBA261"/>
    <w:rsid w:val="B7BFEBDF"/>
    <w:rsid w:val="B7DF5338"/>
    <w:rsid w:val="B7DF9A2B"/>
    <w:rsid w:val="B7E55407"/>
    <w:rsid w:val="B7ED9360"/>
    <w:rsid w:val="B7FDA41D"/>
    <w:rsid w:val="B8FE0A2F"/>
    <w:rsid w:val="B95F3210"/>
    <w:rsid w:val="B9CF8729"/>
    <w:rsid w:val="B9D79B50"/>
    <w:rsid w:val="B9E3E031"/>
    <w:rsid w:val="B9E7ECB6"/>
    <w:rsid w:val="B9FC597F"/>
    <w:rsid w:val="BAF19AC7"/>
    <w:rsid w:val="BAFD73DD"/>
    <w:rsid w:val="BAFE17B6"/>
    <w:rsid w:val="BBBC0190"/>
    <w:rsid w:val="BBD7E2FE"/>
    <w:rsid w:val="BBDF0649"/>
    <w:rsid w:val="BBDF7771"/>
    <w:rsid w:val="BBFE9557"/>
    <w:rsid w:val="BC4FB44B"/>
    <w:rsid w:val="BCFFC392"/>
    <w:rsid w:val="BD9F0CE5"/>
    <w:rsid w:val="BDF7B13B"/>
    <w:rsid w:val="BDFB5E30"/>
    <w:rsid w:val="BDFCA59C"/>
    <w:rsid w:val="BE2D573A"/>
    <w:rsid w:val="BE2EC653"/>
    <w:rsid w:val="BE7D5935"/>
    <w:rsid w:val="BE7E1AD5"/>
    <w:rsid w:val="BEA93DE9"/>
    <w:rsid w:val="BEB3EFC1"/>
    <w:rsid w:val="BEBBB02E"/>
    <w:rsid w:val="BEBFE015"/>
    <w:rsid w:val="BECE5DD6"/>
    <w:rsid w:val="BECE9EE0"/>
    <w:rsid w:val="BED55311"/>
    <w:rsid w:val="BEDD5082"/>
    <w:rsid w:val="BEFBFE32"/>
    <w:rsid w:val="BEFF806A"/>
    <w:rsid w:val="BF153FD8"/>
    <w:rsid w:val="BF2B951D"/>
    <w:rsid w:val="BF5B907C"/>
    <w:rsid w:val="BF5D3ED3"/>
    <w:rsid w:val="BF5F9519"/>
    <w:rsid w:val="BF6B0077"/>
    <w:rsid w:val="BF76C3BD"/>
    <w:rsid w:val="BF779D6E"/>
    <w:rsid w:val="BF7BF3C3"/>
    <w:rsid w:val="BF7D3C25"/>
    <w:rsid w:val="BF7D5F0A"/>
    <w:rsid w:val="BFABBCA0"/>
    <w:rsid w:val="BFBFCF35"/>
    <w:rsid w:val="BFD92511"/>
    <w:rsid w:val="BFDD1284"/>
    <w:rsid w:val="BFE1041B"/>
    <w:rsid w:val="BFEBC399"/>
    <w:rsid w:val="BFEC44F7"/>
    <w:rsid w:val="BFEE446A"/>
    <w:rsid w:val="BFF36390"/>
    <w:rsid w:val="BFFD1DDD"/>
    <w:rsid w:val="BFFEABC7"/>
    <w:rsid w:val="BFFF391D"/>
    <w:rsid w:val="BFFF976E"/>
    <w:rsid w:val="BFFFC50C"/>
    <w:rsid w:val="C39CE9FC"/>
    <w:rsid w:val="C3CDBADC"/>
    <w:rsid w:val="C57F4E9B"/>
    <w:rsid w:val="C5F758AD"/>
    <w:rsid w:val="C6D934BA"/>
    <w:rsid w:val="C7BE2354"/>
    <w:rsid w:val="C7DB04ED"/>
    <w:rsid w:val="C7DB52D7"/>
    <w:rsid w:val="C7FFBCBF"/>
    <w:rsid w:val="C7FFE0C4"/>
    <w:rsid w:val="C8EF5EB9"/>
    <w:rsid w:val="CAE64E9B"/>
    <w:rsid w:val="CAFDAC20"/>
    <w:rsid w:val="CBDEF860"/>
    <w:rsid w:val="CBF11FB8"/>
    <w:rsid w:val="CCDFAF1D"/>
    <w:rsid w:val="CDBEDB54"/>
    <w:rsid w:val="CE37180C"/>
    <w:rsid w:val="CE792C33"/>
    <w:rsid w:val="CE7FD17E"/>
    <w:rsid w:val="CF3D967F"/>
    <w:rsid w:val="CF7184EB"/>
    <w:rsid w:val="CFAED4D4"/>
    <w:rsid w:val="CFBA52FE"/>
    <w:rsid w:val="CFBDE30D"/>
    <w:rsid w:val="CFBEC53F"/>
    <w:rsid w:val="CFC5CF3D"/>
    <w:rsid w:val="CFCFF57C"/>
    <w:rsid w:val="CFEB5982"/>
    <w:rsid w:val="CFF73132"/>
    <w:rsid w:val="CFFF02BD"/>
    <w:rsid w:val="CFFFBA5A"/>
    <w:rsid w:val="D0DFBAF3"/>
    <w:rsid w:val="D4DFF868"/>
    <w:rsid w:val="D4F53E01"/>
    <w:rsid w:val="D57BC469"/>
    <w:rsid w:val="D59F8412"/>
    <w:rsid w:val="D5DF67DB"/>
    <w:rsid w:val="D5F3F5B3"/>
    <w:rsid w:val="D5FBCDAB"/>
    <w:rsid w:val="D6EF7862"/>
    <w:rsid w:val="D6F509ED"/>
    <w:rsid w:val="D6FDF16A"/>
    <w:rsid w:val="D74DDB49"/>
    <w:rsid w:val="D76F43E9"/>
    <w:rsid w:val="D7BF3876"/>
    <w:rsid w:val="D7DCC387"/>
    <w:rsid w:val="D7EBBEB1"/>
    <w:rsid w:val="D7EDC6CD"/>
    <w:rsid w:val="D7F93960"/>
    <w:rsid w:val="D87FF706"/>
    <w:rsid w:val="D89FED99"/>
    <w:rsid w:val="D9F9B8DC"/>
    <w:rsid w:val="DA7F54BB"/>
    <w:rsid w:val="DABD58FF"/>
    <w:rsid w:val="DACF9143"/>
    <w:rsid w:val="DAFF846E"/>
    <w:rsid w:val="DB6EFDEF"/>
    <w:rsid w:val="DB8FC096"/>
    <w:rsid w:val="DBBFD60C"/>
    <w:rsid w:val="DBC32A52"/>
    <w:rsid w:val="DBF6492F"/>
    <w:rsid w:val="DBFFC7D5"/>
    <w:rsid w:val="DC7FF8E6"/>
    <w:rsid w:val="DCFFBD89"/>
    <w:rsid w:val="DD7F2572"/>
    <w:rsid w:val="DD7F2BDD"/>
    <w:rsid w:val="DDCA5C78"/>
    <w:rsid w:val="DDCF2805"/>
    <w:rsid w:val="DDEB4E59"/>
    <w:rsid w:val="DDFE4C24"/>
    <w:rsid w:val="DDFE70B1"/>
    <w:rsid w:val="DDFF0AF9"/>
    <w:rsid w:val="DE3D9120"/>
    <w:rsid w:val="DE5FF131"/>
    <w:rsid w:val="DE7F91C3"/>
    <w:rsid w:val="DEBB326E"/>
    <w:rsid w:val="DEBE88AB"/>
    <w:rsid w:val="DEE956AE"/>
    <w:rsid w:val="DEEFFF15"/>
    <w:rsid w:val="DEFE73AE"/>
    <w:rsid w:val="DF1748C2"/>
    <w:rsid w:val="DF582A82"/>
    <w:rsid w:val="DF5B52FD"/>
    <w:rsid w:val="DF5FA826"/>
    <w:rsid w:val="DF753CD5"/>
    <w:rsid w:val="DF772CB7"/>
    <w:rsid w:val="DF77580C"/>
    <w:rsid w:val="DF77EBC5"/>
    <w:rsid w:val="DF87CD23"/>
    <w:rsid w:val="DFA7057F"/>
    <w:rsid w:val="DFB3A90A"/>
    <w:rsid w:val="DFB732A3"/>
    <w:rsid w:val="DFBAC1D2"/>
    <w:rsid w:val="DFBC920A"/>
    <w:rsid w:val="DFBFAE05"/>
    <w:rsid w:val="DFBFB312"/>
    <w:rsid w:val="DFBFE8EF"/>
    <w:rsid w:val="DFCFD70A"/>
    <w:rsid w:val="DFCFEF59"/>
    <w:rsid w:val="DFCFFBE6"/>
    <w:rsid w:val="DFDB34C5"/>
    <w:rsid w:val="DFDBB0E2"/>
    <w:rsid w:val="DFDF8367"/>
    <w:rsid w:val="DFE5DFE7"/>
    <w:rsid w:val="DFE7172A"/>
    <w:rsid w:val="DFED0D57"/>
    <w:rsid w:val="DFF2633B"/>
    <w:rsid w:val="DFF3E470"/>
    <w:rsid w:val="DFF5EC26"/>
    <w:rsid w:val="DFF6C2D7"/>
    <w:rsid w:val="DFFB3FEF"/>
    <w:rsid w:val="DFFB7275"/>
    <w:rsid w:val="DFFE8FFB"/>
    <w:rsid w:val="DFFF148B"/>
    <w:rsid w:val="DFFF52A8"/>
    <w:rsid w:val="DFFF9489"/>
    <w:rsid w:val="DFFFB756"/>
    <w:rsid w:val="DFFFEC9F"/>
    <w:rsid w:val="E0FB7769"/>
    <w:rsid w:val="E1E77CA2"/>
    <w:rsid w:val="E3EF91F6"/>
    <w:rsid w:val="E3F6B6BB"/>
    <w:rsid w:val="E41BF11A"/>
    <w:rsid w:val="E57B19C5"/>
    <w:rsid w:val="E599A35F"/>
    <w:rsid w:val="E5BC89FF"/>
    <w:rsid w:val="E5FADCC8"/>
    <w:rsid w:val="E67C54EC"/>
    <w:rsid w:val="E67D2A3F"/>
    <w:rsid w:val="E6BF3435"/>
    <w:rsid w:val="E6FFDCCB"/>
    <w:rsid w:val="E75E5281"/>
    <w:rsid w:val="E7755368"/>
    <w:rsid w:val="E77B6EB0"/>
    <w:rsid w:val="E7EE4C9D"/>
    <w:rsid w:val="E7EF2A11"/>
    <w:rsid w:val="E7FA5F78"/>
    <w:rsid w:val="E7FD2733"/>
    <w:rsid w:val="E7FE4248"/>
    <w:rsid w:val="E86706CA"/>
    <w:rsid w:val="E97AE9B6"/>
    <w:rsid w:val="E97EAA78"/>
    <w:rsid w:val="E9BFA8B0"/>
    <w:rsid w:val="EAFE4DFC"/>
    <w:rsid w:val="EB2B2B9B"/>
    <w:rsid w:val="EB7D0A46"/>
    <w:rsid w:val="EBBF7B41"/>
    <w:rsid w:val="EBC39B8E"/>
    <w:rsid w:val="EBE3BFFA"/>
    <w:rsid w:val="EBF9508F"/>
    <w:rsid w:val="EBFD6F81"/>
    <w:rsid w:val="EBFE165F"/>
    <w:rsid w:val="EBFF9B31"/>
    <w:rsid w:val="EBFFAA9C"/>
    <w:rsid w:val="EC5FA057"/>
    <w:rsid w:val="ECCF1D2D"/>
    <w:rsid w:val="ECF2AC25"/>
    <w:rsid w:val="ECFB7747"/>
    <w:rsid w:val="ECFBEB11"/>
    <w:rsid w:val="ED25C97E"/>
    <w:rsid w:val="ED6F6F7E"/>
    <w:rsid w:val="ED76C559"/>
    <w:rsid w:val="ED7EE279"/>
    <w:rsid w:val="ED7F028E"/>
    <w:rsid w:val="ED7F919B"/>
    <w:rsid w:val="ED9D1691"/>
    <w:rsid w:val="ED9FF6F7"/>
    <w:rsid w:val="EDF1F065"/>
    <w:rsid w:val="EDF5C4FD"/>
    <w:rsid w:val="EDF975D3"/>
    <w:rsid w:val="EDFEC7E6"/>
    <w:rsid w:val="EE7FD0D5"/>
    <w:rsid w:val="EE9A89C7"/>
    <w:rsid w:val="EEBF23D2"/>
    <w:rsid w:val="EECE8D7C"/>
    <w:rsid w:val="EEDE5E38"/>
    <w:rsid w:val="EEE593F9"/>
    <w:rsid w:val="EEF527E7"/>
    <w:rsid w:val="EEF649AC"/>
    <w:rsid w:val="EEFF16C0"/>
    <w:rsid w:val="EF0984E7"/>
    <w:rsid w:val="EF2CA545"/>
    <w:rsid w:val="EF372AD8"/>
    <w:rsid w:val="EF3D2505"/>
    <w:rsid w:val="EF3F3085"/>
    <w:rsid w:val="EF5E79D4"/>
    <w:rsid w:val="EF5F594F"/>
    <w:rsid w:val="EF7B70BD"/>
    <w:rsid w:val="EF7DF9C8"/>
    <w:rsid w:val="EF7EBC05"/>
    <w:rsid w:val="EF7F95BA"/>
    <w:rsid w:val="EF7FB19D"/>
    <w:rsid w:val="EF7FE42A"/>
    <w:rsid w:val="EF99A6F8"/>
    <w:rsid w:val="EFA51E57"/>
    <w:rsid w:val="EFB6BA31"/>
    <w:rsid w:val="EFDDB411"/>
    <w:rsid w:val="EFDFE1DD"/>
    <w:rsid w:val="EFE34C09"/>
    <w:rsid w:val="EFEF1A8C"/>
    <w:rsid w:val="EFF5868E"/>
    <w:rsid w:val="EFF71EDA"/>
    <w:rsid w:val="EFFB33CD"/>
    <w:rsid w:val="EFFB810E"/>
    <w:rsid w:val="EFFF26D9"/>
    <w:rsid w:val="EFFF27CB"/>
    <w:rsid w:val="EFFF3E34"/>
    <w:rsid w:val="EFFF55FF"/>
    <w:rsid w:val="EFFFA69A"/>
    <w:rsid w:val="EFFFAAD2"/>
    <w:rsid w:val="F067C8A9"/>
    <w:rsid w:val="F0F1670E"/>
    <w:rsid w:val="F13DA69A"/>
    <w:rsid w:val="F16FA55A"/>
    <w:rsid w:val="F1CD28FC"/>
    <w:rsid w:val="F1F33713"/>
    <w:rsid w:val="F1FFFFFB"/>
    <w:rsid w:val="F26D6FE7"/>
    <w:rsid w:val="F2DE60CF"/>
    <w:rsid w:val="F2F7C9D1"/>
    <w:rsid w:val="F37DF1A1"/>
    <w:rsid w:val="F3AF376F"/>
    <w:rsid w:val="F3B14037"/>
    <w:rsid w:val="F3D52C72"/>
    <w:rsid w:val="F3DF111D"/>
    <w:rsid w:val="F3E66416"/>
    <w:rsid w:val="F3FFB5C6"/>
    <w:rsid w:val="F49BCE53"/>
    <w:rsid w:val="F4F69828"/>
    <w:rsid w:val="F4FF5FE9"/>
    <w:rsid w:val="F54780FF"/>
    <w:rsid w:val="F5DA3113"/>
    <w:rsid w:val="F5DD8071"/>
    <w:rsid w:val="F5DF2CB7"/>
    <w:rsid w:val="F5E3FFE4"/>
    <w:rsid w:val="F5EDD4DF"/>
    <w:rsid w:val="F5EF7F1A"/>
    <w:rsid w:val="F5F316C4"/>
    <w:rsid w:val="F5F5F699"/>
    <w:rsid w:val="F5FE6715"/>
    <w:rsid w:val="F5FF90A2"/>
    <w:rsid w:val="F655509B"/>
    <w:rsid w:val="F68BBF6A"/>
    <w:rsid w:val="F694BBF5"/>
    <w:rsid w:val="F6BE95A9"/>
    <w:rsid w:val="F6F58F1D"/>
    <w:rsid w:val="F6FA8382"/>
    <w:rsid w:val="F6FD84C4"/>
    <w:rsid w:val="F6FE367E"/>
    <w:rsid w:val="F6FF886C"/>
    <w:rsid w:val="F6FF8F5B"/>
    <w:rsid w:val="F6FFEB53"/>
    <w:rsid w:val="F7372472"/>
    <w:rsid w:val="F76D507E"/>
    <w:rsid w:val="F77CDF37"/>
    <w:rsid w:val="F7BF8E3B"/>
    <w:rsid w:val="F7C5136E"/>
    <w:rsid w:val="F7D78A1E"/>
    <w:rsid w:val="F7DFF8DE"/>
    <w:rsid w:val="F7FADFCB"/>
    <w:rsid w:val="F7FB9AA5"/>
    <w:rsid w:val="F7FD8268"/>
    <w:rsid w:val="F7FDA43A"/>
    <w:rsid w:val="F7FEF7B9"/>
    <w:rsid w:val="F7FF171F"/>
    <w:rsid w:val="F7FFC002"/>
    <w:rsid w:val="F871DEE2"/>
    <w:rsid w:val="F8C746EE"/>
    <w:rsid w:val="F8EBF2BE"/>
    <w:rsid w:val="F8FF1D1D"/>
    <w:rsid w:val="F9144212"/>
    <w:rsid w:val="F923B1D8"/>
    <w:rsid w:val="F9376F95"/>
    <w:rsid w:val="F937D3AF"/>
    <w:rsid w:val="F93DBB15"/>
    <w:rsid w:val="F97463CF"/>
    <w:rsid w:val="F97690AB"/>
    <w:rsid w:val="F97CA7AB"/>
    <w:rsid w:val="F97E2D3F"/>
    <w:rsid w:val="F97E6500"/>
    <w:rsid w:val="F97FA056"/>
    <w:rsid w:val="F97FA141"/>
    <w:rsid w:val="F9B66F84"/>
    <w:rsid w:val="F9C9A412"/>
    <w:rsid w:val="F9D2DF28"/>
    <w:rsid w:val="F9DB7665"/>
    <w:rsid w:val="F9EE8CE6"/>
    <w:rsid w:val="F9F96E43"/>
    <w:rsid w:val="F9FDEF6D"/>
    <w:rsid w:val="F9FFAE53"/>
    <w:rsid w:val="FA79396E"/>
    <w:rsid w:val="FA7B0798"/>
    <w:rsid w:val="FAAFA929"/>
    <w:rsid w:val="FABE1EEF"/>
    <w:rsid w:val="FABFD2C9"/>
    <w:rsid w:val="FAD8ECB7"/>
    <w:rsid w:val="FAEFFB1A"/>
    <w:rsid w:val="FAFD6CD3"/>
    <w:rsid w:val="FAFEA3E7"/>
    <w:rsid w:val="FB2E576C"/>
    <w:rsid w:val="FB3D4BBB"/>
    <w:rsid w:val="FB670B03"/>
    <w:rsid w:val="FB777217"/>
    <w:rsid w:val="FB7FE1F9"/>
    <w:rsid w:val="FB9ED012"/>
    <w:rsid w:val="FB9F7CE9"/>
    <w:rsid w:val="FBAD1FD9"/>
    <w:rsid w:val="FBAFC47F"/>
    <w:rsid w:val="FBBB7189"/>
    <w:rsid w:val="FBBBC34B"/>
    <w:rsid w:val="FBBF85DA"/>
    <w:rsid w:val="FBBFEEF8"/>
    <w:rsid w:val="FBC39E06"/>
    <w:rsid w:val="FBCB4B2A"/>
    <w:rsid w:val="FBCF059A"/>
    <w:rsid w:val="FBD852F3"/>
    <w:rsid w:val="FBDFB251"/>
    <w:rsid w:val="FBE6FC01"/>
    <w:rsid w:val="FBEC4EF8"/>
    <w:rsid w:val="FBEE1CF6"/>
    <w:rsid w:val="FBF517A5"/>
    <w:rsid w:val="FBF60C45"/>
    <w:rsid w:val="FBF68FF4"/>
    <w:rsid w:val="FBFBAE9D"/>
    <w:rsid w:val="FBFD2F01"/>
    <w:rsid w:val="FBFD7B77"/>
    <w:rsid w:val="FBFEE7FA"/>
    <w:rsid w:val="FBFF4EAB"/>
    <w:rsid w:val="FBFF7847"/>
    <w:rsid w:val="FC0B2AFB"/>
    <w:rsid w:val="FC7E03BB"/>
    <w:rsid w:val="FCBBD5CE"/>
    <w:rsid w:val="FCDFF419"/>
    <w:rsid w:val="FCEFF1AE"/>
    <w:rsid w:val="FCF58ED7"/>
    <w:rsid w:val="FCF7B2F1"/>
    <w:rsid w:val="FCFB5939"/>
    <w:rsid w:val="FD2EACCD"/>
    <w:rsid w:val="FD3BF865"/>
    <w:rsid w:val="FD6F694F"/>
    <w:rsid w:val="FD7644E7"/>
    <w:rsid w:val="FD7E3C25"/>
    <w:rsid w:val="FD9C0092"/>
    <w:rsid w:val="FDA96B08"/>
    <w:rsid w:val="FDAD2FF5"/>
    <w:rsid w:val="FDB60BA5"/>
    <w:rsid w:val="FDBFF0AB"/>
    <w:rsid w:val="FDCBAAD5"/>
    <w:rsid w:val="FDE20BEB"/>
    <w:rsid w:val="FDEF30A0"/>
    <w:rsid w:val="FDEF667A"/>
    <w:rsid w:val="FDF770C2"/>
    <w:rsid w:val="FDFAA340"/>
    <w:rsid w:val="FDFBFABA"/>
    <w:rsid w:val="FDFE8075"/>
    <w:rsid w:val="FDFEA350"/>
    <w:rsid w:val="FDFEB115"/>
    <w:rsid w:val="FDFF51D6"/>
    <w:rsid w:val="FDFFBA67"/>
    <w:rsid w:val="FE0E1E69"/>
    <w:rsid w:val="FE2604A5"/>
    <w:rsid w:val="FE5D2CCD"/>
    <w:rsid w:val="FE781320"/>
    <w:rsid w:val="FE7D50A1"/>
    <w:rsid w:val="FE7F1D3A"/>
    <w:rsid w:val="FE7F9652"/>
    <w:rsid w:val="FE7FF0D6"/>
    <w:rsid w:val="FE9B9DFE"/>
    <w:rsid w:val="FE9EA780"/>
    <w:rsid w:val="FEB53180"/>
    <w:rsid w:val="FEB9B5B2"/>
    <w:rsid w:val="FEC34E7B"/>
    <w:rsid w:val="FEC590E9"/>
    <w:rsid w:val="FED72E3A"/>
    <w:rsid w:val="FEE7F1CD"/>
    <w:rsid w:val="FEEBCFBD"/>
    <w:rsid w:val="FEF522A9"/>
    <w:rsid w:val="FEF75303"/>
    <w:rsid w:val="FEFE8D5B"/>
    <w:rsid w:val="FEFF2F5A"/>
    <w:rsid w:val="FEFF2FAF"/>
    <w:rsid w:val="FEFF3628"/>
    <w:rsid w:val="FEFF9C49"/>
    <w:rsid w:val="FF1F54BA"/>
    <w:rsid w:val="FF2D57DA"/>
    <w:rsid w:val="FF4713D4"/>
    <w:rsid w:val="FF5E04F7"/>
    <w:rsid w:val="FF631B69"/>
    <w:rsid w:val="FF67E09E"/>
    <w:rsid w:val="FF6BD6EE"/>
    <w:rsid w:val="FF6E59E3"/>
    <w:rsid w:val="FF751606"/>
    <w:rsid w:val="FF798516"/>
    <w:rsid w:val="FF7A6B3B"/>
    <w:rsid w:val="FF7B5330"/>
    <w:rsid w:val="FF7B659B"/>
    <w:rsid w:val="FF7CAE2C"/>
    <w:rsid w:val="FF7D070C"/>
    <w:rsid w:val="FF7D6F62"/>
    <w:rsid w:val="FF7DF787"/>
    <w:rsid w:val="FF7F1BF5"/>
    <w:rsid w:val="FF7F75C8"/>
    <w:rsid w:val="FF8220B6"/>
    <w:rsid w:val="FF8F2FF5"/>
    <w:rsid w:val="FF97E4A0"/>
    <w:rsid w:val="FF9BB93B"/>
    <w:rsid w:val="FFA09032"/>
    <w:rsid w:val="FFADA3EB"/>
    <w:rsid w:val="FFAF9906"/>
    <w:rsid w:val="FFB1E902"/>
    <w:rsid w:val="FFB246A5"/>
    <w:rsid w:val="FFB62D29"/>
    <w:rsid w:val="FFB79A30"/>
    <w:rsid w:val="FFB7EF00"/>
    <w:rsid w:val="FFB8D835"/>
    <w:rsid w:val="FFBBB01F"/>
    <w:rsid w:val="FFBF93AE"/>
    <w:rsid w:val="FFC72E7F"/>
    <w:rsid w:val="FFCC8A8A"/>
    <w:rsid w:val="FFCF606D"/>
    <w:rsid w:val="FFD2697E"/>
    <w:rsid w:val="FFD3CBC4"/>
    <w:rsid w:val="FFD4408D"/>
    <w:rsid w:val="FFD7DC24"/>
    <w:rsid w:val="FFDBB85D"/>
    <w:rsid w:val="FFDBEE64"/>
    <w:rsid w:val="FFDD7B67"/>
    <w:rsid w:val="FFDF320C"/>
    <w:rsid w:val="FFEAD829"/>
    <w:rsid w:val="FFEAE629"/>
    <w:rsid w:val="FFEB2FB8"/>
    <w:rsid w:val="FFEEF44D"/>
    <w:rsid w:val="FFEF31B2"/>
    <w:rsid w:val="FFF3FFBC"/>
    <w:rsid w:val="FFF4227F"/>
    <w:rsid w:val="FFF4CA8B"/>
    <w:rsid w:val="FFF52A82"/>
    <w:rsid w:val="FFF57287"/>
    <w:rsid w:val="FFF64D14"/>
    <w:rsid w:val="FFF689B0"/>
    <w:rsid w:val="FFF6D1A8"/>
    <w:rsid w:val="FFF732D3"/>
    <w:rsid w:val="FFF780B1"/>
    <w:rsid w:val="FFF7ED3C"/>
    <w:rsid w:val="FFF9F559"/>
    <w:rsid w:val="FFFA0597"/>
    <w:rsid w:val="FFFADC57"/>
    <w:rsid w:val="FFFB8735"/>
    <w:rsid w:val="FFFCEAB8"/>
    <w:rsid w:val="FFFD70EC"/>
    <w:rsid w:val="FFFDD9D2"/>
    <w:rsid w:val="FFFDFDF4"/>
    <w:rsid w:val="FFFE4962"/>
    <w:rsid w:val="FFFE4CC3"/>
    <w:rsid w:val="FFFF088E"/>
    <w:rsid w:val="FFFF1D9F"/>
    <w:rsid w:val="FFFF2EE9"/>
    <w:rsid w:val="FFFF4169"/>
    <w:rsid w:val="FFFF45FD"/>
    <w:rsid w:val="FFFF5EA2"/>
    <w:rsid w:val="FFFF79D5"/>
    <w:rsid w:val="FFFFB757"/>
    <w:rsid w:val="FFFFEB25"/>
    <w:rsid w:val="FFFFF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paragraph" w:styleId="3">
    <w:name w:val="heading 3"/>
    <w:basedOn w:val="1"/>
    <w:next w:val="1"/>
    <w:qFormat/>
    <w:uiPriority w:val="0"/>
    <w:pPr>
      <w:keepNext/>
      <w:keepLines/>
      <w:spacing w:before="260" w:after="260" w:line="413" w:lineRule="auto"/>
      <w:outlineLvl w:val="2"/>
    </w:pPr>
    <w:rPr>
      <w:b/>
      <w:sz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paragraph" w:styleId="5">
    <w:name w:val="heading 5"/>
    <w:basedOn w:val="1"/>
    <w:next w:val="1"/>
    <w:qFormat/>
    <w:uiPriority w:val="0"/>
    <w:pPr>
      <w:keepNext/>
      <w:keepLines/>
      <w:spacing w:before="280" w:after="290" w:line="372" w:lineRule="auto"/>
      <w:outlineLvl w:val="4"/>
    </w:pPr>
    <w:rPr>
      <w:b/>
      <w:sz w:val="28"/>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6">
    <w:name w:val="annotation text"/>
    <w:basedOn w:val="1"/>
    <w:uiPriority w:val="0"/>
    <w:pPr>
      <w:jc w:val="left"/>
    </w:pPr>
  </w:style>
  <w:style w:type="paragraph" w:styleId="7">
    <w:name w:val="toc 3"/>
    <w:basedOn w:val="1"/>
    <w:next w:val="1"/>
    <w:qFormat/>
    <w:uiPriority w:val="0"/>
    <w:pPr>
      <w:ind w:left="840" w:leftChars="400"/>
    </w:p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Autospacing="1" w:afterAutospacing="1"/>
      <w:jc w:val="left"/>
    </w:pPr>
    <w:rPr>
      <w:kern w:val="0"/>
      <w:sz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page number"/>
    <w:basedOn w:val="15"/>
    <w:uiPriority w:val="0"/>
  </w:style>
  <w:style w:type="paragraph" w:customStyle="1" w:styleId="18">
    <w:name w:val="WPSOffice手动目录 1"/>
    <w:qFormat/>
    <w:uiPriority w:val="0"/>
    <w:rPr>
      <w:rFonts w:ascii="Times New Roman" w:hAnsi="Times New Roman" w:eastAsia="宋体" w:cs="Times New Roman"/>
      <w:lang w:val="en-US" w:eastAsia="en-US" w:bidi="ar-SA"/>
    </w:rPr>
  </w:style>
  <w:style w:type="paragraph" w:customStyle="1" w:styleId="19">
    <w:name w:val="WPSOffice手动目录 2"/>
    <w:qFormat/>
    <w:uiPriority w:val="0"/>
    <w:pPr>
      <w:ind w:left="200" w:leftChars="200"/>
    </w:pPr>
    <w:rPr>
      <w:rFonts w:ascii="Times New Roman" w:hAnsi="Times New Roman" w:eastAsia="宋体" w:cs="Times New Roman"/>
      <w:lang w:val="en-US" w:eastAsia="en-US" w:bidi="ar-SA"/>
    </w:rPr>
  </w:style>
  <w:style w:type="paragraph" w:customStyle="1" w:styleId="20">
    <w:name w:val="Els-body-text"/>
    <w:qFormat/>
    <w:uiPriority w:val="0"/>
    <w:pPr>
      <w:spacing w:line="240" w:lineRule="exact"/>
      <w:ind w:firstLine="240"/>
      <w:jc w:val="both"/>
    </w:pPr>
    <w:rPr>
      <w:rFonts w:ascii="Times New Roman" w:hAnsi="Times New Roman" w:eastAsia="宋体" w:cs="Times New Roman"/>
      <w:lang w:val="en-US" w:eastAsia="de-DE"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svg"/><Relationship Id="rId12" Type="http://schemas.openxmlformats.org/officeDocument/2006/relationships/image" Target="media/image3.png"/><Relationship Id="rId11" Type="http://schemas.openxmlformats.org/officeDocument/2006/relationships/image" Target="media/image2.sv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1ED0CC94-597B-334F-838F-CB289C335EBC}">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2270</Words>
  <Characters>12944</Characters>
  <Lines>107</Lines>
  <Paragraphs>30</Paragraphs>
  <TotalTime>25</TotalTime>
  <ScaleCrop>false</ScaleCrop>
  <LinksUpToDate>false</LinksUpToDate>
  <CharactersWithSpaces>15184</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2025-06-16T08:23:00Z</dcterms:created>
  <dc:creator>林鑫</dc:creator>
  <cp:lastModifiedBy>一</cp:lastModifiedBy>
  <dcterms:modified xsi:type="dcterms:W3CDTF">2026-05-26T17:50:45Z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7414AE7D47B4185276FFA269F161318D_43</vt:lpwstr>
  </property>
  <property fmtid="{D5CDD505-2E9C-101B-9397-08002B2CF9AE}" pid="4" name="KSOTemplateDocerSaveRecord">
    <vt:lpwstr>eyJoZGlkIjoiODQwY2Y4ODQ0YmVmZDAxYThlNjBkYWE3ZjAxY2MwY2YiLCJ1c2VySWQiOiI5NDQxOTI4NTIifQ==</vt:lpwstr>
  </property>
</Properties>
</file>