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08267">
      <w:pPr>
        <w:jc w:val="both"/>
      </w:pPr>
      <w:r>
        <w:rPr>
          <w:b/>
          <w:sz w:val="32"/>
        </w:rPr>
        <w:t>Supplementary Material</w:t>
      </w:r>
    </w:p>
    <w:p w14:paraId="586862EE">
      <w:pPr>
        <w:pStyle w:val="3"/>
        <w:widowControl/>
        <w:spacing w:beforeAutospacing="0" w:afterAutospacing="0" w:line="360" w:lineRule="auto"/>
        <w:jc w:val="center"/>
        <w:rPr>
          <w:rFonts w:hint="default" w:ascii="Times New Roman" w:hAnsi="Times New Roman" w:cs="Times New Roman"/>
          <w:color w:val="auto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en-GB"/>
        </w:rPr>
        <w:t>BadmintonVision: A Deep Learning Framework for Automated Tactical Analysis in Elite Badminton</w:t>
      </w:r>
    </w:p>
    <w:p w14:paraId="37A82C76">
      <w:pPr>
        <w:rPr>
          <w:rFonts w:hint="default" w:ascii="Times New Roman" w:hAnsi="Times New Roman" w:cs="Times New Roman"/>
          <w:color w:val="auto"/>
          <w:lang w:val="en-GB"/>
        </w:rPr>
      </w:pPr>
    </w:p>
    <w:p w14:paraId="49BE8934">
      <w:pPr>
        <w:widowControl/>
        <w:jc w:val="center"/>
        <w:rPr>
          <w:rFonts w:hint="default" w:ascii="Times New Roman" w:hAnsi="Times New Roman" w:cs="Times New Roman"/>
          <w:color w:val="auto"/>
          <w:sz w:val="24"/>
          <w:lang w:val="en-GB"/>
        </w:rPr>
      </w:pPr>
      <w:r>
        <w:rPr>
          <w:rFonts w:hint="default" w:ascii="Times New Roman" w:hAnsi="Times New Roman" w:cs="Times New Roman"/>
          <w:color w:val="auto"/>
          <w:sz w:val="24"/>
          <w:lang w:val="en-GB"/>
        </w:rPr>
        <w:t>Yongjie Liang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>1</w:t>
      </w:r>
      <w:r>
        <w:rPr>
          <w:rFonts w:hint="default" w:ascii="Times New Roman" w:hAnsi="Times New Roman" w:cs="Times New Roman"/>
          <w:color w:val="auto"/>
          <w:sz w:val="24"/>
          <w:lang w:val="en-GB"/>
        </w:rPr>
        <w:t>, Yajun Zhou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>2,✉</w:t>
      </w:r>
      <w:r>
        <w:rPr>
          <w:rFonts w:hint="default" w:ascii="Times New Roman" w:hAnsi="Times New Roman" w:cs="Times New Roman"/>
          <w:color w:val="auto"/>
          <w:sz w:val="24"/>
          <w:lang w:val="en-GB"/>
        </w:rPr>
        <w:t>, Gang Zhang</w:t>
      </w: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>3</w:t>
      </w:r>
    </w:p>
    <w:p w14:paraId="2DA25DAB">
      <w:pPr>
        <w:widowControl/>
        <w:spacing w:line="360" w:lineRule="auto"/>
        <w:rPr>
          <w:rFonts w:hint="default" w:ascii="Times New Roman" w:hAnsi="Times New Roman" w:cs="Times New Roman"/>
          <w:color w:val="auto"/>
          <w:sz w:val="24"/>
          <w:lang w:val="en-GB"/>
        </w:rPr>
      </w:pP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>1</w:t>
      </w:r>
      <w:r>
        <w:rPr>
          <w:rFonts w:hint="default" w:ascii="Times New Roman" w:hAnsi="Times New Roman" w:cs="Times New Roman"/>
          <w:color w:val="auto"/>
          <w:sz w:val="24"/>
          <w:lang w:val="en-GB"/>
        </w:rPr>
        <w:t xml:space="preserve"> Yongjie Liang, College of Physical Education, Guizhou University of Finance and Economics, Guiyang, 550025, China. </w:t>
      </w:r>
    </w:p>
    <w:p w14:paraId="48F0316D">
      <w:pPr>
        <w:widowControl/>
        <w:spacing w:line="360" w:lineRule="auto"/>
        <w:rPr>
          <w:rFonts w:hint="default" w:ascii="Times New Roman" w:hAnsi="Times New Roman" w:cs="Times New Roman"/>
          <w:color w:val="auto"/>
          <w:sz w:val="24"/>
          <w:lang w:val="en-GB"/>
        </w:rPr>
      </w:pP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>2</w:t>
      </w:r>
      <w:r>
        <w:rPr>
          <w:rFonts w:hint="default" w:ascii="Times New Roman" w:hAnsi="Times New Roman" w:cs="Times New Roman"/>
          <w:color w:val="auto"/>
          <w:sz w:val="24"/>
          <w:lang w:val="en-GB"/>
        </w:rPr>
        <w:t xml:space="preserve"> Yajun Zhou, School of Sports, Guizhou Institute of Technology, Guiyang, 550003, China. ✉</w:t>
      </w:r>
    </w:p>
    <w:p w14:paraId="41A5074D">
      <w:pPr>
        <w:widowControl/>
        <w:wordWrap w:val="0"/>
        <w:spacing w:line="360" w:lineRule="auto"/>
        <w:rPr>
          <w:rFonts w:hint="default" w:ascii="Times New Roman" w:hAnsi="Times New Roman" w:cs="Times New Roman"/>
          <w:color w:val="auto"/>
          <w:sz w:val="24"/>
          <w:lang w:val="en-GB"/>
        </w:rPr>
      </w:pPr>
      <w:r>
        <w:rPr>
          <w:rFonts w:hint="default" w:ascii="Times New Roman" w:hAnsi="Times New Roman" w:cs="Times New Roman"/>
          <w:color w:val="auto"/>
          <w:sz w:val="24"/>
          <w:vertAlign w:val="superscript"/>
          <w:lang w:val="en-GB"/>
        </w:rPr>
        <w:t xml:space="preserve">3 </w:t>
      </w:r>
      <w:r>
        <w:rPr>
          <w:rFonts w:hint="default" w:ascii="Times New Roman" w:hAnsi="Times New Roman" w:cs="Times New Roman"/>
          <w:color w:val="auto"/>
          <w:sz w:val="24"/>
          <w:lang w:val="en-GB"/>
        </w:rPr>
        <w:t xml:space="preserve">Gang Zhang, School of Economics and Management, Xinjiang University, Ürümqi, 830000, China. </w:t>
      </w:r>
    </w:p>
    <w:p w14:paraId="7315F39B">
      <w:pPr>
        <w:widowControl/>
        <w:spacing w:line="360" w:lineRule="auto"/>
        <w:rPr>
          <w:rFonts w:hint="default" w:ascii="Times New Roman" w:hAnsi="Times New Roman" w:cs="Times New Roman"/>
          <w:color w:val="auto"/>
          <w:sz w:val="24"/>
          <w:lang w:val="en-GB"/>
        </w:rPr>
      </w:pPr>
      <w:r>
        <w:rPr>
          <w:rFonts w:hint="default" w:ascii="Times New Roman" w:hAnsi="Times New Roman" w:cs="Times New Roman"/>
          <w:color w:val="auto"/>
          <w:sz w:val="24"/>
          <w:lang w:val="en-GB"/>
        </w:rPr>
        <w:t>✉ Corresponding Author, Email: zhouyajun115@163.com (Yajun Zhou).</w:t>
      </w:r>
    </w:p>
    <w:p w14:paraId="691AF37C">
      <w:pPr>
        <w:rPr>
          <w:b/>
          <w:i w:val="0"/>
          <w:color w:val="FF0000"/>
        </w:rPr>
      </w:pPr>
    </w:p>
    <w:p w14:paraId="47281D71">
      <w:pPr>
        <w:rPr>
          <w:b/>
          <w:i w:val="0"/>
          <w:color w:val="FF0000"/>
        </w:rPr>
      </w:pPr>
    </w:p>
    <w:p w14:paraId="7668A9FB">
      <w:pPr>
        <w:rPr>
          <w:b/>
          <w:i w:val="0"/>
          <w:color w:val="FF0000"/>
        </w:rPr>
      </w:pPr>
    </w:p>
    <w:p w14:paraId="0F649857">
      <w:pPr>
        <w:rPr>
          <w:b/>
          <w:i w:val="0"/>
          <w:color w:val="FF0000"/>
        </w:rPr>
      </w:pPr>
    </w:p>
    <w:p w14:paraId="2EEB641C">
      <w:pPr>
        <w:rPr>
          <w:b/>
          <w:i w:val="0"/>
          <w:color w:val="FF0000"/>
        </w:rPr>
      </w:pPr>
    </w:p>
    <w:p w14:paraId="16D1EA10">
      <w:pPr>
        <w:rPr>
          <w:b/>
          <w:i w:val="0"/>
          <w:color w:val="FF0000"/>
        </w:rPr>
      </w:pPr>
    </w:p>
    <w:p w14:paraId="13C6BFCB">
      <w:pPr>
        <w:rPr>
          <w:b/>
          <w:i w:val="0"/>
          <w:color w:val="FF0000"/>
        </w:rPr>
      </w:pPr>
    </w:p>
    <w:p w14:paraId="76A575CF">
      <w:pPr>
        <w:rPr>
          <w:b/>
          <w:i w:val="0"/>
          <w:color w:val="FF0000"/>
        </w:rPr>
      </w:pPr>
    </w:p>
    <w:p w14:paraId="499C90B9">
      <w:pPr>
        <w:rPr>
          <w:b/>
          <w:i w:val="0"/>
          <w:color w:val="FF0000"/>
        </w:rPr>
      </w:pPr>
    </w:p>
    <w:p w14:paraId="3CEF117C">
      <w:pPr>
        <w:rPr>
          <w:b/>
          <w:i w:val="0"/>
          <w:color w:val="FF0000"/>
        </w:rPr>
      </w:pPr>
    </w:p>
    <w:p w14:paraId="12BD563E">
      <w:pPr>
        <w:rPr>
          <w:b/>
          <w:i w:val="0"/>
          <w:color w:val="FF0000"/>
        </w:rPr>
      </w:pPr>
    </w:p>
    <w:p w14:paraId="55D0DBC8">
      <w:pPr>
        <w:rPr>
          <w:b/>
          <w:i w:val="0"/>
          <w:color w:val="FF0000"/>
        </w:rPr>
      </w:pPr>
    </w:p>
    <w:p w14:paraId="157DE37B">
      <w:pPr>
        <w:rPr>
          <w:b/>
          <w:i w:val="0"/>
          <w:color w:val="FF0000"/>
        </w:rPr>
      </w:pPr>
    </w:p>
    <w:p w14:paraId="29DB3852">
      <w:pPr>
        <w:rPr>
          <w:b/>
          <w:i w:val="0"/>
          <w:color w:val="FF0000"/>
        </w:rPr>
      </w:pPr>
    </w:p>
    <w:p w14:paraId="406E41A7">
      <w:pPr>
        <w:rPr>
          <w:b/>
          <w:i w:val="0"/>
          <w:color w:val="FF0000"/>
        </w:rPr>
      </w:pPr>
    </w:p>
    <w:p w14:paraId="2BDE33DB">
      <w:pPr>
        <w:rPr>
          <w:b/>
          <w:i w:val="0"/>
          <w:color w:val="FF0000"/>
        </w:rPr>
      </w:pPr>
    </w:p>
    <w:p w14:paraId="68D61460">
      <w:pPr>
        <w:rPr>
          <w:b/>
          <w:i w:val="0"/>
          <w:color w:val="FF0000"/>
        </w:rPr>
      </w:pPr>
    </w:p>
    <w:p w14:paraId="463624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b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Supplementary Table S1. Temporal modelling performance comparison.</w:t>
      </w:r>
    </w:p>
    <w:bookmarkEnd w:id="0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3"/>
        <w:gridCol w:w="1260"/>
        <w:gridCol w:w="1260"/>
        <w:gridCol w:w="1260"/>
        <w:gridCol w:w="1260"/>
        <w:gridCol w:w="1260"/>
        <w:gridCol w:w="1260"/>
        <w:gridCol w:w="1260"/>
      </w:tblGrid>
      <w:tr w14:paraId="1FB4C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39EA98E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Method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2A1379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mAP@0.5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96E896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Relative gain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D46912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Player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F531F6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Forehand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7AB1BE4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Backhand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DC8BD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Serve</w:t>
            </w:r>
          </w:p>
        </w:tc>
        <w:tc>
          <w:tcPr>
            <w:tcW w:w="12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60F8738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Jump Smash</w:t>
            </w:r>
          </w:p>
        </w:tc>
      </w:tr>
      <w:tr w14:paraId="238F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92142A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YOLOv12m (single frame)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6354F59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0.885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4267FA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99F6F27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0.971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9892EE4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0.879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7E79573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0.856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1D4E48F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0.908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B28F4D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0.812</w:t>
            </w:r>
          </w:p>
        </w:tc>
      </w:tr>
      <w:tr w14:paraId="69D9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C3BD4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YOLOv12m + smoothing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2AE0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0.902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5575A3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+1.9%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8CEAE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2F249D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9B200F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8B9EF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4FEF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0.854</w:t>
            </w:r>
          </w:p>
        </w:tc>
      </w:tr>
      <w:tr w14:paraId="409E8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86672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MotionFormer (5-frame)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D67F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0CE7E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+4.2%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ADFA1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0.978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017C3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50AD28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8D264E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7EDF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0.896</w:t>
            </w:r>
          </w:p>
        </w:tc>
      </w:tr>
      <w:tr w14:paraId="4643D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1D3F2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MotionFormer (10-frame)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86C4B0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609F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+6.3%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B62D64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4FE8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A7D8B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0.927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8F0E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0A00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0.932</w:t>
            </w:r>
          </w:p>
        </w:tc>
      </w:tr>
      <w:tr w14:paraId="40F0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9F7210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MotionFormer (15-frame)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A95941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0.934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7A38D8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+5.5%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41217C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0.981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7F7E71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0.932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0D672E4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0.918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73D0B7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0.921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C717C4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0.919</w:t>
            </w:r>
          </w:p>
        </w:tc>
      </w:tr>
    </w:tbl>
    <w:p w14:paraId="14A88E2D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6845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b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Supplementary Table S2. Pooled movement comparison between scoring and conceding rallies.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16"/>
        <w:gridCol w:w="2016"/>
        <w:gridCol w:w="2016"/>
        <w:gridCol w:w="2016"/>
      </w:tblGrid>
      <w:tr w14:paraId="32C08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CCCE80D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Metric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AFDAADD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Scoring rallies (n = 74)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E546E1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Conceding rallies (n = 73)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1A6A7F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p-value</w:t>
            </w:r>
          </w:p>
        </w:tc>
        <w:tc>
          <w:tcPr>
            <w:tcW w:w="20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9432453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Cohen's d</w:t>
            </w:r>
          </w:p>
        </w:tc>
      </w:tr>
      <w:tr w14:paraId="7C8E4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213713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Average speed (m/s)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993875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2.42 ± 0.30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9B469F2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2.32 ± 0.30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7E3503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0.056 (NS)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07BE14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+0.32</w:t>
            </w:r>
          </w:p>
        </w:tc>
      </w:tr>
      <w:tr w14:paraId="69C81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A02D72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Path efficiency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31C957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0.74 ± 0.10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30DA00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0.57 ± 0.10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C9B0E9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&lt;0.001***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17E3C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+1.77</w:t>
            </w:r>
          </w:p>
        </w:tc>
      </w:tr>
      <w:tr w14:paraId="74991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EE1337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Centre-court occupancy (%)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EB77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45.0 ± 7.6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D5DC0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36.8 ± 8.8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D90DD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&lt;0.001***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2387F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+1.00</w:t>
            </w:r>
          </w:p>
        </w:tc>
      </w:tr>
      <w:tr w14:paraId="64017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40D0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Recovery time (s)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F194EA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0.85 ± 0.20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C63F3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1.15 ± 0.19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B96A7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&lt;0.001***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43607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−1.56</w:t>
            </w:r>
          </w:p>
        </w:tc>
      </w:tr>
      <w:tr w14:paraId="50DF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049464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Direction changes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BFE6B0B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3.84 ± 1.73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7B55405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2.68 ± 1.38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DF20ED6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&lt;0.001***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B3AA208">
            <w:pPr>
              <w:spacing w:after="0" w:line="240" w:lineRule="auto"/>
              <w:jc w:val="center"/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+0.74</w:t>
            </w:r>
          </w:p>
        </w:tc>
      </w:tr>
    </w:tbl>
    <w:p w14:paraId="7DEDEE84">
      <w:pP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Note: Values are mean ± SD. ***p &lt; 0.001; NS, not significant (p ≥ 0.05). Each rally contributes once to either the scoring or conceding condition for the near-court player.</w:t>
      </w:r>
    </w:p>
    <w:sectPr>
      <w:pgSz w:w="12240" w:h="15840"/>
      <w:pgMar w:top="1080" w:right="1080" w:bottom="108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190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1192</Characters>
  <Lines>0</Lines>
  <Paragraphs>0</Paragraphs>
  <TotalTime>1</TotalTime>
  <ScaleCrop>false</ScaleCrop>
  <LinksUpToDate>false</LinksUpToDate>
  <CharactersWithSpaces>1330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LZZ</cp:lastModifiedBy>
  <dcterms:modified xsi:type="dcterms:W3CDTF">2026-08-26T12:32:00Z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eyJoZGlkIjoiMzEwNTM5NzYwMDRjMzkwZTVkZjY2ODkwMGIxNGU0OTUiLCJ1c2VySWQiOiI0NjQ3NDYyNjMifQ==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76CC96A1606D47A5A6E40ADBDF21E07B_12</vt:lpwstr>
  </property>
</Properties>
</file>