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38432">
      <w:pPr>
        <w:pStyle w:val="3"/>
        <w:bidi w:val="0"/>
        <w:rPr>
          <w:lang w:val="en-US" w:eastAsia="zh-CN"/>
        </w:rPr>
      </w:pPr>
      <w:r>
        <w:rPr>
          <w:rFonts w:hint="eastAsia"/>
          <w:lang w:val="en-US" w:eastAsia="zh-CN"/>
        </w:rPr>
        <w:t>Supplementary Table S1.</w:t>
      </w:r>
      <w:r>
        <w:rPr>
          <w:lang w:val="en-US" w:eastAsia="zh-CN"/>
        </w:rPr>
        <w:t>Complete search strategies</w:t>
      </w:r>
    </w:p>
    <w:p w14:paraId="4ABBD353">
      <w:pPr>
        <w:rPr>
          <w:rFonts w:hint="eastAsia"/>
        </w:rPr>
      </w:pPr>
      <w:r>
        <w:rPr>
          <w:rFonts w:hint="eastAsia"/>
        </w:rPr>
        <w:t>The search strategies were adapted to the syntax of each database platform. Field tags and subject headings were used where applicable. Searches were conducted from database inception to June 9, 2026, without language restrictions.</w:t>
      </w:r>
    </w:p>
    <w:tbl>
      <w:tblPr>
        <w:tblStyle w:val="34"/>
        <w:tblpPr w:leftFromText="180" w:rightFromText="180" w:vertAnchor="text" w:horzAnchor="page" w:tblpX="1426" w:tblpY="69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11312"/>
        <w:gridCol w:w="702"/>
      </w:tblGrid>
      <w:tr w14:paraId="484E8B3B">
        <w:trPr>
          <w:trHeight w:val="281" w:hRule="atLeast"/>
        </w:trPr>
        <w:tc>
          <w:tcPr>
            <w:tcW w:w="2160" w:type="dxa"/>
            <w:vAlign w:val="center"/>
          </w:tcPr>
          <w:p w14:paraId="6C53C3FA">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ascii="Times New Roman" w:hAnsi="Times New Roman"/>
              </w:rPr>
              <w:t>Database</w:t>
            </w:r>
          </w:p>
        </w:tc>
        <w:tc>
          <w:tcPr>
            <w:tcW w:w="11312" w:type="dxa"/>
            <w:vAlign w:val="center"/>
          </w:tcPr>
          <w:p w14:paraId="23D7CD56">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ascii="Times New Roman" w:hAnsi="Times New Roman"/>
              </w:rPr>
              <w:t>Complete Search Strategy</w:t>
            </w:r>
          </w:p>
        </w:tc>
        <w:tc>
          <w:tcPr>
            <w:tcW w:w="702" w:type="dxa"/>
            <w:vAlign w:val="center"/>
          </w:tcPr>
          <w:p w14:paraId="13C45FCD">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ascii="宋体" w:hAnsi="宋体" w:eastAsia="宋体" w:cs="宋体"/>
                <w:color w:val="000000" w:themeColor="text1"/>
                <w:kern w:val="0"/>
                <w:sz w:val="24"/>
                <w:szCs w:val="24"/>
                <w:lang w:val="en-US" w:eastAsia="zh-CN" w:bidi="ar"/>
                <w14:textFill>
                  <w14:solidFill>
                    <w14:schemeClr w14:val="tx1"/>
                  </w14:solidFill>
                </w14:textFill>
              </w:rPr>
              <w:t>Hits on June 9, 2026</w:t>
            </w:r>
          </w:p>
        </w:tc>
      </w:tr>
      <w:tr w14:paraId="14EBFE8C">
        <w:tc>
          <w:tcPr>
            <w:tcW w:w="2160" w:type="dxa"/>
          </w:tcPr>
          <w:p w14:paraId="623667FC">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rPr>
              <w:t>CINAHL</w:t>
            </w:r>
          </w:p>
        </w:tc>
        <w:tc>
          <w:tcPr>
            <w:tcW w:w="11312" w:type="dxa"/>
          </w:tcPr>
          <w:p w14:paraId="6DBF199E">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(MH "Parkinson Disease+" OR TI Parkinson* OR AB Parkinson* OR TI "Parkinson disease" OR AB "Parkinson disease" OR TI "Parkinson's disease" OR AB "Parkinson's disease")</w:t>
            </w:r>
          </w:p>
          <w:p w14:paraId="633ABBBA">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AND</w:t>
            </w:r>
          </w:p>
          <w:p w14:paraId="198C08BB">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(MH "Exercise+" OR MH "Exercise Therapy+" OR MH "Rehabilitation+" OR MH "Physical Therapy+" OR TI exercise OR AB exercise OR TI "physical activity" OR AB "physical activity" OR TI rehabilitation OR AB rehabilitation OR TI physiotherapy OR AB physiotherapy OR TI "physical therapy" OR AB "physical therapy" OR TI training OR AB training OR TI "home-based exercise" OR AB "home-based exercise" OR TI "home based exercise" OR AB "home based exercise" OR TI "home exercise" OR AB "home exercise" OR TI "balance training" OR AB "balance training" OR TI "gait training" OR AB "gait training" OR TI walking OR AB walking OR TI aerobic OR AB aerobic OR TI resistance OR AB resistance OR TI strengthening OR AB strengthening)</w:t>
            </w:r>
          </w:p>
          <w:p w14:paraId="4C48D79B">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AND</w:t>
            </w:r>
          </w:p>
          <w:p w14:paraId="3DA19FF5">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(MH "Telehealth+" OR MH "Telemedicine+" OR TI telerehabilitation OR AB telerehabilitation OR TI "tele-rehabilitation" OR AB "tele-rehabilitation" OR TI telehealth OR AB telehealth OR TI telemedicine OR AB telemedicine OR TI mHealth OR AB mHealth OR TI "mobile health" OR AB "mobile health" OR TI "digital health" OR AB "digital health" OR TI "remote monitoring" OR AB "remote monitoring" OR TI "remote supervision" OR AB "remote supervision" OR TI "remote supervised" OR AB "remote supervised" OR TI "home monitoring" OR AB "home monitoring" OR TI "video-based" OR AB "video-based" OR TI "video based" OR AB "video based" OR TI online OR AB online OR TI "web-based" OR AB "web-based" OR TI "web based" OR AB "web based" OR TI smartphone OR AB smartphone OR TI app OR AB app OR TI apps OR AB apps OR TI wearable OR AB wearable OR TI wearables OR AB wearables OR TI sensor OR AB sensor OR TI sensors OR AB sensors)</w:t>
            </w:r>
          </w:p>
          <w:p w14:paraId="6B5B252A">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AND</w:t>
            </w:r>
          </w:p>
          <w:p w14:paraId="625F922B">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lang w:val="en-US" w:eastAsia="zh-CN"/>
              </w:rPr>
              <w:t>(MH "Randomized Controlled Trials+" OR TI randomized OR AB randomized OR TI randomised OR AB randomised OR TI randomly OR AB randomly OR TI trial OR AB trial OR TI RCT OR AB RCT OR TI "controlled trial" OR AB "controlled trial" OR TI "clinical trial" OR AB "clinical trial")</w:t>
            </w:r>
          </w:p>
        </w:tc>
        <w:tc>
          <w:tcPr>
            <w:tcW w:w="702" w:type="dxa"/>
          </w:tcPr>
          <w:p w14:paraId="7AFA1D44">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default" w:ascii="Times New Roman" w:hAnsi="Times New Roman"/>
                <w:lang w:val="en-US"/>
              </w:rPr>
            </w:pPr>
            <w:r>
              <w:rPr>
                <w:rFonts w:hint="default" w:ascii="Times New Roman" w:hAnsi="Times New Roman"/>
                <w:lang w:val="en-US"/>
              </w:rPr>
              <w:t>110</w:t>
            </w:r>
          </w:p>
        </w:tc>
      </w:tr>
      <w:tr w14:paraId="0C94B767">
        <w:tc>
          <w:tcPr>
            <w:tcW w:w="2160" w:type="dxa"/>
          </w:tcPr>
          <w:p w14:paraId="1406BC90">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rPr>
              <w:t>Cochrane Library</w:t>
            </w:r>
          </w:p>
        </w:tc>
        <w:tc>
          <w:tcPr>
            <w:tcW w:w="11312" w:type="dxa"/>
          </w:tcPr>
          <w:p w14:paraId="4C40EBD3">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#1[mh "Parkinson Disease"] OR Parkinson*:ti,ab,kw OR "Parkinson disease":ti,ab,kw OR "Parkinson's disease":ti,ab,kw OR "idiopathic Parkinson disease":ti,ab,kw</w:t>
            </w:r>
          </w:p>
          <w:p w14:paraId="2282180D">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#2[mh Exercise] OR [mh "Exercise Therapy"] OR [mh Rehabilitation] OR [mh "Physical Therapy Modalities"] OR exercise:ti,ab,kw OR "physical activity":ti,ab,kw OR rehabilitation:ti,ab,kw OR physiotherapy:ti,ab,kw OR "physical therapy":ti,ab,kw OR training:ti,ab,kw OR "home-based exercise":ti,ab,kw OR "home based exercise":ti,ab,kw OR "home exercise":ti,ab,kw OR "balance training":ti,ab,kw OR "gait training":ti,ab,kw OR walking:ti,ab,kw OR aerobic:ti,ab,kw OR resistance:ti,ab,kw OR strengthening:ti,ab,kw</w:t>
            </w:r>
          </w:p>
          <w:p w14:paraId="5E7963EA">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#3[mh Telemedicine] OR telerehabilitation:ti,ab,kw OR "tele-rehabilitation":ti,ab,kw OR telehealth:ti,ab,kw OR telemedicine:ti,ab,kw OR mHealth:ti,ab,kw OR "mobile health":ti,ab,kw OR "digital health":ti,ab,kw OR "remote monitoring":ti,ab,kw OR "remote supervision":ti,ab,kw OR "remote supervised":ti,ab,kw OR "home monitoring":ti,ab,kw OR "video-based":ti,ab,kw OR "video based":ti,ab,kw OR online:ti,ab,kw OR "web-based":ti,ab,kw OR "web based":ti,ab,kw OR smartphone:ti,ab,kw OR app:ti,ab,kw OR apps:ti,ab,kw OR wearable:ti,ab,kw OR wearables:ti,ab,kw OR sensor:ti,ab,kw OR sensors:ti,ab,kw</w:t>
            </w:r>
          </w:p>
          <w:p w14:paraId="74CB608D">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lang w:val="en-US" w:eastAsia="zh-CN"/>
              </w:rPr>
              <w:t>#1 AND #2 AND #3</w:t>
            </w:r>
          </w:p>
        </w:tc>
        <w:tc>
          <w:tcPr>
            <w:tcW w:w="702" w:type="dxa"/>
          </w:tcPr>
          <w:p w14:paraId="2BF00E5A">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default" w:ascii="Times New Roman" w:hAnsi="Times New Roman"/>
                <w:lang w:val="en-US"/>
              </w:rPr>
            </w:pPr>
            <w:r>
              <w:rPr>
                <w:rFonts w:hint="default" w:ascii="Times New Roman" w:hAnsi="Times New Roman"/>
                <w:lang w:val="en-US"/>
              </w:rPr>
              <w:t>630</w:t>
            </w:r>
          </w:p>
        </w:tc>
      </w:tr>
      <w:tr w14:paraId="76ACDA71">
        <w:trPr>
          <w:trHeight w:val="90" w:hRule="atLeast"/>
        </w:trPr>
        <w:tc>
          <w:tcPr>
            <w:tcW w:w="2160" w:type="dxa"/>
          </w:tcPr>
          <w:p w14:paraId="402E9B79">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rPr>
              <w:t>Embase</w:t>
            </w:r>
          </w:p>
        </w:tc>
        <w:tc>
          <w:tcPr>
            <w:tcW w:w="11312" w:type="dxa"/>
          </w:tcPr>
          <w:p w14:paraId="7B646CD8">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(parkinson*:ti,ab,kw OR 'parkinson disease':ti,ab,kw OR 'parkinson''s disease':ti,ab,kw OR 'idiopathic parkinson disease':ti,ab,kw)</w:t>
            </w:r>
          </w:p>
          <w:p w14:paraId="1991ABCC">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AND</w:t>
            </w:r>
          </w:p>
          <w:p w14:paraId="37E3E57E">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(exercise:ti,ab,kw OR 'physical activity':ti,ab,kw OR rehabilitation:ti,ab,kw OR physiotherapy:ti,ab,kw OR 'physical therapy':ti,ab,kw OR training:ti,ab,kw OR 'home-based exercise':ti,ab,kw OR 'home based exercise':ti,ab,kw OR 'home exercise':ti,ab,kw OR 'balance training':ti,ab,kw OR 'gait training':ti,ab,kw OR walking:ti,ab,kw OR aerobic:ti,ab,kw OR resistance:ti,ab,kw OR strengthening:ti,ab,kw)</w:t>
            </w:r>
          </w:p>
          <w:p w14:paraId="3A85CB18">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AND</w:t>
            </w:r>
          </w:p>
          <w:p w14:paraId="1A934373">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(telerehabilitation:ti,ab,kw OR 'tele-rehabilitation':ti,ab,kw OR telehealth:ti,ab,kw OR telemedicine:ti,ab,kw OR mhealth:ti,ab,kw OR 'mobile health':ti,ab,kw OR 'digital health':ti,ab,kw OR 'remote monitoring':ti,ab,kw OR 'remote supervision':ti,ab,kw OR 'remote supervised':ti,ab,kw OR 'home monitoring':ti,ab,kw OR 'video-based':ti,ab,kw OR 'video based':ti,ab,kw OR online:ti,ab,kw OR 'web-based':ti,ab,kw OR 'web based':ti,ab,kw OR smartphone:ti,ab,kw OR app:ti,ab,kw OR apps:ti,ab,kw OR wearable:ti,ab,kw OR wearables:ti,ab,kw OR sensor:ti,ab,kw OR sensors:ti,ab,kw)</w:t>
            </w:r>
          </w:p>
          <w:p w14:paraId="56638E54">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lang w:val="en-US" w:eastAsia="zh-CN"/>
              </w:rPr>
            </w:pPr>
            <w:r>
              <w:rPr>
                <w:rFonts w:hint="eastAsia" w:ascii="Times New Roman" w:hAnsi="Times New Roman"/>
                <w:lang w:val="en-US" w:eastAsia="zh-CN"/>
              </w:rPr>
              <w:t>AND</w:t>
            </w:r>
          </w:p>
          <w:p w14:paraId="35F3958A">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lang w:val="en-US" w:eastAsia="zh-CN"/>
              </w:rPr>
              <w:t>(randomized:ti,ab,kw OR randomised:ti,ab,kw OR randomly:ti,ab,kw OR trial:ti,ab,kw OR rct:ti,ab,kw OR 'controlled trial':ti,ab,kw OR 'clinical trial':ti,ab,kw)</w:t>
            </w:r>
          </w:p>
        </w:tc>
        <w:tc>
          <w:tcPr>
            <w:tcW w:w="702" w:type="dxa"/>
          </w:tcPr>
          <w:p w14:paraId="76DF7A12">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default" w:ascii="Times New Roman" w:hAnsi="Times New Roman"/>
                <w:lang w:val="en-US"/>
              </w:rPr>
            </w:pPr>
            <w:r>
              <w:rPr>
                <w:rFonts w:hint="default" w:ascii="Times New Roman" w:hAnsi="Times New Roman"/>
                <w:lang w:val="en-US"/>
              </w:rPr>
              <w:t>751</w:t>
            </w:r>
          </w:p>
        </w:tc>
      </w:tr>
      <w:tr w14:paraId="4369F86B">
        <w:tc>
          <w:tcPr>
            <w:tcW w:w="2160" w:type="dxa"/>
          </w:tcPr>
          <w:p w14:paraId="747ECA3A">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rPr>
              <w:t>Web of Science</w:t>
            </w:r>
          </w:p>
        </w:tc>
        <w:tc>
          <w:tcPr>
            <w:tcW w:w="11312" w:type="dxa"/>
          </w:tcPr>
          <w:p w14:paraId="03332A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rPr>
              <w:t>TS=((Parkinson* OR "Parkinson disease" OR "Parkinson's disease" OR "idiopathic Parkinson disease") AND (exercise OR "physical activity" OR rehabilitation OR physiotherapy OR "physical therapy" OR training OR "home-based exercise" OR "home based exercise" OR "home exercise" OR "balance training" OR "gait training" OR walking OR aerobic OR resistance OR strengthening) AND (telerehabilitation OR "tele-rehabilitation" OR telehealth OR telemedicine OR mHealth OR "mobile health" OR "digital health" OR "remote monitoring" OR "remote supervision" OR "remote supervised" OR "home monitoring" OR "video-based" OR "video based" OR online OR "web-based" OR "web based" OR smartphone OR app OR apps OR wearable OR wearables OR sensor OR sensors) AND (randomized OR randomised OR randomly OR trial OR RCT OR "controlled trial"))</w:t>
            </w:r>
          </w:p>
        </w:tc>
        <w:tc>
          <w:tcPr>
            <w:tcW w:w="702" w:type="dxa"/>
          </w:tcPr>
          <w:p w14:paraId="71BA0344">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default" w:ascii="Times New Roman" w:hAnsi="Times New Roman"/>
                <w:lang w:val="en-US"/>
              </w:rPr>
            </w:pPr>
            <w:r>
              <w:rPr>
                <w:rFonts w:hint="default" w:ascii="Times New Roman" w:hAnsi="Times New Roman"/>
                <w:lang w:val="en-US"/>
              </w:rPr>
              <w:t>486</w:t>
            </w:r>
          </w:p>
        </w:tc>
      </w:tr>
      <w:tr w14:paraId="11970CEB">
        <w:tc>
          <w:tcPr>
            <w:tcW w:w="2160" w:type="dxa"/>
          </w:tcPr>
          <w:p w14:paraId="73500043">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rPr>
              <w:t>PubMed</w:t>
            </w:r>
          </w:p>
        </w:tc>
        <w:tc>
          <w:tcPr>
            <w:tcW w:w="11312" w:type="dxa"/>
          </w:tcPr>
          <w:p w14:paraId="4FDB9792">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Times New Roman" w:hAnsi="Times New Roman"/>
              </w:rPr>
            </w:pPr>
            <w:r>
              <w:rPr>
                <w:rFonts w:hint="eastAsia" w:ascii="Times New Roman" w:hAnsi="Times New Roman"/>
                <w:lang w:val="en-US" w:eastAsia="zh-CN"/>
              </w:rPr>
              <w:t>("Parkinson Disease"[MeSH Terms] OR Parkinson*[Title/Abstract] OR "Parkinson disease"[Title/Abstract] OR "Parkinson's disease"[Title/Abstract] OR "idiopathic Parkinson disease"[Title/Abstract]) AND ("Exercise"[MeSH Terms] OR "Exercise Therapy"[MeSH Terms] OR "Rehabilitation"[MeSH Terms] OR "Physical Therapy Modalities"[MeSH Terms] OR exercise[Title/Abstract] OR "physical activity"[Title/Abstract] OR rehabilitation[Title/Abstract] OR physiotherapy[Title/Abstract] OR "physical therapy"[Title/Abstract] OR training[Title/Abstract] OR "home-based exercise"[Title/Abstract] OR "home based exercise"[Title/Abstract] OR "home exercise"[Title/Abstract] OR "balance training"[Title/Abstract] OR "gait training"[Title/Abstract] OR walking[Title/Abstract] OR aerobic[Title/Abstract] OR resistance[Title/Abstract] OR strengthening[Title/Abstract]) AND ("Telemedicine"[MeSH Terms] OR "Remote Consultation"[MeSH Terms] OR "Mobile Applications"[MeSH Terms] OR "Wearable Electronic Devices"[MeSH Terms] OR telerehabilitation[Title/Abstract] OR "tele-rehabilitation"[Title/Abstract] OR telehealth[Title/Abstract] OR telemedicine[Title/Abstract] OR mHealth[Title/Abstract] OR "mobile health"[Title/Abstract] OR "digital health"[Title/Abstract] OR "remote monitoring"[Title/Abstract] OR "remote supervision"[Title/Abstract] OR "remote supervised"[Title/Abstract] OR "home monitoring"[Title/Abstract] OR "video-based"[Title/Abstract] OR "video based"[Title/Abstract] OR online[Title/Abstract] OR "web-based"[Title/Abstract] OR "web based"[Title/Abstract] OR smartphone[Title/Abstract] OR app[Title/Abstract] OR apps[Title/Abstract] OR wearable[Title/Abstract] OR wearables[Title/Abstract] OR sensor[Title/Abstract] OR sensors[Title/Abstract]) AND ("Randomized Controlled Trial"[Publication Type] OR "Controlled Clinical Trial"[Publication Type] OR randomized[Title/Abstract] OR randomised[Title/Abstract] OR randomly[Title/Abstract] OR trial[Title/Abstract] OR RCT[Title/Abstract])</w:t>
            </w:r>
          </w:p>
        </w:tc>
        <w:tc>
          <w:tcPr>
            <w:tcW w:w="702" w:type="dxa"/>
          </w:tcPr>
          <w:p w14:paraId="1A68F64D">
            <w:pPr>
              <w:pStyle w:val="167"/>
              <w:keepNext w:val="0"/>
              <w:keepLines w:val="0"/>
              <w:pageBreakBefore w:val="0"/>
              <w:kinsoku/>
              <w:wordWrap/>
              <w:overflowPunct/>
              <w:topLinePunct w:val="0"/>
              <w:autoSpaceDE/>
              <w:autoSpaceDN/>
              <w:bidi w:val="0"/>
              <w:adjustRightInd/>
              <w:snapToGrid/>
              <w:spacing w:line="240" w:lineRule="exact"/>
              <w:jc w:val="left"/>
              <w:textAlignment w:val="auto"/>
              <w:rPr>
                <w:rFonts w:hint="default" w:ascii="Times New Roman" w:hAnsi="Times New Roman"/>
                <w:lang w:val="en-US"/>
              </w:rPr>
            </w:pPr>
            <w:r>
              <w:rPr>
                <w:rFonts w:hint="default" w:ascii="Times New Roman" w:hAnsi="Times New Roman"/>
                <w:lang w:val="en-US"/>
              </w:rPr>
              <w:t>365</w:t>
            </w:r>
          </w:p>
        </w:tc>
      </w:tr>
    </w:tbl>
    <w:p w14:paraId="0AB4A24E">
      <w:pPr>
        <w:pStyle w:val="3"/>
        <w:bidi w:val="0"/>
        <w:rPr>
          <w:lang w:val="en-US" w:eastAsia="zh-CN"/>
        </w:rPr>
      </w:pPr>
      <w:r>
        <w:rPr>
          <w:lang w:val="en-US" w:eastAsia="zh-CN"/>
        </w:rPr>
        <w:t>Supplementary Table S2. Detailed characteristics of included studies and their contribution to the evidence synthesis</w:t>
      </w:r>
    </w:p>
    <w:p w14:paraId="277809A6">
      <w:pPr>
        <w:rPr>
          <w:lang w:val="en-US" w:eastAsia="zh-CN"/>
        </w:rPr>
      </w:pPr>
    </w:p>
    <w:tbl>
      <w:tblPr>
        <w:tblStyle w:val="34"/>
        <w:tblpPr w:leftFromText="180" w:rightFromText="180" w:vertAnchor="text" w:horzAnchor="page" w:tblpX="1435" w:tblpY="435"/>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6"/>
        <w:gridCol w:w="1611"/>
        <w:gridCol w:w="2480"/>
        <w:gridCol w:w="1943"/>
        <w:gridCol w:w="1637"/>
        <w:gridCol w:w="1847"/>
        <w:gridCol w:w="1353"/>
        <w:gridCol w:w="1677"/>
      </w:tblGrid>
      <w:tr w14:paraId="5B4F6E52">
        <w:trPr>
          <w:cantSplit/>
          <w:tblHeader/>
        </w:trPr>
        <w:tc>
          <w:tcPr>
            <w:tcW w:w="573" w:type="pct"/>
            <w:tcBorders>
              <w:top w:val="single" w:color="000000" w:sz="12" w:space="0"/>
              <w:left w:val="nil"/>
              <w:bottom w:val="single" w:color="000000" w:sz="4" w:space="0"/>
              <w:right w:val="nil"/>
              <w:tl2br w:val="nil"/>
            </w:tcBorders>
            <w:shd w:val="clear" w:color="auto" w:fill="FFFFFF"/>
            <w:vAlign w:val="center"/>
          </w:tcPr>
          <w:p w14:paraId="415E5A36">
            <w:pPr>
              <w:pStyle w:val="167"/>
              <w:bidi w:val="0"/>
              <w:jc w:val="center"/>
              <w:rPr>
                <w:rFonts w:hint="default"/>
                <w:b w:val="0"/>
                <w:lang w:val="en-US" w:eastAsia="zh-CN"/>
              </w:rPr>
            </w:pPr>
            <w:r>
              <w:rPr>
                <w:rFonts w:hint="default"/>
                <w:b w:val="0"/>
                <w:lang w:val="en-US" w:eastAsia="zh-CN"/>
              </w:rPr>
              <w:t>Study (country; analysed n I/C)</w:t>
            </w:r>
          </w:p>
        </w:tc>
        <w:tc>
          <w:tcPr>
            <w:tcW w:w="568" w:type="pct"/>
            <w:tcBorders>
              <w:top w:val="single" w:color="000000" w:sz="12" w:space="0"/>
              <w:left w:val="nil"/>
              <w:bottom w:val="single" w:color="000000" w:sz="4" w:space="0"/>
              <w:right w:val="nil"/>
            </w:tcBorders>
            <w:shd w:val="clear" w:color="auto" w:fill="FFFFFF"/>
            <w:vAlign w:val="center"/>
          </w:tcPr>
          <w:p w14:paraId="6734F95F">
            <w:pPr>
              <w:pStyle w:val="167"/>
              <w:bidi w:val="0"/>
              <w:jc w:val="center"/>
              <w:rPr>
                <w:rFonts w:hint="default"/>
                <w:b w:val="0"/>
                <w:lang w:val="en-US" w:eastAsia="zh-CN"/>
              </w:rPr>
            </w:pPr>
            <w:r>
              <w:rPr>
                <w:rFonts w:hint="default"/>
                <w:b w:val="0"/>
                <w:lang w:val="en-US" w:eastAsia="zh-CN"/>
              </w:rPr>
              <w:t>Participant characteristics</w:t>
            </w:r>
          </w:p>
        </w:tc>
        <w:tc>
          <w:tcPr>
            <w:tcW w:w="874" w:type="pct"/>
            <w:tcBorders>
              <w:top w:val="single" w:color="000000" w:sz="12" w:space="0"/>
              <w:left w:val="nil"/>
              <w:bottom w:val="single" w:color="000000" w:sz="4" w:space="0"/>
              <w:right w:val="nil"/>
            </w:tcBorders>
            <w:shd w:val="clear" w:color="auto" w:fill="FFFFFF"/>
            <w:vAlign w:val="center"/>
          </w:tcPr>
          <w:p w14:paraId="4F0F9D57">
            <w:pPr>
              <w:pStyle w:val="167"/>
              <w:bidi w:val="0"/>
              <w:jc w:val="center"/>
              <w:rPr>
                <w:rFonts w:hint="default"/>
                <w:b w:val="0"/>
                <w:lang w:val="en-US" w:eastAsia="zh-CN"/>
              </w:rPr>
            </w:pPr>
            <w:r>
              <w:rPr>
                <w:rFonts w:hint="default"/>
                <w:b w:val="0"/>
                <w:lang w:val="en-US" w:eastAsia="zh-CN"/>
              </w:rPr>
              <w:t>Intervention and remote support</w:t>
            </w:r>
          </w:p>
        </w:tc>
        <w:tc>
          <w:tcPr>
            <w:tcW w:w="685" w:type="pct"/>
            <w:tcBorders>
              <w:top w:val="single" w:color="000000" w:sz="12" w:space="0"/>
              <w:left w:val="nil"/>
              <w:bottom w:val="single" w:color="000000" w:sz="4" w:space="0"/>
              <w:right w:val="nil"/>
            </w:tcBorders>
            <w:shd w:val="clear" w:color="auto" w:fill="FFFFFF"/>
            <w:vAlign w:val="center"/>
          </w:tcPr>
          <w:p w14:paraId="42A4FE41">
            <w:pPr>
              <w:pStyle w:val="167"/>
              <w:bidi w:val="0"/>
              <w:jc w:val="center"/>
              <w:rPr>
                <w:rFonts w:hint="default"/>
                <w:b w:val="0"/>
                <w:lang w:val="en-US" w:eastAsia="zh-CN"/>
              </w:rPr>
            </w:pPr>
            <w:r>
              <w:rPr>
                <w:rFonts w:hint="default"/>
                <w:b w:val="0"/>
                <w:lang w:val="en-US" w:eastAsia="zh-CN"/>
              </w:rPr>
              <w:t>Original comparator</w:t>
            </w:r>
          </w:p>
        </w:tc>
        <w:tc>
          <w:tcPr>
            <w:tcW w:w="577" w:type="pct"/>
            <w:tcBorders>
              <w:top w:val="single" w:color="000000" w:sz="12" w:space="0"/>
              <w:left w:val="nil"/>
              <w:bottom w:val="single" w:color="000000" w:sz="4" w:space="0"/>
              <w:right w:val="nil"/>
            </w:tcBorders>
            <w:shd w:val="clear" w:color="auto" w:fill="FFFFFF"/>
            <w:vAlign w:val="center"/>
          </w:tcPr>
          <w:p w14:paraId="51C4B6C2">
            <w:pPr>
              <w:pStyle w:val="167"/>
              <w:bidi w:val="0"/>
              <w:jc w:val="center"/>
              <w:rPr>
                <w:rFonts w:hint="default"/>
                <w:b w:val="0"/>
                <w:lang w:val="en-US" w:eastAsia="zh-CN"/>
              </w:rPr>
            </w:pPr>
            <w:r>
              <w:rPr>
                <w:rFonts w:hint="default"/>
                <w:b w:val="0"/>
                <w:lang w:val="en-US" w:eastAsia="zh-CN"/>
              </w:rPr>
              <w:t>Analysis comparator category</w:t>
            </w:r>
          </w:p>
        </w:tc>
        <w:tc>
          <w:tcPr>
            <w:tcW w:w="651" w:type="pct"/>
            <w:tcBorders>
              <w:top w:val="single" w:color="000000" w:sz="12" w:space="0"/>
              <w:left w:val="nil"/>
              <w:bottom w:val="single" w:color="000000" w:sz="4" w:space="0"/>
              <w:right w:val="nil"/>
            </w:tcBorders>
            <w:shd w:val="clear" w:color="auto" w:fill="FFFFFF"/>
            <w:vAlign w:val="center"/>
          </w:tcPr>
          <w:p w14:paraId="53184201">
            <w:pPr>
              <w:pStyle w:val="167"/>
              <w:bidi w:val="0"/>
              <w:jc w:val="center"/>
              <w:rPr>
                <w:rFonts w:hint="default"/>
                <w:b w:val="0"/>
                <w:lang w:val="en-US" w:eastAsia="zh-CN"/>
              </w:rPr>
            </w:pPr>
            <w:r>
              <w:rPr>
                <w:rFonts w:hint="default"/>
                <w:b w:val="0"/>
                <w:lang w:val="en-US" w:eastAsia="zh-CN"/>
              </w:rPr>
              <w:t>Duration and exercise dose</w:t>
            </w:r>
          </w:p>
        </w:tc>
        <w:tc>
          <w:tcPr>
            <w:tcW w:w="477" w:type="pct"/>
            <w:tcBorders>
              <w:top w:val="single" w:color="000000" w:sz="12" w:space="0"/>
              <w:left w:val="nil"/>
              <w:bottom w:val="single" w:color="000000" w:sz="4" w:space="0"/>
              <w:right w:val="nil"/>
            </w:tcBorders>
            <w:shd w:val="clear" w:color="auto" w:fill="FFFFFF"/>
            <w:vAlign w:val="center"/>
          </w:tcPr>
          <w:p w14:paraId="34F89725">
            <w:pPr>
              <w:pStyle w:val="167"/>
              <w:bidi w:val="0"/>
              <w:jc w:val="center"/>
              <w:rPr>
                <w:rFonts w:hint="default"/>
                <w:b w:val="0"/>
                <w:lang w:val="en-US" w:eastAsia="zh-CN"/>
              </w:rPr>
            </w:pPr>
            <w:r>
              <w:rPr>
                <w:rFonts w:hint="default"/>
                <w:b w:val="0"/>
                <w:lang w:val="en-US" w:eastAsia="zh-CN"/>
              </w:rPr>
              <w:t>Eligible outcome domains</w:t>
            </w:r>
          </w:p>
        </w:tc>
        <w:tc>
          <w:tcPr>
            <w:tcW w:w="591" w:type="pct"/>
            <w:tcBorders>
              <w:top w:val="single" w:color="000000" w:sz="12" w:space="0"/>
              <w:left w:val="nil"/>
              <w:bottom w:val="single" w:color="000000" w:sz="4" w:space="0"/>
              <w:right w:val="nil"/>
            </w:tcBorders>
            <w:shd w:val="clear" w:color="auto" w:fill="FFFFFF"/>
            <w:vAlign w:val="center"/>
          </w:tcPr>
          <w:p w14:paraId="2BE47F8E">
            <w:pPr>
              <w:pStyle w:val="167"/>
              <w:bidi w:val="0"/>
              <w:jc w:val="center"/>
              <w:rPr>
                <w:rFonts w:hint="default"/>
                <w:b w:val="0"/>
                <w:lang w:val="en-US" w:eastAsia="zh-CN"/>
              </w:rPr>
            </w:pPr>
            <w:r>
              <w:rPr>
                <w:rFonts w:hint="default"/>
                <w:b w:val="0"/>
                <w:lang w:val="en-US" w:eastAsia="zh-CN"/>
              </w:rPr>
              <w:t>Contribution to evidence synthesis</w:t>
            </w:r>
          </w:p>
        </w:tc>
      </w:tr>
      <w:tr w14:paraId="6F03CF6F">
        <w:trPr>
          <w:cantSplit/>
          <w:tblHeader/>
        </w:trPr>
        <w:tc>
          <w:tcPr>
            <w:tcW w:w="573" w:type="pct"/>
            <w:tcBorders>
              <w:top w:val="single" w:color="000000" w:sz="4" w:space="0"/>
              <w:left w:val="nil"/>
              <w:bottom w:val="nil"/>
              <w:right w:val="nil"/>
            </w:tcBorders>
            <w:shd w:val="clear" w:color="auto" w:fill="FFFFFF"/>
            <w:vAlign w:val="center"/>
          </w:tcPr>
          <w:p w14:paraId="7FE3417D">
            <w:pPr>
              <w:pStyle w:val="167"/>
              <w:bidi w:val="0"/>
              <w:jc w:val="center"/>
              <w:rPr>
                <w:rFonts w:hint="default"/>
                <w:b w:val="0"/>
                <w:lang w:val="en-US" w:eastAsia="zh-CN"/>
              </w:rPr>
            </w:pPr>
            <w:r>
              <w:rPr>
                <w:rFonts w:hint="default"/>
                <w:b w:val="0"/>
                <w:lang w:val="en-US" w:eastAsia="zh-CN"/>
              </w:rPr>
              <w:t>Alnes 2026 (Norway; 43–44/42)</w:t>
            </w:r>
          </w:p>
        </w:tc>
        <w:tc>
          <w:tcPr>
            <w:tcW w:w="568" w:type="pct"/>
            <w:tcBorders>
              <w:top w:val="single" w:color="000000" w:sz="4" w:space="0"/>
              <w:left w:val="nil"/>
              <w:bottom w:val="nil"/>
              <w:right w:val="nil"/>
            </w:tcBorders>
            <w:shd w:val="clear" w:color="auto" w:fill="FFFFFF"/>
            <w:vAlign w:val="center"/>
          </w:tcPr>
          <w:p w14:paraId="0A14E140">
            <w:pPr>
              <w:pStyle w:val="167"/>
              <w:bidi w:val="0"/>
              <w:jc w:val="center"/>
              <w:rPr>
                <w:rFonts w:hint="default"/>
                <w:b w:val="0"/>
                <w:lang w:val="en-US" w:eastAsia="zh-CN"/>
              </w:rPr>
            </w:pPr>
            <w:r>
              <w:rPr>
                <w:rFonts w:hint="default"/>
                <w:b w:val="0"/>
                <w:lang w:val="en-US" w:eastAsia="zh-CN"/>
              </w:rPr>
              <w:t>PD; mean age 67.5 years; disease duration 4 years; H&amp;Y stages 1–3</w:t>
            </w:r>
          </w:p>
        </w:tc>
        <w:tc>
          <w:tcPr>
            <w:tcW w:w="874" w:type="pct"/>
            <w:tcBorders>
              <w:top w:val="single" w:color="000000" w:sz="4" w:space="0"/>
              <w:left w:val="nil"/>
              <w:bottom w:val="nil"/>
              <w:right w:val="nil"/>
            </w:tcBorders>
            <w:shd w:val="clear" w:color="auto" w:fill="FFFFFF"/>
            <w:vAlign w:val="center"/>
          </w:tcPr>
          <w:p w14:paraId="64F5C425">
            <w:pPr>
              <w:pStyle w:val="167"/>
              <w:bidi w:val="0"/>
              <w:jc w:val="center"/>
              <w:rPr>
                <w:rFonts w:hint="default"/>
                <w:b w:val="0"/>
                <w:lang w:val="en-US" w:eastAsia="zh-CN"/>
              </w:rPr>
            </w:pPr>
            <w:r>
              <w:rPr>
                <w:rFonts w:hint="default"/>
                <w:b w:val="0"/>
                <w:lang w:val="en-US" w:eastAsia="zh-CN"/>
              </w:rPr>
              <w:t>mHealth-supported self-management with individualized physical-activity and walking goals; monthly video/telephone contact, SMS, and Garmin activity tracking</w:t>
            </w:r>
          </w:p>
        </w:tc>
        <w:tc>
          <w:tcPr>
            <w:tcW w:w="685" w:type="pct"/>
            <w:tcBorders>
              <w:top w:val="single" w:color="000000" w:sz="4" w:space="0"/>
              <w:left w:val="nil"/>
              <w:bottom w:val="nil"/>
              <w:right w:val="nil"/>
            </w:tcBorders>
            <w:shd w:val="clear" w:color="auto" w:fill="FFFFFF"/>
            <w:vAlign w:val="center"/>
          </w:tcPr>
          <w:p w14:paraId="19DA2C3D">
            <w:pPr>
              <w:pStyle w:val="167"/>
              <w:bidi w:val="0"/>
              <w:jc w:val="center"/>
              <w:rPr>
                <w:rFonts w:hint="default"/>
                <w:b w:val="0"/>
                <w:lang w:val="en-US" w:eastAsia="zh-CN"/>
              </w:rPr>
            </w:pPr>
            <w:r>
              <w:rPr>
                <w:rFonts w:hint="default"/>
                <w:b w:val="0"/>
                <w:lang w:val="en-US" w:eastAsia="zh-CN"/>
              </w:rPr>
              <w:t>Usual discharge care/advice</w:t>
            </w:r>
          </w:p>
        </w:tc>
        <w:tc>
          <w:tcPr>
            <w:tcW w:w="577" w:type="pct"/>
            <w:tcBorders>
              <w:top w:val="single" w:color="000000" w:sz="4" w:space="0"/>
              <w:left w:val="nil"/>
              <w:bottom w:val="nil"/>
              <w:right w:val="nil"/>
            </w:tcBorders>
            <w:shd w:val="clear" w:color="auto" w:fill="FFFFFF"/>
            <w:vAlign w:val="center"/>
          </w:tcPr>
          <w:p w14:paraId="235587C2">
            <w:pPr>
              <w:pStyle w:val="167"/>
              <w:bidi w:val="0"/>
              <w:jc w:val="center"/>
              <w:rPr>
                <w:rFonts w:hint="default"/>
                <w:b w:val="0"/>
                <w:lang w:val="en-US" w:eastAsia="zh-CN"/>
              </w:rPr>
            </w:pPr>
            <w:r>
              <w:rPr>
                <w:rFonts w:hint="default"/>
                <w:b w:val="0"/>
                <w:lang w:val="en-US" w:eastAsia="zh-CN"/>
              </w:rPr>
              <w:t>Passive/minimal control</w:t>
            </w:r>
          </w:p>
        </w:tc>
        <w:tc>
          <w:tcPr>
            <w:tcW w:w="651" w:type="pct"/>
            <w:tcBorders>
              <w:top w:val="single" w:color="000000" w:sz="4" w:space="0"/>
              <w:left w:val="nil"/>
              <w:bottom w:val="nil"/>
              <w:right w:val="nil"/>
            </w:tcBorders>
            <w:shd w:val="clear" w:color="auto" w:fill="FFFFFF"/>
            <w:vAlign w:val="center"/>
          </w:tcPr>
          <w:p w14:paraId="1FDF5F4F">
            <w:pPr>
              <w:pStyle w:val="167"/>
              <w:bidi w:val="0"/>
              <w:jc w:val="center"/>
              <w:rPr>
                <w:rFonts w:hint="default"/>
                <w:b w:val="0"/>
                <w:lang w:val="en-US" w:eastAsia="zh-CN"/>
              </w:rPr>
            </w:pPr>
            <w:r>
              <w:rPr>
                <w:rFonts w:hint="default"/>
                <w:b w:val="0"/>
                <w:lang w:val="en-US" w:eastAsia="zh-CN"/>
              </w:rPr>
              <w:t>6 months; monthly contact; physical activity individualized</w:t>
            </w:r>
          </w:p>
        </w:tc>
        <w:tc>
          <w:tcPr>
            <w:tcW w:w="477" w:type="pct"/>
            <w:tcBorders>
              <w:top w:val="single" w:color="000000" w:sz="4" w:space="0"/>
              <w:left w:val="nil"/>
              <w:bottom w:val="nil"/>
              <w:right w:val="nil"/>
            </w:tcBorders>
            <w:shd w:val="clear" w:color="auto" w:fill="FFFFFF"/>
            <w:vAlign w:val="center"/>
          </w:tcPr>
          <w:p w14:paraId="5929A259">
            <w:pPr>
              <w:pStyle w:val="167"/>
              <w:bidi w:val="0"/>
              <w:jc w:val="center"/>
              <w:rPr>
                <w:rFonts w:hint="default"/>
                <w:b w:val="0"/>
                <w:lang w:val="en-US" w:eastAsia="zh-CN"/>
              </w:rPr>
            </w:pPr>
            <w:r>
              <w:rPr>
                <w:rFonts w:hint="default"/>
                <w:b w:val="0"/>
                <w:lang w:val="en-US" w:eastAsia="zh-CN"/>
              </w:rPr>
              <w:t>Balance; functional mobility</w:t>
            </w:r>
          </w:p>
        </w:tc>
        <w:tc>
          <w:tcPr>
            <w:tcW w:w="591" w:type="pct"/>
            <w:tcBorders>
              <w:top w:val="single" w:color="000000" w:sz="4" w:space="0"/>
              <w:left w:val="nil"/>
              <w:bottom w:val="nil"/>
              <w:right w:val="nil"/>
            </w:tcBorders>
            <w:shd w:val="clear" w:color="auto" w:fill="FFFFFF"/>
            <w:vAlign w:val="center"/>
          </w:tcPr>
          <w:p w14:paraId="14EB1107">
            <w:pPr>
              <w:pStyle w:val="167"/>
              <w:bidi w:val="0"/>
              <w:jc w:val="center"/>
              <w:rPr>
                <w:rFonts w:hint="default"/>
                <w:b w:val="0"/>
                <w:lang w:val="en-US" w:eastAsia="zh-CN"/>
              </w:rPr>
            </w:pPr>
            <w:r>
              <w:rPr>
                <w:rFonts w:hint="default"/>
                <w:b w:val="0"/>
                <w:lang w:val="en-US" w:eastAsia="zh-CN"/>
              </w:rPr>
              <w:t>Adjusted-effect analysis only; not included in the primary SMD meta-analysis</w:t>
            </w:r>
          </w:p>
        </w:tc>
      </w:tr>
      <w:tr w14:paraId="06A2F12D">
        <w:trPr>
          <w:cantSplit/>
          <w:tblHeader/>
        </w:trPr>
        <w:tc>
          <w:tcPr>
            <w:tcW w:w="573" w:type="pct"/>
            <w:tcBorders>
              <w:top w:val="nil"/>
              <w:left w:val="nil"/>
              <w:bottom w:val="nil"/>
              <w:right w:val="nil"/>
            </w:tcBorders>
            <w:shd w:val="clear" w:color="auto" w:fill="FFFFFF"/>
            <w:vAlign w:val="center"/>
          </w:tcPr>
          <w:p w14:paraId="33676034">
            <w:pPr>
              <w:pStyle w:val="167"/>
              <w:bidi w:val="0"/>
              <w:jc w:val="center"/>
              <w:rPr>
                <w:rFonts w:hint="default"/>
                <w:b w:val="0"/>
                <w:lang w:val="en-US" w:eastAsia="zh-CN"/>
              </w:rPr>
            </w:pPr>
            <w:r>
              <w:rPr>
                <w:rFonts w:hint="default"/>
                <w:b w:val="0"/>
                <w:lang w:val="en-US" w:eastAsia="zh-CN"/>
              </w:rPr>
              <w:t>Bove 2025 (Italy; 14/12)</w:t>
            </w:r>
          </w:p>
        </w:tc>
        <w:tc>
          <w:tcPr>
            <w:tcW w:w="568" w:type="pct"/>
            <w:tcBorders>
              <w:top w:val="nil"/>
              <w:left w:val="nil"/>
              <w:bottom w:val="nil"/>
              <w:right w:val="nil"/>
            </w:tcBorders>
            <w:shd w:val="clear" w:color="auto" w:fill="FFFFFF"/>
            <w:vAlign w:val="center"/>
          </w:tcPr>
          <w:p w14:paraId="1B75373A">
            <w:pPr>
              <w:pStyle w:val="167"/>
              <w:bidi w:val="0"/>
              <w:jc w:val="center"/>
              <w:rPr>
                <w:rFonts w:hint="default"/>
                <w:b w:val="0"/>
                <w:lang w:val="en-US" w:eastAsia="zh-CN"/>
              </w:rPr>
            </w:pPr>
            <w:r>
              <w:rPr>
                <w:rFonts w:hint="default"/>
                <w:b w:val="0"/>
                <w:lang w:val="en-US" w:eastAsia="zh-CN"/>
              </w:rPr>
              <w:t>PD subgroup; mean age 64 years; disease duration 5.3 years; H&amp;Y stages 1–3</w:t>
            </w:r>
          </w:p>
        </w:tc>
        <w:tc>
          <w:tcPr>
            <w:tcW w:w="874" w:type="pct"/>
            <w:tcBorders>
              <w:top w:val="nil"/>
              <w:left w:val="nil"/>
              <w:bottom w:val="nil"/>
              <w:right w:val="nil"/>
            </w:tcBorders>
            <w:shd w:val="clear" w:color="auto" w:fill="FFFFFF"/>
            <w:vAlign w:val="center"/>
          </w:tcPr>
          <w:p w14:paraId="25EFAEC7">
            <w:pPr>
              <w:pStyle w:val="167"/>
              <w:bidi w:val="0"/>
              <w:jc w:val="center"/>
              <w:rPr>
                <w:rFonts w:hint="default"/>
                <w:b w:val="0"/>
                <w:lang w:val="en-US" w:eastAsia="zh-CN"/>
              </w:rPr>
            </w:pPr>
            <w:r>
              <w:rPr>
                <w:rFonts w:hint="default"/>
                <w:b w:val="0"/>
                <w:lang w:val="en-US" w:eastAsia="zh-CN"/>
              </w:rPr>
              <w:t>Sensor-assisted home rehabilitation using ARC Intellicare; IMUs and a tablet application providing feedback and adherence monitoring</w:t>
            </w:r>
          </w:p>
        </w:tc>
        <w:tc>
          <w:tcPr>
            <w:tcW w:w="685" w:type="pct"/>
            <w:tcBorders>
              <w:top w:val="nil"/>
              <w:left w:val="nil"/>
              <w:bottom w:val="nil"/>
              <w:right w:val="nil"/>
            </w:tcBorders>
            <w:shd w:val="clear" w:color="auto" w:fill="FFFFFF"/>
            <w:vAlign w:val="center"/>
          </w:tcPr>
          <w:p w14:paraId="1FEEAED5">
            <w:pPr>
              <w:pStyle w:val="167"/>
              <w:bidi w:val="0"/>
              <w:jc w:val="center"/>
              <w:rPr>
                <w:rFonts w:hint="default"/>
                <w:b w:val="0"/>
                <w:lang w:val="en-US" w:eastAsia="zh-CN"/>
              </w:rPr>
            </w:pPr>
            <w:r>
              <w:rPr>
                <w:rFonts w:hint="default"/>
                <w:b w:val="0"/>
                <w:lang w:val="en-US" w:eastAsia="zh-CN"/>
              </w:rPr>
              <w:t>Paper-based home-exercise programme</w:t>
            </w:r>
          </w:p>
        </w:tc>
        <w:tc>
          <w:tcPr>
            <w:tcW w:w="577" w:type="pct"/>
            <w:tcBorders>
              <w:top w:val="nil"/>
              <w:left w:val="nil"/>
              <w:bottom w:val="nil"/>
              <w:right w:val="nil"/>
            </w:tcBorders>
            <w:shd w:val="clear" w:color="auto" w:fill="FFFFFF"/>
            <w:vAlign w:val="center"/>
          </w:tcPr>
          <w:p w14:paraId="635D1AF4">
            <w:pPr>
              <w:pStyle w:val="167"/>
              <w:bidi w:val="0"/>
              <w:jc w:val="center"/>
              <w:rPr>
                <w:rFonts w:hint="default"/>
                <w:b w:val="0"/>
                <w:lang w:val="en-US" w:eastAsia="zh-CN"/>
              </w:rPr>
            </w:pPr>
            <w:r>
              <w:rPr>
                <w:rFonts w:hint="default"/>
                <w:b w:val="0"/>
                <w:lang w:val="en-US" w:eastAsia="zh-CN"/>
              </w:rPr>
              <w:t>Ordinary home exercise</w:t>
            </w:r>
          </w:p>
        </w:tc>
        <w:tc>
          <w:tcPr>
            <w:tcW w:w="651" w:type="pct"/>
            <w:tcBorders>
              <w:top w:val="nil"/>
              <w:left w:val="nil"/>
              <w:bottom w:val="nil"/>
              <w:right w:val="nil"/>
            </w:tcBorders>
            <w:shd w:val="clear" w:color="auto" w:fill="FFFFFF"/>
            <w:vAlign w:val="center"/>
          </w:tcPr>
          <w:p w14:paraId="06E7D73F">
            <w:pPr>
              <w:pStyle w:val="167"/>
              <w:bidi w:val="0"/>
              <w:jc w:val="center"/>
              <w:rPr>
                <w:rFonts w:hint="default"/>
                <w:b w:val="0"/>
                <w:lang w:val="en-US" w:eastAsia="zh-CN"/>
              </w:rPr>
            </w:pPr>
            <w:r>
              <w:rPr>
                <w:rFonts w:hint="default"/>
                <w:b w:val="0"/>
                <w:lang w:val="en-US" w:eastAsia="zh-CN"/>
              </w:rPr>
              <w:t>8 weeks; 3 sessions/week; 60 min/session</w:t>
            </w:r>
          </w:p>
        </w:tc>
        <w:tc>
          <w:tcPr>
            <w:tcW w:w="477" w:type="pct"/>
            <w:tcBorders>
              <w:top w:val="nil"/>
              <w:left w:val="nil"/>
              <w:bottom w:val="nil"/>
              <w:right w:val="nil"/>
            </w:tcBorders>
            <w:shd w:val="clear" w:color="auto" w:fill="FFFFFF"/>
            <w:vAlign w:val="center"/>
          </w:tcPr>
          <w:p w14:paraId="63347ABC">
            <w:pPr>
              <w:pStyle w:val="167"/>
              <w:bidi w:val="0"/>
              <w:jc w:val="center"/>
              <w:rPr>
                <w:rFonts w:hint="default"/>
                <w:b w:val="0"/>
                <w:lang w:val="en-US" w:eastAsia="zh-CN"/>
              </w:rPr>
            </w:pPr>
            <w:r>
              <w:rPr>
                <w:rFonts w:hint="default"/>
                <w:b w:val="0"/>
                <w:lang w:val="en-US" w:eastAsia="zh-CN"/>
              </w:rPr>
              <w:t>Balance; gait/walking</w:t>
            </w:r>
          </w:p>
        </w:tc>
        <w:tc>
          <w:tcPr>
            <w:tcW w:w="591" w:type="pct"/>
            <w:tcBorders>
              <w:top w:val="nil"/>
              <w:left w:val="nil"/>
              <w:bottom w:val="nil"/>
              <w:right w:val="nil"/>
            </w:tcBorders>
            <w:shd w:val="clear" w:color="auto" w:fill="FFFFFF"/>
            <w:vAlign w:val="center"/>
          </w:tcPr>
          <w:p w14:paraId="09E32126">
            <w:pPr>
              <w:pStyle w:val="167"/>
              <w:bidi w:val="0"/>
              <w:jc w:val="center"/>
              <w:rPr>
                <w:rFonts w:hint="default"/>
                <w:b w:val="0"/>
                <w:lang w:val="en-US" w:eastAsia="zh-CN"/>
              </w:rPr>
            </w:pPr>
            <w:r>
              <w:rPr>
                <w:rFonts w:hint="default"/>
                <w:b w:val="0"/>
                <w:lang w:val="en-US" w:eastAsia="zh-CN"/>
              </w:rPr>
              <w:t>Primary endpoint meta-analysis</w:t>
            </w:r>
          </w:p>
        </w:tc>
      </w:tr>
      <w:tr w14:paraId="34B66E4D">
        <w:trPr>
          <w:cantSplit/>
          <w:tblHeader/>
        </w:trPr>
        <w:tc>
          <w:tcPr>
            <w:tcW w:w="573" w:type="pct"/>
            <w:tcBorders>
              <w:top w:val="nil"/>
              <w:left w:val="nil"/>
              <w:bottom w:val="nil"/>
              <w:right w:val="nil"/>
            </w:tcBorders>
            <w:shd w:val="clear" w:color="auto" w:fill="FFFFFF"/>
            <w:vAlign w:val="center"/>
          </w:tcPr>
          <w:p w14:paraId="4B5523A7">
            <w:pPr>
              <w:pStyle w:val="167"/>
              <w:bidi w:val="0"/>
              <w:jc w:val="center"/>
              <w:rPr>
                <w:rFonts w:hint="default"/>
                <w:b w:val="0"/>
                <w:lang w:val="en-US" w:eastAsia="zh-CN"/>
              </w:rPr>
            </w:pPr>
            <w:r>
              <w:rPr>
                <w:rFonts w:hint="default"/>
                <w:b w:val="0"/>
                <w:lang w:val="en-US" w:eastAsia="zh-CN"/>
              </w:rPr>
              <w:t>Catalogna 2026 (Israel; 20/19)</w:t>
            </w:r>
          </w:p>
        </w:tc>
        <w:tc>
          <w:tcPr>
            <w:tcW w:w="568" w:type="pct"/>
            <w:tcBorders>
              <w:top w:val="nil"/>
              <w:left w:val="nil"/>
              <w:bottom w:val="nil"/>
              <w:right w:val="nil"/>
            </w:tcBorders>
            <w:shd w:val="clear" w:color="auto" w:fill="FFFFFF"/>
            <w:vAlign w:val="center"/>
          </w:tcPr>
          <w:p w14:paraId="6AA116D1">
            <w:pPr>
              <w:pStyle w:val="167"/>
              <w:bidi w:val="0"/>
              <w:jc w:val="center"/>
              <w:rPr>
                <w:rFonts w:hint="default"/>
                <w:b w:val="0"/>
                <w:lang w:val="en-US" w:eastAsia="zh-CN"/>
              </w:rPr>
            </w:pPr>
            <w:r>
              <w:rPr>
                <w:rFonts w:hint="default"/>
                <w:b w:val="0"/>
                <w:lang w:val="en-US" w:eastAsia="zh-CN"/>
              </w:rPr>
              <w:t>PD; mean age 67.1 years; disease duration 5.6 years; predominantly H&amp;Y stages 1–2</w:t>
            </w:r>
          </w:p>
        </w:tc>
        <w:tc>
          <w:tcPr>
            <w:tcW w:w="874" w:type="pct"/>
            <w:tcBorders>
              <w:top w:val="nil"/>
              <w:left w:val="nil"/>
              <w:bottom w:val="nil"/>
              <w:right w:val="nil"/>
            </w:tcBorders>
            <w:shd w:val="clear" w:color="auto" w:fill="FFFFFF"/>
            <w:vAlign w:val="center"/>
          </w:tcPr>
          <w:p w14:paraId="6AEE2C82">
            <w:pPr>
              <w:pStyle w:val="167"/>
              <w:bidi w:val="0"/>
              <w:jc w:val="center"/>
              <w:rPr>
                <w:rFonts w:hint="default"/>
                <w:b w:val="0"/>
                <w:lang w:val="en-US" w:eastAsia="zh-CN"/>
              </w:rPr>
            </w:pPr>
            <w:r>
              <w:rPr>
                <w:rFonts w:hint="default"/>
                <w:b w:val="0"/>
                <w:lang w:val="en-US" w:eastAsia="zh-CN"/>
              </w:rPr>
              <w:t>DopApp multimodal digital home rehabilitation plus daily walking; application-use logs, reminders, and adaptive progression</w:t>
            </w:r>
          </w:p>
        </w:tc>
        <w:tc>
          <w:tcPr>
            <w:tcW w:w="685" w:type="pct"/>
            <w:tcBorders>
              <w:top w:val="nil"/>
              <w:left w:val="nil"/>
              <w:bottom w:val="nil"/>
              <w:right w:val="nil"/>
            </w:tcBorders>
            <w:shd w:val="clear" w:color="auto" w:fill="FFFFFF"/>
            <w:vAlign w:val="center"/>
          </w:tcPr>
          <w:p w14:paraId="0DC59ABA">
            <w:pPr>
              <w:pStyle w:val="167"/>
              <w:bidi w:val="0"/>
              <w:jc w:val="center"/>
              <w:rPr>
                <w:rFonts w:hint="default"/>
                <w:b w:val="0"/>
                <w:lang w:val="en-US" w:eastAsia="zh-CN"/>
              </w:rPr>
            </w:pPr>
            <w:r>
              <w:rPr>
                <w:rFonts w:hint="default"/>
                <w:b w:val="0"/>
                <w:lang w:val="en-US" w:eastAsia="zh-CN"/>
              </w:rPr>
              <w:t>Placebo/education application</w:t>
            </w:r>
          </w:p>
        </w:tc>
        <w:tc>
          <w:tcPr>
            <w:tcW w:w="577" w:type="pct"/>
            <w:tcBorders>
              <w:top w:val="nil"/>
              <w:left w:val="nil"/>
              <w:bottom w:val="nil"/>
              <w:right w:val="nil"/>
            </w:tcBorders>
            <w:shd w:val="clear" w:color="auto" w:fill="FFFFFF"/>
            <w:vAlign w:val="center"/>
          </w:tcPr>
          <w:p w14:paraId="2DC3C1C6">
            <w:pPr>
              <w:pStyle w:val="167"/>
              <w:bidi w:val="0"/>
              <w:jc w:val="center"/>
              <w:rPr>
                <w:rFonts w:hint="default"/>
                <w:b w:val="0"/>
                <w:lang w:val="en-US" w:eastAsia="zh-CN"/>
              </w:rPr>
            </w:pPr>
            <w:r>
              <w:rPr>
                <w:rFonts w:hint="default"/>
                <w:b w:val="0"/>
                <w:lang w:val="en-US" w:eastAsia="zh-CN"/>
              </w:rPr>
              <w:t>Passive/minimal control</w:t>
            </w:r>
          </w:p>
        </w:tc>
        <w:tc>
          <w:tcPr>
            <w:tcW w:w="651" w:type="pct"/>
            <w:tcBorders>
              <w:top w:val="nil"/>
              <w:left w:val="nil"/>
              <w:bottom w:val="nil"/>
              <w:right w:val="nil"/>
            </w:tcBorders>
            <w:shd w:val="clear" w:color="auto" w:fill="FFFFFF"/>
            <w:vAlign w:val="center"/>
          </w:tcPr>
          <w:p w14:paraId="3E388EB7">
            <w:pPr>
              <w:pStyle w:val="167"/>
              <w:bidi w:val="0"/>
              <w:jc w:val="center"/>
              <w:rPr>
                <w:rFonts w:hint="default"/>
                <w:b w:val="0"/>
                <w:lang w:val="en-US" w:eastAsia="zh-CN"/>
              </w:rPr>
            </w:pPr>
            <w:r>
              <w:rPr>
                <w:rFonts w:hint="default"/>
                <w:b w:val="0"/>
                <w:lang w:val="en-US" w:eastAsia="zh-CN"/>
              </w:rPr>
              <w:t>3 weeks; daily, approximately 30 min plus ≥15 min walking</w:t>
            </w:r>
          </w:p>
        </w:tc>
        <w:tc>
          <w:tcPr>
            <w:tcW w:w="477" w:type="pct"/>
            <w:tcBorders>
              <w:top w:val="nil"/>
              <w:left w:val="nil"/>
              <w:bottom w:val="nil"/>
              <w:right w:val="nil"/>
            </w:tcBorders>
            <w:shd w:val="clear" w:color="auto" w:fill="FFFFFF"/>
            <w:vAlign w:val="center"/>
          </w:tcPr>
          <w:p w14:paraId="08F67744">
            <w:pPr>
              <w:pStyle w:val="167"/>
              <w:bidi w:val="0"/>
              <w:jc w:val="center"/>
              <w:rPr>
                <w:rFonts w:hint="default"/>
                <w:b w:val="0"/>
                <w:lang w:val="en-US" w:eastAsia="zh-CN"/>
              </w:rPr>
            </w:pPr>
            <w:r>
              <w:rPr>
                <w:rFonts w:hint="default"/>
                <w:b w:val="0"/>
                <w:lang w:val="en-US" w:eastAsia="zh-CN"/>
              </w:rPr>
              <w:t>Motor symptoms</w:t>
            </w:r>
          </w:p>
        </w:tc>
        <w:tc>
          <w:tcPr>
            <w:tcW w:w="591" w:type="pct"/>
            <w:tcBorders>
              <w:top w:val="nil"/>
              <w:left w:val="nil"/>
              <w:bottom w:val="nil"/>
              <w:right w:val="nil"/>
            </w:tcBorders>
            <w:shd w:val="clear" w:color="auto" w:fill="FFFFFF"/>
            <w:vAlign w:val="center"/>
          </w:tcPr>
          <w:p w14:paraId="4CC3A6F6">
            <w:pPr>
              <w:pStyle w:val="167"/>
              <w:bidi w:val="0"/>
              <w:jc w:val="center"/>
              <w:rPr>
                <w:rFonts w:hint="default"/>
                <w:b w:val="0"/>
                <w:lang w:val="en-US" w:eastAsia="zh-CN"/>
              </w:rPr>
            </w:pPr>
            <w:r>
              <w:rPr>
                <w:rFonts w:hint="default"/>
                <w:b w:val="0"/>
                <w:lang w:val="en-US" w:eastAsia="zh-CN"/>
              </w:rPr>
              <w:t>Change-score sensitivity analysis only; not included in the endpoint-only primary analysis</w:t>
            </w:r>
          </w:p>
        </w:tc>
      </w:tr>
      <w:tr w14:paraId="61C85C80">
        <w:trPr>
          <w:cantSplit/>
          <w:tblHeader/>
        </w:trPr>
        <w:tc>
          <w:tcPr>
            <w:tcW w:w="573" w:type="pct"/>
            <w:tcBorders>
              <w:top w:val="nil"/>
              <w:left w:val="nil"/>
              <w:bottom w:val="nil"/>
              <w:right w:val="nil"/>
            </w:tcBorders>
            <w:shd w:val="clear" w:color="auto" w:fill="FFFFFF"/>
            <w:vAlign w:val="center"/>
          </w:tcPr>
          <w:p w14:paraId="45E2046C">
            <w:pPr>
              <w:pStyle w:val="167"/>
              <w:bidi w:val="0"/>
              <w:jc w:val="center"/>
              <w:rPr>
                <w:rFonts w:hint="default"/>
                <w:b w:val="0"/>
                <w:lang w:val="en-US" w:eastAsia="zh-CN"/>
              </w:rPr>
            </w:pPr>
            <w:r>
              <w:rPr>
                <w:rFonts w:hint="default"/>
                <w:b w:val="0"/>
                <w:lang w:val="en-US" w:eastAsia="zh-CN"/>
              </w:rPr>
              <w:t>Del Pino 2025 (Spain; 10/8)</w:t>
            </w:r>
          </w:p>
        </w:tc>
        <w:tc>
          <w:tcPr>
            <w:tcW w:w="568" w:type="pct"/>
            <w:tcBorders>
              <w:top w:val="nil"/>
              <w:left w:val="nil"/>
              <w:bottom w:val="nil"/>
              <w:right w:val="nil"/>
            </w:tcBorders>
            <w:shd w:val="clear" w:color="auto" w:fill="FFFFFF"/>
            <w:vAlign w:val="center"/>
          </w:tcPr>
          <w:p w14:paraId="6FEBAEC0">
            <w:pPr>
              <w:pStyle w:val="167"/>
              <w:bidi w:val="0"/>
              <w:jc w:val="center"/>
              <w:rPr>
                <w:rFonts w:hint="default"/>
                <w:b w:val="0"/>
                <w:lang w:val="en-US" w:eastAsia="zh-CN"/>
              </w:rPr>
            </w:pPr>
            <w:r>
              <w:rPr>
                <w:rFonts w:hint="default"/>
                <w:b w:val="0"/>
                <w:lang w:val="en-US" w:eastAsia="zh-CN"/>
              </w:rPr>
              <w:t>PD; mean age 64.5 versus 69.1 years; H&amp;Y stages 1–3</w:t>
            </w:r>
          </w:p>
        </w:tc>
        <w:tc>
          <w:tcPr>
            <w:tcW w:w="874" w:type="pct"/>
            <w:tcBorders>
              <w:top w:val="nil"/>
              <w:left w:val="nil"/>
              <w:bottom w:val="nil"/>
              <w:right w:val="nil"/>
            </w:tcBorders>
            <w:shd w:val="clear" w:color="auto" w:fill="FFFFFF"/>
            <w:vAlign w:val="center"/>
          </w:tcPr>
          <w:p w14:paraId="7982AC02">
            <w:pPr>
              <w:pStyle w:val="167"/>
              <w:bidi w:val="0"/>
              <w:jc w:val="center"/>
              <w:rPr>
                <w:rFonts w:hint="default"/>
                <w:b w:val="0"/>
                <w:lang w:val="en-US" w:eastAsia="zh-CN"/>
              </w:rPr>
            </w:pPr>
            <w:r>
              <w:rPr>
                <w:rFonts w:hint="default"/>
                <w:b w:val="0"/>
                <w:lang w:val="en-US" w:eastAsia="zh-CN"/>
              </w:rPr>
              <w:t>vCare home motor–cognitive telerehabilitation with serious games; platform, sensors/wearables, and weekly telephone contact</w:t>
            </w:r>
          </w:p>
        </w:tc>
        <w:tc>
          <w:tcPr>
            <w:tcW w:w="685" w:type="pct"/>
            <w:tcBorders>
              <w:top w:val="nil"/>
              <w:left w:val="nil"/>
              <w:bottom w:val="nil"/>
              <w:right w:val="nil"/>
            </w:tcBorders>
            <w:shd w:val="clear" w:color="auto" w:fill="FFFFFF"/>
            <w:vAlign w:val="center"/>
          </w:tcPr>
          <w:p w14:paraId="4FFA0BCE">
            <w:pPr>
              <w:pStyle w:val="167"/>
              <w:bidi w:val="0"/>
              <w:jc w:val="center"/>
              <w:rPr>
                <w:rFonts w:hint="default"/>
                <w:b w:val="0"/>
                <w:lang w:val="en-US" w:eastAsia="zh-CN"/>
              </w:rPr>
            </w:pPr>
            <w:r>
              <w:rPr>
                <w:rFonts w:hint="default"/>
                <w:b w:val="0"/>
                <w:lang w:val="en-US" w:eastAsia="zh-CN"/>
              </w:rPr>
              <w:t>Standard clinical care</w:t>
            </w:r>
          </w:p>
        </w:tc>
        <w:tc>
          <w:tcPr>
            <w:tcW w:w="577" w:type="pct"/>
            <w:tcBorders>
              <w:top w:val="nil"/>
              <w:left w:val="nil"/>
              <w:bottom w:val="nil"/>
              <w:right w:val="nil"/>
            </w:tcBorders>
            <w:shd w:val="clear" w:color="auto" w:fill="FFFFFF"/>
            <w:vAlign w:val="center"/>
          </w:tcPr>
          <w:p w14:paraId="18F2BA28">
            <w:pPr>
              <w:pStyle w:val="167"/>
              <w:bidi w:val="0"/>
              <w:jc w:val="center"/>
              <w:rPr>
                <w:rFonts w:hint="default"/>
                <w:b w:val="0"/>
                <w:lang w:val="en-US" w:eastAsia="zh-CN"/>
              </w:rPr>
            </w:pPr>
            <w:r>
              <w:rPr>
                <w:rFonts w:hint="default"/>
                <w:b w:val="0"/>
                <w:lang w:val="en-US" w:eastAsia="zh-CN"/>
              </w:rPr>
              <w:t>Passive/minimal control</w:t>
            </w:r>
          </w:p>
        </w:tc>
        <w:tc>
          <w:tcPr>
            <w:tcW w:w="651" w:type="pct"/>
            <w:tcBorders>
              <w:top w:val="nil"/>
              <w:left w:val="nil"/>
              <w:bottom w:val="nil"/>
              <w:right w:val="nil"/>
            </w:tcBorders>
            <w:shd w:val="clear" w:color="auto" w:fill="FFFFFF"/>
            <w:vAlign w:val="center"/>
          </w:tcPr>
          <w:p w14:paraId="5FBDBF25">
            <w:pPr>
              <w:pStyle w:val="167"/>
              <w:bidi w:val="0"/>
              <w:jc w:val="center"/>
              <w:rPr>
                <w:rFonts w:hint="default"/>
                <w:b w:val="0"/>
                <w:lang w:val="en-US" w:eastAsia="zh-CN"/>
              </w:rPr>
            </w:pPr>
            <w:r>
              <w:rPr>
                <w:rFonts w:hint="default"/>
                <w:b w:val="0"/>
                <w:lang w:val="en-US" w:eastAsia="zh-CN"/>
              </w:rPr>
              <w:t>4 months; 4 sessions/week; approximately 30 min/session (range 20–45 min)</w:t>
            </w:r>
          </w:p>
        </w:tc>
        <w:tc>
          <w:tcPr>
            <w:tcW w:w="477" w:type="pct"/>
            <w:tcBorders>
              <w:top w:val="nil"/>
              <w:left w:val="nil"/>
              <w:bottom w:val="nil"/>
              <w:right w:val="nil"/>
            </w:tcBorders>
            <w:shd w:val="clear" w:color="auto" w:fill="FFFFFF"/>
            <w:vAlign w:val="center"/>
          </w:tcPr>
          <w:p w14:paraId="50A392CD">
            <w:pPr>
              <w:pStyle w:val="167"/>
              <w:bidi w:val="0"/>
              <w:jc w:val="center"/>
              <w:rPr>
                <w:rFonts w:hint="default"/>
                <w:b w:val="0"/>
                <w:lang w:val="en-US" w:eastAsia="zh-CN"/>
              </w:rPr>
            </w:pPr>
            <w:r>
              <w:rPr>
                <w:rFonts w:hint="default"/>
                <w:b w:val="0"/>
                <w:lang w:val="en-US" w:eastAsia="zh-CN"/>
              </w:rPr>
              <w:t>Motor symptoms</w:t>
            </w:r>
          </w:p>
        </w:tc>
        <w:tc>
          <w:tcPr>
            <w:tcW w:w="591" w:type="pct"/>
            <w:tcBorders>
              <w:top w:val="nil"/>
              <w:left w:val="nil"/>
              <w:bottom w:val="nil"/>
              <w:right w:val="nil"/>
            </w:tcBorders>
            <w:shd w:val="clear" w:color="auto" w:fill="FFFFFF"/>
            <w:vAlign w:val="center"/>
          </w:tcPr>
          <w:p w14:paraId="2FF125C8">
            <w:pPr>
              <w:pStyle w:val="167"/>
              <w:bidi w:val="0"/>
              <w:jc w:val="center"/>
              <w:rPr>
                <w:rFonts w:hint="default"/>
                <w:b w:val="0"/>
                <w:lang w:val="en-US" w:eastAsia="zh-CN"/>
              </w:rPr>
            </w:pPr>
            <w:r>
              <w:rPr>
                <w:rFonts w:hint="default"/>
                <w:b w:val="0"/>
                <w:lang w:val="en-US" w:eastAsia="zh-CN"/>
              </w:rPr>
              <w:t>Primary endpoint meta-analysis</w:t>
            </w:r>
          </w:p>
        </w:tc>
      </w:tr>
      <w:tr w14:paraId="1ECBA066">
        <w:trPr>
          <w:cantSplit/>
          <w:tblHeader/>
        </w:trPr>
        <w:tc>
          <w:tcPr>
            <w:tcW w:w="573" w:type="pct"/>
            <w:tcBorders>
              <w:top w:val="nil"/>
              <w:left w:val="nil"/>
              <w:bottom w:val="nil"/>
              <w:right w:val="nil"/>
            </w:tcBorders>
            <w:shd w:val="clear" w:color="auto" w:fill="FFFFFF"/>
            <w:vAlign w:val="center"/>
          </w:tcPr>
          <w:p w14:paraId="676157C9">
            <w:pPr>
              <w:pStyle w:val="167"/>
              <w:bidi w:val="0"/>
              <w:jc w:val="center"/>
              <w:rPr>
                <w:rFonts w:hint="default"/>
                <w:b w:val="0"/>
                <w:lang w:val="en-US" w:eastAsia="zh-CN"/>
              </w:rPr>
            </w:pPr>
            <w:r>
              <w:rPr>
                <w:rFonts w:hint="default"/>
                <w:b w:val="0"/>
                <w:lang w:val="en-US" w:eastAsia="zh-CN"/>
              </w:rPr>
              <w:t>Dhamija 2025 (India; 35/28)</w:t>
            </w:r>
          </w:p>
        </w:tc>
        <w:tc>
          <w:tcPr>
            <w:tcW w:w="568" w:type="pct"/>
            <w:tcBorders>
              <w:top w:val="nil"/>
              <w:left w:val="nil"/>
              <w:bottom w:val="nil"/>
              <w:right w:val="nil"/>
            </w:tcBorders>
            <w:shd w:val="clear" w:color="auto" w:fill="FFFFFF"/>
            <w:vAlign w:val="center"/>
          </w:tcPr>
          <w:p w14:paraId="48FF3707">
            <w:pPr>
              <w:pStyle w:val="167"/>
              <w:bidi w:val="0"/>
              <w:jc w:val="center"/>
              <w:rPr>
                <w:rFonts w:hint="default"/>
                <w:b w:val="0"/>
                <w:lang w:val="en-US" w:eastAsia="zh-CN"/>
              </w:rPr>
            </w:pPr>
            <w:r>
              <w:rPr>
                <w:rFonts w:hint="default"/>
                <w:b w:val="0"/>
                <w:lang w:val="en-US" w:eastAsia="zh-CN"/>
              </w:rPr>
              <w:t>PD; mean age 62.8 versus 60.5 years; disease duration approximately 4–5 years; H&amp;Y stages 1–2.5</w:t>
            </w:r>
          </w:p>
        </w:tc>
        <w:tc>
          <w:tcPr>
            <w:tcW w:w="874" w:type="pct"/>
            <w:tcBorders>
              <w:top w:val="nil"/>
              <w:left w:val="nil"/>
              <w:bottom w:val="nil"/>
              <w:right w:val="nil"/>
            </w:tcBorders>
            <w:shd w:val="clear" w:color="auto" w:fill="FFFFFF"/>
            <w:vAlign w:val="center"/>
          </w:tcPr>
          <w:p w14:paraId="497F2908">
            <w:pPr>
              <w:pStyle w:val="167"/>
              <w:bidi w:val="0"/>
              <w:jc w:val="center"/>
              <w:rPr>
                <w:rFonts w:hint="default"/>
                <w:b w:val="0"/>
                <w:lang w:val="en-US" w:eastAsia="zh-CN"/>
              </w:rPr>
            </w:pPr>
            <w:r>
              <w:rPr>
                <w:rFonts w:hint="default"/>
                <w:b w:val="0"/>
                <w:lang w:val="en-US" w:eastAsia="zh-CN"/>
              </w:rPr>
              <w:t>Video-based teleneurorehabilitation; smartphone video calls, training logs, and therapist review</w:t>
            </w:r>
          </w:p>
        </w:tc>
        <w:tc>
          <w:tcPr>
            <w:tcW w:w="685" w:type="pct"/>
            <w:tcBorders>
              <w:top w:val="nil"/>
              <w:left w:val="nil"/>
              <w:bottom w:val="nil"/>
              <w:right w:val="nil"/>
            </w:tcBorders>
            <w:shd w:val="clear" w:color="auto" w:fill="FFFFFF"/>
            <w:vAlign w:val="center"/>
          </w:tcPr>
          <w:p w14:paraId="6B70F00A">
            <w:pPr>
              <w:pStyle w:val="167"/>
              <w:bidi w:val="0"/>
              <w:jc w:val="center"/>
              <w:rPr>
                <w:rFonts w:hint="default"/>
                <w:b w:val="0"/>
                <w:lang w:val="en-US" w:eastAsia="zh-CN"/>
              </w:rPr>
            </w:pPr>
            <w:r>
              <w:rPr>
                <w:rFonts w:hint="default"/>
                <w:b w:val="0"/>
                <w:lang w:val="en-US" w:eastAsia="zh-CN"/>
              </w:rPr>
              <w:t>Matched face-to-face rehabilitation</w:t>
            </w:r>
          </w:p>
        </w:tc>
        <w:tc>
          <w:tcPr>
            <w:tcW w:w="577" w:type="pct"/>
            <w:tcBorders>
              <w:top w:val="nil"/>
              <w:left w:val="nil"/>
              <w:bottom w:val="nil"/>
              <w:right w:val="nil"/>
            </w:tcBorders>
            <w:shd w:val="clear" w:color="auto" w:fill="FFFFFF"/>
            <w:vAlign w:val="center"/>
          </w:tcPr>
          <w:p w14:paraId="7BB6C682">
            <w:pPr>
              <w:pStyle w:val="167"/>
              <w:bidi w:val="0"/>
              <w:jc w:val="center"/>
              <w:rPr>
                <w:rFonts w:hint="default"/>
                <w:b w:val="0"/>
                <w:lang w:val="en-US" w:eastAsia="zh-CN"/>
              </w:rPr>
            </w:pPr>
            <w:r>
              <w:rPr>
                <w:rFonts w:hint="default"/>
                <w:b w:val="0"/>
                <w:lang w:val="en-US" w:eastAsia="zh-CN"/>
              </w:rPr>
              <w:t>Active therapist-led rehabilitation</w:t>
            </w:r>
          </w:p>
        </w:tc>
        <w:tc>
          <w:tcPr>
            <w:tcW w:w="651" w:type="pct"/>
            <w:tcBorders>
              <w:top w:val="nil"/>
              <w:left w:val="nil"/>
              <w:bottom w:val="nil"/>
              <w:right w:val="nil"/>
            </w:tcBorders>
            <w:shd w:val="clear" w:color="auto" w:fill="FFFFFF"/>
            <w:vAlign w:val="center"/>
          </w:tcPr>
          <w:p w14:paraId="0577400C">
            <w:pPr>
              <w:pStyle w:val="167"/>
              <w:bidi w:val="0"/>
              <w:jc w:val="center"/>
              <w:rPr>
                <w:rFonts w:hint="default"/>
                <w:b w:val="0"/>
                <w:lang w:val="en-US" w:eastAsia="zh-CN"/>
              </w:rPr>
            </w:pPr>
            <w:r>
              <w:rPr>
                <w:rFonts w:hint="default"/>
                <w:b w:val="0"/>
                <w:lang w:val="en-US" w:eastAsia="zh-CN"/>
              </w:rPr>
              <w:t>12 weeks; supervised sessions of 30 min; home practice ≥5 days/week</w:t>
            </w:r>
          </w:p>
        </w:tc>
        <w:tc>
          <w:tcPr>
            <w:tcW w:w="477" w:type="pct"/>
            <w:tcBorders>
              <w:top w:val="nil"/>
              <w:left w:val="nil"/>
              <w:bottom w:val="nil"/>
              <w:right w:val="nil"/>
            </w:tcBorders>
            <w:shd w:val="clear" w:color="auto" w:fill="FFFFFF"/>
            <w:vAlign w:val="center"/>
          </w:tcPr>
          <w:p w14:paraId="4B00169A">
            <w:pPr>
              <w:pStyle w:val="167"/>
              <w:bidi w:val="0"/>
              <w:jc w:val="center"/>
              <w:rPr>
                <w:rFonts w:hint="default"/>
                <w:b w:val="0"/>
                <w:lang w:val="en-US" w:eastAsia="zh-CN"/>
              </w:rPr>
            </w:pPr>
            <w:r>
              <w:rPr>
                <w:rFonts w:hint="default"/>
                <w:b w:val="0"/>
                <w:lang w:val="en-US" w:eastAsia="zh-CN"/>
              </w:rPr>
              <w:t>Motor symptoms; balance</w:t>
            </w:r>
          </w:p>
        </w:tc>
        <w:tc>
          <w:tcPr>
            <w:tcW w:w="591" w:type="pct"/>
            <w:tcBorders>
              <w:top w:val="nil"/>
              <w:left w:val="nil"/>
              <w:bottom w:val="nil"/>
              <w:right w:val="nil"/>
            </w:tcBorders>
            <w:shd w:val="clear" w:color="auto" w:fill="FFFFFF"/>
            <w:vAlign w:val="center"/>
          </w:tcPr>
          <w:p w14:paraId="12F11499">
            <w:pPr>
              <w:pStyle w:val="167"/>
              <w:bidi w:val="0"/>
              <w:jc w:val="center"/>
              <w:rPr>
                <w:rFonts w:hint="default"/>
                <w:b w:val="0"/>
                <w:lang w:val="en-US" w:eastAsia="zh-CN"/>
              </w:rPr>
            </w:pPr>
            <w:r>
              <w:rPr>
                <w:rFonts w:hint="default"/>
                <w:b w:val="0"/>
                <w:lang w:val="en-US" w:eastAsia="zh-CN"/>
              </w:rPr>
              <w:t>Primary endpoint meta-analysis</w:t>
            </w:r>
          </w:p>
        </w:tc>
      </w:tr>
      <w:tr w14:paraId="226781A7">
        <w:trPr>
          <w:cantSplit/>
          <w:tblHeader/>
        </w:trPr>
        <w:tc>
          <w:tcPr>
            <w:tcW w:w="573" w:type="pct"/>
            <w:tcBorders>
              <w:top w:val="nil"/>
              <w:left w:val="nil"/>
              <w:bottom w:val="nil"/>
              <w:right w:val="nil"/>
            </w:tcBorders>
            <w:shd w:val="clear" w:color="auto" w:fill="FFFFFF"/>
            <w:vAlign w:val="center"/>
          </w:tcPr>
          <w:p w14:paraId="5F3B52A4">
            <w:pPr>
              <w:pStyle w:val="167"/>
              <w:bidi w:val="0"/>
              <w:jc w:val="center"/>
              <w:rPr>
                <w:rFonts w:hint="default"/>
                <w:b w:val="0"/>
                <w:lang w:val="en-US" w:eastAsia="zh-CN"/>
              </w:rPr>
            </w:pPr>
            <w:r>
              <w:rPr>
                <w:rFonts w:hint="default"/>
                <w:b w:val="0"/>
                <w:lang w:val="en-US" w:eastAsia="zh-CN"/>
              </w:rPr>
              <w:t>Eldemir 2023 (Türkiye; 15/15)</w:t>
            </w:r>
          </w:p>
        </w:tc>
        <w:tc>
          <w:tcPr>
            <w:tcW w:w="568" w:type="pct"/>
            <w:tcBorders>
              <w:top w:val="nil"/>
              <w:left w:val="nil"/>
              <w:bottom w:val="nil"/>
              <w:right w:val="nil"/>
            </w:tcBorders>
            <w:shd w:val="clear" w:color="auto" w:fill="FFFFFF"/>
            <w:vAlign w:val="center"/>
          </w:tcPr>
          <w:p w14:paraId="0F1E8AB4">
            <w:pPr>
              <w:pStyle w:val="167"/>
              <w:bidi w:val="0"/>
              <w:jc w:val="center"/>
              <w:rPr>
                <w:rFonts w:hint="default"/>
                <w:b w:val="0"/>
                <w:lang w:val="en-US" w:eastAsia="zh-CN"/>
              </w:rPr>
            </w:pPr>
            <w:r>
              <w:rPr>
                <w:rFonts w:hint="default"/>
                <w:b w:val="0"/>
                <w:lang w:val="en-US" w:eastAsia="zh-CN"/>
              </w:rPr>
              <w:t>PD; mean age 57.9 versus 61.4 years; H&amp;Y stages 1–3</w:t>
            </w:r>
          </w:p>
        </w:tc>
        <w:tc>
          <w:tcPr>
            <w:tcW w:w="874" w:type="pct"/>
            <w:tcBorders>
              <w:top w:val="nil"/>
              <w:left w:val="nil"/>
              <w:bottom w:val="nil"/>
              <w:right w:val="nil"/>
            </w:tcBorders>
            <w:shd w:val="clear" w:color="auto" w:fill="FFFFFF"/>
            <w:vAlign w:val="center"/>
          </w:tcPr>
          <w:p w14:paraId="395564D5">
            <w:pPr>
              <w:pStyle w:val="167"/>
              <w:bidi w:val="0"/>
              <w:jc w:val="center"/>
              <w:rPr>
                <w:rFonts w:hint="default"/>
                <w:b w:val="0"/>
                <w:lang w:val="en-US" w:eastAsia="zh-CN"/>
              </w:rPr>
            </w:pPr>
            <w:r>
              <w:rPr>
                <w:rFonts w:hint="default"/>
                <w:b w:val="0"/>
                <w:lang w:val="en-US" w:eastAsia="zh-CN"/>
              </w:rPr>
              <w:t>Video-based upper-limb task-oriented circuit training plus home exercise; telephone support and exercise diary</w:t>
            </w:r>
          </w:p>
        </w:tc>
        <w:tc>
          <w:tcPr>
            <w:tcW w:w="685" w:type="pct"/>
            <w:tcBorders>
              <w:top w:val="nil"/>
              <w:left w:val="nil"/>
              <w:bottom w:val="nil"/>
              <w:right w:val="nil"/>
            </w:tcBorders>
            <w:shd w:val="clear" w:color="auto" w:fill="FFFFFF"/>
            <w:vAlign w:val="center"/>
          </w:tcPr>
          <w:p w14:paraId="22CD256E">
            <w:pPr>
              <w:pStyle w:val="167"/>
              <w:bidi w:val="0"/>
              <w:jc w:val="center"/>
              <w:rPr>
                <w:rFonts w:hint="default"/>
                <w:b w:val="0"/>
                <w:lang w:val="en-US" w:eastAsia="zh-CN"/>
              </w:rPr>
            </w:pPr>
            <w:r>
              <w:rPr>
                <w:rFonts w:hint="default"/>
                <w:b w:val="0"/>
                <w:lang w:val="en-US" w:eastAsia="zh-CN"/>
              </w:rPr>
              <w:t>Paper-based home-exercise programme</w:t>
            </w:r>
          </w:p>
        </w:tc>
        <w:tc>
          <w:tcPr>
            <w:tcW w:w="577" w:type="pct"/>
            <w:tcBorders>
              <w:top w:val="nil"/>
              <w:left w:val="nil"/>
              <w:bottom w:val="nil"/>
              <w:right w:val="nil"/>
            </w:tcBorders>
            <w:shd w:val="clear" w:color="auto" w:fill="FFFFFF"/>
            <w:vAlign w:val="center"/>
          </w:tcPr>
          <w:p w14:paraId="3A320884">
            <w:pPr>
              <w:pStyle w:val="167"/>
              <w:bidi w:val="0"/>
              <w:jc w:val="center"/>
              <w:rPr>
                <w:rFonts w:hint="default"/>
                <w:b w:val="0"/>
                <w:lang w:val="en-US" w:eastAsia="zh-CN"/>
              </w:rPr>
            </w:pPr>
            <w:r>
              <w:rPr>
                <w:rFonts w:hint="default"/>
                <w:b w:val="0"/>
                <w:lang w:val="en-US" w:eastAsia="zh-CN"/>
              </w:rPr>
              <w:t>Ordinary home exercise</w:t>
            </w:r>
          </w:p>
        </w:tc>
        <w:tc>
          <w:tcPr>
            <w:tcW w:w="651" w:type="pct"/>
            <w:tcBorders>
              <w:top w:val="nil"/>
              <w:left w:val="nil"/>
              <w:bottom w:val="nil"/>
              <w:right w:val="nil"/>
            </w:tcBorders>
            <w:shd w:val="clear" w:color="auto" w:fill="FFFFFF"/>
            <w:vAlign w:val="center"/>
          </w:tcPr>
          <w:p w14:paraId="2CD40547">
            <w:pPr>
              <w:pStyle w:val="167"/>
              <w:bidi w:val="0"/>
              <w:jc w:val="center"/>
              <w:rPr>
                <w:rFonts w:hint="default"/>
                <w:b w:val="0"/>
                <w:lang w:val="en-US" w:eastAsia="zh-CN"/>
              </w:rPr>
            </w:pPr>
            <w:r>
              <w:rPr>
                <w:rFonts w:hint="default"/>
                <w:b w:val="0"/>
                <w:lang w:val="en-US" w:eastAsia="zh-CN"/>
              </w:rPr>
              <w:t>6 weeks; 3 sessions/week; approximately 60 min/session</w:t>
            </w:r>
          </w:p>
        </w:tc>
        <w:tc>
          <w:tcPr>
            <w:tcW w:w="477" w:type="pct"/>
            <w:tcBorders>
              <w:top w:val="nil"/>
              <w:left w:val="nil"/>
              <w:bottom w:val="nil"/>
              <w:right w:val="nil"/>
            </w:tcBorders>
            <w:shd w:val="clear" w:color="auto" w:fill="FFFFFF"/>
            <w:vAlign w:val="center"/>
          </w:tcPr>
          <w:p w14:paraId="18B84B83">
            <w:pPr>
              <w:pStyle w:val="167"/>
              <w:bidi w:val="0"/>
              <w:jc w:val="center"/>
              <w:rPr>
                <w:rFonts w:hint="default"/>
                <w:b w:val="0"/>
                <w:lang w:val="en-US" w:eastAsia="zh-CN"/>
              </w:rPr>
            </w:pPr>
            <w:r>
              <w:rPr>
                <w:rFonts w:hint="default"/>
                <w:b w:val="0"/>
                <w:lang w:val="en-US" w:eastAsia="zh-CN"/>
              </w:rPr>
              <w:t>Motor symptoms</w:t>
            </w:r>
          </w:p>
        </w:tc>
        <w:tc>
          <w:tcPr>
            <w:tcW w:w="591" w:type="pct"/>
            <w:tcBorders>
              <w:top w:val="nil"/>
              <w:left w:val="nil"/>
              <w:bottom w:val="nil"/>
              <w:right w:val="nil"/>
            </w:tcBorders>
            <w:shd w:val="clear" w:color="auto" w:fill="FFFFFF"/>
            <w:vAlign w:val="center"/>
          </w:tcPr>
          <w:p w14:paraId="3158A21D">
            <w:pPr>
              <w:pStyle w:val="167"/>
              <w:bidi w:val="0"/>
              <w:jc w:val="center"/>
              <w:rPr>
                <w:rFonts w:hint="default"/>
                <w:b w:val="0"/>
                <w:lang w:val="en-US" w:eastAsia="zh-CN"/>
              </w:rPr>
            </w:pPr>
            <w:r>
              <w:rPr>
                <w:rFonts w:hint="default"/>
                <w:b w:val="0"/>
                <w:lang w:val="en-US" w:eastAsia="zh-CN"/>
              </w:rPr>
              <w:t>Primary endpoint meta-analysis</w:t>
            </w:r>
          </w:p>
        </w:tc>
      </w:tr>
      <w:tr w14:paraId="74503DA4">
        <w:trPr>
          <w:cantSplit/>
          <w:tblHeader/>
        </w:trPr>
        <w:tc>
          <w:tcPr>
            <w:tcW w:w="573" w:type="pct"/>
            <w:tcBorders>
              <w:top w:val="nil"/>
              <w:left w:val="nil"/>
              <w:bottom w:val="nil"/>
              <w:right w:val="nil"/>
            </w:tcBorders>
            <w:shd w:val="clear" w:color="auto" w:fill="FFFFFF"/>
            <w:vAlign w:val="center"/>
          </w:tcPr>
          <w:p w14:paraId="7D336F08">
            <w:pPr>
              <w:pStyle w:val="167"/>
              <w:bidi w:val="0"/>
              <w:jc w:val="center"/>
              <w:rPr>
                <w:rFonts w:hint="default"/>
                <w:b w:val="0"/>
                <w:lang w:val="en-US" w:eastAsia="zh-CN"/>
              </w:rPr>
            </w:pPr>
            <w:r>
              <w:rPr>
                <w:rFonts w:hint="default"/>
                <w:b w:val="0"/>
                <w:lang w:val="en-US" w:eastAsia="zh-CN"/>
              </w:rPr>
              <w:t>Flynn 2021 (Australia; 19/20)</w:t>
            </w:r>
          </w:p>
        </w:tc>
        <w:tc>
          <w:tcPr>
            <w:tcW w:w="568" w:type="pct"/>
            <w:tcBorders>
              <w:top w:val="nil"/>
              <w:left w:val="nil"/>
              <w:bottom w:val="nil"/>
              <w:right w:val="nil"/>
            </w:tcBorders>
            <w:shd w:val="clear" w:color="auto" w:fill="FFFFFF"/>
            <w:vAlign w:val="center"/>
          </w:tcPr>
          <w:p w14:paraId="47A7E018">
            <w:pPr>
              <w:pStyle w:val="167"/>
              <w:bidi w:val="0"/>
              <w:jc w:val="center"/>
              <w:rPr>
                <w:rFonts w:hint="default"/>
                <w:b w:val="0"/>
                <w:lang w:val="en-US" w:eastAsia="zh-CN"/>
              </w:rPr>
            </w:pPr>
            <w:r>
              <w:rPr>
                <w:rFonts w:hint="default"/>
                <w:b w:val="0"/>
                <w:lang w:val="en-US" w:eastAsia="zh-CN"/>
              </w:rPr>
              <w:t>PD; mean age approximately 72 versus 71 years; disease duration approximately 5 years; H&amp;Y stages I–III</w:t>
            </w:r>
          </w:p>
        </w:tc>
        <w:tc>
          <w:tcPr>
            <w:tcW w:w="874" w:type="pct"/>
            <w:tcBorders>
              <w:top w:val="nil"/>
              <w:left w:val="nil"/>
              <w:bottom w:val="nil"/>
              <w:right w:val="nil"/>
            </w:tcBorders>
            <w:shd w:val="clear" w:color="auto" w:fill="FFFFFF"/>
            <w:vAlign w:val="center"/>
          </w:tcPr>
          <w:p w14:paraId="091145EE">
            <w:pPr>
              <w:pStyle w:val="167"/>
              <w:bidi w:val="0"/>
              <w:jc w:val="center"/>
              <w:rPr>
                <w:rFonts w:hint="default"/>
                <w:b w:val="0"/>
                <w:lang w:val="en-US" w:eastAsia="zh-CN"/>
              </w:rPr>
            </w:pPr>
            <w:r>
              <w:rPr>
                <w:rFonts w:hint="default"/>
                <w:b w:val="0"/>
                <w:lang w:val="en-US" w:eastAsia="zh-CN"/>
              </w:rPr>
              <w:t>Home exercise with remote monitoring after shared centre training; telephone monitoring, application/paper logs, and exercise website</w:t>
            </w:r>
          </w:p>
        </w:tc>
        <w:tc>
          <w:tcPr>
            <w:tcW w:w="685" w:type="pct"/>
            <w:tcBorders>
              <w:top w:val="nil"/>
              <w:left w:val="nil"/>
              <w:bottom w:val="nil"/>
              <w:right w:val="nil"/>
            </w:tcBorders>
            <w:shd w:val="clear" w:color="auto" w:fill="FFFFFF"/>
            <w:vAlign w:val="center"/>
          </w:tcPr>
          <w:p w14:paraId="753799EF">
            <w:pPr>
              <w:pStyle w:val="167"/>
              <w:bidi w:val="0"/>
              <w:jc w:val="center"/>
              <w:rPr>
                <w:rFonts w:hint="default"/>
                <w:b w:val="0"/>
                <w:lang w:val="en-US" w:eastAsia="zh-CN"/>
              </w:rPr>
            </w:pPr>
            <w:r>
              <w:rPr>
                <w:rFonts w:hint="default"/>
                <w:b w:val="0"/>
                <w:lang w:val="en-US" w:eastAsia="zh-CN"/>
              </w:rPr>
              <w:t>Centre-based continuation after shared training</w:t>
            </w:r>
          </w:p>
        </w:tc>
        <w:tc>
          <w:tcPr>
            <w:tcW w:w="577" w:type="pct"/>
            <w:tcBorders>
              <w:top w:val="nil"/>
              <w:left w:val="nil"/>
              <w:bottom w:val="nil"/>
              <w:right w:val="nil"/>
            </w:tcBorders>
            <w:shd w:val="clear" w:color="auto" w:fill="FFFFFF"/>
            <w:vAlign w:val="center"/>
          </w:tcPr>
          <w:p w14:paraId="6BE53061">
            <w:pPr>
              <w:pStyle w:val="167"/>
              <w:bidi w:val="0"/>
              <w:jc w:val="center"/>
              <w:rPr>
                <w:rFonts w:hint="default"/>
                <w:b w:val="0"/>
                <w:lang w:val="en-US" w:eastAsia="zh-CN"/>
              </w:rPr>
            </w:pPr>
            <w:r>
              <w:rPr>
                <w:rFonts w:hint="default"/>
                <w:b w:val="0"/>
                <w:lang w:val="en-US" w:eastAsia="zh-CN"/>
              </w:rPr>
              <w:t>Active therapist-led rehabilitation</w:t>
            </w:r>
          </w:p>
        </w:tc>
        <w:tc>
          <w:tcPr>
            <w:tcW w:w="651" w:type="pct"/>
            <w:tcBorders>
              <w:top w:val="nil"/>
              <w:left w:val="nil"/>
              <w:bottom w:val="nil"/>
              <w:right w:val="nil"/>
            </w:tcBorders>
            <w:shd w:val="clear" w:color="auto" w:fill="FFFFFF"/>
            <w:vAlign w:val="center"/>
          </w:tcPr>
          <w:p w14:paraId="2734D647">
            <w:pPr>
              <w:pStyle w:val="167"/>
              <w:bidi w:val="0"/>
              <w:jc w:val="center"/>
              <w:rPr>
                <w:rFonts w:hint="default"/>
                <w:b w:val="0"/>
                <w:lang w:val="en-US" w:eastAsia="zh-CN"/>
              </w:rPr>
            </w:pPr>
            <w:r>
              <w:rPr>
                <w:rFonts w:hint="default"/>
                <w:b w:val="0"/>
                <w:lang w:val="en-US" w:eastAsia="zh-CN"/>
              </w:rPr>
              <w:t>10 weeks in total; comparison phase during weeks 6–10; approximately 3 sessions/week; 45–60 min/session</w:t>
            </w:r>
          </w:p>
        </w:tc>
        <w:tc>
          <w:tcPr>
            <w:tcW w:w="477" w:type="pct"/>
            <w:tcBorders>
              <w:top w:val="nil"/>
              <w:left w:val="nil"/>
              <w:bottom w:val="nil"/>
              <w:right w:val="nil"/>
            </w:tcBorders>
            <w:shd w:val="clear" w:color="auto" w:fill="FFFFFF"/>
            <w:vAlign w:val="center"/>
          </w:tcPr>
          <w:p w14:paraId="65EBF51D">
            <w:pPr>
              <w:pStyle w:val="167"/>
              <w:bidi w:val="0"/>
              <w:jc w:val="center"/>
              <w:rPr>
                <w:rFonts w:hint="default"/>
                <w:b w:val="0"/>
                <w:lang w:val="en-US" w:eastAsia="zh-CN"/>
              </w:rPr>
            </w:pPr>
            <w:r>
              <w:rPr>
                <w:rFonts w:hint="default"/>
                <w:b w:val="0"/>
                <w:lang w:val="en-US" w:eastAsia="zh-CN"/>
              </w:rPr>
              <w:t>Balance; gait/walking</w:t>
            </w:r>
          </w:p>
        </w:tc>
        <w:tc>
          <w:tcPr>
            <w:tcW w:w="591" w:type="pct"/>
            <w:tcBorders>
              <w:top w:val="nil"/>
              <w:left w:val="nil"/>
              <w:bottom w:val="nil"/>
              <w:right w:val="nil"/>
            </w:tcBorders>
            <w:shd w:val="clear" w:color="auto" w:fill="FFFFFF"/>
            <w:vAlign w:val="center"/>
          </w:tcPr>
          <w:p w14:paraId="4EF0AB9D">
            <w:pPr>
              <w:pStyle w:val="167"/>
              <w:bidi w:val="0"/>
              <w:jc w:val="center"/>
              <w:rPr>
                <w:rFonts w:hint="default"/>
                <w:b w:val="0"/>
                <w:lang w:val="en-US" w:eastAsia="zh-CN"/>
              </w:rPr>
            </w:pPr>
            <w:r>
              <w:rPr>
                <w:rFonts w:hint="default"/>
                <w:b w:val="0"/>
                <w:lang w:val="en-US" w:eastAsia="zh-CN"/>
              </w:rPr>
              <w:t>Primary endpoint meta-analysis</w:t>
            </w:r>
          </w:p>
        </w:tc>
      </w:tr>
      <w:tr w14:paraId="164578B6">
        <w:trPr>
          <w:cantSplit/>
          <w:tblHeader/>
        </w:trPr>
        <w:tc>
          <w:tcPr>
            <w:tcW w:w="573" w:type="pct"/>
            <w:tcBorders>
              <w:top w:val="nil"/>
              <w:left w:val="nil"/>
              <w:bottom w:val="nil"/>
              <w:right w:val="nil"/>
            </w:tcBorders>
            <w:shd w:val="clear" w:color="auto" w:fill="FFFFFF"/>
            <w:vAlign w:val="center"/>
          </w:tcPr>
          <w:p w14:paraId="3EAA46B8">
            <w:pPr>
              <w:pStyle w:val="167"/>
              <w:bidi w:val="0"/>
              <w:jc w:val="center"/>
              <w:rPr>
                <w:rFonts w:hint="default"/>
                <w:b w:val="0"/>
                <w:lang w:val="en-US" w:eastAsia="zh-CN"/>
              </w:rPr>
            </w:pPr>
            <w:r>
              <w:rPr>
                <w:rFonts w:hint="default"/>
                <w:b w:val="0"/>
                <w:lang w:val="en-US" w:eastAsia="zh-CN"/>
              </w:rPr>
              <w:t>Gandolfi 2017 (Italy; 36/34)</w:t>
            </w:r>
          </w:p>
        </w:tc>
        <w:tc>
          <w:tcPr>
            <w:tcW w:w="568" w:type="pct"/>
            <w:tcBorders>
              <w:top w:val="nil"/>
              <w:left w:val="nil"/>
              <w:bottom w:val="nil"/>
              <w:right w:val="nil"/>
            </w:tcBorders>
            <w:shd w:val="clear" w:color="auto" w:fill="FFFFFF"/>
            <w:vAlign w:val="center"/>
          </w:tcPr>
          <w:p w14:paraId="33731DFA">
            <w:pPr>
              <w:pStyle w:val="167"/>
              <w:bidi w:val="0"/>
              <w:jc w:val="center"/>
              <w:rPr>
                <w:rFonts w:hint="default"/>
                <w:b w:val="0"/>
                <w:lang w:val="en-US" w:eastAsia="zh-CN"/>
              </w:rPr>
            </w:pPr>
            <w:r>
              <w:rPr>
                <w:rFonts w:hint="default"/>
                <w:b w:val="0"/>
                <w:lang w:val="en-US" w:eastAsia="zh-CN"/>
              </w:rPr>
              <w:t>PD; mean age 67.5 versus 69.8 years; disease duration 6.2 versus 7.5 years; H&amp;Y stages 2.5–3</w:t>
            </w:r>
          </w:p>
        </w:tc>
        <w:tc>
          <w:tcPr>
            <w:tcW w:w="874" w:type="pct"/>
            <w:tcBorders>
              <w:top w:val="nil"/>
              <w:left w:val="nil"/>
              <w:bottom w:val="nil"/>
              <w:right w:val="nil"/>
            </w:tcBorders>
            <w:shd w:val="clear" w:color="auto" w:fill="FFFFFF"/>
            <w:vAlign w:val="center"/>
          </w:tcPr>
          <w:p w14:paraId="7796B370">
            <w:pPr>
              <w:pStyle w:val="167"/>
              <w:bidi w:val="0"/>
              <w:jc w:val="center"/>
              <w:rPr>
                <w:rFonts w:hint="default"/>
                <w:b w:val="0"/>
                <w:lang w:val="en-US" w:eastAsia="zh-CN"/>
              </w:rPr>
            </w:pPr>
            <w:r>
              <w:rPr>
                <w:rFonts w:hint="default"/>
                <w:b w:val="0"/>
                <w:lang w:val="en-US" w:eastAsia="zh-CN"/>
              </w:rPr>
              <w:t>Home Wii Fit virtual-reality balance training; Skype supervision with camera and caregiver support</w:t>
            </w:r>
          </w:p>
        </w:tc>
        <w:tc>
          <w:tcPr>
            <w:tcW w:w="685" w:type="pct"/>
            <w:tcBorders>
              <w:top w:val="nil"/>
              <w:left w:val="nil"/>
              <w:bottom w:val="nil"/>
              <w:right w:val="nil"/>
            </w:tcBorders>
            <w:shd w:val="clear" w:color="auto" w:fill="FFFFFF"/>
            <w:vAlign w:val="center"/>
          </w:tcPr>
          <w:p w14:paraId="3E01AF18">
            <w:pPr>
              <w:pStyle w:val="167"/>
              <w:bidi w:val="0"/>
              <w:jc w:val="center"/>
              <w:rPr>
                <w:rFonts w:hint="default"/>
                <w:b w:val="0"/>
                <w:lang w:val="en-US" w:eastAsia="zh-CN"/>
              </w:rPr>
            </w:pPr>
            <w:r>
              <w:rPr>
                <w:rFonts w:hint="default"/>
                <w:b w:val="0"/>
                <w:lang w:val="en-US" w:eastAsia="zh-CN"/>
              </w:rPr>
              <w:t>Clinic-based sensory-integration balance and gait training</w:t>
            </w:r>
          </w:p>
        </w:tc>
        <w:tc>
          <w:tcPr>
            <w:tcW w:w="577" w:type="pct"/>
            <w:tcBorders>
              <w:top w:val="nil"/>
              <w:left w:val="nil"/>
              <w:bottom w:val="nil"/>
              <w:right w:val="nil"/>
            </w:tcBorders>
            <w:shd w:val="clear" w:color="auto" w:fill="FFFFFF"/>
            <w:vAlign w:val="center"/>
          </w:tcPr>
          <w:p w14:paraId="4D367ECD">
            <w:pPr>
              <w:pStyle w:val="167"/>
              <w:bidi w:val="0"/>
              <w:jc w:val="center"/>
              <w:rPr>
                <w:rFonts w:hint="default"/>
                <w:b w:val="0"/>
                <w:lang w:val="en-US" w:eastAsia="zh-CN"/>
              </w:rPr>
            </w:pPr>
            <w:r>
              <w:rPr>
                <w:rFonts w:hint="default"/>
                <w:b w:val="0"/>
                <w:lang w:val="en-US" w:eastAsia="zh-CN"/>
              </w:rPr>
              <w:t>Active therapist-led rehabilitation</w:t>
            </w:r>
          </w:p>
        </w:tc>
        <w:tc>
          <w:tcPr>
            <w:tcW w:w="651" w:type="pct"/>
            <w:tcBorders>
              <w:top w:val="nil"/>
              <w:left w:val="nil"/>
              <w:bottom w:val="nil"/>
              <w:right w:val="nil"/>
            </w:tcBorders>
            <w:shd w:val="clear" w:color="auto" w:fill="FFFFFF"/>
            <w:vAlign w:val="center"/>
          </w:tcPr>
          <w:p w14:paraId="366600EE">
            <w:pPr>
              <w:pStyle w:val="167"/>
              <w:bidi w:val="0"/>
              <w:jc w:val="center"/>
              <w:rPr>
                <w:rFonts w:hint="default"/>
                <w:b w:val="0"/>
                <w:lang w:val="en-US" w:eastAsia="zh-CN"/>
              </w:rPr>
            </w:pPr>
            <w:r>
              <w:rPr>
                <w:rFonts w:hint="default"/>
                <w:b w:val="0"/>
                <w:lang w:val="en-US" w:eastAsia="zh-CN"/>
              </w:rPr>
              <w:t>7 weeks; 3 sessions/week; 50 min/session</w:t>
            </w:r>
          </w:p>
        </w:tc>
        <w:tc>
          <w:tcPr>
            <w:tcW w:w="477" w:type="pct"/>
            <w:tcBorders>
              <w:top w:val="nil"/>
              <w:left w:val="nil"/>
              <w:bottom w:val="nil"/>
              <w:right w:val="nil"/>
            </w:tcBorders>
            <w:shd w:val="clear" w:color="auto" w:fill="FFFFFF"/>
            <w:vAlign w:val="center"/>
          </w:tcPr>
          <w:p w14:paraId="38622DDA">
            <w:pPr>
              <w:pStyle w:val="167"/>
              <w:bidi w:val="0"/>
              <w:jc w:val="center"/>
              <w:rPr>
                <w:rFonts w:hint="default"/>
                <w:b w:val="0"/>
                <w:lang w:val="en-US" w:eastAsia="zh-CN"/>
              </w:rPr>
            </w:pPr>
            <w:r>
              <w:rPr>
                <w:rFonts w:hint="default"/>
                <w:b w:val="0"/>
                <w:lang w:val="en-US" w:eastAsia="zh-CN"/>
              </w:rPr>
              <w:t>Balance; gait/walking</w:t>
            </w:r>
          </w:p>
        </w:tc>
        <w:tc>
          <w:tcPr>
            <w:tcW w:w="591" w:type="pct"/>
            <w:tcBorders>
              <w:top w:val="nil"/>
              <w:left w:val="nil"/>
              <w:bottom w:val="nil"/>
              <w:right w:val="nil"/>
            </w:tcBorders>
            <w:shd w:val="clear" w:color="auto" w:fill="FFFFFF"/>
            <w:vAlign w:val="center"/>
          </w:tcPr>
          <w:p w14:paraId="24F3BD23">
            <w:pPr>
              <w:pStyle w:val="167"/>
              <w:bidi w:val="0"/>
              <w:jc w:val="center"/>
              <w:rPr>
                <w:rFonts w:hint="default"/>
                <w:b w:val="0"/>
                <w:lang w:val="en-US" w:eastAsia="zh-CN"/>
              </w:rPr>
            </w:pPr>
            <w:r>
              <w:rPr>
                <w:rFonts w:hint="default"/>
                <w:b w:val="0"/>
                <w:lang w:val="en-US" w:eastAsia="zh-CN"/>
              </w:rPr>
              <w:t>Primary endpoint meta-analysis</w:t>
            </w:r>
          </w:p>
        </w:tc>
      </w:tr>
      <w:tr w14:paraId="64CB2ACB">
        <w:trPr>
          <w:cantSplit/>
          <w:tblHeader/>
        </w:trPr>
        <w:tc>
          <w:tcPr>
            <w:tcW w:w="573" w:type="pct"/>
            <w:tcBorders>
              <w:top w:val="nil"/>
              <w:left w:val="nil"/>
              <w:bottom w:val="nil"/>
              <w:right w:val="nil"/>
            </w:tcBorders>
            <w:shd w:val="clear" w:color="auto" w:fill="FFFFFF"/>
            <w:vAlign w:val="center"/>
          </w:tcPr>
          <w:p w14:paraId="2B12D468">
            <w:pPr>
              <w:pStyle w:val="167"/>
              <w:bidi w:val="0"/>
              <w:jc w:val="center"/>
              <w:rPr>
                <w:rFonts w:hint="default"/>
                <w:b w:val="0"/>
                <w:lang w:val="en-US" w:eastAsia="zh-CN"/>
              </w:rPr>
            </w:pPr>
            <w:r>
              <w:rPr>
                <w:rFonts w:hint="default"/>
                <w:b w:val="0"/>
                <w:lang w:val="en-US" w:eastAsia="zh-CN"/>
              </w:rPr>
              <w:t>Ge 2024 (China; 90/100)</w:t>
            </w:r>
          </w:p>
        </w:tc>
        <w:tc>
          <w:tcPr>
            <w:tcW w:w="568" w:type="pct"/>
            <w:tcBorders>
              <w:top w:val="nil"/>
              <w:left w:val="nil"/>
              <w:bottom w:val="nil"/>
              <w:right w:val="nil"/>
            </w:tcBorders>
            <w:shd w:val="clear" w:color="auto" w:fill="FFFFFF"/>
            <w:vAlign w:val="center"/>
          </w:tcPr>
          <w:p w14:paraId="5CB83394">
            <w:pPr>
              <w:pStyle w:val="167"/>
              <w:bidi w:val="0"/>
              <w:jc w:val="center"/>
              <w:rPr>
                <w:rFonts w:hint="default"/>
                <w:b w:val="0"/>
                <w:lang w:val="en-US" w:eastAsia="zh-CN"/>
              </w:rPr>
            </w:pPr>
            <w:r>
              <w:rPr>
                <w:rFonts w:hint="default"/>
                <w:b w:val="0"/>
                <w:lang w:val="en-US" w:eastAsia="zh-CN"/>
              </w:rPr>
              <w:t>PD; mean age 69.1 versus 71.0 years; H&amp;Y stages I–III</w:t>
            </w:r>
          </w:p>
        </w:tc>
        <w:tc>
          <w:tcPr>
            <w:tcW w:w="874" w:type="pct"/>
            <w:tcBorders>
              <w:top w:val="nil"/>
              <w:left w:val="nil"/>
              <w:bottom w:val="nil"/>
              <w:right w:val="nil"/>
            </w:tcBorders>
            <w:shd w:val="clear" w:color="auto" w:fill="FFFFFF"/>
            <w:vAlign w:val="center"/>
          </w:tcPr>
          <w:p w14:paraId="175CE84E">
            <w:pPr>
              <w:pStyle w:val="167"/>
              <w:bidi w:val="0"/>
              <w:jc w:val="center"/>
              <w:rPr>
                <w:rFonts w:hint="default"/>
                <w:b w:val="0"/>
                <w:lang w:val="en-US" w:eastAsia="zh-CN"/>
              </w:rPr>
            </w:pPr>
            <w:r>
              <w:rPr>
                <w:rFonts w:hint="default"/>
                <w:b w:val="0"/>
                <w:lang w:val="en-US" w:eastAsia="zh-CN"/>
              </w:rPr>
              <w:t>Application-guided home telerehabilitation including balance, resistance, and gait training; mobile application, hospital platform, messaging, safety reporting, and therapist adjustment</w:t>
            </w:r>
          </w:p>
        </w:tc>
        <w:tc>
          <w:tcPr>
            <w:tcW w:w="685" w:type="pct"/>
            <w:tcBorders>
              <w:top w:val="nil"/>
              <w:left w:val="nil"/>
              <w:bottom w:val="nil"/>
              <w:right w:val="nil"/>
            </w:tcBorders>
            <w:shd w:val="clear" w:color="auto" w:fill="FFFFFF"/>
            <w:vAlign w:val="center"/>
          </w:tcPr>
          <w:p w14:paraId="2DFFAA8D">
            <w:pPr>
              <w:pStyle w:val="167"/>
              <w:bidi w:val="0"/>
              <w:jc w:val="center"/>
              <w:rPr>
                <w:rFonts w:hint="default"/>
                <w:b w:val="0"/>
                <w:lang w:val="en-US" w:eastAsia="zh-CN"/>
              </w:rPr>
            </w:pPr>
            <w:r>
              <w:rPr>
                <w:rFonts w:hint="default"/>
                <w:b w:val="0"/>
                <w:lang w:val="en-US" w:eastAsia="zh-CN"/>
              </w:rPr>
              <w:t>Home physical therapy with independent practice</w:t>
            </w:r>
          </w:p>
        </w:tc>
        <w:tc>
          <w:tcPr>
            <w:tcW w:w="577" w:type="pct"/>
            <w:tcBorders>
              <w:top w:val="nil"/>
              <w:left w:val="nil"/>
              <w:bottom w:val="nil"/>
              <w:right w:val="nil"/>
            </w:tcBorders>
            <w:shd w:val="clear" w:color="auto" w:fill="FFFFFF"/>
            <w:vAlign w:val="center"/>
          </w:tcPr>
          <w:p w14:paraId="6E7C2AA5">
            <w:pPr>
              <w:pStyle w:val="167"/>
              <w:bidi w:val="0"/>
              <w:jc w:val="center"/>
              <w:rPr>
                <w:rFonts w:hint="default"/>
                <w:b w:val="0"/>
                <w:lang w:val="en-US" w:eastAsia="zh-CN"/>
              </w:rPr>
            </w:pPr>
            <w:r>
              <w:rPr>
                <w:rFonts w:hint="default"/>
                <w:b w:val="0"/>
                <w:lang w:val="en-US" w:eastAsia="zh-CN"/>
              </w:rPr>
              <w:t>Active therapist-led rehabilitation</w:t>
            </w:r>
          </w:p>
        </w:tc>
        <w:tc>
          <w:tcPr>
            <w:tcW w:w="651" w:type="pct"/>
            <w:tcBorders>
              <w:top w:val="nil"/>
              <w:left w:val="nil"/>
              <w:bottom w:val="nil"/>
              <w:right w:val="nil"/>
            </w:tcBorders>
            <w:shd w:val="clear" w:color="auto" w:fill="FFFFFF"/>
            <w:vAlign w:val="center"/>
          </w:tcPr>
          <w:p w14:paraId="23F256C9">
            <w:pPr>
              <w:pStyle w:val="167"/>
              <w:bidi w:val="0"/>
              <w:jc w:val="center"/>
              <w:rPr>
                <w:rFonts w:hint="default"/>
                <w:b w:val="0"/>
                <w:lang w:val="en-US" w:eastAsia="zh-CN"/>
              </w:rPr>
            </w:pPr>
            <w:r>
              <w:rPr>
                <w:rFonts w:hint="default"/>
                <w:b w:val="0"/>
                <w:lang w:val="en-US" w:eastAsia="zh-CN"/>
              </w:rPr>
              <w:t>4 weeks; 5 sessions/week; 40–60 min/session</w:t>
            </w:r>
          </w:p>
        </w:tc>
        <w:tc>
          <w:tcPr>
            <w:tcW w:w="477" w:type="pct"/>
            <w:tcBorders>
              <w:top w:val="nil"/>
              <w:left w:val="nil"/>
              <w:bottom w:val="nil"/>
              <w:right w:val="nil"/>
            </w:tcBorders>
            <w:shd w:val="clear" w:color="auto" w:fill="FFFFFF"/>
            <w:vAlign w:val="center"/>
          </w:tcPr>
          <w:p w14:paraId="6F4EC08D">
            <w:pPr>
              <w:pStyle w:val="167"/>
              <w:bidi w:val="0"/>
              <w:jc w:val="center"/>
              <w:rPr>
                <w:rFonts w:hint="default"/>
                <w:b w:val="0"/>
                <w:lang w:val="en-US" w:eastAsia="zh-CN"/>
              </w:rPr>
            </w:pPr>
            <w:r>
              <w:rPr>
                <w:rFonts w:hint="default"/>
                <w:b w:val="0"/>
                <w:lang w:val="en-US" w:eastAsia="zh-CN"/>
              </w:rPr>
              <w:t>Motor symptoms; balance; functional mobility; gait/walking</w:t>
            </w:r>
          </w:p>
        </w:tc>
        <w:tc>
          <w:tcPr>
            <w:tcW w:w="591" w:type="pct"/>
            <w:tcBorders>
              <w:top w:val="nil"/>
              <w:left w:val="nil"/>
              <w:bottom w:val="nil"/>
              <w:right w:val="nil"/>
            </w:tcBorders>
            <w:shd w:val="clear" w:color="auto" w:fill="FFFFFF"/>
            <w:vAlign w:val="center"/>
          </w:tcPr>
          <w:p w14:paraId="40CC110F">
            <w:pPr>
              <w:pStyle w:val="167"/>
              <w:bidi w:val="0"/>
              <w:jc w:val="center"/>
              <w:rPr>
                <w:rFonts w:hint="default"/>
                <w:b w:val="0"/>
                <w:lang w:val="en-US" w:eastAsia="zh-CN"/>
              </w:rPr>
            </w:pPr>
            <w:r>
              <w:rPr>
                <w:rFonts w:hint="default"/>
                <w:b w:val="0"/>
                <w:lang w:val="en-US" w:eastAsia="zh-CN"/>
              </w:rPr>
              <w:t>Primary endpoint meta-analysis</w:t>
            </w:r>
          </w:p>
        </w:tc>
      </w:tr>
      <w:tr w14:paraId="35FC192F">
        <w:trPr>
          <w:cantSplit/>
          <w:tblHeader/>
        </w:trPr>
        <w:tc>
          <w:tcPr>
            <w:tcW w:w="573" w:type="pct"/>
            <w:tcBorders>
              <w:top w:val="nil"/>
              <w:left w:val="nil"/>
              <w:bottom w:val="nil"/>
              <w:right w:val="nil"/>
            </w:tcBorders>
            <w:shd w:val="clear" w:color="auto" w:fill="FFFFFF"/>
            <w:vAlign w:val="center"/>
          </w:tcPr>
          <w:p w14:paraId="3F3898C2">
            <w:pPr>
              <w:pStyle w:val="167"/>
              <w:bidi w:val="0"/>
              <w:jc w:val="center"/>
              <w:rPr>
                <w:rFonts w:hint="default"/>
                <w:b w:val="0"/>
                <w:lang w:val="en-US" w:eastAsia="zh-CN"/>
              </w:rPr>
            </w:pPr>
            <w:r>
              <w:rPr>
                <w:rFonts w:hint="default"/>
                <w:b w:val="0"/>
                <w:lang w:val="en-US" w:eastAsia="zh-CN"/>
              </w:rPr>
              <w:t>Ginis 2016 (Belgium/Israel; 20/18)</w:t>
            </w:r>
          </w:p>
        </w:tc>
        <w:tc>
          <w:tcPr>
            <w:tcW w:w="568" w:type="pct"/>
            <w:tcBorders>
              <w:top w:val="nil"/>
              <w:left w:val="nil"/>
              <w:bottom w:val="nil"/>
              <w:right w:val="nil"/>
            </w:tcBorders>
            <w:shd w:val="clear" w:color="auto" w:fill="FFFFFF"/>
            <w:vAlign w:val="center"/>
          </w:tcPr>
          <w:p w14:paraId="67560469">
            <w:pPr>
              <w:pStyle w:val="167"/>
              <w:bidi w:val="0"/>
              <w:jc w:val="center"/>
              <w:rPr>
                <w:rFonts w:hint="default"/>
                <w:b w:val="0"/>
                <w:lang w:val="en-US" w:eastAsia="zh-CN"/>
              </w:rPr>
            </w:pPr>
            <w:r>
              <w:rPr>
                <w:rFonts w:hint="default"/>
                <w:b w:val="0"/>
                <w:lang w:val="en-US" w:eastAsia="zh-CN"/>
              </w:rPr>
              <w:t>PD; H&amp;Y stages II–III</w:t>
            </w:r>
          </w:p>
        </w:tc>
        <w:tc>
          <w:tcPr>
            <w:tcW w:w="874" w:type="pct"/>
            <w:tcBorders>
              <w:top w:val="nil"/>
              <w:left w:val="nil"/>
              <w:bottom w:val="nil"/>
              <w:right w:val="nil"/>
            </w:tcBorders>
            <w:shd w:val="clear" w:color="auto" w:fill="FFFFFF"/>
            <w:vAlign w:val="center"/>
          </w:tcPr>
          <w:p w14:paraId="43CC6BD9">
            <w:pPr>
              <w:pStyle w:val="167"/>
              <w:bidi w:val="0"/>
              <w:jc w:val="center"/>
              <w:rPr>
                <w:rFonts w:hint="default"/>
                <w:b w:val="0"/>
                <w:lang w:val="en-US" w:eastAsia="zh-CN"/>
              </w:rPr>
            </w:pPr>
            <w:r>
              <w:rPr>
                <w:rFonts w:hint="default"/>
                <w:b w:val="0"/>
                <w:lang w:val="en-US" w:eastAsia="zh-CN"/>
              </w:rPr>
              <w:t>CuPiD smartphone- and sensor-supported home gait training; smartphone application, IMUs, auditory cues, professional contact, and training logs</w:t>
            </w:r>
          </w:p>
        </w:tc>
        <w:tc>
          <w:tcPr>
            <w:tcW w:w="685" w:type="pct"/>
            <w:tcBorders>
              <w:top w:val="nil"/>
              <w:left w:val="nil"/>
              <w:bottom w:val="nil"/>
              <w:right w:val="nil"/>
            </w:tcBorders>
            <w:shd w:val="clear" w:color="auto" w:fill="FFFFFF"/>
            <w:vAlign w:val="center"/>
          </w:tcPr>
          <w:p w14:paraId="5DA2029E">
            <w:pPr>
              <w:pStyle w:val="167"/>
              <w:bidi w:val="0"/>
              <w:jc w:val="center"/>
              <w:rPr>
                <w:rFonts w:hint="default"/>
                <w:b w:val="0"/>
                <w:lang w:val="en-US" w:eastAsia="zh-CN"/>
              </w:rPr>
            </w:pPr>
            <w:r>
              <w:rPr>
                <w:rFonts w:hint="default"/>
                <w:b w:val="0"/>
                <w:lang w:val="en-US" w:eastAsia="zh-CN"/>
              </w:rPr>
              <w:t>Conventional home gait training</w:t>
            </w:r>
          </w:p>
        </w:tc>
        <w:tc>
          <w:tcPr>
            <w:tcW w:w="577" w:type="pct"/>
            <w:tcBorders>
              <w:top w:val="nil"/>
              <w:left w:val="nil"/>
              <w:bottom w:val="nil"/>
              <w:right w:val="nil"/>
            </w:tcBorders>
            <w:shd w:val="clear" w:color="auto" w:fill="FFFFFF"/>
            <w:vAlign w:val="center"/>
          </w:tcPr>
          <w:p w14:paraId="724375F4">
            <w:pPr>
              <w:pStyle w:val="167"/>
              <w:bidi w:val="0"/>
              <w:jc w:val="center"/>
              <w:rPr>
                <w:rFonts w:hint="default"/>
                <w:b w:val="0"/>
                <w:lang w:val="en-US" w:eastAsia="zh-CN"/>
              </w:rPr>
            </w:pPr>
            <w:r>
              <w:rPr>
                <w:rFonts w:hint="default"/>
                <w:b w:val="0"/>
                <w:lang w:val="en-US" w:eastAsia="zh-CN"/>
              </w:rPr>
              <w:t>Ordinary home exercise</w:t>
            </w:r>
          </w:p>
        </w:tc>
        <w:tc>
          <w:tcPr>
            <w:tcW w:w="651" w:type="pct"/>
            <w:tcBorders>
              <w:top w:val="nil"/>
              <w:left w:val="nil"/>
              <w:bottom w:val="nil"/>
              <w:right w:val="nil"/>
            </w:tcBorders>
            <w:shd w:val="clear" w:color="auto" w:fill="FFFFFF"/>
            <w:vAlign w:val="center"/>
          </w:tcPr>
          <w:p w14:paraId="038C9EEA">
            <w:pPr>
              <w:pStyle w:val="167"/>
              <w:bidi w:val="0"/>
              <w:jc w:val="center"/>
              <w:rPr>
                <w:rFonts w:hint="default"/>
                <w:b w:val="0"/>
                <w:lang w:val="en-US" w:eastAsia="zh-CN"/>
              </w:rPr>
            </w:pPr>
            <w:r>
              <w:rPr>
                <w:rFonts w:hint="default"/>
                <w:b w:val="0"/>
                <w:lang w:val="en-US" w:eastAsia="zh-CN"/>
              </w:rPr>
              <w:t>6 weeks; ≥3 sessions/week; 30 min/session</w:t>
            </w:r>
          </w:p>
        </w:tc>
        <w:tc>
          <w:tcPr>
            <w:tcW w:w="477" w:type="pct"/>
            <w:tcBorders>
              <w:top w:val="nil"/>
              <w:left w:val="nil"/>
              <w:bottom w:val="nil"/>
              <w:right w:val="nil"/>
            </w:tcBorders>
            <w:shd w:val="clear" w:color="auto" w:fill="FFFFFF"/>
            <w:vAlign w:val="center"/>
          </w:tcPr>
          <w:p w14:paraId="423539EF">
            <w:pPr>
              <w:pStyle w:val="167"/>
              <w:bidi w:val="0"/>
              <w:jc w:val="center"/>
              <w:rPr>
                <w:rFonts w:hint="default"/>
                <w:b w:val="0"/>
                <w:lang w:val="en-US" w:eastAsia="zh-CN"/>
              </w:rPr>
            </w:pPr>
            <w:r>
              <w:rPr>
                <w:rFonts w:hint="default"/>
                <w:b w:val="0"/>
                <w:lang w:val="en-US" w:eastAsia="zh-CN"/>
              </w:rPr>
              <w:t>Motor symptoms; balance; gait/walking</w:t>
            </w:r>
          </w:p>
        </w:tc>
        <w:tc>
          <w:tcPr>
            <w:tcW w:w="591" w:type="pct"/>
            <w:tcBorders>
              <w:top w:val="nil"/>
              <w:left w:val="nil"/>
              <w:bottom w:val="nil"/>
              <w:right w:val="nil"/>
            </w:tcBorders>
            <w:shd w:val="clear" w:color="auto" w:fill="FFFFFF"/>
            <w:vAlign w:val="center"/>
          </w:tcPr>
          <w:p w14:paraId="1CE0E096">
            <w:pPr>
              <w:pStyle w:val="167"/>
              <w:bidi w:val="0"/>
              <w:jc w:val="center"/>
              <w:rPr>
                <w:rFonts w:hint="default"/>
                <w:b w:val="0"/>
                <w:lang w:val="en-US" w:eastAsia="zh-CN"/>
              </w:rPr>
            </w:pPr>
            <w:r>
              <w:rPr>
                <w:rFonts w:hint="default"/>
                <w:b w:val="0"/>
                <w:lang w:val="en-US" w:eastAsia="zh-CN"/>
              </w:rPr>
              <w:t>Primary endpoint meta-analysis</w:t>
            </w:r>
          </w:p>
        </w:tc>
      </w:tr>
      <w:tr w14:paraId="78B13098">
        <w:trPr>
          <w:cantSplit/>
          <w:tblHeader/>
        </w:trPr>
        <w:tc>
          <w:tcPr>
            <w:tcW w:w="573" w:type="pct"/>
            <w:tcBorders>
              <w:top w:val="nil"/>
              <w:left w:val="nil"/>
              <w:bottom w:val="nil"/>
              <w:right w:val="nil"/>
            </w:tcBorders>
            <w:shd w:val="clear" w:color="auto" w:fill="FFFFFF"/>
            <w:vAlign w:val="center"/>
          </w:tcPr>
          <w:p w14:paraId="514A11D6">
            <w:pPr>
              <w:pStyle w:val="167"/>
              <w:bidi w:val="0"/>
              <w:jc w:val="center"/>
              <w:rPr>
                <w:rFonts w:hint="default"/>
                <w:b w:val="0"/>
                <w:lang w:val="en-US" w:eastAsia="zh-CN"/>
              </w:rPr>
            </w:pPr>
            <w:r>
              <w:rPr>
                <w:rFonts w:hint="default"/>
                <w:b w:val="0"/>
                <w:lang w:val="en-US" w:eastAsia="zh-CN"/>
              </w:rPr>
              <w:t>Goffredo 2023 (Italy; 49/48)</w:t>
            </w:r>
          </w:p>
        </w:tc>
        <w:tc>
          <w:tcPr>
            <w:tcW w:w="568" w:type="pct"/>
            <w:tcBorders>
              <w:top w:val="nil"/>
              <w:left w:val="nil"/>
              <w:bottom w:val="nil"/>
              <w:right w:val="nil"/>
            </w:tcBorders>
            <w:shd w:val="clear" w:color="auto" w:fill="FFFFFF"/>
            <w:vAlign w:val="center"/>
          </w:tcPr>
          <w:p w14:paraId="4837173C">
            <w:pPr>
              <w:pStyle w:val="167"/>
              <w:bidi w:val="0"/>
              <w:jc w:val="center"/>
              <w:rPr>
                <w:rFonts w:hint="default"/>
                <w:b w:val="0"/>
                <w:lang w:val="en-US" w:eastAsia="zh-CN"/>
              </w:rPr>
            </w:pPr>
            <w:r>
              <w:rPr>
                <w:rFonts w:hint="default"/>
                <w:b w:val="0"/>
                <w:lang w:val="en-US" w:eastAsia="zh-CN"/>
              </w:rPr>
              <w:t>PD; mean age 67.8 versus 68.2 years; disease duration 4 versus 5 years; H&amp;Y stage ≤3</w:t>
            </w:r>
          </w:p>
        </w:tc>
        <w:tc>
          <w:tcPr>
            <w:tcW w:w="874" w:type="pct"/>
            <w:tcBorders>
              <w:top w:val="nil"/>
              <w:left w:val="nil"/>
              <w:bottom w:val="nil"/>
              <w:right w:val="nil"/>
            </w:tcBorders>
            <w:shd w:val="clear" w:color="auto" w:fill="FFFFFF"/>
            <w:vAlign w:val="center"/>
          </w:tcPr>
          <w:p w14:paraId="5A1CC65F">
            <w:pPr>
              <w:pStyle w:val="167"/>
              <w:bidi w:val="0"/>
              <w:jc w:val="center"/>
              <w:rPr>
                <w:rFonts w:hint="default"/>
                <w:b w:val="0"/>
                <w:lang w:val="en-US" w:eastAsia="zh-CN"/>
              </w:rPr>
            </w:pPr>
            <w:r>
              <w:rPr>
                <w:rFonts w:hint="default"/>
                <w:b w:val="0"/>
                <w:lang w:val="en-US" w:eastAsia="zh-CN"/>
              </w:rPr>
              <w:t>VRRS tablet-based non-immersive virtual-reality home rehabilitation; IMUs, audiovisual feedback, weekly therapist sessions, and daily reports</w:t>
            </w:r>
          </w:p>
        </w:tc>
        <w:tc>
          <w:tcPr>
            <w:tcW w:w="685" w:type="pct"/>
            <w:tcBorders>
              <w:top w:val="nil"/>
              <w:left w:val="nil"/>
              <w:bottom w:val="nil"/>
              <w:right w:val="nil"/>
            </w:tcBorders>
            <w:shd w:val="clear" w:color="auto" w:fill="FFFFFF"/>
            <w:vAlign w:val="center"/>
          </w:tcPr>
          <w:p w14:paraId="28A2D654">
            <w:pPr>
              <w:pStyle w:val="167"/>
              <w:bidi w:val="0"/>
              <w:jc w:val="center"/>
              <w:rPr>
                <w:rFonts w:hint="default"/>
                <w:b w:val="0"/>
                <w:lang w:val="en-US" w:eastAsia="zh-CN"/>
              </w:rPr>
            </w:pPr>
            <w:r>
              <w:rPr>
                <w:rFonts w:hint="default"/>
                <w:b w:val="0"/>
                <w:lang w:val="en-US" w:eastAsia="zh-CN"/>
              </w:rPr>
              <w:t>Paper-based home self-management exercise</w:t>
            </w:r>
          </w:p>
        </w:tc>
        <w:tc>
          <w:tcPr>
            <w:tcW w:w="577" w:type="pct"/>
            <w:tcBorders>
              <w:top w:val="nil"/>
              <w:left w:val="nil"/>
              <w:bottom w:val="nil"/>
              <w:right w:val="nil"/>
            </w:tcBorders>
            <w:shd w:val="clear" w:color="auto" w:fill="FFFFFF"/>
            <w:vAlign w:val="center"/>
          </w:tcPr>
          <w:p w14:paraId="0969A496">
            <w:pPr>
              <w:pStyle w:val="167"/>
              <w:bidi w:val="0"/>
              <w:jc w:val="center"/>
              <w:rPr>
                <w:rFonts w:hint="default"/>
                <w:b w:val="0"/>
                <w:lang w:val="en-US" w:eastAsia="zh-CN"/>
              </w:rPr>
            </w:pPr>
            <w:r>
              <w:rPr>
                <w:rFonts w:hint="default"/>
                <w:b w:val="0"/>
                <w:lang w:val="en-US" w:eastAsia="zh-CN"/>
              </w:rPr>
              <w:t>Ordinary home exercise</w:t>
            </w:r>
          </w:p>
        </w:tc>
        <w:tc>
          <w:tcPr>
            <w:tcW w:w="651" w:type="pct"/>
            <w:tcBorders>
              <w:top w:val="nil"/>
              <w:left w:val="nil"/>
              <w:bottom w:val="nil"/>
              <w:right w:val="nil"/>
            </w:tcBorders>
            <w:shd w:val="clear" w:color="auto" w:fill="FFFFFF"/>
            <w:vAlign w:val="center"/>
          </w:tcPr>
          <w:p w14:paraId="3081CB2D">
            <w:pPr>
              <w:pStyle w:val="167"/>
              <w:bidi w:val="0"/>
              <w:jc w:val="center"/>
              <w:rPr>
                <w:rFonts w:hint="default"/>
                <w:b w:val="0"/>
                <w:lang w:val="en-US" w:eastAsia="zh-CN"/>
              </w:rPr>
            </w:pPr>
            <w:r>
              <w:rPr>
                <w:rFonts w:hint="default"/>
                <w:b w:val="0"/>
                <w:lang w:val="en-US" w:eastAsia="zh-CN"/>
              </w:rPr>
              <w:t>6–10 weeks; 30 sessions; 3–5 sessions/week; approximately 45 min/session</w:t>
            </w:r>
          </w:p>
        </w:tc>
        <w:tc>
          <w:tcPr>
            <w:tcW w:w="477" w:type="pct"/>
            <w:tcBorders>
              <w:top w:val="nil"/>
              <w:left w:val="nil"/>
              <w:bottom w:val="nil"/>
              <w:right w:val="nil"/>
            </w:tcBorders>
            <w:shd w:val="clear" w:color="auto" w:fill="FFFFFF"/>
            <w:vAlign w:val="center"/>
          </w:tcPr>
          <w:p w14:paraId="7879E4F1">
            <w:pPr>
              <w:pStyle w:val="167"/>
              <w:bidi w:val="0"/>
              <w:jc w:val="center"/>
              <w:rPr>
                <w:rFonts w:hint="default"/>
                <w:b w:val="0"/>
                <w:lang w:val="en-US" w:eastAsia="zh-CN"/>
              </w:rPr>
            </w:pPr>
            <w:r>
              <w:rPr>
                <w:rFonts w:hint="default"/>
                <w:b w:val="0"/>
                <w:lang w:val="en-US" w:eastAsia="zh-CN"/>
              </w:rPr>
              <w:t>Motor symptoms; balance; functional mobility</w:t>
            </w:r>
          </w:p>
        </w:tc>
        <w:tc>
          <w:tcPr>
            <w:tcW w:w="591" w:type="pct"/>
            <w:tcBorders>
              <w:top w:val="nil"/>
              <w:left w:val="nil"/>
              <w:bottom w:val="nil"/>
              <w:right w:val="nil"/>
            </w:tcBorders>
            <w:shd w:val="clear" w:color="auto" w:fill="FFFFFF"/>
            <w:vAlign w:val="center"/>
          </w:tcPr>
          <w:p w14:paraId="7205DC68">
            <w:pPr>
              <w:pStyle w:val="167"/>
              <w:bidi w:val="0"/>
              <w:jc w:val="center"/>
              <w:rPr>
                <w:rFonts w:hint="default"/>
                <w:b w:val="0"/>
                <w:lang w:val="en-US" w:eastAsia="zh-CN"/>
              </w:rPr>
            </w:pPr>
            <w:r>
              <w:rPr>
                <w:rFonts w:hint="default"/>
                <w:b w:val="0"/>
                <w:lang w:val="en-US" w:eastAsia="zh-CN"/>
              </w:rPr>
              <w:t>Primary endpoint meta-analysis</w:t>
            </w:r>
          </w:p>
        </w:tc>
      </w:tr>
      <w:tr w14:paraId="2637A405">
        <w:trPr>
          <w:cantSplit/>
          <w:tblHeader/>
        </w:trPr>
        <w:tc>
          <w:tcPr>
            <w:tcW w:w="573" w:type="pct"/>
            <w:tcBorders>
              <w:top w:val="nil"/>
              <w:left w:val="nil"/>
              <w:bottom w:val="nil"/>
              <w:right w:val="nil"/>
            </w:tcBorders>
            <w:shd w:val="clear" w:color="auto" w:fill="FFFFFF"/>
            <w:vAlign w:val="center"/>
          </w:tcPr>
          <w:p w14:paraId="3C686C27">
            <w:pPr>
              <w:pStyle w:val="167"/>
              <w:bidi w:val="0"/>
              <w:jc w:val="center"/>
              <w:rPr>
                <w:rFonts w:hint="default"/>
                <w:b w:val="0"/>
                <w:lang w:val="en-US" w:eastAsia="zh-CN"/>
              </w:rPr>
            </w:pPr>
            <w:r>
              <w:rPr>
                <w:rFonts w:hint="default"/>
                <w:b w:val="0"/>
                <w:lang w:val="en-US" w:eastAsia="zh-CN"/>
              </w:rPr>
              <w:t>Harpham 2025 (UK; 7/6)</w:t>
            </w:r>
          </w:p>
        </w:tc>
        <w:tc>
          <w:tcPr>
            <w:tcW w:w="568" w:type="pct"/>
            <w:tcBorders>
              <w:top w:val="nil"/>
              <w:left w:val="nil"/>
              <w:bottom w:val="nil"/>
              <w:right w:val="nil"/>
            </w:tcBorders>
            <w:shd w:val="clear" w:color="auto" w:fill="FFFFFF"/>
            <w:vAlign w:val="center"/>
          </w:tcPr>
          <w:p w14:paraId="44115ADC">
            <w:pPr>
              <w:pStyle w:val="167"/>
              <w:bidi w:val="0"/>
              <w:jc w:val="center"/>
              <w:rPr>
                <w:rFonts w:hint="default"/>
                <w:b w:val="0"/>
                <w:lang w:val="en-US" w:eastAsia="zh-CN"/>
              </w:rPr>
            </w:pPr>
            <w:r>
              <w:rPr>
                <w:rFonts w:hint="default"/>
                <w:b w:val="0"/>
                <w:lang w:val="en-US" w:eastAsia="zh-CN"/>
              </w:rPr>
              <w:t>PD; mean age 61.8 versus 65.2 years; disease duration 3.1 versus 4.3 years; H&amp;Y stages approximately 1–3</w:t>
            </w:r>
          </w:p>
        </w:tc>
        <w:tc>
          <w:tcPr>
            <w:tcW w:w="874" w:type="pct"/>
            <w:tcBorders>
              <w:top w:val="nil"/>
              <w:left w:val="nil"/>
              <w:bottom w:val="nil"/>
              <w:right w:val="nil"/>
            </w:tcBorders>
            <w:shd w:val="clear" w:color="auto" w:fill="FFFFFF"/>
            <w:vAlign w:val="center"/>
          </w:tcPr>
          <w:p w14:paraId="136D5CE9">
            <w:pPr>
              <w:pStyle w:val="167"/>
              <w:bidi w:val="0"/>
              <w:jc w:val="center"/>
              <w:rPr>
                <w:rFonts w:hint="default"/>
                <w:b w:val="0"/>
                <w:lang w:val="en-US" w:eastAsia="zh-CN"/>
              </w:rPr>
            </w:pPr>
            <w:r>
              <w:rPr>
                <w:rFonts w:hint="default"/>
                <w:b w:val="0"/>
                <w:lang w:val="en-US" w:eastAsia="zh-CN"/>
              </w:rPr>
              <w:t>Home high-intensity interval training; Zoom/telephone checks, optional online group, SMS reminders, online logs, and heart-rate uploads</w:t>
            </w:r>
          </w:p>
        </w:tc>
        <w:tc>
          <w:tcPr>
            <w:tcW w:w="685" w:type="pct"/>
            <w:tcBorders>
              <w:top w:val="nil"/>
              <w:left w:val="nil"/>
              <w:bottom w:val="nil"/>
              <w:right w:val="nil"/>
            </w:tcBorders>
            <w:shd w:val="clear" w:color="auto" w:fill="FFFFFF"/>
            <w:vAlign w:val="center"/>
          </w:tcPr>
          <w:p w14:paraId="136C5752">
            <w:pPr>
              <w:pStyle w:val="167"/>
              <w:bidi w:val="0"/>
              <w:jc w:val="center"/>
              <w:rPr>
                <w:rFonts w:hint="default"/>
                <w:b w:val="0"/>
                <w:lang w:val="en-US" w:eastAsia="zh-CN"/>
              </w:rPr>
            </w:pPr>
            <w:r>
              <w:rPr>
                <w:rFonts w:hint="default"/>
                <w:b w:val="0"/>
                <w:lang w:val="en-US" w:eastAsia="zh-CN"/>
              </w:rPr>
              <w:t>Usual clinical care</w:t>
            </w:r>
          </w:p>
        </w:tc>
        <w:tc>
          <w:tcPr>
            <w:tcW w:w="577" w:type="pct"/>
            <w:tcBorders>
              <w:top w:val="nil"/>
              <w:left w:val="nil"/>
              <w:bottom w:val="nil"/>
              <w:right w:val="nil"/>
            </w:tcBorders>
            <w:shd w:val="clear" w:color="auto" w:fill="FFFFFF"/>
            <w:vAlign w:val="center"/>
          </w:tcPr>
          <w:p w14:paraId="5FD043F8">
            <w:pPr>
              <w:pStyle w:val="167"/>
              <w:bidi w:val="0"/>
              <w:jc w:val="center"/>
              <w:rPr>
                <w:rFonts w:hint="default"/>
                <w:b w:val="0"/>
                <w:lang w:val="en-US" w:eastAsia="zh-CN"/>
              </w:rPr>
            </w:pPr>
            <w:r>
              <w:rPr>
                <w:rFonts w:hint="default"/>
                <w:b w:val="0"/>
                <w:lang w:val="en-US" w:eastAsia="zh-CN"/>
              </w:rPr>
              <w:t>Passive/minimal control</w:t>
            </w:r>
          </w:p>
        </w:tc>
        <w:tc>
          <w:tcPr>
            <w:tcW w:w="651" w:type="pct"/>
            <w:tcBorders>
              <w:top w:val="nil"/>
              <w:left w:val="nil"/>
              <w:bottom w:val="nil"/>
              <w:right w:val="nil"/>
            </w:tcBorders>
            <w:shd w:val="clear" w:color="auto" w:fill="FFFFFF"/>
            <w:vAlign w:val="center"/>
          </w:tcPr>
          <w:p w14:paraId="69184475">
            <w:pPr>
              <w:pStyle w:val="167"/>
              <w:bidi w:val="0"/>
              <w:jc w:val="center"/>
              <w:rPr>
                <w:rFonts w:hint="default"/>
                <w:b w:val="0"/>
                <w:lang w:val="en-US" w:eastAsia="zh-CN"/>
              </w:rPr>
            </w:pPr>
            <w:r>
              <w:rPr>
                <w:rFonts w:hint="default"/>
                <w:b w:val="0"/>
                <w:lang w:val="en-US" w:eastAsia="zh-CN"/>
              </w:rPr>
              <w:t>12 weeks; 3 sessions/week</w:t>
            </w:r>
          </w:p>
        </w:tc>
        <w:tc>
          <w:tcPr>
            <w:tcW w:w="477" w:type="pct"/>
            <w:tcBorders>
              <w:top w:val="nil"/>
              <w:left w:val="nil"/>
              <w:bottom w:val="nil"/>
              <w:right w:val="nil"/>
            </w:tcBorders>
            <w:shd w:val="clear" w:color="auto" w:fill="FFFFFF"/>
            <w:vAlign w:val="center"/>
          </w:tcPr>
          <w:p w14:paraId="2D9B0392">
            <w:pPr>
              <w:pStyle w:val="167"/>
              <w:bidi w:val="0"/>
              <w:jc w:val="center"/>
              <w:rPr>
                <w:rFonts w:hint="default"/>
                <w:b w:val="0"/>
                <w:lang w:val="en-US" w:eastAsia="zh-CN"/>
              </w:rPr>
            </w:pPr>
            <w:r>
              <w:rPr>
                <w:rFonts w:hint="default"/>
                <w:b w:val="0"/>
                <w:lang w:val="en-US" w:eastAsia="zh-CN"/>
              </w:rPr>
              <w:t>Motor symptoms; functional mobility</w:t>
            </w:r>
          </w:p>
        </w:tc>
        <w:tc>
          <w:tcPr>
            <w:tcW w:w="591" w:type="pct"/>
            <w:tcBorders>
              <w:top w:val="nil"/>
              <w:left w:val="nil"/>
              <w:bottom w:val="nil"/>
              <w:right w:val="nil"/>
            </w:tcBorders>
            <w:shd w:val="clear" w:color="auto" w:fill="FFFFFF"/>
            <w:vAlign w:val="center"/>
          </w:tcPr>
          <w:p w14:paraId="03F00504">
            <w:pPr>
              <w:pStyle w:val="167"/>
              <w:bidi w:val="0"/>
              <w:jc w:val="center"/>
              <w:rPr>
                <w:rFonts w:hint="default"/>
                <w:b w:val="0"/>
                <w:lang w:val="en-US" w:eastAsia="zh-CN"/>
              </w:rPr>
            </w:pPr>
            <w:r>
              <w:rPr>
                <w:rFonts w:hint="default"/>
                <w:b w:val="0"/>
                <w:lang w:val="en-US" w:eastAsia="zh-CN"/>
              </w:rPr>
              <w:t>Primary endpoint meta-analysis</w:t>
            </w:r>
          </w:p>
        </w:tc>
      </w:tr>
      <w:tr w14:paraId="0EB28717">
        <w:trPr>
          <w:cantSplit/>
          <w:tblHeader/>
        </w:trPr>
        <w:tc>
          <w:tcPr>
            <w:tcW w:w="573" w:type="pct"/>
            <w:tcBorders>
              <w:top w:val="nil"/>
              <w:left w:val="nil"/>
              <w:bottom w:val="nil"/>
              <w:right w:val="nil"/>
            </w:tcBorders>
            <w:shd w:val="clear" w:color="auto" w:fill="FFFFFF"/>
            <w:vAlign w:val="center"/>
          </w:tcPr>
          <w:p w14:paraId="7515924D">
            <w:pPr>
              <w:pStyle w:val="167"/>
              <w:bidi w:val="0"/>
              <w:jc w:val="center"/>
              <w:rPr>
                <w:rFonts w:hint="default"/>
                <w:b w:val="0"/>
                <w:lang w:val="en-US" w:eastAsia="zh-CN"/>
              </w:rPr>
            </w:pPr>
            <w:r>
              <w:rPr>
                <w:rFonts w:hint="default"/>
                <w:b w:val="0"/>
                <w:lang w:val="en-US" w:eastAsia="zh-CN"/>
              </w:rPr>
              <w:t>Johnson 2024 (USA; 11/8)</w:t>
            </w:r>
          </w:p>
        </w:tc>
        <w:tc>
          <w:tcPr>
            <w:tcW w:w="568" w:type="pct"/>
            <w:tcBorders>
              <w:top w:val="nil"/>
              <w:left w:val="nil"/>
              <w:bottom w:val="nil"/>
              <w:right w:val="nil"/>
            </w:tcBorders>
            <w:shd w:val="clear" w:color="auto" w:fill="FFFFFF"/>
            <w:vAlign w:val="center"/>
          </w:tcPr>
          <w:p w14:paraId="5A2F38B2">
            <w:pPr>
              <w:pStyle w:val="167"/>
              <w:bidi w:val="0"/>
              <w:jc w:val="center"/>
              <w:rPr>
                <w:rFonts w:hint="default"/>
                <w:b w:val="0"/>
                <w:lang w:val="en-US" w:eastAsia="zh-CN"/>
              </w:rPr>
            </w:pPr>
            <w:r>
              <w:rPr>
                <w:rFonts w:hint="default"/>
                <w:b w:val="0"/>
                <w:lang w:val="en-US" w:eastAsia="zh-CN"/>
              </w:rPr>
              <w:t>PD; median age 73 years; disease duration 2 years; modified H&amp;Y stage 1.5</w:t>
            </w:r>
          </w:p>
        </w:tc>
        <w:tc>
          <w:tcPr>
            <w:tcW w:w="874" w:type="pct"/>
            <w:tcBorders>
              <w:top w:val="nil"/>
              <w:left w:val="nil"/>
              <w:bottom w:val="nil"/>
              <w:right w:val="nil"/>
            </w:tcBorders>
            <w:shd w:val="clear" w:color="auto" w:fill="FFFFFF"/>
            <w:vAlign w:val="center"/>
          </w:tcPr>
          <w:p w14:paraId="2BCABE85">
            <w:pPr>
              <w:pStyle w:val="167"/>
              <w:bidi w:val="0"/>
              <w:jc w:val="center"/>
              <w:rPr>
                <w:rFonts w:hint="default"/>
                <w:b w:val="0"/>
                <w:lang w:val="en-US" w:eastAsia="zh-CN"/>
              </w:rPr>
            </w:pPr>
            <w:r>
              <w:rPr>
                <w:rFonts w:hint="default"/>
                <w:b w:val="0"/>
                <w:lang w:val="en-US" w:eastAsia="zh-CN"/>
              </w:rPr>
              <w:t>WizeCare-supported individualized home exercise; web/mobile platform, video calls, exercise library, and safety self-reporting</w:t>
            </w:r>
          </w:p>
        </w:tc>
        <w:tc>
          <w:tcPr>
            <w:tcW w:w="685" w:type="pct"/>
            <w:tcBorders>
              <w:top w:val="nil"/>
              <w:left w:val="nil"/>
              <w:bottom w:val="nil"/>
              <w:right w:val="nil"/>
            </w:tcBorders>
            <w:shd w:val="clear" w:color="auto" w:fill="FFFFFF"/>
            <w:vAlign w:val="center"/>
          </w:tcPr>
          <w:p w14:paraId="6DA2FB6F">
            <w:pPr>
              <w:pStyle w:val="167"/>
              <w:bidi w:val="0"/>
              <w:jc w:val="center"/>
              <w:rPr>
                <w:rFonts w:hint="default"/>
                <w:b w:val="0"/>
                <w:lang w:val="en-US" w:eastAsia="zh-CN"/>
              </w:rPr>
            </w:pPr>
            <w:r>
              <w:rPr>
                <w:rFonts w:hint="default"/>
                <w:b w:val="0"/>
                <w:lang w:val="en-US" w:eastAsia="zh-CN"/>
              </w:rPr>
              <w:t>Usual care with weekly clinic physiotherapy and paper-based home exercise</w:t>
            </w:r>
          </w:p>
        </w:tc>
        <w:tc>
          <w:tcPr>
            <w:tcW w:w="577" w:type="pct"/>
            <w:tcBorders>
              <w:top w:val="nil"/>
              <w:left w:val="nil"/>
              <w:bottom w:val="nil"/>
              <w:right w:val="nil"/>
            </w:tcBorders>
            <w:shd w:val="clear" w:color="auto" w:fill="FFFFFF"/>
            <w:vAlign w:val="center"/>
          </w:tcPr>
          <w:p w14:paraId="43567DEC">
            <w:pPr>
              <w:pStyle w:val="167"/>
              <w:bidi w:val="0"/>
              <w:jc w:val="center"/>
              <w:rPr>
                <w:rFonts w:hint="default"/>
                <w:b w:val="0"/>
                <w:lang w:val="en-US" w:eastAsia="zh-CN"/>
              </w:rPr>
            </w:pPr>
            <w:r>
              <w:rPr>
                <w:rFonts w:hint="default"/>
                <w:b w:val="0"/>
                <w:lang w:val="en-US" w:eastAsia="zh-CN"/>
              </w:rPr>
              <w:t>Active therapist-led rehabilitation</w:t>
            </w:r>
          </w:p>
        </w:tc>
        <w:tc>
          <w:tcPr>
            <w:tcW w:w="651" w:type="pct"/>
            <w:tcBorders>
              <w:top w:val="nil"/>
              <w:left w:val="nil"/>
              <w:bottom w:val="nil"/>
              <w:right w:val="nil"/>
            </w:tcBorders>
            <w:shd w:val="clear" w:color="auto" w:fill="FFFFFF"/>
            <w:vAlign w:val="center"/>
          </w:tcPr>
          <w:p w14:paraId="599F98D0">
            <w:pPr>
              <w:pStyle w:val="167"/>
              <w:bidi w:val="0"/>
              <w:jc w:val="center"/>
              <w:rPr>
                <w:rFonts w:hint="default"/>
                <w:b w:val="0"/>
                <w:lang w:val="en-US" w:eastAsia="zh-CN"/>
              </w:rPr>
            </w:pPr>
            <w:r>
              <w:rPr>
                <w:rFonts w:hint="default"/>
                <w:b w:val="0"/>
                <w:lang w:val="en-US" w:eastAsia="zh-CN"/>
              </w:rPr>
              <w:t>5-week study; 4-week treatment; daily home exercise; weekly 1-h physiotherapy</w:t>
            </w:r>
          </w:p>
        </w:tc>
        <w:tc>
          <w:tcPr>
            <w:tcW w:w="477" w:type="pct"/>
            <w:tcBorders>
              <w:top w:val="nil"/>
              <w:left w:val="nil"/>
              <w:bottom w:val="nil"/>
              <w:right w:val="nil"/>
            </w:tcBorders>
            <w:shd w:val="clear" w:color="auto" w:fill="FFFFFF"/>
            <w:vAlign w:val="center"/>
          </w:tcPr>
          <w:p w14:paraId="3F9FED13">
            <w:pPr>
              <w:pStyle w:val="167"/>
              <w:bidi w:val="0"/>
              <w:jc w:val="center"/>
              <w:rPr>
                <w:rFonts w:hint="default"/>
                <w:b w:val="0"/>
                <w:lang w:val="en-US" w:eastAsia="zh-CN"/>
              </w:rPr>
            </w:pPr>
            <w:r>
              <w:rPr>
                <w:rFonts w:hint="default"/>
                <w:b w:val="0"/>
                <w:lang w:val="en-US" w:eastAsia="zh-CN"/>
              </w:rPr>
              <w:t>Balance; functional mobility; gait/walking</w:t>
            </w:r>
          </w:p>
        </w:tc>
        <w:tc>
          <w:tcPr>
            <w:tcW w:w="591" w:type="pct"/>
            <w:tcBorders>
              <w:top w:val="nil"/>
              <w:left w:val="nil"/>
              <w:bottom w:val="nil"/>
              <w:right w:val="nil"/>
            </w:tcBorders>
            <w:shd w:val="clear" w:color="auto" w:fill="FFFFFF"/>
            <w:vAlign w:val="center"/>
          </w:tcPr>
          <w:p w14:paraId="46A17F6A">
            <w:pPr>
              <w:pStyle w:val="167"/>
              <w:bidi w:val="0"/>
              <w:jc w:val="center"/>
              <w:rPr>
                <w:rFonts w:hint="default"/>
                <w:b w:val="0"/>
                <w:lang w:val="en-US" w:eastAsia="zh-CN"/>
              </w:rPr>
            </w:pPr>
            <w:r>
              <w:rPr>
                <w:rFonts w:hint="default"/>
                <w:b w:val="0"/>
                <w:lang w:val="en-US" w:eastAsia="zh-CN"/>
              </w:rPr>
              <w:t>Primary endpoint meta-analysis with the eligible intervention arms combined; individual-arm handling examined in sensitivity analyses.</w:t>
            </w:r>
          </w:p>
        </w:tc>
      </w:tr>
      <w:tr w14:paraId="2D8FC681">
        <w:trPr>
          <w:cantSplit/>
          <w:tblHeader/>
        </w:trPr>
        <w:tc>
          <w:tcPr>
            <w:tcW w:w="573" w:type="pct"/>
            <w:tcBorders>
              <w:top w:val="nil"/>
              <w:left w:val="nil"/>
              <w:bottom w:val="nil"/>
              <w:right w:val="nil"/>
            </w:tcBorders>
            <w:shd w:val="clear" w:color="auto" w:fill="FFFFFF"/>
            <w:vAlign w:val="center"/>
          </w:tcPr>
          <w:p w14:paraId="309DD6CB">
            <w:pPr>
              <w:pStyle w:val="167"/>
              <w:bidi w:val="0"/>
              <w:jc w:val="center"/>
              <w:rPr>
                <w:rFonts w:hint="default"/>
                <w:b w:val="0"/>
                <w:lang w:val="en-US" w:eastAsia="zh-CN"/>
              </w:rPr>
            </w:pPr>
            <w:r>
              <w:rPr>
                <w:rFonts w:hint="default"/>
                <w:b w:val="0"/>
                <w:lang w:val="en-US" w:eastAsia="zh-CN"/>
              </w:rPr>
              <w:t>Jones 2025 (UK; 12/11)</w:t>
            </w:r>
          </w:p>
        </w:tc>
        <w:tc>
          <w:tcPr>
            <w:tcW w:w="568" w:type="pct"/>
            <w:tcBorders>
              <w:top w:val="nil"/>
              <w:left w:val="nil"/>
              <w:bottom w:val="nil"/>
              <w:right w:val="nil"/>
            </w:tcBorders>
            <w:shd w:val="clear" w:color="auto" w:fill="FFFFFF"/>
            <w:vAlign w:val="center"/>
          </w:tcPr>
          <w:p w14:paraId="05B79EEE">
            <w:pPr>
              <w:pStyle w:val="167"/>
              <w:bidi w:val="0"/>
              <w:jc w:val="center"/>
              <w:rPr>
                <w:rFonts w:hint="default"/>
                <w:b w:val="0"/>
                <w:lang w:val="en-US" w:eastAsia="zh-CN"/>
              </w:rPr>
            </w:pPr>
            <w:r>
              <w:rPr>
                <w:rFonts w:hint="default"/>
                <w:b w:val="0"/>
                <w:lang w:val="en-US" w:eastAsia="zh-CN"/>
              </w:rPr>
              <w:t>PD; mean age 66.4 years; disease duration 4.8 years; H&amp;Y stages I–III</w:t>
            </w:r>
          </w:p>
        </w:tc>
        <w:tc>
          <w:tcPr>
            <w:tcW w:w="874" w:type="pct"/>
            <w:tcBorders>
              <w:top w:val="nil"/>
              <w:left w:val="nil"/>
              <w:bottom w:val="nil"/>
              <w:right w:val="nil"/>
            </w:tcBorders>
            <w:shd w:val="clear" w:color="auto" w:fill="FFFFFF"/>
            <w:vAlign w:val="center"/>
          </w:tcPr>
          <w:p w14:paraId="5D070992">
            <w:pPr>
              <w:pStyle w:val="167"/>
              <w:bidi w:val="0"/>
              <w:jc w:val="center"/>
              <w:rPr>
                <w:rFonts w:hint="default"/>
                <w:b w:val="0"/>
                <w:lang w:val="en-US" w:eastAsia="zh-CN"/>
              </w:rPr>
            </w:pPr>
            <w:r>
              <w:rPr>
                <w:rFonts w:hint="default"/>
                <w:b w:val="0"/>
                <w:lang w:val="en-US" w:eastAsia="zh-CN"/>
              </w:rPr>
              <w:t>PDConnect: individual physiotherapy, online group physical activity, and self-management support; Microsoft Teams, activity tracker, exercise diary, and monthly video/telephone contact</w:t>
            </w:r>
          </w:p>
        </w:tc>
        <w:tc>
          <w:tcPr>
            <w:tcW w:w="685" w:type="pct"/>
            <w:tcBorders>
              <w:top w:val="nil"/>
              <w:left w:val="nil"/>
              <w:bottom w:val="nil"/>
              <w:right w:val="nil"/>
            </w:tcBorders>
            <w:shd w:val="clear" w:color="auto" w:fill="FFFFFF"/>
            <w:vAlign w:val="center"/>
          </w:tcPr>
          <w:p w14:paraId="1872E518">
            <w:pPr>
              <w:pStyle w:val="167"/>
              <w:bidi w:val="0"/>
              <w:jc w:val="center"/>
              <w:rPr>
                <w:rFonts w:hint="default"/>
                <w:b w:val="0"/>
                <w:lang w:val="en-US" w:eastAsia="zh-CN"/>
              </w:rPr>
            </w:pPr>
            <w:r>
              <w:rPr>
                <w:rFonts w:hint="default"/>
                <w:b w:val="0"/>
                <w:lang w:val="en-US" w:eastAsia="zh-CN"/>
              </w:rPr>
              <w:t>Usual care after 6 weeks of physiotherapy advice</w:t>
            </w:r>
          </w:p>
        </w:tc>
        <w:tc>
          <w:tcPr>
            <w:tcW w:w="577" w:type="pct"/>
            <w:tcBorders>
              <w:top w:val="nil"/>
              <w:left w:val="nil"/>
              <w:bottom w:val="nil"/>
              <w:right w:val="nil"/>
            </w:tcBorders>
            <w:shd w:val="clear" w:color="auto" w:fill="FFFFFF"/>
            <w:vAlign w:val="center"/>
          </w:tcPr>
          <w:p w14:paraId="0BCFC955">
            <w:pPr>
              <w:pStyle w:val="167"/>
              <w:bidi w:val="0"/>
              <w:jc w:val="center"/>
              <w:rPr>
                <w:rFonts w:hint="default"/>
                <w:b w:val="0"/>
                <w:lang w:val="en-US" w:eastAsia="zh-CN"/>
              </w:rPr>
            </w:pPr>
            <w:r>
              <w:rPr>
                <w:rFonts w:hint="default"/>
                <w:b w:val="0"/>
                <w:lang w:val="en-US" w:eastAsia="zh-CN"/>
              </w:rPr>
              <w:t>Active therapist-led rehabilitation</w:t>
            </w:r>
          </w:p>
        </w:tc>
        <w:tc>
          <w:tcPr>
            <w:tcW w:w="651" w:type="pct"/>
            <w:tcBorders>
              <w:top w:val="nil"/>
              <w:left w:val="nil"/>
              <w:bottom w:val="nil"/>
              <w:right w:val="nil"/>
            </w:tcBorders>
            <w:shd w:val="clear" w:color="auto" w:fill="FFFFFF"/>
            <w:vAlign w:val="center"/>
          </w:tcPr>
          <w:p w14:paraId="3BCE2758">
            <w:pPr>
              <w:pStyle w:val="167"/>
              <w:bidi w:val="0"/>
              <w:jc w:val="center"/>
              <w:rPr>
                <w:rFonts w:hint="default"/>
                <w:b w:val="0"/>
                <w:lang w:val="en-US" w:eastAsia="zh-CN"/>
              </w:rPr>
            </w:pPr>
            <w:r>
              <w:rPr>
                <w:rFonts w:hint="default"/>
                <w:b w:val="0"/>
                <w:lang w:val="en-US" w:eastAsia="zh-CN"/>
              </w:rPr>
              <w:t>30 weeks; 6 weeks of individual physiotherapy, 12 weeks of online group activity, and 12 weeks of self-management</w:t>
            </w:r>
          </w:p>
        </w:tc>
        <w:tc>
          <w:tcPr>
            <w:tcW w:w="477" w:type="pct"/>
            <w:tcBorders>
              <w:top w:val="nil"/>
              <w:left w:val="nil"/>
              <w:bottom w:val="nil"/>
              <w:right w:val="nil"/>
            </w:tcBorders>
            <w:shd w:val="clear" w:color="auto" w:fill="FFFFFF"/>
            <w:vAlign w:val="center"/>
          </w:tcPr>
          <w:p w14:paraId="691749C6">
            <w:pPr>
              <w:pStyle w:val="167"/>
              <w:bidi w:val="0"/>
              <w:jc w:val="center"/>
              <w:rPr>
                <w:rFonts w:hint="default"/>
                <w:b w:val="0"/>
                <w:lang w:val="en-US" w:eastAsia="zh-CN"/>
              </w:rPr>
            </w:pPr>
            <w:r>
              <w:rPr>
                <w:rFonts w:hint="default"/>
                <w:b w:val="0"/>
                <w:lang w:val="en-US" w:eastAsia="zh-CN"/>
              </w:rPr>
              <w:t>Motor symptoms</w:t>
            </w:r>
          </w:p>
        </w:tc>
        <w:tc>
          <w:tcPr>
            <w:tcW w:w="591" w:type="pct"/>
            <w:tcBorders>
              <w:top w:val="nil"/>
              <w:left w:val="nil"/>
              <w:bottom w:val="nil"/>
              <w:right w:val="nil"/>
            </w:tcBorders>
            <w:shd w:val="clear" w:color="auto" w:fill="FFFFFF"/>
            <w:vAlign w:val="center"/>
          </w:tcPr>
          <w:p w14:paraId="0644FDE3">
            <w:pPr>
              <w:pStyle w:val="167"/>
              <w:bidi w:val="0"/>
              <w:jc w:val="center"/>
              <w:rPr>
                <w:rFonts w:hint="default"/>
                <w:b w:val="0"/>
                <w:lang w:val="en-US" w:eastAsia="zh-CN"/>
              </w:rPr>
            </w:pPr>
            <w:r>
              <w:rPr>
                <w:rFonts w:hint="default"/>
                <w:b w:val="0"/>
                <w:lang w:val="en-US" w:eastAsia="zh-CN"/>
              </w:rPr>
              <w:t>Primary endpoint meta-analysis</w:t>
            </w:r>
          </w:p>
        </w:tc>
      </w:tr>
      <w:tr w14:paraId="5B625DF8">
        <w:trPr>
          <w:cantSplit/>
          <w:tblHeader/>
        </w:trPr>
        <w:tc>
          <w:tcPr>
            <w:tcW w:w="573" w:type="pct"/>
            <w:tcBorders>
              <w:top w:val="nil"/>
              <w:left w:val="nil"/>
              <w:bottom w:val="nil"/>
              <w:right w:val="nil"/>
            </w:tcBorders>
            <w:shd w:val="clear" w:color="auto" w:fill="FFFFFF"/>
            <w:vAlign w:val="center"/>
          </w:tcPr>
          <w:p w14:paraId="528C62E5">
            <w:pPr>
              <w:pStyle w:val="167"/>
              <w:bidi w:val="0"/>
              <w:jc w:val="center"/>
              <w:rPr>
                <w:rFonts w:hint="default"/>
                <w:b w:val="0"/>
                <w:lang w:val="en-US" w:eastAsia="zh-CN"/>
              </w:rPr>
            </w:pPr>
            <w:r>
              <w:rPr>
                <w:rFonts w:hint="default"/>
                <w:b w:val="0"/>
                <w:lang w:val="en-US" w:eastAsia="zh-CN"/>
              </w:rPr>
              <w:t>Pastana Ramos 2023 (Brazil; 8/11)</w:t>
            </w:r>
          </w:p>
        </w:tc>
        <w:tc>
          <w:tcPr>
            <w:tcW w:w="568" w:type="pct"/>
            <w:tcBorders>
              <w:top w:val="nil"/>
              <w:left w:val="nil"/>
              <w:bottom w:val="nil"/>
              <w:right w:val="nil"/>
            </w:tcBorders>
            <w:shd w:val="clear" w:color="auto" w:fill="FFFFFF"/>
            <w:vAlign w:val="center"/>
          </w:tcPr>
          <w:p w14:paraId="3632E466">
            <w:pPr>
              <w:pStyle w:val="167"/>
              <w:bidi w:val="0"/>
              <w:jc w:val="center"/>
              <w:rPr>
                <w:rFonts w:hint="default"/>
                <w:b w:val="0"/>
                <w:lang w:val="en-US" w:eastAsia="zh-CN"/>
              </w:rPr>
            </w:pPr>
            <w:r>
              <w:rPr>
                <w:rFonts w:hint="default"/>
                <w:b w:val="0"/>
                <w:lang w:val="en-US" w:eastAsia="zh-CN"/>
              </w:rPr>
              <w:t>PD; mean age 60.7 versus 58.6 years; disease duration 5 versus 4 years; H&amp;Y stage ≤2</w:t>
            </w:r>
          </w:p>
        </w:tc>
        <w:tc>
          <w:tcPr>
            <w:tcW w:w="874" w:type="pct"/>
            <w:tcBorders>
              <w:top w:val="nil"/>
              <w:left w:val="nil"/>
              <w:bottom w:val="nil"/>
              <w:right w:val="nil"/>
            </w:tcBorders>
            <w:shd w:val="clear" w:color="auto" w:fill="FFFFFF"/>
            <w:vAlign w:val="center"/>
          </w:tcPr>
          <w:p w14:paraId="6515418B">
            <w:pPr>
              <w:pStyle w:val="167"/>
              <w:bidi w:val="0"/>
              <w:jc w:val="center"/>
              <w:rPr>
                <w:rFonts w:hint="default"/>
                <w:b w:val="0"/>
                <w:lang w:val="en-US" w:eastAsia="zh-CN"/>
              </w:rPr>
            </w:pPr>
            <w:r>
              <w:rPr>
                <w:rFonts w:hint="default"/>
                <w:b w:val="0"/>
                <w:lang w:val="en-US" w:eastAsia="zh-CN"/>
              </w:rPr>
              <w:t>Real-time video-based home telerehabilitation; WhatsApp/Google Meet supervision, caregiver support, and weekly safety calls</w:t>
            </w:r>
          </w:p>
        </w:tc>
        <w:tc>
          <w:tcPr>
            <w:tcW w:w="685" w:type="pct"/>
            <w:tcBorders>
              <w:top w:val="nil"/>
              <w:left w:val="nil"/>
              <w:bottom w:val="nil"/>
              <w:right w:val="nil"/>
            </w:tcBorders>
            <w:shd w:val="clear" w:color="auto" w:fill="FFFFFF"/>
            <w:vAlign w:val="center"/>
          </w:tcPr>
          <w:p w14:paraId="6F3D4DF8">
            <w:pPr>
              <w:pStyle w:val="167"/>
              <w:bidi w:val="0"/>
              <w:jc w:val="center"/>
              <w:rPr>
                <w:rFonts w:hint="default"/>
                <w:b w:val="0"/>
                <w:lang w:val="en-US" w:eastAsia="zh-CN"/>
              </w:rPr>
            </w:pPr>
            <w:r>
              <w:rPr>
                <w:rFonts w:hint="default"/>
                <w:b w:val="0"/>
                <w:lang w:val="en-US" w:eastAsia="zh-CN"/>
              </w:rPr>
              <w:t>Illustrated booklet-guided home exercise</w:t>
            </w:r>
          </w:p>
        </w:tc>
        <w:tc>
          <w:tcPr>
            <w:tcW w:w="577" w:type="pct"/>
            <w:tcBorders>
              <w:top w:val="nil"/>
              <w:left w:val="nil"/>
              <w:bottom w:val="nil"/>
              <w:right w:val="nil"/>
            </w:tcBorders>
            <w:shd w:val="clear" w:color="auto" w:fill="FFFFFF"/>
            <w:vAlign w:val="center"/>
          </w:tcPr>
          <w:p w14:paraId="115C349C">
            <w:pPr>
              <w:pStyle w:val="167"/>
              <w:bidi w:val="0"/>
              <w:jc w:val="center"/>
              <w:rPr>
                <w:rFonts w:hint="default"/>
                <w:b w:val="0"/>
                <w:lang w:val="en-US" w:eastAsia="zh-CN"/>
              </w:rPr>
            </w:pPr>
            <w:r>
              <w:rPr>
                <w:rFonts w:hint="default"/>
                <w:b w:val="0"/>
                <w:lang w:val="en-US" w:eastAsia="zh-CN"/>
              </w:rPr>
              <w:t>Ordinary home exercise</w:t>
            </w:r>
          </w:p>
        </w:tc>
        <w:tc>
          <w:tcPr>
            <w:tcW w:w="651" w:type="pct"/>
            <w:tcBorders>
              <w:top w:val="nil"/>
              <w:left w:val="nil"/>
              <w:bottom w:val="nil"/>
              <w:right w:val="nil"/>
            </w:tcBorders>
            <w:shd w:val="clear" w:color="auto" w:fill="FFFFFF"/>
            <w:vAlign w:val="center"/>
          </w:tcPr>
          <w:p w14:paraId="2FC6E201">
            <w:pPr>
              <w:pStyle w:val="167"/>
              <w:bidi w:val="0"/>
              <w:jc w:val="center"/>
              <w:rPr>
                <w:rFonts w:hint="default"/>
                <w:b w:val="0"/>
                <w:lang w:val="en-US" w:eastAsia="zh-CN"/>
              </w:rPr>
            </w:pPr>
            <w:r>
              <w:rPr>
                <w:rFonts w:hint="default"/>
                <w:b w:val="0"/>
                <w:lang w:val="en-US" w:eastAsia="zh-CN"/>
              </w:rPr>
              <w:t>4 weeks; 3 sessions/week; 60 min/session</w:t>
            </w:r>
          </w:p>
        </w:tc>
        <w:tc>
          <w:tcPr>
            <w:tcW w:w="477" w:type="pct"/>
            <w:tcBorders>
              <w:top w:val="nil"/>
              <w:left w:val="nil"/>
              <w:bottom w:val="nil"/>
              <w:right w:val="nil"/>
            </w:tcBorders>
            <w:shd w:val="clear" w:color="auto" w:fill="FFFFFF"/>
            <w:vAlign w:val="center"/>
          </w:tcPr>
          <w:p w14:paraId="2D3FD759">
            <w:pPr>
              <w:pStyle w:val="167"/>
              <w:bidi w:val="0"/>
              <w:jc w:val="center"/>
              <w:rPr>
                <w:rFonts w:hint="default"/>
                <w:b w:val="0"/>
                <w:lang w:val="en-US" w:eastAsia="zh-CN"/>
              </w:rPr>
            </w:pPr>
            <w:r>
              <w:rPr>
                <w:rFonts w:hint="default"/>
                <w:b w:val="0"/>
                <w:lang w:val="en-US" w:eastAsia="zh-CN"/>
              </w:rPr>
              <w:t>Motor symptoms; balance; functional mobility</w:t>
            </w:r>
          </w:p>
        </w:tc>
        <w:tc>
          <w:tcPr>
            <w:tcW w:w="591" w:type="pct"/>
            <w:tcBorders>
              <w:top w:val="nil"/>
              <w:left w:val="nil"/>
              <w:bottom w:val="nil"/>
              <w:right w:val="nil"/>
            </w:tcBorders>
            <w:shd w:val="clear" w:color="auto" w:fill="FFFFFF"/>
            <w:vAlign w:val="center"/>
          </w:tcPr>
          <w:p w14:paraId="5AE35683">
            <w:pPr>
              <w:pStyle w:val="167"/>
              <w:bidi w:val="0"/>
              <w:jc w:val="center"/>
              <w:rPr>
                <w:rFonts w:hint="default"/>
                <w:b w:val="0"/>
                <w:lang w:val="en-US" w:eastAsia="zh-CN"/>
              </w:rPr>
            </w:pPr>
            <w:r>
              <w:rPr>
                <w:rFonts w:hint="default"/>
                <w:b w:val="0"/>
                <w:lang w:val="en-US" w:eastAsia="zh-CN"/>
              </w:rPr>
              <w:t>Narrative synthesis only; model-based estimates were not calculable for the primary SMD analysis</w:t>
            </w:r>
          </w:p>
        </w:tc>
      </w:tr>
      <w:tr w14:paraId="18EFE0EC">
        <w:trPr>
          <w:cantSplit/>
          <w:tblHeader/>
        </w:trPr>
        <w:tc>
          <w:tcPr>
            <w:tcW w:w="573" w:type="pct"/>
            <w:tcBorders>
              <w:top w:val="nil"/>
              <w:left w:val="nil"/>
              <w:bottom w:val="single" w:color="000000" w:sz="12" w:space="0"/>
              <w:right w:val="nil"/>
            </w:tcBorders>
            <w:shd w:val="clear" w:color="auto" w:fill="FFFFFF"/>
            <w:vAlign w:val="center"/>
          </w:tcPr>
          <w:p w14:paraId="69F54522">
            <w:pPr>
              <w:pStyle w:val="167"/>
              <w:bidi w:val="0"/>
              <w:jc w:val="center"/>
              <w:rPr>
                <w:rFonts w:hint="default"/>
                <w:b w:val="0"/>
                <w:lang w:val="en-US" w:eastAsia="zh-CN"/>
              </w:rPr>
            </w:pPr>
            <w:r>
              <w:rPr>
                <w:rFonts w:hint="default"/>
                <w:b w:val="0"/>
                <w:lang w:val="en-US" w:eastAsia="zh-CN"/>
              </w:rPr>
              <w:t>Song 2018 (Australia; 28/25–26)</w:t>
            </w:r>
          </w:p>
        </w:tc>
        <w:tc>
          <w:tcPr>
            <w:tcW w:w="568" w:type="pct"/>
            <w:tcBorders>
              <w:top w:val="nil"/>
              <w:left w:val="nil"/>
              <w:bottom w:val="single" w:color="000000" w:sz="12" w:space="0"/>
              <w:right w:val="nil"/>
            </w:tcBorders>
            <w:shd w:val="clear" w:color="auto" w:fill="FFFFFF"/>
            <w:vAlign w:val="center"/>
          </w:tcPr>
          <w:p w14:paraId="27D30D71">
            <w:pPr>
              <w:pStyle w:val="167"/>
              <w:bidi w:val="0"/>
              <w:jc w:val="center"/>
              <w:rPr>
                <w:rFonts w:hint="default"/>
                <w:b w:val="0"/>
                <w:lang w:val="en-US" w:eastAsia="zh-CN"/>
              </w:rPr>
            </w:pPr>
            <w:r>
              <w:rPr>
                <w:rFonts w:hint="default"/>
                <w:b w:val="0"/>
                <w:lang w:val="en-US" w:eastAsia="zh-CN"/>
              </w:rPr>
              <w:t>PD; mean age 68 versus 65 years; disease duration 7 versus 9 years</w:t>
            </w:r>
          </w:p>
        </w:tc>
        <w:tc>
          <w:tcPr>
            <w:tcW w:w="874" w:type="pct"/>
            <w:tcBorders>
              <w:top w:val="nil"/>
              <w:left w:val="nil"/>
              <w:bottom w:val="single" w:color="000000" w:sz="12" w:space="0"/>
              <w:right w:val="nil"/>
            </w:tcBorders>
            <w:shd w:val="clear" w:color="auto" w:fill="FFFFFF"/>
            <w:vAlign w:val="center"/>
          </w:tcPr>
          <w:p w14:paraId="333FD84D">
            <w:pPr>
              <w:pStyle w:val="167"/>
              <w:bidi w:val="0"/>
              <w:jc w:val="center"/>
              <w:rPr>
                <w:rFonts w:hint="default"/>
                <w:b w:val="0"/>
                <w:lang w:val="en-US" w:eastAsia="zh-CN"/>
              </w:rPr>
            </w:pPr>
            <w:r>
              <w:rPr>
                <w:rFonts w:hint="default"/>
                <w:b w:val="0"/>
                <w:lang w:val="en-US" w:eastAsia="zh-CN"/>
              </w:rPr>
              <w:t>Home video-game stepping training; home setup and training, week-6 visit, fortnightly telephone calls, paper logs, and game feedback</w:t>
            </w:r>
          </w:p>
        </w:tc>
        <w:tc>
          <w:tcPr>
            <w:tcW w:w="685" w:type="pct"/>
            <w:tcBorders>
              <w:top w:val="nil"/>
              <w:left w:val="nil"/>
              <w:bottom w:val="single" w:color="000000" w:sz="12" w:space="0"/>
              <w:right w:val="nil"/>
            </w:tcBorders>
            <w:shd w:val="clear" w:color="auto" w:fill="FFFFFF"/>
            <w:vAlign w:val="center"/>
          </w:tcPr>
          <w:p w14:paraId="117315CF">
            <w:pPr>
              <w:pStyle w:val="167"/>
              <w:bidi w:val="0"/>
              <w:jc w:val="center"/>
              <w:rPr>
                <w:rFonts w:hint="default"/>
                <w:b w:val="0"/>
                <w:lang w:val="en-US" w:eastAsia="zh-CN"/>
              </w:rPr>
            </w:pPr>
            <w:r>
              <w:rPr>
                <w:rFonts w:hint="default"/>
                <w:b w:val="0"/>
                <w:lang w:val="en-US" w:eastAsia="zh-CN"/>
              </w:rPr>
              <w:t>Usual medical care</w:t>
            </w:r>
          </w:p>
        </w:tc>
        <w:tc>
          <w:tcPr>
            <w:tcW w:w="577" w:type="pct"/>
            <w:tcBorders>
              <w:top w:val="nil"/>
              <w:left w:val="nil"/>
              <w:bottom w:val="single" w:color="000000" w:sz="12" w:space="0"/>
              <w:right w:val="nil"/>
            </w:tcBorders>
            <w:shd w:val="clear" w:color="auto" w:fill="FFFFFF"/>
            <w:vAlign w:val="center"/>
          </w:tcPr>
          <w:p w14:paraId="45202FD4">
            <w:pPr>
              <w:pStyle w:val="167"/>
              <w:bidi w:val="0"/>
              <w:jc w:val="center"/>
              <w:rPr>
                <w:rFonts w:hint="default"/>
                <w:b w:val="0"/>
                <w:lang w:val="en-US" w:eastAsia="zh-CN"/>
              </w:rPr>
            </w:pPr>
            <w:r>
              <w:rPr>
                <w:rFonts w:hint="default"/>
                <w:b w:val="0"/>
                <w:lang w:val="en-US" w:eastAsia="zh-CN"/>
              </w:rPr>
              <w:t>Passive/minimal control</w:t>
            </w:r>
          </w:p>
        </w:tc>
        <w:tc>
          <w:tcPr>
            <w:tcW w:w="651" w:type="pct"/>
            <w:tcBorders>
              <w:top w:val="nil"/>
              <w:left w:val="nil"/>
              <w:bottom w:val="single" w:color="000000" w:sz="12" w:space="0"/>
              <w:right w:val="nil"/>
            </w:tcBorders>
            <w:shd w:val="clear" w:color="auto" w:fill="FFFFFF"/>
            <w:vAlign w:val="center"/>
          </w:tcPr>
          <w:p w14:paraId="16953207">
            <w:pPr>
              <w:pStyle w:val="167"/>
              <w:bidi w:val="0"/>
              <w:jc w:val="center"/>
              <w:rPr>
                <w:rFonts w:hint="default"/>
                <w:b w:val="0"/>
                <w:lang w:val="en-US" w:eastAsia="zh-CN"/>
              </w:rPr>
            </w:pPr>
            <w:r>
              <w:rPr>
                <w:rFonts w:hint="default"/>
                <w:b w:val="0"/>
                <w:lang w:val="en-US" w:eastAsia="zh-CN"/>
              </w:rPr>
              <w:t>12 weeks; ≥3 sessions/week; ≥15 min/session</w:t>
            </w:r>
          </w:p>
        </w:tc>
        <w:tc>
          <w:tcPr>
            <w:tcW w:w="477" w:type="pct"/>
            <w:tcBorders>
              <w:top w:val="nil"/>
              <w:left w:val="nil"/>
              <w:bottom w:val="single" w:color="000000" w:sz="12" w:space="0"/>
              <w:right w:val="nil"/>
            </w:tcBorders>
            <w:shd w:val="clear" w:color="auto" w:fill="FFFFFF"/>
            <w:vAlign w:val="center"/>
          </w:tcPr>
          <w:p w14:paraId="46A7E83D">
            <w:pPr>
              <w:pStyle w:val="167"/>
              <w:bidi w:val="0"/>
              <w:jc w:val="center"/>
              <w:rPr>
                <w:rFonts w:hint="default"/>
                <w:b w:val="0"/>
                <w:lang w:val="en-US" w:eastAsia="zh-CN"/>
              </w:rPr>
            </w:pPr>
            <w:r>
              <w:rPr>
                <w:rFonts w:hint="default"/>
                <w:b w:val="0"/>
                <w:lang w:val="en-US" w:eastAsia="zh-CN"/>
              </w:rPr>
              <w:t>Balance; functional mobility; gait/walking</w:t>
            </w:r>
          </w:p>
        </w:tc>
        <w:tc>
          <w:tcPr>
            <w:tcW w:w="591" w:type="pct"/>
            <w:tcBorders>
              <w:top w:val="nil"/>
              <w:left w:val="nil"/>
              <w:bottom w:val="single" w:color="000000" w:sz="12" w:space="0"/>
              <w:right w:val="nil"/>
            </w:tcBorders>
            <w:shd w:val="clear" w:color="auto" w:fill="FFFFFF"/>
            <w:vAlign w:val="center"/>
          </w:tcPr>
          <w:p w14:paraId="0CCE6E07">
            <w:pPr>
              <w:pStyle w:val="167"/>
              <w:bidi w:val="0"/>
              <w:jc w:val="center"/>
              <w:rPr>
                <w:rFonts w:hint="default"/>
                <w:b w:val="0"/>
                <w:lang w:val="en-US" w:eastAsia="zh-CN"/>
              </w:rPr>
            </w:pPr>
            <w:r>
              <w:rPr>
                <w:rFonts w:hint="default"/>
                <w:b w:val="0"/>
                <w:lang w:val="en-US" w:eastAsia="zh-CN"/>
              </w:rPr>
              <w:t>Primary endpoint meta-analysis; selected alternative measures examined in sensitivity analyses</w:t>
            </w:r>
          </w:p>
        </w:tc>
      </w:tr>
    </w:tbl>
    <w:p w14:paraId="4686CBAD">
      <w:pPr>
        <w:bidi w:val="0"/>
        <w:rPr>
          <w:lang w:val="en-US" w:eastAsia="zh-CN"/>
        </w:rPr>
      </w:pPr>
      <w:r>
        <w:rPr>
          <w:lang w:val="en-US" w:eastAsia="zh-CN"/>
        </w:rPr>
        <w:t>Note: I, intervention group; C, comparator group; H&amp;Y, Hoehn and Yahr; IMU, inertial measurement unit; mHealth, mobile health; PD, Parkinson’s disease; SMD, standardized mean difference; SMS, short message service. “Analysed n” indicates the group denominators available in the review dataset and does not necessarily represent the number initially randomized. Eligible outcome domains indicate outcomes meeting the review-level definitions and do not imply that every reported measure was included in the endpoint-only primary meta-analysis. Passive/minimal control included usual care, education, waiting-list, or other conditions without active structured exercise. Ordinary home exercise included paper-, booklet-, or manual-guided home exercise without the target remote-monitoring support. Active therapist-led rehabilitation included face-to-face, clinic-based, centre-based, or otherwise actively supervised rehabilitation.</w:t>
      </w:r>
    </w:p>
    <w:p w14:paraId="2CD1F92B">
      <w:pPr>
        <w:pStyle w:val="3"/>
        <w:bidi w:val="0"/>
        <w:rPr>
          <w:rFonts w:hint="eastAsia"/>
        </w:rPr>
      </w:pPr>
      <w:r>
        <w:rPr>
          <w:lang w:val="en-US" w:eastAsia="zh-CN"/>
        </w:rPr>
        <w:t>Supplementary Table S</w:t>
      </w:r>
      <w:r>
        <w:rPr>
          <w:rFonts w:hint="default"/>
          <w:lang w:val="en-US" w:eastAsia="zh-CN"/>
        </w:rPr>
        <w:t>3</w:t>
      </w:r>
      <w:r>
        <w:rPr>
          <w:lang w:val="en-US" w:eastAsia="zh-CN"/>
        </w:rPr>
        <w:t>. Operational definitions, comparator classification, outcome constructs, and data-selection rules</w:t>
      </w:r>
    </w:p>
    <w:tbl>
      <w:tblPr>
        <w:tblStyle w:val="34"/>
        <w:tblpPr w:leftFromText="180" w:rightFromText="180" w:vertAnchor="text" w:horzAnchor="page" w:tblpX="1422" w:tblpY="69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2020"/>
        <w:gridCol w:w="4344"/>
        <w:gridCol w:w="2465"/>
        <w:gridCol w:w="2930"/>
      </w:tblGrid>
      <w:tr w14:paraId="4BAEF1B8">
        <w:trPr>
          <w:cantSplit/>
        </w:trPr>
        <w:tc>
          <w:tcPr>
            <w:tcW w:w="1552" w:type="dxa"/>
            <w:tcBorders>
              <w:top w:val="single" w:color="000000" w:sz="12" w:space="0"/>
              <w:left w:val="nil"/>
              <w:bottom w:val="single" w:color="000000" w:sz="4" w:space="0"/>
              <w:right w:val="nil"/>
              <w:tl2br w:val="nil"/>
            </w:tcBorders>
            <w:shd w:val="clear" w:color="auto" w:fill="FFFFFF"/>
            <w:vAlign w:val="center"/>
          </w:tcPr>
          <w:p w14:paraId="6DE889A9">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Domain</w:t>
            </w:r>
          </w:p>
        </w:tc>
        <w:tc>
          <w:tcPr>
            <w:tcW w:w="2020" w:type="dxa"/>
            <w:tcBorders>
              <w:top w:val="single" w:color="000000" w:sz="12" w:space="0"/>
              <w:left w:val="nil"/>
              <w:bottom w:val="single" w:color="000000" w:sz="4" w:space="0"/>
              <w:right w:val="nil"/>
            </w:tcBorders>
            <w:shd w:val="clear" w:color="auto" w:fill="FFFFFF"/>
            <w:vAlign w:val="center"/>
          </w:tcPr>
          <w:p w14:paraId="6EB31D1F">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Classification item</w:t>
            </w:r>
          </w:p>
        </w:tc>
        <w:tc>
          <w:tcPr>
            <w:tcW w:w="4344" w:type="dxa"/>
            <w:tcBorders>
              <w:top w:val="single" w:color="000000" w:sz="12" w:space="0"/>
              <w:left w:val="nil"/>
              <w:bottom w:val="single" w:color="000000" w:sz="4" w:space="0"/>
              <w:right w:val="nil"/>
            </w:tcBorders>
            <w:shd w:val="clear" w:color="auto" w:fill="FFFFFF"/>
            <w:vAlign w:val="center"/>
          </w:tcPr>
          <w:p w14:paraId="05626EFE">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Operational definition or selection rule</w:t>
            </w:r>
          </w:p>
        </w:tc>
        <w:tc>
          <w:tcPr>
            <w:tcW w:w="2465" w:type="dxa"/>
            <w:tcBorders>
              <w:top w:val="single" w:color="000000" w:sz="12" w:space="0"/>
              <w:left w:val="nil"/>
              <w:bottom w:val="single" w:color="000000" w:sz="4" w:space="0"/>
              <w:right w:val="nil"/>
            </w:tcBorders>
            <w:shd w:val="clear" w:color="auto" w:fill="FFFFFF"/>
            <w:vAlign w:val="center"/>
          </w:tcPr>
          <w:p w14:paraId="2F184CE7">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Examples or labels used in the extraction dataset</w:t>
            </w:r>
          </w:p>
        </w:tc>
        <w:tc>
          <w:tcPr>
            <w:tcW w:w="2930" w:type="dxa"/>
            <w:tcBorders>
              <w:top w:val="single" w:color="000000" w:sz="12" w:space="0"/>
              <w:left w:val="nil"/>
              <w:bottom w:val="single" w:color="000000" w:sz="4" w:space="0"/>
              <w:right w:val="nil"/>
            </w:tcBorders>
            <w:shd w:val="clear" w:color="auto" w:fill="FFFFFF"/>
            <w:vAlign w:val="center"/>
          </w:tcPr>
          <w:p w14:paraId="12C44800">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Rule for quantitative synthesis</w:t>
            </w:r>
          </w:p>
        </w:tc>
      </w:tr>
      <w:tr w14:paraId="2EBE697F">
        <w:trPr>
          <w:cantSplit/>
        </w:trPr>
        <w:tc>
          <w:tcPr>
            <w:tcW w:w="1552" w:type="dxa"/>
            <w:tcBorders>
              <w:top w:val="single" w:color="000000" w:sz="4" w:space="0"/>
              <w:left w:val="nil"/>
              <w:bottom w:val="nil"/>
              <w:right w:val="nil"/>
            </w:tcBorders>
            <w:shd w:val="clear" w:color="auto" w:fill="FFFFFF"/>
            <w:vAlign w:val="center"/>
          </w:tcPr>
          <w:p w14:paraId="123C9C45">
            <w:pPr>
              <w:pStyle w:val="167"/>
              <w:bidi w:val="0"/>
              <w:jc w:val="center"/>
              <w:rPr>
                <w:rFonts w:hint="default"/>
                <w:b w:val="0"/>
                <w:lang w:val="en-US" w:eastAsia="zh-CN"/>
              </w:rPr>
            </w:pPr>
            <w:r>
              <w:rPr>
                <w:rFonts w:hint="default"/>
                <w:b w:val="0"/>
                <w:lang w:val="en-US" w:eastAsia="zh-CN"/>
              </w:rPr>
              <w:t>Target intervention</w:t>
            </w:r>
          </w:p>
        </w:tc>
        <w:tc>
          <w:tcPr>
            <w:tcW w:w="2020" w:type="dxa"/>
            <w:tcBorders>
              <w:top w:val="single" w:color="000000" w:sz="4" w:space="0"/>
              <w:left w:val="nil"/>
              <w:bottom w:val="nil"/>
              <w:right w:val="nil"/>
            </w:tcBorders>
            <w:shd w:val="clear" w:color="auto" w:fill="FFFFFF"/>
            <w:vAlign w:val="center"/>
          </w:tcPr>
          <w:p w14:paraId="22F548FB">
            <w:pPr>
              <w:pStyle w:val="167"/>
              <w:bidi w:val="0"/>
              <w:jc w:val="center"/>
              <w:rPr>
                <w:rFonts w:hint="default"/>
                <w:b w:val="0"/>
                <w:lang w:val="en-US" w:eastAsia="zh-CN"/>
              </w:rPr>
            </w:pPr>
            <w:r>
              <w:rPr>
                <w:rFonts w:hint="default"/>
                <w:b w:val="0"/>
                <w:lang w:val="en-US" w:eastAsia="zh-CN"/>
              </w:rPr>
              <w:t>Remote monitoring-supported home-based exercise</w:t>
            </w:r>
          </w:p>
        </w:tc>
        <w:tc>
          <w:tcPr>
            <w:tcW w:w="4344" w:type="dxa"/>
            <w:tcBorders>
              <w:top w:val="single" w:color="000000" w:sz="4" w:space="0"/>
              <w:left w:val="nil"/>
              <w:bottom w:val="nil"/>
              <w:right w:val="nil"/>
            </w:tcBorders>
            <w:shd w:val="clear" w:color="auto" w:fill="FFFFFF"/>
            <w:vAlign w:val="center"/>
          </w:tcPr>
          <w:p w14:paraId="47D50749">
            <w:pPr>
              <w:pStyle w:val="167"/>
              <w:bidi w:val="0"/>
              <w:jc w:val="center"/>
              <w:rPr>
                <w:rFonts w:hint="default"/>
                <w:b w:val="0"/>
                <w:lang w:val="en-US" w:eastAsia="zh-CN"/>
              </w:rPr>
            </w:pPr>
            <w:r>
              <w:rPr>
                <w:rFonts w:hint="default"/>
                <w:b w:val="0"/>
                <w:lang w:val="en-US" w:eastAsia="zh-CN"/>
              </w:rPr>
              <w:t>An intervention was eligible when it combined a structured home-based exercise or rehabilitation programme with ongoing remote support during the intervention period. Remote support could include supervision, therapist feedback, digital recording, adherence monitoring, app- or web-based support, wearable devices, motion sensors, video or telephone contact, SMS reminders, or remotely reviewed training logs. Remote consultation, health education, or one-off exercise advice without a structured exercise component was not classified as the target intervention. Ordinary home exercise or paper/manual-based exercise without ongoing remote monitoring, feedback, or supervision was also not classified as the target intervention.</w:t>
            </w:r>
          </w:p>
        </w:tc>
        <w:tc>
          <w:tcPr>
            <w:tcW w:w="2465" w:type="dxa"/>
            <w:tcBorders>
              <w:top w:val="single" w:color="000000" w:sz="4" w:space="0"/>
              <w:left w:val="nil"/>
              <w:bottom w:val="nil"/>
              <w:right w:val="nil"/>
            </w:tcBorders>
            <w:shd w:val="clear" w:color="auto" w:fill="FFFFFF"/>
            <w:vAlign w:val="center"/>
          </w:tcPr>
          <w:p w14:paraId="67872CC8">
            <w:pPr>
              <w:pStyle w:val="167"/>
              <w:bidi w:val="0"/>
              <w:jc w:val="center"/>
              <w:rPr>
                <w:rFonts w:hint="default"/>
                <w:b w:val="0"/>
                <w:lang w:val="en-US" w:eastAsia="zh-CN"/>
              </w:rPr>
            </w:pPr>
            <w:r>
              <w:rPr>
                <w:rFonts w:hint="default"/>
                <w:b w:val="0"/>
                <w:lang w:val="en-US" w:eastAsia="zh-CN"/>
              </w:rPr>
              <w:t>Home-based exercise with video supervision; app-guided telerehabilitation; mHealth-supported exercise or physical activity; wearable- or sensor-supported gait and balance training; remotely monitored home-based virtual reality or exergaming; mixed remote monitoring-supported exercise.</w:t>
            </w:r>
          </w:p>
        </w:tc>
        <w:tc>
          <w:tcPr>
            <w:tcW w:w="2930" w:type="dxa"/>
            <w:tcBorders>
              <w:top w:val="single" w:color="000000" w:sz="4" w:space="0"/>
              <w:left w:val="nil"/>
              <w:bottom w:val="nil"/>
              <w:right w:val="nil"/>
            </w:tcBorders>
            <w:shd w:val="clear" w:color="auto" w:fill="FFFFFF"/>
            <w:vAlign w:val="center"/>
          </w:tcPr>
          <w:p w14:paraId="1CC8C8AB">
            <w:pPr>
              <w:pStyle w:val="167"/>
              <w:bidi w:val="0"/>
              <w:jc w:val="center"/>
              <w:rPr>
                <w:rFonts w:hint="default"/>
                <w:b w:val="0"/>
                <w:lang w:val="en-US" w:eastAsia="zh-CN"/>
              </w:rPr>
            </w:pPr>
            <w:r>
              <w:rPr>
                <w:rFonts w:hint="default"/>
                <w:b w:val="0"/>
                <w:lang w:val="en-US" w:eastAsia="zh-CN"/>
              </w:rPr>
              <w:t>This rule determined intervention eligibility. The effect estimate was oriented so that Hedges’ g &gt; 0 favoured the remote monitoring-supported home-based exercise group.</w:t>
            </w:r>
          </w:p>
        </w:tc>
      </w:tr>
      <w:tr w14:paraId="2989A486">
        <w:trPr>
          <w:cantSplit/>
        </w:trPr>
        <w:tc>
          <w:tcPr>
            <w:tcW w:w="1552" w:type="dxa"/>
            <w:tcBorders>
              <w:top w:val="nil"/>
              <w:left w:val="nil"/>
              <w:bottom w:val="nil"/>
              <w:right w:val="nil"/>
            </w:tcBorders>
            <w:shd w:val="clear" w:color="auto" w:fill="FFFFFF"/>
            <w:vAlign w:val="center"/>
          </w:tcPr>
          <w:p w14:paraId="4B191720">
            <w:pPr>
              <w:pStyle w:val="167"/>
              <w:bidi w:val="0"/>
              <w:jc w:val="center"/>
              <w:rPr>
                <w:rFonts w:hint="default"/>
                <w:b w:val="0"/>
                <w:lang w:val="en-US" w:eastAsia="zh-CN"/>
              </w:rPr>
            </w:pPr>
            <w:r>
              <w:rPr>
                <w:rFonts w:hint="default"/>
                <w:b w:val="0"/>
                <w:lang w:val="en-US" w:eastAsia="zh-CN"/>
              </w:rPr>
              <w:t>Intervention subtype</w:t>
            </w:r>
          </w:p>
        </w:tc>
        <w:tc>
          <w:tcPr>
            <w:tcW w:w="2020" w:type="dxa"/>
            <w:tcBorders>
              <w:top w:val="nil"/>
              <w:left w:val="nil"/>
              <w:bottom w:val="nil"/>
              <w:right w:val="nil"/>
            </w:tcBorders>
            <w:shd w:val="clear" w:color="auto" w:fill="FFFFFF"/>
            <w:vAlign w:val="center"/>
          </w:tcPr>
          <w:p w14:paraId="163D2FF2">
            <w:pPr>
              <w:pStyle w:val="167"/>
              <w:bidi w:val="0"/>
              <w:jc w:val="center"/>
              <w:rPr>
                <w:rFonts w:hint="default"/>
                <w:b w:val="0"/>
                <w:lang w:val="en-US" w:eastAsia="zh-CN"/>
              </w:rPr>
            </w:pPr>
            <w:r>
              <w:rPr>
                <w:rFonts w:hint="default"/>
                <w:b w:val="0"/>
                <w:lang w:val="en-US" w:eastAsia="zh-CN"/>
              </w:rPr>
              <w:t>Telerehabilitation/video-supervised exercise</w:t>
            </w:r>
          </w:p>
        </w:tc>
        <w:tc>
          <w:tcPr>
            <w:tcW w:w="4344" w:type="dxa"/>
            <w:tcBorders>
              <w:top w:val="nil"/>
              <w:left w:val="nil"/>
              <w:bottom w:val="nil"/>
              <w:right w:val="nil"/>
            </w:tcBorders>
            <w:shd w:val="clear" w:color="auto" w:fill="FFFFFF"/>
            <w:vAlign w:val="center"/>
          </w:tcPr>
          <w:p w14:paraId="25AA923C">
            <w:pPr>
              <w:pStyle w:val="167"/>
              <w:bidi w:val="0"/>
              <w:jc w:val="center"/>
              <w:rPr>
                <w:rFonts w:hint="default"/>
                <w:b w:val="0"/>
                <w:lang w:val="en-US" w:eastAsia="zh-CN"/>
              </w:rPr>
            </w:pPr>
            <w:r>
              <w:rPr>
                <w:rFonts w:hint="default"/>
                <w:b w:val="0"/>
                <w:lang w:val="en-US" w:eastAsia="zh-CN"/>
              </w:rPr>
              <w:t>Home-based exercise delivered, supervised, or reviewed through real-time or scheduled video contact, generally involving therapist guidance, progression, safety checking, or caregiver support.</w:t>
            </w:r>
          </w:p>
        </w:tc>
        <w:tc>
          <w:tcPr>
            <w:tcW w:w="2465" w:type="dxa"/>
            <w:tcBorders>
              <w:top w:val="nil"/>
              <w:left w:val="nil"/>
              <w:bottom w:val="nil"/>
              <w:right w:val="nil"/>
            </w:tcBorders>
            <w:shd w:val="clear" w:color="auto" w:fill="FFFFFF"/>
            <w:vAlign w:val="center"/>
          </w:tcPr>
          <w:p w14:paraId="56EDFEDD">
            <w:pPr>
              <w:pStyle w:val="167"/>
              <w:bidi w:val="0"/>
              <w:jc w:val="center"/>
              <w:rPr>
                <w:rFonts w:hint="default"/>
                <w:b w:val="0"/>
                <w:lang w:val="en-US" w:eastAsia="zh-CN"/>
              </w:rPr>
            </w:pPr>
            <w:r>
              <w:rPr>
                <w:rFonts w:hint="default"/>
                <w:b w:val="0"/>
                <w:lang w:val="en-US" w:eastAsia="zh-CN"/>
              </w:rPr>
              <w:t>Videoconference-based telerehabilitation; smartphone video calls; Zoom-, Skype-, WhatsApp-, Google Meet-, or Microsoft Teams-supported exercise.</w:t>
            </w:r>
          </w:p>
        </w:tc>
        <w:tc>
          <w:tcPr>
            <w:tcW w:w="2930" w:type="dxa"/>
            <w:tcBorders>
              <w:top w:val="nil"/>
              <w:left w:val="nil"/>
              <w:bottom w:val="nil"/>
              <w:right w:val="nil"/>
            </w:tcBorders>
            <w:shd w:val="clear" w:color="auto" w:fill="FFFFFF"/>
            <w:vAlign w:val="center"/>
          </w:tcPr>
          <w:p w14:paraId="7C76DD5E">
            <w:pPr>
              <w:pStyle w:val="167"/>
              <w:bidi w:val="0"/>
              <w:jc w:val="center"/>
              <w:rPr>
                <w:rFonts w:hint="default"/>
                <w:b w:val="0"/>
                <w:lang w:val="en-US" w:eastAsia="zh-CN"/>
              </w:rPr>
            </w:pPr>
            <w:r>
              <w:rPr>
                <w:rFonts w:hint="default"/>
                <w:b w:val="0"/>
                <w:lang w:val="en-US" w:eastAsia="zh-CN"/>
              </w:rPr>
              <w:t>Subtypes were used descriptively and were not pooled as separate primary treatment categories.</w:t>
            </w:r>
          </w:p>
        </w:tc>
      </w:tr>
      <w:tr w14:paraId="21F8921E">
        <w:trPr>
          <w:cantSplit/>
        </w:trPr>
        <w:tc>
          <w:tcPr>
            <w:tcW w:w="1552" w:type="dxa"/>
            <w:tcBorders>
              <w:top w:val="nil"/>
              <w:left w:val="nil"/>
              <w:bottom w:val="nil"/>
              <w:right w:val="nil"/>
            </w:tcBorders>
            <w:shd w:val="clear" w:color="auto" w:fill="FFFFFF"/>
            <w:vAlign w:val="center"/>
          </w:tcPr>
          <w:p w14:paraId="375B1C82">
            <w:pPr>
              <w:pStyle w:val="167"/>
              <w:bidi w:val="0"/>
              <w:jc w:val="center"/>
              <w:rPr>
                <w:rFonts w:hint="default"/>
                <w:b w:val="0"/>
                <w:lang w:val="en-US" w:eastAsia="zh-CN"/>
              </w:rPr>
            </w:pPr>
            <w:r>
              <w:rPr>
                <w:rFonts w:hint="default"/>
                <w:b w:val="0"/>
                <w:lang w:val="en-US" w:eastAsia="zh-CN"/>
              </w:rPr>
              <w:t>Intervention subtype</w:t>
            </w:r>
          </w:p>
        </w:tc>
        <w:tc>
          <w:tcPr>
            <w:tcW w:w="2020" w:type="dxa"/>
            <w:tcBorders>
              <w:top w:val="nil"/>
              <w:left w:val="nil"/>
              <w:bottom w:val="nil"/>
              <w:right w:val="nil"/>
            </w:tcBorders>
            <w:shd w:val="clear" w:color="auto" w:fill="FFFFFF"/>
            <w:vAlign w:val="center"/>
          </w:tcPr>
          <w:p w14:paraId="43BADB89">
            <w:pPr>
              <w:pStyle w:val="167"/>
              <w:bidi w:val="0"/>
              <w:jc w:val="center"/>
              <w:rPr>
                <w:rFonts w:hint="default"/>
                <w:b w:val="0"/>
                <w:lang w:val="en-US" w:eastAsia="zh-CN"/>
              </w:rPr>
            </w:pPr>
            <w:r>
              <w:rPr>
                <w:rFonts w:hint="default"/>
                <w:b w:val="0"/>
                <w:lang w:val="en-US" w:eastAsia="zh-CN"/>
              </w:rPr>
              <w:t>App/mHealth-supported exercise</w:t>
            </w:r>
          </w:p>
        </w:tc>
        <w:tc>
          <w:tcPr>
            <w:tcW w:w="4344" w:type="dxa"/>
            <w:tcBorders>
              <w:top w:val="nil"/>
              <w:left w:val="nil"/>
              <w:bottom w:val="nil"/>
              <w:right w:val="nil"/>
            </w:tcBorders>
            <w:shd w:val="clear" w:color="auto" w:fill="FFFFFF"/>
            <w:vAlign w:val="center"/>
          </w:tcPr>
          <w:p w14:paraId="5C889840">
            <w:pPr>
              <w:pStyle w:val="167"/>
              <w:bidi w:val="0"/>
              <w:jc w:val="center"/>
              <w:rPr>
                <w:rFonts w:hint="default"/>
                <w:b w:val="0"/>
                <w:lang w:val="en-US" w:eastAsia="zh-CN"/>
              </w:rPr>
            </w:pPr>
            <w:r>
              <w:rPr>
                <w:rFonts w:hint="default"/>
                <w:b w:val="0"/>
                <w:lang w:val="en-US" w:eastAsia="zh-CN"/>
              </w:rPr>
              <w:t>Home-based exercise or physical activity supported by a mobile application or web platform providing exercise content, reminders, usage records, asynchronous feedback, goal setting, or programme adjustment.</w:t>
            </w:r>
          </w:p>
        </w:tc>
        <w:tc>
          <w:tcPr>
            <w:tcW w:w="2465" w:type="dxa"/>
            <w:tcBorders>
              <w:top w:val="nil"/>
              <w:left w:val="nil"/>
              <w:bottom w:val="nil"/>
              <w:right w:val="nil"/>
            </w:tcBorders>
            <w:shd w:val="clear" w:color="auto" w:fill="FFFFFF"/>
            <w:vAlign w:val="center"/>
          </w:tcPr>
          <w:p w14:paraId="38F64F08">
            <w:pPr>
              <w:pStyle w:val="167"/>
              <w:bidi w:val="0"/>
              <w:jc w:val="center"/>
              <w:rPr>
                <w:rFonts w:hint="default"/>
                <w:b w:val="0"/>
                <w:lang w:val="en-US" w:eastAsia="zh-CN"/>
              </w:rPr>
            </w:pPr>
            <w:r>
              <w:rPr>
                <w:rFonts w:hint="default"/>
                <w:b w:val="0"/>
                <w:lang w:val="en-US" w:eastAsia="zh-CN"/>
              </w:rPr>
              <w:t>DopApp; vCare; WizeCare; app-guided home telerehabilitation; mHealth-supported walking or physical-activity self-management.</w:t>
            </w:r>
          </w:p>
        </w:tc>
        <w:tc>
          <w:tcPr>
            <w:tcW w:w="2930" w:type="dxa"/>
            <w:tcBorders>
              <w:top w:val="nil"/>
              <w:left w:val="nil"/>
              <w:bottom w:val="nil"/>
              <w:right w:val="nil"/>
            </w:tcBorders>
            <w:shd w:val="clear" w:color="auto" w:fill="FFFFFF"/>
            <w:vAlign w:val="center"/>
          </w:tcPr>
          <w:p w14:paraId="10DF82C9">
            <w:pPr>
              <w:pStyle w:val="167"/>
              <w:bidi w:val="0"/>
              <w:jc w:val="center"/>
              <w:rPr>
                <w:rFonts w:hint="default"/>
                <w:b w:val="0"/>
                <w:lang w:val="en-US" w:eastAsia="zh-CN"/>
              </w:rPr>
            </w:pPr>
            <w:r>
              <w:rPr>
                <w:rFonts w:hint="default"/>
                <w:b w:val="0"/>
                <w:lang w:val="en-US" w:eastAsia="zh-CN"/>
              </w:rPr>
              <w:t>Subtypes were used descriptively and were not pooled as separate primary treatment categories.</w:t>
            </w:r>
          </w:p>
        </w:tc>
      </w:tr>
      <w:tr w14:paraId="1E213519">
        <w:trPr>
          <w:cantSplit/>
        </w:trPr>
        <w:tc>
          <w:tcPr>
            <w:tcW w:w="1552" w:type="dxa"/>
            <w:tcBorders>
              <w:top w:val="nil"/>
              <w:left w:val="nil"/>
              <w:bottom w:val="nil"/>
              <w:right w:val="nil"/>
            </w:tcBorders>
            <w:shd w:val="clear" w:color="auto" w:fill="FFFFFF"/>
            <w:vAlign w:val="center"/>
          </w:tcPr>
          <w:p w14:paraId="24E751BC">
            <w:pPr>
              <w:pStyle w:val="167"/>
              <w:bidi w:val="0"/>
              <w:jc w:val="center"/>
              <w:rPr>
                <w:rFonts w:hint="default"/>
                <w:b w:val="0"/>
                <w:lang w:val="en-US" w:eastAsia="zh-CN"/>
              </w:rPr>
            </w:pPr>
            <w:r>
              <w:rPr>
                <w:rFonts w:hint="default"/>
                <w:b w:val="0"/>
                <w:lang w:val="en-US" w:eastAsia="zh-CN"/>
              </w:rPr>
              <w:t>Intervention subtype</w:t>
            </w:r>
          </w:p>
        </w:tc>
        <w:tc>
          <w:tcPr>
            <w:tcW w:w="2020" w:type="dxa"/>
            <w:tcBorders>
              <w:top w:val="nil"/>
              <w:left w:val="nil"/>
              <w:bottom w:val="nil"/>
              <w:right w:val="nil"/>
            </w:tcBorders>
            <w:shd w:val="clear" w:color="auto" w:fill="FFFFFF"/>
            <w:vAlign w:val="center"/>
          </w:tcPr>
          <w:p w14:paraId="48213FF2">
            <w:pPr>
              <w:pStyle w:val="167"/>
              <w:bidi w:val="0"/>
              <w:jc w:val="center"/>
              <w:rPr>
                <w:rFonts w:hint="default"/>
                <w:b w:val="0"/>
                <w:lang w:val="en-US" w:eastAsia="zh-CN"/>
              </w:rPr>
            </w:pPr>
            <w:r>
              <w:rPr>
                <w:rFonts w:hint="default"/>
                <w:b w:val="0"/>
                <w:lang w:val="en-US" w:eastAsia="zh-CN"/>
              </w:rPr>
              <w:t>Wearable/sensor-supported exercise</w:t>
            </w:r>
          </w:p>
        </w:tc>
        <w:tc>
          <w:tcPr>
            <w:tcW w:w="4344" w:type="dxa"/>
            <w:tcBorders>
              <w:top w:val="nil"/>
              <w:left w:val="nil"/>
              <w:bottom w:val="nil"/>
              <w:right w:val="nil"/>
            </w:tcBorders>
            <w:shd w:val="clear" w:color="auto" w:fill="FFFFFF"/>
            <w:vAlign w:val="center"/>
          </w:tcPr>
          <w:p w14:paraId="320C14E3">
            <w:pPr>
              <w:pStyle w:val="167"/>
              <w:bidi w:val="0"/>
              <w:jc w:val="center"/>
              <w:rPr>
                <w:rFonts w:hint="default"/>
                <w:b w:val="0"/>
                <w:lang w:val="en-US" w:eastAsia="zh-CN"/>
              </w:rPr>
            </w:pPr>
            <w:r>
              <w:rPr>
                <w:rFonts w:hint="default"/>
                <w:b w:val="0"/>
                <w:lang w:val="en-US" w:eastAsia="zh-CN"/>
              </w:rPr>
              <w:t>Home-based exercise, gait training, or balance training supported by wearable activity trackers, inertial measurement units, heart-rate monitors, motion sensors, or sensor-derived feedback.</w:t>
            </w:r>
          </w:p>
        </w:tc>
        <w:tc>
          <w:tcPr>
            <w:tcW w:w="2465" w:type="dxa"/>
            <w:tcBorders>
              <w:top w:val="nil"/>
              <w:left w:val="nil"/>
              <w:bottom w:val="nil"/>
              <w:right w:val="nil"/>
            </w:tcBorders>
            <w:shd w:val="clear" w:color="auto" w:fill="FFFFFF"/>
            <w:vAlign w:val="center"/>
          </w:tcPr>
          <w:p w14:paraId="1F8A4A65">
            <w:pPr>
              <w:pStyle w:val="167"/>
              <w:bidi w:val="0"/>
              <w:jc w:val="center"/>
              <w:rPr>
                <w:rFonts w:hint="default"/>
                <w:b w:val="0"/>
                <w:lang w:val="en-US" w:eastAsia="zh-CN"/>
              </w:rPr>
            </w:pPr>
            <w:r>
              <w:rPr>
                <w:rFonts w:hint="default"/>
                <w:b w:val="0"/>
                <w:lang w:val="en-US" w:eastAsia="zh-CN"/>
              </w:rPr>
              <w:t>Garmin activity tracker; inertial measurement units; smart band; Polar heart-rate monitor; smartphone-linked wearable sensors.</w:t>
            </w:r>
          </w:p>
        </w:tc>
        <w:tc>
          <w:tcPr>
            <w:tcW w:w="2930" w:type="dxa"/>
            <w:tcBorders>
              <w:top w:val="nil"/>
              <w:left w:val="nil"/>
              <w:bottom w:val="nil"/>
              <w:right w:val="nil"/>
            </w:tcBorders>
            <w:shd w:val="clear" w:color="auto" w:fill="FFFFFF"/>
            <w:vAlign w:val="center"/>
          </w:tcPr>
          <w:p w14:paraId="11139D31">
            <w:pPr>
              <w:pStyle w:val="167"/>
              <w:bidi w:val="0"/>
              <w:jc w:val="center"/>
              <w:rPr>
                <w:rFonts w:hint="default"/>
                <w:b w:val="0"/>
                <w:lang w:val="en-US" w:eastAsia="zh-CN"/>
              </w:rPr>
            </w:pPr>
            <w:r>
              <w:rPr>
                <w:rFonts w:hint="default"/>
                <w:b w:val="0"/>
                <w:lang w:val="en-US" w:eastAsia="zh-CN"/>
              </w:rPr>
              <w:t>Subtypes were used descriptively and were not pooled as separate primary treatment categories.</w:t>
            </w:r>
          </w:p>
        </w:tc>
      </w:tr>
      <w:tr w14:paraId="4AB7E55C">
        <w:trPr>
          <w:cantSplit/>
        </w:trPr>
        <w:tc>
          <w:tcPr>
            <w:tcW w:w="1552" w:type="dxa"/>
            <w:tcBorders>
              <w:top w:val="nil"/>
              <w:left w:val="nil"/>
              <w:bottom w:val="nil"/>
              <w:right w:val="nil"/>
            </w:tcBorders>
            <w:shd w:val="clear" w:color="auto" w:fill="FFFFFF"/>
            <w:vAlign w:val="center"/>
          </w:tcPr>
          <w:p w14:paraId="12C81947">
            <w:pPr>
              <w:pStyle w:val="167"/>
              <w:bidi w:val="0"/>
              <w:jc w:val="center"/>
              <w:rPr>
                <w:rFonts w:hint="default"/>
                <w:b w:val="0"/>
                <w:lang w:val="en-US" w:eastAsia="zh-CN"/>
              </w:rPr>
            </w:pPr>
            <w:r>
              <w:rPr>
                <w:rFonts w:hint="default"/>
                <w:b w:val="0"/>
                <w:lang w:val="en-US" w:eastAsia="zh-CN"/>
              </w:rPr>
              <w:t>Intervention subtype</w:t>
            </w:r>
          </w:p>
        </w:tc>
        <w:tc>
          <w:tcPr>
            <w:tcW w:w="2020" w:type="dxa"/>
            <w:tcBorders>
              <w:top w:val="nil"/>
              <w:left w:val="nil"/>
              <w:bottom w:val="nil"/>
              <w:right w:val="nil"/>
            </w:tcBorders>
            <w:shd w:val="clear" w:color="auto" w:fill="FFFFFF"/>
            <w:vAlign w:val="center"/>
          </w:tcPr>
          <w:p w14:paraId="1B75AC57">
            <w:pPr>
              <w:pStyle w:val="167"/>
              <w:bidi w:val="0"/>
              <w:jc w:val="center"/>
              <w:rPr>
                <w:rFonts w:hint="default"/>
                <w:b w:val="0"/>
                <w:lang w:val="en-US" w:eastAsia="zh-CN"/>
              </w:rPr>
            </w:pPr>
            <w:r>
              <w:rPr>
                <w:rFonts w:hint="default"/>
                <w:b w:val="0"/>
                <w:lang w:val="en-US" w:eastAsia="zh-CN"/>
              </w:rPr>
              <w:t>Home-based VR/exergaming with remote support</w:t>
            </w:r>
          </w:p>
        </w:tc>
        <w:tc>
          <w:tcPr>
            <w:tcW w:w="4344" w:type="dxa"/>
            <w:tcBorders>
              <w:top w:val="nil"/>
              <w:left w:val="nil"/>
              <w:bottom w:val="nil"/>
              <w:right w:val="nil"/>
            </w:tcBorders>
            <w:shd w:val="clear" w:color="auto" w:fill="FFFFFF"/>
            <w:vAlign w:val="center"/>
          </w:tcPr>
          <w:p w14:paraId="24673D95">
            <w:pPr>
              <w:pStyle w:val="167"/>
              <w:bidi w:val="0"/>
              <w:jc w:val="center"/>
              <w:rPr>
                <w:rFonts w:hint="default"/>
                <w:b w:val="0"/>
                <w:lang w:val="en-US" w:eastAsia="zh-CN"/>
              </w:rPr>
            </w:pPr>
            <w:r>
              <w:rPr>
                <w:rFonts w:hint="default"/>
                <w:b w:val="0"/>
                <w:lang w:val="en-US" w:eastAsia="zh-CN"/>
              </w:rPr>
              <w:t>Home-based virtual reality, video-game, or exergaming intervention accompanied by remote therapist monitoring, device-recorded training data, feedback, or scheduled follow-up.</w:t>
            </w:r>
          </w:p>
        </w:tc>
        <w:tc>
          <w:tcPr>
            <w:tcW w:w="2465" w:type="dxa"/>
            <w:tcBorders>
              <w:top w:val="nil"/>
              <w:left w:val="nil"/>
              <w:bottom w:val="nil"/>
              <w:right w:val="nil"/>
            </w:tcBorders>
            <w:shd w:val="clear" w:color="auto" w:fill="FFFFFF"/>
            <w:vAlign w:val="center"/>
          </w:tcPr>
          <w:p w14:paraId="2A5B4B65">
            <w:pPr>
              <w:pStyle w:val="167"/>
              <w:bidi w:val="0"/>
              <w:jc w:val="center"/>
              <w:rPr>
                <w:rFonts w:hint="default"/>
                <w:b w:val="0"/>
                <w:lang w:val="en-US" w:eastAsia="zh-CN"/>
              </w:rPr>
            </w:pPr>
            <w:r>
              <w:rPr>
                <w:rFonts w:hint="default"/>
                <w:b w:val="0"/>
                <w:lang w:val="en-US" w:eastAsia="zh-CN"/>
              </w:rPr>
              <w:t>TeleWii; VRRS tablet-based telerehabilitation; remotely supported home video-game stepping training.</w:t>
            </w:r>
          </w:p>
        </w:tc>
        <w:tc>
          <w:tcPr>
            <w:tcW w:w="2930" w:type="dxa"/>
            <w:tcBorders>
              <w:top w:val="nil"/>
              <w:left w:val="nil"/>
              <w:bottom w:val="nil"/>
              <w:right w:val="nil"/>
            </w:tcBorders>
            <w:shd w:val="clear" w:color="auto" w:fill="FFFFFF"/>
            <w:vAlign w:val="center"/>
          </w:tcPr>
          <w:p w14:paraId="3DD9747F">
            <w:pPr>
              <w:pStyle w:val="167"/>
              <w:bidi w:val="0"/>
              <w:jc w:val="center"/>
              <w:rPr>
                <w:rFonts w:hint="default"/>
                <w:b w:val="0"/>
                <w:lang w:val="en-US" w:eastAsia="zh-CN"/>
              </w:rPr>
            </w:pPr>
            <w:r>
              <w:rPr>
                <w:rFonts w:hint="default"/>
                <w:b w:val="0"/>
                <w:lang w:val="en-US" w:eastAsia="zh-CN"/>
              </w:rPr>
              <w:t>Subtypes were used descriptively and were not pooled as separate primary treatment categories.</w:t>
            </w:r>
          </w:p>
        </w:tc>
      </w:tr>
      <w:tr w14:paraId="0AC982A9">
        <w:trPr>
          <w:cantSplit/>
        </w:trPr>
        <w:tc>
          <w:tcPr>
            <w:tcW w:w="1552" w:type="dxa"/>
            <w:tcBorders>
              <w:top w:val="nil"/>
              <w:left w:val="nil"/>
              <w:bottom w:val="nil"/>
              <w:right w:val="nil"/>
            </w:tcBorders>
            <w:shd w:val="clear" w:color="auto" w:fill="FFFFFF"/>
            <w:vAlign w:val="center"/>
          </w:tcPr>
          <w:p w14:paraId="38ABB0EB">
            <w:pPr>
              <w:pStyle w:val="167"/>
              <w:bidi w:val="0"/>
              <w:jc w:val="center"/>
              <w:rPr>
                <w:rFonts w:hint="default"/>
                <w:b w:val="0"/>
                <w:lang w:val="en-US" w:eastAsia="zh-CN"/>
              </w:rPr>
            </w:pPr>
            <w:r>
              <w:rPr>
                <w:rFonts w:hint="default"/>
                <w:b w:val="0"/>
                <w:lang w:val="en-US" w:eastAsia="zh-CN"/>
              </w:rPr>
              <w:t>Comparator</w:t>
            </w:r>
          </w:p>
        </w:tc>
        <w:tc>
          <w:tcPr>
            <w:tcW w:w="2020" w:type="dxa"/>
            <w:tcBorders>
              <w:top w:val="nil"/>
              <w:left w:val="nil"/>
              <w:bottom w:val="nil"/>
              <w:right w:val="nil"/>
            </w:tcBorders>
            <w:shd w:val="clear" w:color="auto" w:fill="FFFFFF"/>
            <w:vAlign w:val="center"/>
          </w:tcPr>
          <w:p w14:paraId="691C515C">
            <w:pPr>
              <w:pStyle w:val="167"/>
              <w:bidi w:val="0"/>
              <w:jc w:val="center"/>
              <w:rPr>
                <w:rFonts w:hint="default"/>
                <w:b w:val="0"/>
                <w:lang w:val="en-US" w:eastAsia="zh-CN"/>
              </w:rPr>
            </w:pPr>
            <w:r>
              <w:rPr>
                <w:rFonts w:hint="default"/>
                <w:b w:val="0"/>
                <w:lang w:val="en-US" w:eastAsia="zh-CN"/>
              </w:rPr>
              <w:t>Usual care, health education, waiting-list, or passive/minimal control</w:t>
            </w:r>
          </w:p>
        </w:tc>
        <w:tc>
          <w:tcPr>
            <w:tcW w:w="4344" w:type="dxa"/>
            <w:tcBorders>
              <w:top w:val="nil"/>
              <w:left w:val="nil"/>
              <w:bottom w:val="nil"/>
              <w:right w:val="nil"/>
            </w:tcBorders>
            <w:shd w:val="clear" w:color="auto" w:fill="FFFFFF"/>
            <w:vAlign w:val="center"/>
          </w:tcPr>
          <w:p w14:paraId="2E73AC48">
            <w:pPr>
              <w:pStyle w:val="167"/>
              <w:bidi w:val="0"/>
              <w:jc w:val="center"/>
              <w:rPr>
                <w:rFonts w:hint="default"/>
                <w:b w:val="0"/>
                <w:lang w:val="en-US" w:eastAsia="zh-CN"/>
              </w:rPr>
            </w:pPr>
            <w:r>
              <w:rPr>
                <w:rFonts w:hint="default"/>
                <w:b w:val="0"/>
                <w:lang w:val="en-US" w:eastAsia="zh-CN"/>
              </w:rPr>
              <w:t>The comparator did not include the target combination of structured home-based exercise and ongoing remote monitoring or feedback. This category included usual or standard care, health education, waiting-list or no additional intervention, placebo or education-only applications, and other passive or minimal controls.</w:t>
            </w:r>
          </w:p>
        </w:tc>
        <w:tc>
          <w:tcPr>
            <w:tcW w:w="2465" w:type="dxa"/>
            <w:tcBorders>
              <w:top w:val="nil"/>
              <w:left w:val="nil"/>
              <w:bottom w:val="nil"/>
              <w:right w:val="nil"/>
            </w:tcBorders>
            <w:shd w:val="clear" w:color="auto" w:fill="FFFFFF"/>
            <w:vAlign w:val="center"/>
          </w:tcPr>
          <w:p w14:paraId="1F683013">
            <w:pPr>
              <w:pStyle w:val="167"/>
              <w:bidi w:val="0"/>
              <w:jc w:val="center"/>
              <w:rPr>
                <w:rFonts w:hint="default"/>
                <w:b w:val="0"/>
                <w:lang w:val="en-US" w:eastAsia="zh-CN"/>
              </w:rPr>
            </w:pPr>
            <w:r>
              <w:rPr>
                <w:rFonts w:hint="default"/>
                <w:b w:val="0"/>
                <w:lang w:val="en-US" w:eastAsia="zh-CN"/>
              </w:rPr>
              <w:t>Usual care; standard clinical care; usual discharge advice; usual medical care; health education; waiting-list; placebo or education-only application.</w:t>
            </w:r>
          </w:p>
        </w:tc>
        <w:tc>
          <w:tcPr>
            <w:tcW w:w="2930" w:type="dxa"/>
            <w:tcBorders>
              <w:top w:val="nil"/>
              <w:left w:val="nil"/>
              <w:bottom w:val="nil"/>
              <w:right w:val="nil"/>
            </w:tcBorders>
            <w:shd w:val="clear" w:color="auto" w:fill="FFFFFF"/>
            <w:vAlign w:val="center"/>
          </w:tcPr>
          <w:p w14:paraId="5E4774F6">
            <w:pPr>
              <w:pStyle w:val="167"/>
              <w:bidi w:val="0"/>
              <w:jc w:val="center"/>
              <w:rPr>
                <w:rFonts w:hint="default"/>
                <w:b w:val="0"/>
                <w:lang w:val="en-US" w:eastAsia="zh-CN"/>
              </w:rPr>
            </w:pPr>
            <w:r>
              <w:rPr>
                <w:rFonts w:hint="default"/>
                <w:b w:val="0"/>
                <w:lang w:val="en-US" w:eastAsia="zh-CN"/>
              </w:rPr>
              <w:t>A separate comparator-specific effect was estimated for this category. Positive Hedges’ g favoured the remote monitoring-supported home-based exercise group.</w:t>
            </w:r>
          </w:p>
        </w:tc>
      </w:tr>
      <w:tr w14:paraId="7E7A3180">
        <w:trPr>
          <w:cantSplit/>
        </w:trPr>
        <w:tc>
          <w:tcPr>
            <w:tcW w:w="1552" w:type="dxa"/>
            <w:tcBorders>
              <w:top w:val="nil"/>
              <w:left w:val="nil"/>
              <w:bottom w:val="nil"/>
              <w:right w:val="nil"/>
            </w:tcBorders>
            <w:shd w:val="clear" w:color="auto" w:fill="FFFFFF"/>
            <w:vAlign w:val="center"/>
          </w:tcPr>
          <w:p w14:paraId="16B8752E">
            <w:pPr>
              <w:pStyle w:val="167"/>
              <w:bidi w:val="0"/>
              <w:jc w:val="center"/>
              <w:rPr>
                <w:rFonts w:hint="default"/>
                <w:b w:val="0"/>
                <w:lang w:val="en-US" w:eastAsia="zh-CN"/>
              </w:rPr>
            </w:pPr>
            <w:r>
              <w:rPr>
                <w:rFonts w:hint="default"/>
                <w:b w:val="0"/>
                <w:lang w:val="en-US" w:eastAsia="zh-CN"/>
              </w:rPr>
              <w:t>Comparator</w:t>
            </w:r>
          </w:p>
        </w:tc>
        <w:tc>
          <w:tcPr>
            <w:tcW w:w="2020" w:type="dxa"/>
            <w:tcBorders>
              <w:top w:val="nil"/>
              <w:left w:val="nil"/>
              <w:bottom w:val="nil"/>
              <w:right w:val="nil"/>
            </w:tcBorders>
            <w:shd w:val="clear" w:color="auto" w:fill="FFFFFF"/>
            <w:vAlign w:val="center"/>
          </w:tcPr>
          <w:p w14:paraId="643B609C">
            <w:pPr>
              <w:pStyle w:val="167"/>
              <w:bidi w:val="0"/>
              <w:jc w:val="center"/>
              <w:rPr>
                <w:rFonts w:hint="default"/>
                <w:b w:val="0"/>
                <w:lang w:val="en-US" w:eastAsia="zh-CN"/>
              </w:rPr>
            </w:pPr>
            <w:r>
              <w:rPr>
                <w:rFonts w:hint="default"/>
                <w:b w:val="0"/>
                <w:lang w:val="en-US" w:eastAsia="zh-CN"/>
              </w:rPr>
              <w:t>Ordinary home exercise or paper/manual-based home exercise</w:t>
            </w:r>
          </w:p>
        </w:tc>
        <w:tc>
          <w:tcPr>
            <w:tcW w:w="4344" w:type="dxa"/>
            <w:tcBorders>
              <w:top w:val="nil"/>
              <w:left w:val="nil"/>
              <w:bottom w:val="nil"/>
              <w:right w:val="nil"/>
            </w:tcBorders>
            <w:shd w:val="clear" w:color="auto" w:fill="FFFFFF"/>
            <w:vAlign w:val="center"/>
          </w:tcPr>
          <w:p w14:paraId="47D770C7">
            <w:pPr>
              <w:pStyle w:val="167"/>
              <w:bidi w:val="0"/>
              <w:jc w:val="center"/>
              <w:rPr>
                <w:rFonts w:hint="default"/>
                <w:b w:val="0"/>
                <w:lang w:val="en-US" w:eastAsia="zh-CN"/>
              </w:rPr>
            </w:pPr>
            <w:r>
              <w:rPr>
                <w:rFonts w:hint="default"/>
                <w:b w:val="0"/>
                <w:lang w:val="en-US" w:eastAsia="zh-CN"/>
              </w:rPr>
              <w:t>The comparator included home-exercise advice or a structured home programme without ongoing remote monitoring, digital feedback, sensor-based monitoring, or therapist-led remote supervision. Paper-, booklet-, or manual-guided programmes were classified in this category unless they included active remote monitoring or feedback.</w:t>
            </w:r>
          </w:p>
        </w:tc>
        <w:tc>
          <w:tcPr>
            <w:tcW w:w="2465" w:type="dxa"/>
            <w:tcBorders>
              <w:top w:val="nil"/>
              <w:left w:val="nil"/>
              <w:bottom w:val="nil"/>
              <w:right w:val="nil"/>
            </w:tcBorders>
            <w:shd w:val="clear" w:color="auto" w:fill="FFFFFF"/>
            <w:vAlign w:val="center"/>
          </w:tcPr>
          <w:p w14:paraId="24932545">
            <w:pPr>
              <w:pStyle w:val="167"/>
              <w:bidi w:val="0"/>
              <w:jc w:val="center"/>
              <w:rPr>
                <w:rFonts w:hint="default"/>
                <w:b w:val="0"/>
                <w:lang w:val="en-US" w:eastAsia="zh-CN"/>
              </w:rPr>
            </w:pPr>
            <w:r>
              <w:rPr>
                <w:rFonts w:hint="default"/>
                <w:b w:val="0"/>
                <w:lang w:val="en-US" w:eastAsia="zh-CN"/>
              </w:rPr>
              <w:t>Paper-based home-exercise programme; illustrated booklet-guided exercise; conventional home gait training; home-exercise diary without remote monitoring.</w:t>
            </w:r>
          </w:p>
        </w:tc>
        <w:tc>
          <w:tcPr>
            <w:tcW w:w="2930" w:type="dxa"/>
            <w:tcBorders>
              <w:top w:val="nil"/>
              <w:left w:val="nil"/>
              <w:bottom w:val="nil"/>
              <w:right w:val="nil"/>
            </w:tcBorders>
            <w:shd w:val="clear" w:color="auto" w:fill="FFFFFF"/>
            <w:vAlign w:val="center"/>
          </w:tcPr>
          <w:p w14:paraId="2202C2D5">
            <w:pPr>
              <w:pStyle w:val="167"/>
              <w:bidi w:val="0"/>
              <w:jc w:val="center"/>
              <w:rPr>
                <w:rFonts w:hint="default"/>
                <w:b w:val="0"/>
                <w:lang w:val="en-US" w:eastAsia="zh-CN"/>
              </w:rPr>
            </w:pPr>
            <w:r>
              <w:rPr>
                <w:rFonts w:hint="default"/>
                <w:b w:val="0"/>
                <w:lang w:val="en-US" w:eastAsia="zh-CN"/>
              </w:rPr>
              <w:t>A separate comparator-specific effect was estimated for this category. Positive Hedges’ g favoured the remote monitoring-supported home-based exercise group.</w:t>
            </w:r>
          </w:p>
        </w:tc>
      </w:tr>
      <w:tr w14:paraId="5FA04388">
        <w:trPr>
          <w:cantSplit/>
        </w:trPr>
        <w:tc>
          <w:tcPr>
            <w:tcW w:w="1552" w:type="dxa"/>
            <w:tcBorders>
              <w:top w:val="nil"/>
              <w:left w:val="nil"/>
              <w:bottom w:val="nil"/>
              <w:right w:val="nil"/>
            </w:tcBorders>
            <w:shd w:val="clear" w:color="auto" w:fill="FFFFFF"/>
            <w:vAlign w:val="center"/>
          </w:tcPr>
          <w:p w14:paraId="2E27DB0B">
            <w:pPr>
              <w:pStyle w:val="167"/>
              <w:bidi w:val="0"/>
              <w:jc w:val="center"/>
              <w:rPr>
                <w:rFonts w:hint="default"/>
                <w:b w:val="0"/>
                <w:lang w:val="en-US" w:eastAsia="zh-CN"/>
              </w:rPr>
            </w:pPr>
            <w:r>
              <w:rPr>
                <w:rFonts w:hint="default"/>
                <w:b w:val="0"/>
                <w:lang w:val="en-US" w:eastAsia="zh-CN"/>
              </w:rPr>
              <w:t>Comparator</w:t>
            </w:r>
          </w:p>
        </w:tc>
        <w:tc>
          <w:tcPr>
            <w:tcW w:w="2020" w:type="dxa"/>
            <w:tcBorders>
              <w:top w:val="nil"/>
              <w:left w:val="nil"/>
              <w:bottom w:val="nil"/>
              <w:right w:val="nil"/>
            </w:tcBorders>
            <w:shd w:val="clear" w:color="auto" w:fill="FFFFFF"/>
            <w:vAlign w:val="center"/>
          </w:tcPr>
          <w:p w14:paraId="0A019403">
            <w:pPr>
              <w:pStyle w:val="167"/>
              <w:bidi w:val="0"/>
              <w:jc w:val="center"/>
              <w:rPr>
                <w:rFonts w:hint="default"/>
                <w:b w:val="0"/>
                <w:lang w:val="en-US" w:eastAsia="zh-CN"/>
              </w:rPr>
            </w:pPr>
            <w:r>
              <w:rPr>
                <w:rFonts w:hint="default"/>
                <w:b w:val="0"/>
                <w:lang w:val="en-US" w:eastAsia="zh-CN"/>
              </w:rPr>
              <w:t>Active therapist-led rehabilitation</w:t>
            </w:r>
          </w:p>
        </w:tc>
        <w:tc>
          <w:tcPr>
            <w:tcW w:w="4344" w:type="dxa"/>
            <w:tcBorders>
              <w:top w:val="nil"/>
              <w:left w:val="nil"/>
              <w:bottom w:val="nil"/>
              <w:right w:val="nil"/>
            </w:tcBorders>
            <w:shd w:val="clear" w:color="auto" w:fill="FFFFFF"/>
            <w:vAlign w:val="center"/>
          </w:tcPr>
          <w:p w14:paraId="57A93D99">
            <w:pPr>
              <w:pStyle w:val="167"/>
              <w:bidi w:val="0"/>
              <w:jc w:val="center"/>
              <w:rPr>
                <w:rFonts w:hint="default"/>
                <w:b w:val="0"/>
                <w:lang w:val="en-US" w:eastAsia="zh-CN"/>
              </w:rPr>
            </w:pPr>
            <w:r>
              <w:rPr>
                <w:rFonts w:hint="default"/>
                <w:b w:val="0"/>
                <w:lang w:val="en-US" w:eastAsia="zh-CN"/>
              </w:rPr>
              <w:t>The comparator involved active rehabilitation directed by a therapist, including face-to-face rehabilitation, centre-based exercise, conventional physiotherapy, or other active therapist-led rehabilitation without the target remote monitoring-supported home-based format. Classification was based on the actual comparator content rather than the group label used by the original investigators.</w:t>
            </w:r>
          </w:p>
        </w:tc>
        <w:tc>
          <w:tcPr>
            <w:tcW w:w="2465" w:type="dxa"/>
            <w:tcBorders>
              <w:top w:val="nil"/>
              <w:left w:val="nil"/>
              <w:bottom w:val="nil"/>
              <w:right w:val="nil"/>
            </w:tcBorders>
            <w:shd w:val="clear" w:color="auto" w:fill="FFFFFF"/>
            <w:vAlign w:val="center"/>
          </w:tcPr>
          <w:p w14:paraId="5114556D">
            <w:pPr>
              <w:pStyle w:val="167"/>
              <w:bidi w:val="0"/>
              <w:jc w:val="center"/>
              <w:rPr>
                <w:rFonts w:hint="default"/>
                <w:b w:val="0"/>
                <w:lang w:val="en-US" w:eastAsia="zh-CN"/>
              </w:rPr>
            </w:pPr>
            <w:r>
              <w:rPr>
                <w:rFonts w:hint="default"/>
                <w:b w:val="0"/>
                <w:lang w:val="en-US" w:eastAsia="zh-CN"/>
              </w:rPr>
              <w:t>Matched face-to-face rehabilitation; in-person rehabilitation; centre-based exercise; hospital- or clinic-based physiotherapy; conventional therapist-led balance or gait rehabilitation.</w:t>
            </w:r>
          </w:p>
        </w:tc>
        <w:tc>
          <w:tcPr>
            <w:tcW w:w="2930" w:type="dxa"/>
            <w:tcBorders>
              <w:top w:val="nil"/>
              <w:left w:val="nil"/>
              <w:bottom w:val="nil"/>
              <w:right w:val="nil"/>
            </w:tcBorders>
            <w:shd w:val="clear" w:color="auto" w:fill="FFFFFF"/>
            <w:vAlign w:val="center"/>
          </w:tcPr>
          <w:p w14:paraId="44CC01A6">
            <w:pPr>
              <w:pStyle w:val="167"/>
              <w:bidi w:val="0"/>
              <w:jc w:val="center"/>
              <w:rPr>
                <w:rFonts w:hint="default"/>
                <w:b w:val="0"/>
                <w:lang w:val="en-US" w:eastAsia="zh-CN"/>
              </w:rPr>
            </w:pPr>
            <w:r>
              <w:rPr>
                <w:rFonts w:hint="default"/>
                <w:b w:val="0"/>
                <w:lang w:val="en-US" w:eastAsia="zh-CN"/>
              </w:rPr>
              <w:t>A separate comparator-specific effect was estimated for this category. Positive Hedges’ g favoured the remote monitoring-supported home-based exercise group.</w:t>
            </w:r>
          </w:p>
        </w:tc>
      </w:tr>
      <w:tr w14:paraId="5AFB64BD">
        <w:trPr>
          <w:cantSplit/>
        </w:trPr>
        <w:tc>
          <w:tcPr>
            <w:tcW w:w="1552" w:type="dxa"/>
            <w:tcBorders>
              <w:top w:val="nil"/>
              <w:left w:val="nil"/>
              <w:bottom w:val="nil"/>
              <w:right w:val="nil"/>
            </w:tcBorders>
            <w:shd w:val="clear" w:color="auto" w:fill="FFFFFF"/>
            <w:vAlign w:val="center"/>
          </w:tcPr>
          <w:p w14:paraId="3DF7143D">
            <w:pPr>
              <w:pStyle w:val="167"/>
              <w:bidi w:val="0"/>
              <w:jc w:val="center"/>
              <w:rPr>
                <w:rFonts w:hint="default"/>
                <w:b w:val="0"/>
                <w:lang w:val="en-US" w:eastAsia="zh-CN"/>
              </w:rPr>
            </w:pPr>
            <w:r>
              <w:rPr>
                <w:rFonts w:hint="default"/>
                <w:b w:val="0"/>
                <w:lang w:val="en-US" w:eastAsia="zh-CN"/>
              </w:rPr>
              <w:t>Comparator-specific estimand</w:t>
            </w:r>
          </w:p>
        </w:tc>
        <w:tc>
          <w:tcPr>
            <w:tcW w:w="2020" w:type="dxa"/>
            <w:tcBorders>
              <w:top w:val="nil"/>
              <w:left w:val="nil"/>
              <w:bottom w:val="nil"/>
              <w:right w:val="nil"/>
            </w:tcBorders>
            <w:shd w:val="clear" w:color="auto" w:fill="FFFFFF"/>
            <w:vAlign w:val="center"/>
          </w:tcPr>
          <w:p w14:paraId="470D4D6D">
            <w:pPr>
              <w:pStyle w:val="167"/>
              <w:bidi w:val="0"/>
              <w:jc w:val="center"/>
              <w:rPr>
                <w:rFonts w:hint="default"/>
                <w:b w:val="0"/>
                <w:lang w:val="en-US" w:eastAsia="zh-CN"/>
              </w:rPr>
            </w:pPr>
            <w:r>
              <w:rPr>
                <w:rFonts w:hint="default"/>
                <w:b w:val="0"/>
                <w:lang w:val="en-US" w:eastAsia="zh-CN"/>
              </w:rPr>
              <w:t>Separation of clinically different comparators</w:t>
            </w:r>
          </w:p>
        </w:tc>
        <w:tc>
          <w:tcPr>
            <w:tcW w:w="4344" w:type="dxa"/>
            <w:tcBorders>
              <w:top w:val="nil"/>
              <w:left w:val="nil"/>
              <w:bottom w:val="nil"/>
              <w:right w:val="nil"/>
            </w:tcBorders>
            <w:shd w:val="clear" w:color="auto" w:fill="FFFFFF"/>
            <w:vAlign w:val="center"/>
          </w:tcPr>
          <w:p w14:paraId="3DD0FA85">
            <w:pPr>
              <w:pStyle w:val="167"/>
              <w:bidi w:val="0"/>
              <w:jc w:val="center"/>
              <w:rPr>
                <w:rFonts w:hint="default"/>
                <w:b w:val="0"/>
                <w:lang w:val="en-US" w:eastAsia="zh-CN"/>
              </w:rPr>
            </w:pPr>
            <w:r>
              <w:rPr>
                <w:rFonts w:hint="default"/>
                <w:b w:val="0"/>
                <w:lang w:val="en-US" w:eastAsia="zh-CN"/>
              </w:rPr>
              <w:t>The three comparator categories were treated as addressing different clinical questions. Therefore, the primary analyses did not pool them into a single mixed-comparator overall effect.</w:t>
            </w:r>
          </w:p>
        </w:tc>
        <w:tc>
          <w:tcPr>
            <w:tcW w:w="2465" w:type="dxa"/>
            <w:tcBorders>
              <w:top w:val="nil"/>
              <w:left w:val="nil"/>
              <w:bottom w:val="nil"/>
              <w:right w:val="nil"/>
            </w:tcBorders>
            <w:shd w:val="clear" w:color="auto" w:fill="FFFFFF"/>
            <w:vAlign w:val="center"/>
          </w:tcPr>
          <w:p w14:paraId="3B80933E">
            <w:pPr>
              <w:pStyle w:val="167"/>
              <w:bidi w:val="0"/>
              <w:jc w:val="center"/>
              <w:rPr>
                <w:rFonts w:hint="default"/>
                <w:b w:val="0"/>
                <w:lang w:val="en-US" w:eastAsia="zh-CN"/>
              </w:rPr>
            </w:pPr>
            <w:r>
              <w:rPr>
                <w:rFonts w:hint="default"/>
                <w:b w:val="0"/>
                <w:lang w:val="en-US" w:eastAsia="zh-CN"/>
              </w:rPr>
              <w:t>Passive/minimal control; ordinary home exercise; active therapist-led rehabilitation.</w:t>
            </w:r>
          </w:p>
        </w:tc>
        <w:tc>
          <w:tcPr>
            <w:tcW w:w="2930" w:type="dxa"/>
            <w:tcBorders>
              <w:top w:val="nil"/>
              <w:left w:val="nil"/>
              <w:bottom w:val="nil"/>
              <w:right w:val="nil"/>
            </w:tcBorders>
            <w:shd w:val="clear" w:color="auto" w:fill="FFFFFF"/>
            <w:vAlign w:val="center"/>
          </w:tcPr>
          <w:p w14:paraId="549E7C8B">
            <w:pPr>
              <w:pStyle w:val="167"/>
              <w:bidi w:val="0"/>
              <w:jc w:val="center"/>
              <w:rPr>
                <w:rFonts w:hint="default"/>
                <w:b w:val="0"/>
                <w:lang w:val="en-US" w:eastAsia="zh-CN"/>
              </w:rPr>
            </w:pPr>
            <w:r>
              <w:rPr>
                <w:rFonts w:hint="default"/>
                <w:b w:val="0"/>
                <w:lang w:val="en-US" w:eastAsia="zh-CN"/>
              </w:rPr>
              <w:t>Each outcome was synthesised separately within each comparator category. Pooling all comparator categories was performed only in S10 as a supplementary broad-comparator sensitivity analysis and was not used for GRADE assessment of the primary evidence bodies.</w:t>
            </w:r>
          </w:p>
        </w:tc>
      </w:tr>
      <w:tr w14:paraId="293CE533">
        <w:trPr>
          <w:cantSplit/>
        </w:trPr>
        <w:tc>
          <w:tcPr>
            <w:tcW w:w="1552" w:type="dxa"/>
            <w:tcBorders>
              <w:top w:val="nil"/>
              <w:left w:val="nil"/>
              <w:bottom w:val="nil"/>
              <w:right w:val="nil"/>
            </w:tcBorders>
            <w:shd w:val="clear" w:color="auto" w:fill="FFFFFF"/>
            <w:vAlign w:val="center"/>
          </w:tcPr>
          <w:p w14:paraId="1DD89237">
            <w:pPr>
              <w:pStyle w:val="167"/>
              <w:bidi w:val="0"/>
              <w:jc w:val="center"/>
              <w:rPr>
                <w:rFonts w:hint="default"/>
                <w:b w:val="0"/>
                <w:lang w:val="en-US" w:eastAsia="zh-CN"/>
              </w:rPr>
            </w:pPr>
            <w:r>
              <w:rPr>
                <w:rFonts w:hint="default"/>
                <w:b w:val="0"/>
                <w:lang w:val="en-US" w:eastAsia="zh-CN"/>
              </w:rPr>
              <w:t>Outcome construct</w:t>
            </w:r>
          </w:p>
        </w:tc>
        <w:tc>
          <w:tcPr>
            <w:tcW w:w="2020" w:type="dxa"/>
            <w:tcBorders>
              <w:top w:val="nil"/>
              <w:left w:val="nil"/>
              <w:bottom w:val="nil"/>
              <w:right w:val="nil"/>
            </w:tcBorders>
            <w:shd w:val="clear" w:color="auto" w:fill="FFFFFF"/>
            <w:vAlign w:val="center"/>
          </w:tcPr>
          <w:p w14:paraId="5AA425A8">
            <w:pPr>
              <w:pStyle w:val="167"/>
              <w:bidi w:val="0"/>
              <w:jc w:val="center"/>
              <w:rPr>
                <w:rFonts w:hint="default"/>
                <w:b w:val="0"/>
                <w:lang w:val="en-US" w:eastAsia="zh-CN"/>
              </w:rPr>
            </w:pPr>
            <w:r>
              <w:rPr>
                <w:rFonts w:hint="default"/>
                <w:b w:val="0"/>
                <w:lang w:val="en-US" w:eastAsia="zh-CN"/>
              </w:rPr>
              <w:t>MDS-UPDRS III/UPDRS III</w:t>
            </w:r>
          </w:p>
        </w:tc>
        <w:tc>
          <w:tcPr>
            <w:tcW w:w="4344" w:type="dxa"/>
            <w:tcBorders>
              <w:top w:val="nil"/>
              <w:left w:val="nil"/>
              <w:bottom w:val="nil"/>
              <w:right w:val="nil"/>
            </w:tcBorders>
            <w:shd w:val="clear" w:color="auto" w:fill="FFFFFF"/>
            <w:vAlign w:val="center"/>
          </w:tcPr>
          <w:p w14:paraId="75B5F1AB">
            <w:pPr>
              <w:pStyle w:val="167"/>
              <w:bidi w:val="0"/>
              <w:jc w:val="center"/>
              <w:rPr>
                <w:rFonts w:hint="default"/>
                <w:b w:val="0"/>
                <w:lang w:val="en-US" w:eastAsia="zh-CN"/>
              </w:rPr>
            </w:pPr>
            <w:r>
              <w:rPr>
                <w:rFonts w:hint="default"/>
                <w:b w:val="0"/>
                <w:lang w:val="en-US" w:eastAsia="zh-CN"/>
              </w:rPr>
              <w:t>Disease-specific motor examination outcomes were classified in this domain when they reported Movement Disorder Society Unified Parkinson’s Disease Rating Scale Part III or Unified Parkinson’s Disease Rating Scale Part III scores.</w:t>
            </w:r>
          </w:p>
        </w:tc>
        <w:tc>
          <w:tcPr>
            <w:tcW w:w="2465" w:type="dxa"/>
            <w:tcBorders>
              <w:top w:val="nil"/>
              <w:left w:val="nil"/>
              <w:bottom w:val="nil"/>
              <w:right w:val="nil"/>
            </w:tcBorders>
            <w:shd w:val="clear" w:color="auto" w:fill="FFFFFF"/>
            <w:vAlign w:val="center"/>
          </w:tcPr>
          <w:p w14:paraId="5731517C">
            <w:pPr>
              <w:pStyle w:val="167"/>
              <w:bidi w:val="0"/>
              <w:jc w:val="center"/>
              <w:rPr>
                <w:rFonts w:hint="default"/>
                <w:b w:val="0"/>
                <w:lang w:val="en-US" w:eastAsia="zh-CN"/>
              </w:rPr>
            </w:pPr>
            <w:r>
              <w:rPr>
                <w:rFonts w:hint="default"/>
                <w:b w:val="0"/>
                <w:lang w:val="en-US" w:eastAsia="zh-CN"/>
              </w:rPr>
              <w:t>MDS-UPDRS Part III; MDS-UPDRS III; UPDRS III; UPDRS-III; UPDRS3.</w:t>
            </w:r>
          </w:p>
        </w:tc>
        <w:tc>
          <w:tcPr>
            <w:tcW w:w="2930" w:type="dxa"/>
            <w:tcBorders>
              <w:top w:val="nil"/>
              <w:left w:val="nil"/>
              <w:bottom w:val="nil"/>
              <w:right w:val="nil"/>
            </w:tcBorders>
            <w:shd w:val="clear" w:color="auto" w:fill="FFFFFF"/>
            <w:vAlign w:val="center"/>
          </w:tcPr>
          <w:p w14:paraId="65D47026">
            <w:pPr>
              <w:pStyle w:val="167"/>
              <w:bidi w:val="0"/>
              <w:jc w:val="center"/>
              <w:rPr>
                <w:rFonts w:hint="default"/>
                <w:b w:val="0"/>
                <w:lang w:val="en-US" w:eastAsia="zh-CN"/>
              </w:rPr>
            </w:pPr>
            <w:r>
              <w:rPr>
                <w:rFonts w:hint="default"/>
                <w:b w:val="0"/>
                <w:lang w:val="en-US" w:eastAsia="zh-CN"/>
              </w:rPr>
              <w:t>Lower scores indicate better motor function. The calculated intervention-versus-comparator effect was multiplied by −1 so that Hedges’ g &gt; 0 favoured the target intervention.</w:t>
            </w:r>
          </w:p>
        </w:tc>
      </w:tr>
      <w:tr w14:paraId="75FA74A9">
        <w:trPr>
          <w:cantSplit/>
        </w:trPr>
        <w:tc>
          <w:tcPr>
            <w:tcW w:w="1552" w:type="dxa"/>
            <w:tcBorders>
              <w:top w:val="nil"/>
              <w:left w:val="nil"/>
              <w:bottom w:val="nil"/>
              <w:right w:val="nil"/>
            </w:tcBorders>
            <w:shd w:val="clear" w:color="auto" w:fill="FFFFFF"/>
            <w:vAlign w:val="center"/>
          </w:tcPr>
          <w:p w14:paraId="6A4189A7">
            <w:pPr>
              <w:pStyle w:val="167"/>
              <w:bidi w:val="0"/>
              <w:jc w:val="center"/>
              <w:rPr>
                <w:rFonts w:hint="default"/>
                <w:b w:val="0"/>
                <w:lang w:val="en-US" w:eastAsia="zh-CN"/>
              </w:rPr>
            </w:pPr>
            <w:r>
              <w:rPr>
                <w:rFonts w:hint="default"/>
                <w:b w:val="0"/>
                <w:lang w:val="en-US" w:eastAsia="zh-CN"/>
              </w:rPr>
              <w:t>Outcome construct</w:t>
            </w:r>
          </w:p>
        </w:tc>
        <w:tc>
          <w:tcPr>
            <w:tcW w:w="2020" w:type="dxa"/>
            <w:tcBorders>
              <w:top w:val="nil"/>
              <w:left w:val="nil"/>
              <w:bottom w:val="nil"/>
              <w:right w:val="nil"/>
            </w:tcBorders>
            <w:shd w:val="clear" w:color="auto" w:fill="FFFFFF"/>
            <w:vAlign w:val="center"/>
          </w:tcPr>
          <w:p w14:paraId="52767961">
            <w:pPr>
              <w:pStyle w:val="167"/>
              <w:bidi w:val="0"/>
              <w:jc w:val="center"/>
              <w:rPr>
                <w:rFonts w:hint="default"/>
                <w:b w:val="0"/>
                <w:lang w:val="en-US" w:eastAsia="zh-CN"/>
              </w:rPr>
            </w:pPr>
            <w:r>
              <w:rPr>
                <w:rFonts w:hint="default"/>
                <w:b w:val="0"/>
                <w:lang w:val="en-US" w:eastAsia="zh-CN"/>
              </w:rPr>
              <w:t>Balance function: strict primary construct</w:t>
            </w:r>
          </w:p>
        </w:tc>
        <w:tc>
          <w:tcPr>
            <w:tcW w:w="4344" w:type="dxa"/>
            <w:tcBorders>
              <w:top w:val="nil"/>
              <w:left w:val="nil"/>
              <w:bottom w:val="nil"/>
              <w:right w:val="nil"/>
            </w:tcBorders>
            <w:shd w:val="clear" w:color="auto" w:fill="FFFFFF"/>
            <w:vAlign w:val="center"/>
          </w:tcPr>
          <w:p w14:paraId="38C34B15">
            <w:pPr>
              <w:pStyle w:val="167"/>
              <w:bidi w:val="0"/>
              <w:jc w:val="center"/>
              <w:rPr>
                <w:rFonts w:hint="default"/>
                <w:b w:val="0"/>
                <w:lang w:val="en-US" w:eastAsia="zh-CN"/>
              </w:rPr>
            </w:pPr>
            <w:r>
              <w:rPr>
                <w:rFonts w:hint="default"/>
                <w:b w:val="0"/>
                <w:lang w:val="en-US" w:eastAsia="zh-CN"/>
              </w:rPr>
              <w:t>The primary balance construct was restricted to objective clinical or performance-based measures that directly assessed balance or postural-control performance.</w:t>
            </w:r>
          </w:p>
        </w:tc>
        <w:tc>
          <w:tcPr>
            <w:tcW w:w="2465" w:type="dxa"/>
            <w:tcBorders>
              <w:top w:val="nil"/>
              <w:left w:val="nil"/>
              <w:bottom w:val="nil"/>
              <w:right w:val="nil"/>
            </w:tcBorders>
            <w:shd w:val="clear" w:color="auto" w:fill="FFFFFF"/>
            <w:vAlign w:val="center"/>
          </w:tcPr>
          <w:p w14:paraId="4E311D66">
            <w:pPr>
              <w:pStyle w:val="167"/>
              <w:bidi w:val="0"/>
              <w:jc w:val="center"/>
              <w:rPr>
                <w:rFonts w:hint="default"/>
                <w:b w:val="0"/>
                <w:lang w:val="en-US" w:eastAsia="zh-CN"/>
              </w:rPr>
            </w:pPr>
            <w:r>
              <w:rPr>
                <w:rFonts w:hint="default"/>
                <w:b w:val="0"/>
                <w:lang w:val="en-US" w:eastAsia="zh-CN"/>
              </w:rPr>
              <w:t>Berg Balance Scale; Mini-Balance Evaluation Systems Test; Functional Reach Test.</w:t>
            </w:r>
          </w:p>
        </w:tc>
        <w:tc>
          <w:tcPr>
            <w:tcW w:w="2930" w:type="dxa"/>
            <w:tcBorders>
              <w:top w:val="nil"/>
              <w:left w:val="nil"/>
              <w:bottom w:val="nil"/>
              <w:right w:val="nil"/>
            </w:tcBorders>
            <w:shd w:val="clear" w:color="auto" w:fill="FFFFFF"/>
            <w:vAlign w:val="center"/>
          </w:tcPr>
          <w:p w14:paraId="38615BBC">
            <w:pPr>
              <w:pStyle w:val="167"/>
              <w:bidi w:val="0"/>
              <w:jc w:val="center"/>
              <w:rPr>
                <w:rFonts w:hint="default"/>
                <w:b w:val="0"/>
                <w:lang w:val="en-US" w:eastAsia="zh-CN"/>
              </w:rPr>
            </w:pPr>
            <w:r>
              <w:rPr>
                <w:rFonts w:hint="default"/>
                <w:b w:val="0"/>
                <w:lang w:val="en-US" w:eastAsia="zh-CN"/>
              </w:rPr>
              <w:t>Higher scores indicate better performance; the direction multiplier was +1. One eligible measure per study was retained in the strict primary balance analysis.</w:t>
            </w:r>
          </w:p>
        </w:tc>
      </w:tr>
      <w:tr w14:paraId="11CD8E8E">
        <w:trPr>
          <w:cantSplit/>
        </w:trPr>
        <w:tc>
          <w:tcPr>
            <w:tcW w:w="1552" w:type="dxa"/>
            <w:tcBorders>
              <w:top w:val="nil"/>
              <w:left w:val="nil"/>
              <w:bottom w:val="nil"/>
              <w:right w:val="nil"/>
            </w:tcBorders>
            <w:shd w:val="clear" w:color="auto" w:fill="FFFFFF"/>
            <w:vAlign w:val="center"/>
          </w:tcPr>
          <w:p w14:paraId="7564D61C">
            <w:pPr>
              <w:pStyle w:val="167"/>
              <w:bidi w:val="0"/>
              <w:jc w:val="center"/>
              <w:rPr>
                <w:rFonts w:hint="default"/>
                <w:b w:val="0"/>
                <w:lang w:val="en-US" w:eastAsia="zh-CN"/>
              </w:rPr>
            </w:pPr>
            <w:r>
              <w:rPr>
                <w:rFonts w:hint="default"/>
                <w:b w:val="0"/>
                <w:lang w:val="en-US" w:eastAsia="zh-CN"/>
              </w:rPr>
              <w:t>Outcome construct</w:t>
            </w:r>
          </w:p>
        </w:tc>
        <w:tc>
          <w:tcPr>
            <w:tcW w:w="2020" w:type="dxa"/>
            <w:tcBorders>
              <w:top w:val="nil"/>
              <w:left w:val="nil"/>
              <w:bottom w:val="nil"/>
              <w:right w:val="nil"/>
            </w:tcBorders>
            <w:shd w:val="clear" w:color="auto" w:fill="FFFFFF"/>
            <w:vAlign w:val="center"/>
          </w:tcPr>
          <w:p w14:paraId="4893BD57">
            <w:pPr>
              <w:pStyle w:val="167"/>
              <w:bidi w:val="0"/>
              <w:jc w:val="center"/>
              <w:rPr>
                <w:rFonts w:hint="default"/>
                <w:b w:val="0"/>
                <w:lang w:val="en-US" w:eastAsia="zh-CN"/>
              </w:rPr>
            </w:pPr>
            <w:r>
              <w:rPr>
                <w:rFonts w:hint="default"/>
                <w:b w:val="0"/>
                <w:lang w:val="en-US" w:eastAsia="zh-CN"/>
              </w:rPr>
              <w:t>Broader or alternative balance constructs</w:t>
            </w:r>
          </w:p>
        </w:tc>
        <w:tc>
          <w:tcPr>
            <w:tcW w:w="4344" w:type="dxa"/>
            <w:tcBorders>
              <w:top w:val="nil"/>
              <w:left w:val="nil"/>
              <w:bottom w:val="nil"/>
              <w:right w:val="nil"/>
            </w:tcBorders>
            <w:shd w:val="clear" w:color="auto" w:fill="FFFFFF"/>
            <w:vAlign w:val="center"/>
          </w:tcPr>
          <w:p w14:paraId="4F8973F1">
            <w:pPr>
              <w:pStyle w:val="167"/>
              <w:bidi w:val="0"/>
              <w:jc w:val="center"/>
              <w:rPr>
                <w:rFonts w:hint="default"/>
                <w:b w:val="0"/>
                <w:lang w:val="en-US" w:eastAsia="zh-CN"/>
              </w:rPr>
            </w:pPr>
            <w:r>
              <w:rPr>
                <w:rFonts w:hint="default"/>
                <w:b w:val="0"/>
                <w:lang w:val="en-US" w:eastAsia="zh-CN"/>
              </w:rPr>
              <w:t>Patient-reported balance confidence, falls efficacy or concern about falling, and laboratory measures of postural sway or centre-of-pressure behaviour were considered related but non-equivalent constructs. They were excluded from the strict primary balance analysis.</w:t>
            </w:r>
          </w:p>
        </w:tc>
        <w:tc>
          <w:tcPr>
            <w:tcW w:w="2465" w:type="dxa"/>
            <w:tcBorders>
              <w:top w:val="nil"/>
              <w:left w:val="nil"/>
              <w:bottom w:val="nil"/>
              <w:right w:val="nil"/>
            </w:tcBorders>
            <w:shd w:val="clear" w:color="auto" w:fill="FFFFFF"/>
            <w:vAlign w:val="center"/>
          </w:tcPr>
          <w:p w14:paraId="3A725021">
            <w:pPr>
              <w:pStyle w:val="167"/>
              <w:bidi w:val="0"/>
              <w:jc w:val="center"/>
              <w:rPr>
                <w:rFonts w:hint="default"/>
                <w:b w:val="0"/>
                <w:lang w:val="en-US" w:eastAsia="zh-CN"/>
              </w:rPr>
            </w:pPr>
            <w:r>
              <w:rPr>
                <w:rFonts w:hint="default"/>
                <w:b w:val="0"/>
                <w:lang w:val="en-US" w:eastAsia="zh-CN"/>
              </w:rPr>
              <w:t>Activities-specific Balance Confidence Scale; Falls Efficacy Scale-International; centre-of-pressure measures with eyes open or closed.</w:t>
            </w:r>
          </w:p>
        </w:tc>
        <w:tc>
          <w:tcPr>
            <w:tcW w:w="2930" w:type="dxa"/>
            <w:tcBorders>
              <w:top w:val="nil"/>
              <w:left w:val="nil"/>
              <w:bottom w:val="nil"/>
              <w:right w:val="nil"/>
            </w:tcBorders>
            <w:shd w:val="clear" w:color="auto" w:fill="FFFFFF"/>
            <w:vAlign w:val="center"/>
          </w:tcPr>
          <w:p w14:paraId="07AFB662">
            <w:pPr>
              <w:pStyle w:val="167"/>
              <w:bidi w:val="0"/>
              <w:jc w:val="center"/>
              <w:rPr>
                <w:rFonts w:hint="default"/>
                <w:b w:val="0"/>
                <w:lang w:val="en-US" w:eastAsia="zh-CN"/>
              </w:rPr>
            </w:pPr>
            <w:r>
              <w:rPr>
                <w:rFonts w:hint="default"/>
                <w:b w:val="0"/>
                <w:lang w:val="en-US" w:eastAsia="zh-CN"/>
              </w:rPr>
              <w:t>These measures were used only in the relevant broad-balance or alternative-measure sensitivity analyses (S02–S03). Higher-better measures received a direction multiplier of +1; lower-better measures received a multiplier of −1.</w:t>
            </w:r>
          </w:p>
        </w:tc>
      </w:tr>
      <w:tr w14:paraId="21653AD6">
        <w:trPr>
          <w:cantSplit/>
        </w:trPr>
        <w:tc>
          <w:tcPr>
            <w:tcW w:w="1552" w:type="dxa"/>
            <w:tcBorders>
              <w:top w:val="nil"/>
              <w:left w:val="nil"/>
              <w:bottom w:val="nil"/>
              <w:right w:val="nil"/>
            </w:tcBorders>
            <w:shd w:val="clear" w:color="auto" w:fill="FFFFFF"/>
            <w:vAlign w:val="center"/>
          </w:tcPr>
          <w:p w14:paraId="2DA7EA20">
            <w:pPr>
              <w:pStyle w:val="167"/>
              <w:bidi w:val="0"/>
              <w:jc w:val="center"/>
              <w:rPr>
                <w:rFonts w:hint="default"/>
                <w:b w:val="0"/>
                <w:lang w:val="en-US" w:eastAsia="zh-CN"/>
              </w:rPr>
            </w:pPr>
            <w:r>
              <w:rPr>
                <w:rFonts w:hint="default"/>
                <w:b w:val="0"/>
                <w:lang w:val="en-US" w:eastAsia="zh-CN"/>
              </w:rPr>
              <w:t>Outcome construct</w:t>
            </w:r>
          </w:p>
        </w:tc>
        <w:tc>
          <w:tcPr>
            <w:tcW w:w="2020" w:type="dxa"/>
            <w:tcBorders>
              <w:top w:val="nil"/>
              <w:left w:val="nil"/>
              <w:bottom w:val="nil"/>
              <w:right w:val="nil"/>
            </w:tcBorders>
            <w:shd w:val="clear" w:color="auto" w:fill="FFFFFF"/>
            <w:vAlign w:val="center"/>
          </w:tcPr>
          <w:p w14:paraId="1278EAB8">
            <w:pPr>
              <w:pStyle w:val="167"/>
              <w:bidi w:val="0"/>
              <w:jc w:val="center"/>
              <w:rPr>
                <w:rFonts w:hint="default"/>
                <w:b w:val="0"/>
                <w:lang w:val="en-US" w:eastAsia="zh-CN"/>
              </w:rPr>
            </w:pPr>
            <w:r>
              <w:rPr>
                <w:rFonts w:hint="default"/>
                <w:b w:val="0"/>
                <w:lang w:val="en-US" w:eastAsia="zh-CN"/>
              </w:rPr>
              <w:t>Functional mobility: strict primary construct</w:t>
            </w:r>
          </w:p>
        </w:tc>
        <w:tc>
          <w:tcPr>
            <w:tcW w:w="4344" w:type="dxa"/>
            <w:tcBorders>
              <w:top w:val="nil"/>
              <w:left w:val="nil"/>
              <w:bottom w:val="nil"/>
              <w:right w:val="nil"/>
            </w:tcBorders>
            <w:shd w:val="clear" w:color="auto" w:fill="FFFFFF"/>
            <w:vAlign w:val="center"/>
          </w:tcPr>
          <w:p w14:paraId="46FF375C">
            <w:pPr>
              <w:pStyle w:val="167"/>
              <w:bidi w:val="0"/>
              <w:jc w:val="center"/>
              <w:rPr>
                <w:rFonts w:hint="default"/>
                <w:b w:val="0"/>
                <w:lang w:val="en-US" w:eastAsia="zh-CN"/>
              </w:rPr>
            </w:pPr>
            <w:r>
              <w:rPr>
                <w:rFonts w:hint="default"/>
                <w:b w:val="0"/>
                <w:lang w:val="en-US" w:eastAsia="zh-CN"/>
              </w:rPr>
              <w:t>The primary functional-mobility construct was restricted to the Timed Up and Go test to maintain consistency in the assessed mobility task.</w:t>
            </w:r>
          </w:p>
        </w:tc>
        <w:tc>
          <w:tcPr>
            <w:tcW w:w="2465" w:type="dxa"/>
            <w:tcBorders>
              <w:top w:val="nil"/>
              <w:left w:val="nil"/>
              <w:bottom w:val="nil"/>
              <w:right w:val="nil"/>
            </w:tcBorders>
            <w:shd w:val="clear" w:color="auto" w:fill="FFFFFF"/>
            <w:vAlign w:val="center"/>
          </w:tcPr>
          <w:p w14:paraId="66D7419A">
            <w:pPr>
              <w:pStyle w:val="167"/>
              <w:bidi w:val="0"/>
              <w:jc w:val="center"/>
              <w:rPr>
                <w:rFonts w:hint="default"/>
                <w:b w:val="0"/>
                <w:lang w:val="en-US" w:eastAsia="zh-CN"/>
              </w:rPr>
            </w:pPr>
            <w:r>
              <w:rPr>
                <w:rFonts w:hint="default"/>
                <w:b w:val="0"/>
                <w:lang w:val="en-US" w:eastAsia="zh-CN"/>
              </w:rPr>
              <w:t>Timed Up and Go test; TUG.</w:t>
            </w:r>
          </w:p>
        </w:tc>
        <w:tc>
          <w:tcPr>
            <w:tcW w:w="2930" w:type="dxa"/>
            <w:tcBorders>
              <w:top w:val="nil"/>
              <w:left w:val="nil"/>
              <w:bottom w:val="nil"/>
              <w:right w:val="nil"/>
            </w:tcBorders>
            <w:shd w:val="clear" w:color="auto" w:fill="FFFFFF"/>
            <w:vAlign w:val="center"/>
          </w:tcPr>
          <w:p w14:paraId="6E61244A">
            <w:pPr>
              <w:pStyle w:val="167"/>
              <w:bidi w:val="0"/>
              <w:jc w:val="center"/>
              <w:rPr>
                <w:rFonts w:hint="default"/>
                <w:b w:val="0"/>
                <w:lang w:val="en-US" w:eastAsia="zh-CN"/>
              </w:rPr>
            </w:pPr>
            <w:r>
              <w:rPr>
                <w:rFonts w:hint="default"/>
                <w:b w:val="0"/>
                <w:lang w:val="en-US" w:eastAsia="zh-CN"/>
              </w:rPr>
              <w:t>TUG is a lower-better measure. The calculated effect was multiplied by −1 so that Hedges’ g &gt; 0 favoured the target intervention.</w:t>
            </w:r>
          </w:p>
        </w:tc>
      </w:tr>
      <w:tr w14:paraId="606B9F79">
        <w:trPr>
          <w:cantSplit/>
        </w:trPr>
        <w:tc>
          <w:tcPr>
            <w:tcW w:w="1552" w:type="dxa"/>
            <w:tcBorders>
              <w:top w:val="nil"/>
              <w:left w:val="nil"/>
              <w:bottom w:val="nil"/>
              <w:right w:val="nil"/>
            </w:tcBorders>
            <w:shd w:val="clear" w:color="auto" w:fill="FFFFFF"/>
            <w:vAlign w:val="center"/>
          </w:tcPr>
          <w:p w14:paraId="061EBCBE">
            <w:pPr>
              <w:pStyle w:val="167"/>
              <w:bidi w:val="0"/>
              <w:jc w:val="center"/>
              <w:rPr>
                <w:rFonts w:hint="default"/>
                <w:b w:val="0"/>
                <w:lang w:val="en-US" w:eastAsia="zh-CN"/>
              </w:rPr>
            </w:pPr>
            <w:r>
              <w:rPr>
                <w:rFonts w:hint="default"/>
                <w:b w:val="0"/>
                <w:lang w:val="en-US" w:eastAsia="zh-CN"/>
              </w:rPr>
              <w:t>Outcome construct</w:t>
            </w:r>
          </w:p>
        </w:tc>
        <w:tc>
          <w:tcPr>
            <w:tcW w:w="2020" w:type="dxa"/>
            <w:tcBorders>
              <w:top w:val="nil"/>
              <w:left w:val="nil"/>
              <w:bottom w:val="nil"/>
              <w:right w:val="nil"/>
            </w:tcBorders>
            <w:shd w:val="clear" w:color="auto" w:fill="FFFFFF"/>
            <w:vAlign w:val="center"/>
          </w:tcPr>
          <w:p w14:paraId="5D3AB2C5">
            <w:pPr>
              <w:pStyle w:val="167"/>
              <w:bidi w:val="0"/>
              <w:jc w:val="center"/>
              <w:rPr>
                <w:rFonts w:hint="default"/>
                <w:b w:val="0"/>
                <w:lang w:val="en-US" w:eastAsia="zh-CN"/>
              </w:rPr>
            </w:pPr>
            <w:r>
              <w:rPr>
                <w:rFonts w:hint="default"/>
                <w:b w:val="0"/>
                <w:lang w:val="en-US" w:eastAsia="zh-CN"/>
              </w:rPr>
              <w:t>Broader functional-mobility measures</w:t>
            </w:r>
          </w:p>
        </w:tc>
        <w:tc>
          <w:tcPr>
            <w:tcW w:w="4344" w:type="dxa"/>
            <w:tcBorders>
              <w:top w:val="nil"/>
              <w:left w:val="nil"/>
              <w:bottom w:val="nil"/>
              <w:right w:val="nil"/>
            </w:tcBorders>
            <w:shd w:val="clear" w:color="auto" w:fill="FFFFFF"/>
            <w:vAlign w:val="center"/>
          </w:tcPr>
          <w:p w14:paraId="64C40A9D">
            <w:pPr>
              <w:pStyle w:val="167"/>
              <w:bidi w:val="0"/>
              <w:jc w:val="center"/>
              <w:rPr>
                <w:rFonts w:hint="default"/>
                <w:b w:val="0"/>
                <w:lang w:val="en-US" w:eastAsia="zh-CN"/>
              </w:rPr>
            </w:pPr>
            <w:r>
              <w:rPr>
                <w:rFonts w:hint="default"/>
                <w:b w:val="0"/>
                <w:lang w:val="en-US" w:eastAsia="zh-CN"/>
              </w:rPr>
              <w:t>Sit-to-stand tests were considered related to functional mobility but were not treated as equivalent to TUG because they place greater emphasis on transitional performance and lower-limb function.</w:t>
            </w:r>
          </w:p>
        </w:tc>
        <w:tc>
          <w:tcPr>
            <w:tcW w:w="2465" w:type="dxa"/>
            <w:tcBorders>
              <w:top w:val="nil"/>
              <w:left w:val="nil"/>
              <w:bottom w:val="nil"/>
              <w:right w:val="nil"/>
            </w:tcBorders>
            <w:shd w:val="clear" w:color="auto" w:fill="FFFFFF"/>
            <w:vAlign w:val="center"/>
          </w:tcPr>
          <w:p w14:paraId="5A83AB28">
            <w:pPr>
              <w:pStyle w:val="167"/>
              <w:bidi w:val="0"/>
              <w:jc w:val="center"/>
              <w:rPr>
                <w:rFonts w:hint="default"/>
                <w:b w:val="0"/>
                <w:lang w:val="en-US" w:eastAsia="zh-CN"/>
              </w:rPr>
            </w:pPr>
            <w:r>
              <w:rPr>
                <w:rFonts w:hint="default"/>
                <w:b w:val="0"/>
                <w:lang w:val="en-US" w:eastAsia="zh-CN"/>
              </w:rPr>
              <w:t>Five Times Sit-to-Stand Test; 30-second Sit-to-Stand Test.</w:t>
            </w:r>
          </w:p>
        </w:tc>
        <w:tc>
          <w:tcPr>
            <w:tcW w:w="2930" w:type="dxa"/>
            <w:tcBorders>
              <w:top w:val="nil"/>
              <w:left w:val="nil"/>
              <w:bottom w:val="nil"/>
              <w:right w:val="nil"/>
            </w:tcBorders>
            <w:shd w:val="clear" w:color="auto" w:fill="FFFFFF"/>
            <w:vAlign w:val="center"/>
          </w:tcPr>
          <w:p w14:paraId="73DEC10E">
            <w:pPr>
              <w:pStyle w:val="167"/>
              <w:bidi w:val="0"/>
              <w:jc w:val="center"/>
              <w:rPr>
                <w:rFonts w:hint="default"/>
                <w:b w:val="0"/>
                <w:lang w:val="en-US" w:eastAsia="zh-CN"/>
              </w:rPr>
            </w:pPr>
            <w:r>
              <w:rPr>
                <w:rFonts w:hint="default"/>
                <w:b w:val="0"/>
                <w:lang w:val="en-US" w:eastAsia="zh-CN"/>
              </w:rPr>
              <w:t>Sit-to-stand outcomes were excluded from the strict primary analysis and retained for the broad-domain sensitivity analysis (S04) or supplementary reporting. Time-based tests were multiplied by −1; count-based tests were multiplied by +1.</w:t>
            </w:r>
          </w:p>
        </w:tc>
      </w:tr>
      <w:tr w14:paraId="4FE30AD2">
        <w:trPr>
          <w:cantSplit/>
        </w:trPr>
        <w:tc>
          <w:tcPr>
            <w:tcW w:w="1552" w:type="dxa"/>
            <w:tcBorders>
              <w:top w:val="nil"/>
              <w:left w:val="nil"/>
              <w:bottom w:val="nil"/>
              <w:right w:val="nil"/>
            </w:tcBorders>
            <w:shd w:val="clear" w:color="auto" w:fill="FFFFFF"/>
            <w:vAlign w:val="center"/>
          </w:tcPr>
          <w:p w14:paraId="5B5CBC51">
            <w:pPr>
              <w:pStyle w:val="167"/>
              <w:bidi w:val="0"/>
              <w:jc w:val="center"/>
              <w:rPr>
                <w:rFonts w:hint="default"/>
                <w:b w:val="0"/>
                <w:lang w:val="en-US" w:eastAsia="zh-CN"/>
              </w:rPr>
            </w:pPr>
            <w:r>
              <w:rPr>
                <w:rFonts w:hint="default"/>
                <w:b w:val="0"/>
                <w:lang w:val="en-US" w:eastAsia="zh-CN"/>
              </w:rPr>
              <w:t>Outcome construct</w:t>
            </w:r>
          </w:p>
        </w:tc>
        <w:tc>
          <w:tcPr>
            <w:tcW w:w="2020" w:type="dxa"/>
            <w:tcBorders>
              <w:top w:val="nil"/>
              <w:left w:val="nil"/>
              <w:bottom w:val="nil"/>
              <w:right w:val="nil"/>
            </w:tcBorders>
            <w:shd w:val="clear" w:color="auto" w:fill="FFFFFF"/>
            <w:vAlign w:val="center"/>
          </w:tcPr>
          <w:p w14:paraId="3AF68E2A">
            <w:pPr>
              <w:pStyle w:val="167"/>
              <w:bidi w:val="0"/>
              <w:jc w:val="center"/>
              <w:rPr>
                <w:rFonts w:hint="default"/>
                <w:b w:val="0"/>
                <w:lang w:val="en-US" w:eastAsia="zh-CN"/>
              </w:rPr>
            </w:pPr>
            <w:r>
              <w:rPr>
                <w:rFonts w:hint="default"/>
                <w:b w:val="0"/>
                <w:lang w:val="en-US" w:eastAsia="zh-CN"/>
              </w:rPr>
              <w:t>Gait/walking function: strict primary construct</w:t>
            </w:r>
          </w:p>
        </w:tc>
        <w:tc>
          <w:tcPr>
            <w:tcW w:w="4344" w:type="dxa"/>
            <w:tcBorders>
              <w:top w:val="nil"/>
              <w:left w:val="nil"/>
              <w:bottom w:val="nil"/>
              <w:right w:val="nil"/>
            </w:tcBorders>
            <w:shd w:val="clear" w:color="auto" w:fill="FFFFFF"/>
            <w:vAlign w:val="center"/>
          </w:tcPr>
          <w:p w14:paraId="5E4AD662">
            <w:pPr>
              <w:pStyle w:val="167"/>
              <w:bidi w:val="0"/>
              <w:jc w:val="center"/>
              <w:rPr>
                <w:rFonts w:hint="default"/>
                <w:b w:val="0"/>
                <w:lang w:val="en-US" w:eastAsia="zh-CN"/>
              </w:rPr>
            </w:pPr>
            <w:r>
              <w:rPr>
                <w:rFonts w:hint="default"/>
                <w:b w:val="0"/>
                <w:lang w:val="en-US" w:eastAsia="zh-CN"/>
              </w:rPr>
              <w:t>The primary gait/walking construct was restricted to measures directly reflecting walking speed or gait velocity. When a study reported more than one eligible gait-speed measure, one result was retained according to its direct relevance to the target construct and the documented operational selection rule.</w:t>
            </w:r>
          </w:p>
        </w:tc>
        <w:tc>
          <w:tcPr>
            <w:tcW w:w="2465" w:type="dxa"/>
            <w:tcBorders>
              <w:top w:val="nil"/>
              <w:left w:val="nil"/>
              <w:bottom w:val="nil"/>
              <w:right w:val="nil"/>
            </w:tcBorders>
            <w:shd w:val="clear" w:color="auto" w:fill="FFFFFF"/>
            <w:vAlign w:val="center"/>
          </w:tcPr>
          <w:p w14:paraId="11C42C38">
            <w:pPr>
              <w:pStyle w:val="167"/>
              <w:bidi w:val="0"/>
              <w:jc w:val="center"/>
              <w:rPr>
                <w:rFonts w:hint="default"/>
                <w:b w:val="0"/>
                <w:lang w:val="en-US" w:eastAsia="zh-CN"/>
              </w:rPr>
            </w:pPr>
            <w:r>
              <w:rPr>
                <w:rFonts w:hint="default"/>
                <w:b w:val="0"/>
                <w:lang w:val="en-US" w:eastAsia="zh-CN"/>
              </w:rPr>
              <w:t>Mean walking speed; preferred or comfortable gait speed; 10-metre walk test speed; step velocity; gait-adaptability velocity.</w:t>
            </w:r>
          </w:p>
        </w:tc>
        <w:tc>
          <w:tcPr>
            <w:tcW w:w="2930" w:type="dxa"/>
            <w:tcBorders>
              <w:top w:val="nil"/>
              <w:left w:val="nil"/>
              <w:bottom w:val="nil"/>
              <w:right w:val="nil"/>
            </w:tcBorders>
            <w:shd w:val="clear" w:color="auto" w:fill="FFFFFF"/>
            <w:vAlign w:val="center"/>
          </w:tcPr>
          <w:p w14:paraId="04688D39">
            <w:pPr>
              <w:pStyle w:val="167"/>
              <w:bidi w:val="0"/>
              <w:jc w:val="center"/>
              <w:rPr>
                <w:rFonts w:hint="default"/>
                <w:b w:val="0"/>
                <w:lang w:val="en-US" w:eastAsia="zh-CN"/>
              </w:rPr>
            </w:pPr>
            <w:r>
              <w:rPr>
                <w:rFonts w:hint="default"/>
                <w:b w:val="0"/>
                <w:lang w:val="en-US" w:eastAsia="zh-CN"/>
              </w:rPr>
              <w:t>These measures were generally higher-better and received a direction multiplier of +1. One eligible result per study was retained in the primary gait/walking analysis.</w:t>
            </w:r>
          </w:p>
        </w:tc>
      </w:tr>
      <w:tr w14:paraId="4CD1C472">
        <w:trPr>
          <w:cantSplit/>
        </w:trPr>
        <w:tc>
          <w:tcPr>
            <w:tcW w:w="1552" w:type="dxa"/>
            <w:tcBorders>
              <w:top w:val="nil"/>
              <w:left w:val="nil"/>
              <w:bottom w:val="nil"/>
              <w:right w:val="nil"/>
            </w:tcBorders>
            <w:shd w:val="clear" w:color="auto" w:fill="FFFFFF"/>
            <w:vAlign w:val="center"/>
          </w:tcPr>
          <w:p w14:paraId="284B53DD">
            <w:pPr>
              <w:pStyle w:val="167"/>
              <w:bidi w:val="0"/>
              <w:jc w:val="center"/>
              <w:rPr>
                <w:rFonts w:hint="default"/>
                <w:b w:val="0"/>
                <w:lang w:val="en-US" w:eastAsia="zh-CN"/>
              </w:rPr>
            </w:pPr>
            <w:r>
              <w:rPr>
                <w:rFonts w:hint="default"/>
                <w:b w:val="0"/>
                <w:lang w:val="en-US" w:eastAsia="zh-CN"/>
              </w:rPr>
              <w:t>Outcome construct</w:t>
            </w:r>
          </w:p>
        </w:tc>
        <w:tc>
          <w:tcPr>
            <w:tcW w:w="2020" w:type="dxa"/>
            <w:tcBorders>
              <w:top w:val="nil"/>
              <w:left w:val="nil"/>
              <w:bottom w:val="nil"/>
              <w:right w:val="nil"/>
            </w:tcBorders>
            <w:shd w:val="clear" w:color="auto" w:fill="FFFFFF"/>
            <w:vAlign w:val="center"/>
          </w:tcPr>
          <w:p w14:paraId="40DB6F95">
            <w:pPr>
              <w:pStyle w:val="167"/>
              <w:bidi w:val="0"/>
              <w:jc w:val="center"/>
              <w:rPr>
                <w:rFonts w:hint="default"/>
                <w:b w:val="0"/>
                <w:lang w:val="en-US" w:eastAsia="zh-CN"/>
              </w:rPr>
            </w:pPr>
            <w:r>
              <w:rPr>
                <w:rFonts w:hint="default"/>
                <w:b w:val="0"/>
                <w:lang w:val="en-US" w:eastAsia="zh-CN"/>
              </w:rPr>
              <w:t>Walking capacity/endurance and other gait measures</w:t>
            </w:r>
          </w:p>
        </w:tc>
        <w:tc>
          <w:tcPr>
            <w:tcW w:w="4344" w:type="dxa"/>
            <w:tcBorders>
              <w:top w:val="nil"/>
              <w:left w:val="nil"/>
              <w:bottom w:val="nil"/>
              <w:right w:val="nil"/>
            </w:tcBorders>
            <w:shd w:val="clear" w:color="auto" w:fill="FFFFFF"/>
            <w:vAlign w:val="center"/>
          </w:tcPr>
          <w:p w14:paraId="41560D87">
            <w:pPr>
              <w:pStyle w:val="167"/>
              <w:bidi w:val="0"/>
              <w:jc w:val="center"/>
              <w:rPr>
                <w:rFonts w:hint="default"/>
                <w:b w:val="0"/>
                <w:lang w:val="en-US" w:eastAsia="zh-CN"/>
              </w:rPr>
            </w:pPr>
            <w:r>
              <w:rPr>
                <w:rFonts w:hint="default"/>
                <w:b w:val="0"/>
                <w:lang w:val="en-US" w:eastAsia="zh-CN"/>
              </w:rPr>
              <w:t>Walking distance or endurance and other spatiotemporal gait parameters were treated as conceptually distinct from walking speed or gait velocity.</w:t>
            </w:r>
          </w:p>
        </w:tc>
        <w:tc>
          <w:tcPr>
            <w:tcW w:w="2465" w:type="dxa"/>
            <w:tcBorders>
              <w:top w:val="nil"/>
              <w:left w:val="nil"/>
              <w:bottom w:val="nil"/>
              <w:right w:val="nil"/>
            </w:tcBorders>
            <w:shd w:val="clear" w:color="auto" w:fill="FFFFFF"/>
            <w:vAlign w:val="center"/>
          </w:tcPr>
          <w:p w14:paraId="5D3A194A">
            <w:pPr>
              <w:pStyle w:val="167"/>
              <w:bidi w:val="0"/>
              <w:jc w:val="center"/>
              <w:rPr>
                <w:rFonts w:hint="default"/>
                <w:b w:val="0"/>
                <w:lang w:val="en-US" w:eastAsia="zh-CN"/>
              </w:rPr>
            </w:pPr>
            <w:r>
              <w:rPr>
                <w:rFonts w:hint="default"/>
                <w:b w:val="0"/>
                <w:lang w:val="en-US" w:eastAsia="zh-CN"/>
              </w:rPr>
              <w:t>Six-Minute Walk Test; walking distance; gait parameters not directly representing speed or velocity.</w:t>
            </w:r>
          </w:p>
        </w:tc>
        <w:tc>
          <w:tcPr>
            <w:tcW w:w="2930" w:type="dxa"/>
            <w:tcBorders>
              <w:top w:val="nil"/>
              <w:left w:val="nil"/>
              <w:bottom w:val="nil"/>
              <w:right w:val="nil"/>
            </w:tcBorders>
            <w:shd w:val="clear" w:color="auto" w:fill="FFFFFF"/>
            <w:vAlign w:val="center"/>
          </w:tcPr>
          <w:p w14:paraId="54EDBD4E">
            <w:pPr>
              <w:pStyle w:val="167"/>
              <w:bidi w:val="0"/>
              <w:jc w:val="center"/>
              <w:rPr>
                <w:rFonts w:hint="default"/>
                <w:b w:val="0"/>
                <w:lang w:val="en-US" w:eastAsia="zh-CN"/>
              </w:rPr>
            </w:pPr>
            <w:r>
              <w:rPr>
                <w:rFonts w:hint="default"/>
                <w:b w:val="0"/>
                <w:lang w:val="en-US" w:eastAsia="zh-CN"/>
              </w:rPr>
              <w:t>These measures were not pooled with gait-speed measures in the strict primary analysis. They were retained in the extraction record for supplementary or narrative use when relevant.</w:t>
            </w:r>
          </w:p>
        </w:tc>
      </w:tr>
      <w:tr w14:paraId="3D804847">
        <w:trPr>
          <w:cantSplit/>
        </w:trPr>
        <w:tc>
          <w:tcPr>
            <w:tcW w:w="1552" w:type="dxa"/>
            <w:tcBorders>
              <w:top w:val="nil"/>
              <w:left w:val="nil"/>
              <w:bottom w:val="nil"/>
              <w:right w:val="nil"/>
            </w:tcBorders>
            <w:shd w:val="clear" w:color="auto" w:fill="FFFFFF"/>
            <w:vAlign w:val="center"/>
          </w:tcPr>
          <w:p w14:paraId="7730903B">
            <w:pPr>
              <w:pStyle w:val="167"/>
              <w:bidi w:val="0"/>
              <w:jc w:val="center"/>
              <w:rPr>
                <w:rFonts w:hint="default"/>
                <w:b w:val="0"/>
                <w:lang w:val="en-US" w:eastAsia="zh-CN"/>
              </w:rPr>
            </w:pPr>
            <w:r>
              <w:rPr>
                <w:rFonts w:hint="default"/>
                <w:b w:val="0"/>
                <w:lang w:val="en-US" w:eastAsia="zh-CN"/>
              </w:rPr>
              <w:t>Data selection</w:t>
            </w:r>
          </w:p>
        </w:tc>
        <w:tc>
          <w:tcPr>
            <w:tcW w:w="2020" w:type="dxa"/>
            <w:tcBorders>
              <w:top w:val="nil"/>
              <w:left w:val="nil"/>
              <w:bottom w:val="nil"/>
              <w:right w:val="nil"/>
            </w:tcBorders>
            <w:shd w:val="clear" w:color="auto" w:fill="FFFFFF"/>
            <w:vAlign w:val="center"/>
          </w:tcPr>
          <w:p w14:paraId="4B498F27">
            <w:pPr>
              <w:pStyle w:val="167"/>
              <w:bidi w:val="0"/>
              <w:jc w:val="center"/>
              <w:rPr>
                <w:rFonts w:hint="default"/>
                <w:b w:val="0"/>
                <w:lang w:val="en-US" w:eastAsia="zh-CN"/>
              </w:rPr>
            </w:pPr>
            <w:r>
              <w:rPr>
                <w:rFonts w:hint="default"/>
                <w:b w:val="0"/>
                <w:lang w:val="en-US" w:eastAsia="zh-CN"/>
              </w:rPr>
              <w:t>Primary time point</w:t>
            </w:r>
          </w:p>
        </w:tc>
        <w:tc>
          <w:tcPr>
            <w:tcW w:w="4344" w:type="dxa"/>
            <w:tcBorders>
              <w:top w:val="nil"/>
              <w:left w:val="nil"/>
              <w:bottom w:val="nil"/>
              <w:right w:val="nil"/>
            </w:tcBorders>
            <w:shd w:val="clear" w:color="auto" w:fill="FFFFFF"/>
            <w:vAlign w:val="center"/>
          </w:tcPr>
          <w:p w14:paraId="46531E61">
            <w:pPr>
              <w:pStyle w:val="167"/>
              <w:bidi w:val="0"/>
              <w:jc w:val="center"/>
              <w:rPr>
                <w:rFonts w:hint="default"/>
                <w:b w:val="0"/>
                <w:lang w:val="en-US" w:eastAsia="zh-CN"/>
              </w:rPr>
            </w:pPr>
            <w:r>
              <w:rPr>
                <w:rFonts w:hint="default"/>
                <w:b w:val="0"/>
                <w:lang w:val="en-US" w:eastAsia="zh-CN"/>
              </w:rPr>
              <w:t>When multiple eligible assessment times were reported, the assessment conducted immediately at the end of the intervention was prioritised. Post-intervention follow-up assessments were not combined with end-of-intervention results in the primary synthesis.</w:t>
            </w:r>
          </w:p>
        </w:tc>
        <w:tc>
          <w:tcPr>
            <w:tcW w:w="2465" w:type="dxa"/>
            <w:tcBorders>
              <w:top w:val="nil"/>
              <w:left w:val="nil"/>
              <w:bottom w:val="nil"/>
              <w:right w:val="nil"/>
            </w:tcBorders>
            <w:shd w:val="clear" w:color="auto" w:fill="FFFFFF"/>
            <w:vAlign w:val="center"/>
          </w:tcPr>
          <w:p w14:paraId="23258F3F">
            <w:pPr>
              <w:pStyle w:val="167"/>
              <w:bidi w:val="0"/>
              <w:jc w:val="center"/>
              <w:rPr>
                <w:rFonts w:hint="default"/>
                <w:b w:val="0"/>
                <w:lang w:val="en-US" w:eastAsia="zh-CN"/>
              </w:rPr>
            </w:pPr>
            <w:r>
              <w:rPr>
                <w:rFonts w:hint="default"/>
                <w:b w:val="0"/>
                <w:lang w:val="en-US" w:eastAsia="zh-CN"/>
              </w:rPr>
              <w:t>Post 3 weeks; post 5 weeks; post 12 weeks; post 4 months; other end-of-intervention assessments.</w:t>
            </w:r>
          </w:p>
        </w:tc>
        <w:tc>
          <w:tcPr>
            <w:tcW w:w="2930" w:type="dxa"/>
            <w:tcBorders>
              <w:top w:val="nil"/>
              <w:left w:val="nil"/>
              <w:bottom w:val="nil"/>
              <w:right w:val="nil"/>
            </w:tcBorders>
            <w:shd w:val="clear" w:color="auto" w:fill="FFFFFF"/>
            <w:vAlign w:val="center"/>
          </w:tcPr>
          <w:p w14:paraId="1B997668">
            <w:pPr>
              <w:pStyle w:val="167"/>
              <w:bidi w:val="0"/>
              <w:jc w:val="center"/>
              <w:rPr>
                <w:rFonts w:hint="default"/>
                <w:b w:val="0"/>
                <w:lang w:val="en-US" w:eastAsia="zh-CN"/>
              </w:rPr>
            </w:pPr>
            <w:r>
              <w:rPr>
                <w:rFonts w:hint="default"/>
                <w:b w:val="0"/>
                <w:lang w:val="en-US" w:eastAsia="zh-CN"/>
              </w:rPr>
              <w:t>One end-of-intervention time point per study, outcome domain, and eligible comparison was retained. Non-prioritised follow-up results were documented in Additional file 3.</w:t>
            </w:r>
          </w:p>
        </w:tc>
      </w:tr>
      <w:tr w14:paraId="4440710A">
        <w:trPr>
          <w:cantSplit/>
        </w:trPr>
        <w:tc>
          <w:tcPr>
            <w:tcW w:w="1552" w:type="dxa"/>
            <w:tcBorders>
              <w:top w:val="nil"/>
              <w:left w:val="nil"/>
              <w:bottom w:val="nil"/>
              <w:right w:val="nil"/>
            </w:tcBorders>
            <w:shd w:val="clear" w:color="auto" w:fill="FFFFFF"/>
            <w:vAlign w:val="center"/>
          </w:tcPr>
          <w:p w14:paraId="718BBD6A">
            <w:pPr>
              <w:pStyle w:val="167"/>
              <w:bidi w:val="0"/>
              <w:jc w:val="center"/>
              <w:rPr>
                <w:rFonts w:hint="default"/>
                <w:b w:val="0"/>
                <w:lang w:val="en-US" w:eastAsia="zh-CN"/>
              </w:rPr>
            </w:pPr>
            <w:r>
              <w:rPr>
                <w:rFonts w:hint="default"/>
                <w:b w:val="0"/>
                <w:lang w:val="en-US" w:eastAsia="zh-CN"/>
              </w:rPr>
              <w:t>Data selection</w:t>
            </w:r>
          </w:p>
        </w:tc>
        <w:tc>
          <w:tcPr>
            <w:tcW w:w="2020" w:type="dxa"/>
            <w:tcBorders>
              <w:top w:val="nil"/>
              <w:left w:val="nil"/>
              <w:bottom w:val="nil"/>
              <w:right w:val="nil"/>
            </w:tcBorders>
            <w:shd w:val="clear" w:color="auto" w:fill="FFFFFF"/>
            <w:vAlign w:val="center"/>
          </w:tcPr>
          <w:p w14:paraId="75C9379A">
            <w:pPr>
              <w:pStyle w:val="167"/>
              <w:bidi w:val="0"/>
              <w:jc w:val="center"/>
              <w:rPr>
                <w:rFonts w:hint="default"/>
                <w:b w:val="0"/>
                <w:lang w:val="en-US" w:eastAsia="zh-CN"/>
              </w:rPr>
            </w:pPr>
            <w:r>
              <w:rPr>
                <w:rFonts w:hint="default"/>
                <w:b w:val="0"/>
                <w:lang w:val="en-US" w:eastAsia="zh-CN"/>
              </w:rPr>
              <w:t>Primary data type</w:t>
            </w:r>
          </w:p>
        </w:tc>
        <w:tc>
          <w:tcPr>
            <w:tcW w:w="4344" w:type="dxa"/>
            <w:tcBorders>
              <w:top w:val="nil"/>
              <w:left w:val="nil"/>
              <w:bottom w:val="nil"/>
              <w:right w:val="nil"/>
            </w:tcBorders>
            <w:shd w:val="clear" w:color="auto" w:fill="FFFFFF"/>
            <w:vAlign w:val="center"/>
          </w:tcPr>
          <w:p w14:paraId="2DCFC748">
            <w:pPr>
              <w:pStyle w:val="167"/>
              <w:bidi w:val="0"/>
              <w:jc w:val="center"/>
              <w:rPr>
                <w:rFonts w:hint="default"/>
                <w:b w:val="0"/>
                <w:lang w:val="en-US" w:eastAsia="zh-CN"/>
              </w:rPr>
            </w:pPr>
            <w:r>
              <w:rPr>
                <w:rFonts w:hint="default"/>
                <w:b w:val="0"/>
                <w:lang w:val="en-US" w:eastAsia="zh-CN"/>
              </w:rPr>
              <w:t>The primary SMD analyses were restricted to post-intervention endpoint means and standard deviations. Change-from-baseline SMDs were not combined with endpoint SMDs in the primary analyses because the two approaches can use different standardisation metrics.</w:t>
            </w:r>
          </w:p>
        </w:tc>
        <w:tc>
          <w:tcPr>
            <w:tcW w:w="2465" w:type="dxa"/>
            <w:tcBorders>
              <w:top w:val="nil"/>
              <w:left w:val="nil"/>
              <w:bottom w:val="nil"/>
              <w:right w:val="nil"/>
            </w:tcBorders>
            <w:shd w:val="clear" w:color="auto" w:fill="FFFFFF"/>
            <w:vAlign w:val="center"/>
          </w:tcPr>
          <w:p w14:paraId="14222BB4">
            <w:pPr>
              <w:pStyle w:val="167"/>
              <w:bidi w:val="0"/>
              <w:jc w:val="center"/>
              <w:rPr>
                <w:rFonts w:hint="default"/>
                <w:b w:val="0"/>
                <w:lang w:val="en-US" w:eastAsia="zh-CN"/>
              </w:rPr>
            </w:pPr>
            <w:r>
              <w:rPr>
                <w:rFonts w:hint="default"/>
                <w:b w:val="0"/>
                <w:lang w:val="en-US" w:eastAsia="zh-CN"/>
              </w:rPr>
              <w:t>Endpoint mean and SD; directly reported arm-level post-intervention values.</w:t>
            </w:r>
          </w:p>
        </w:tc>
        <w:tc>
          <w:tcPr>
            <w:tcW w:w="2930" w:type="dxa"/>
            <w:tcBorders>
              <w:top w:val="nil"/>
              <w:left w:val="nil"/>
              <w:bottom w:val="nil"/>
              <w:right w:val="nil"/>
            </w:tcBorders>
            <w:shd w:val="clear" w:color="auto" w:fill="FFFFFF"/>
            <w:vAlign w:val="center"/>
          </w:tcPr>
          <w:p w14:paraId="6DD99416">
            <w:pPr>
              <w:pStyle w:val="167"/>
              <w:bidi w:val="0"/>
              <w:jc w:val="center"/>
              <w:rPr>
                <w:rFonts w:hint="default"/>
                <w:b w:val="0"/>
                <w:lang w:val="en-US" w:eastAsia="zh-CN"/>
              </w:rPr>
            </w:pPr>
            <w:r>
              <w:rPr>
                <w:rFonts w:hint="default"/>
                <w:b w:val="0"/>
                <w:lang w:val="en-US" w:eastAsia="zh-CN"/>
              </w:rPr>
              <w:t>Endpoint-only data formed the primary dataset. Eligible change-score data were retained for S01 or other explicitly defined sensitivity analyses.</w:t>
            </w:r>
          </w:p>
        </w:tc>
      </w:tr>
      <w:tr w14:paraId="3F70233A">
        <w:trPr>
          <w:cantSplit/>
        </w:trPr>
        <w:tc>
          <w:tcPr>
            <w:tcW w:w="1552" w:type="dxa"/>
            <w:tcBorders>
              <w:top w:val="nil"/>
              <w:left w:val="nil"/>
              <w:bottom w:val="nil"/>
              <w:right w:val="nil"/>
            </w:tcBorders>
            <w:shd w:val="clear" w:color="auto" w:fill="FFFFFF"/>
            <w:vAlign w:val="center"/>
          </w:tcPr>
          <w:p w14:paraId="339CDAFA">
            <w:pPr>
              <w:pStyle w:val="167"/>
              <w:bidi w:val="0"/>
              <w:jc w:val="center"/>
              <w:rPr>
                <w:rFonts w:hint="default"/>
                <w:b w:val="0"/>
                <w:lang w:val="en-US" w:eastAsia="zh-CN"/>
              </w:rPr>
            </w:pPr>
            <w:r>
              <w:rPr>
                <w:rFonts w:hint="default"/>
                <w:b w:val="0"/>
                <w:lang w:val="en-US" w:eastAsia="zh-CN"/>
              </w:rPr>
              <w:t>Data selection</w:t>
            </w:r>
          </w:p>
        </w:tc>
        <w:tc>
          <w:tcPr>
            <w:tcW w:w="2020" w:type="dxa"/>
            <w:tcBorders>
              <w:top w:val="nil"/>
              <w:left w:val="nil"/>
              <w:bottom w:val="nil"/>
              <w:right w:val="nil"/>
            </w:tcBorders>
            <w:shd w:val="clear" w:color="auto" w:fill="FFFFFF"/>
            <w:vAlign w:val="center"/>
          </w:tcPr>
          <w:p w14:paraId="1B9E3B85">
            <w:pPr>
              <w:pStyle w:val="167"/>
              <w:bidi w:val="0"/>
              <w:jc w:val="center"/>
              <w:rPr>
                <w:rFonts w:hint="default"/>
                <w:b w:val="0"/>
                <w:lang w:val="en-US" w:eastAsia="zh-CN"/>
              </w:rPr>
            </w:pPr>
            <w:r>
              <w:rPr>
                <w:rFonts w:hint="default"/>
                <w:b w:val="0"/>
                <w:lang w:val="en-US" w:eastAsia="zh-CN"/>
              </w:rPr>
              <w:t>Multiple measures within the same outcome domain</w:t>
            </w:r>
          </w:p>
        </w:tc>
        <w:tc>
          <w:tcPr>
            <w:tcW w:w="4344" w:type="dxa"/>
            <w:tcBorders>
              <w:top w:val="nil"/>
              <w:left w:val="nil"/>
              <w:bottom w:val="nil"/>
              <w:right w:val="nil"/>
            </w:tcBorders>
            <w:shd w:val="clear" w:color="auto" w:fill="FFFFFF"/>
            <w:vAlign w:val="center"/>
          </w:tcPr>
          <w:p w14:paraId="4C2E8A3A">
            <w:pPr>
              <w:pStyle w:val="167"/>
              <w:bidi w:val="0"/>
              <w:jc w:val="center"/>
              <w:rPr>
                <w:rFonts w:hint="default"/>
                <w:b w:val="0"/>
                <w:lang w:val="en-US" w:eastAsia="zh-CN"/>
              </w:rPr>
            </w:pPr>
            <w:r>
              <w:rPr>
                <w:rFonts w:hint="default"/>
                <w:b w:val="0"/>
                <w:lang w:val="en-US" w:eastAsia="zh-CN"/>
              </w:rPr>
              <w:t>Only one measure was retained for each study within an outcome domain and eligible comparison. Selection was based on direct correspondence with the prespecified construct, the operational measure-selection rule, and availability of valid endpoint data. Selection was not based on the magnitude, direction, or statistical significance of the reported result.</w:t>
            </w:r>
          </w:p>
        </w:tc>
        <w:tc>
          <w:tcPr>
            <w:tcW w:w="2465" w:type="dxa"/>
            <w:tcBorders>
              <w:top w:val="nil"/>
              <w:left w:val="nil"/>
              <w:bottom w:val="nil"/>
              <w:right w:val="nil"/>
            </w:tcBorders>
            <w:shd w:val="clear" w:color="auto" w:fill="FFFFFF"/>
            <w:vAlign w:val="center"/>
          </w:tcPr>
          <w:p w14:paraId="18664D62">
            <w:pPr>
              <w:pStyle w:val="167"/>
              <w:bidi w:val="0"/>
              <w:jc w:val="center"/>
              <w:rPr>
                <w:rFonts w:hint="default"/>
                <w:b w:val="0"/>
                <w:lang w:val="en-US" w:eastAsia="zh-CN"/>
              </w:rPr>
            </w:pPr>
            <w:r>
              <w:rPr>
                <w:rFonts w:hint="default"/>
                <w:b w:val="0"/>
                <w:lang w:val="en-US" w:eastAsia="zh-CN"/>
              </w:rPr>
              <w:t>Clinical balance measure rather than ABC, FES-I, or COP for strict balance; TUG rather than sit-to-stand for strict functional mobility; gait speed or velocity rather than walking endurance for strict gait/walking function.</w:t>
            </w:r>
          </w:p>
        </w:tc>
        <w:tc>
          <w:tcPr>
            <w:tcW w:w="2930" w:type="dxa"/>
            <w:tcBorders>
              <w:top w:val="nil"/>
              <w:left w:val="nil"/>
              <w:bottom w:val="nil"/>
              <w:right w:val="nil"/>
            </w:tcBorders>
            <w:shd w:val="clear" w:color="auto" w:fill="FFFFFF"/>
            <w:vAlign w:val="center"/>
          </w:tcPr>
          <w:p w14:paraId="09F8728B">
            <w:pPr>
              <w:pStyle w:val="167"/>
              <w:bidi w:val="0"/>
              <w:jc w:val="center"/>
              <w:rPr>
                <w:rFonts w:hint="default"/>
                <w:b w:val="0"/>
                <w:lang w:val="en-US" w:eastAsia="zh-CN"/>
              </w:rPr>
            </w:pPr>
            <w:r>
              <w:rPr>
                <w:rFonts w:hint="default"/>
                <w:b w:val="0"/>
                <w:lang w:val="en-US" w:eastAsia="zh-CN"/>
              </w:rPr>
              <w:t>This rule prevented the same participants from being counted more than once within a single outcome-by-comparator synthesis. Non-selected candidate measures and reasons for non-selection are documented in Additional file 3.</w:t>
            </w:r>
          </w:p>
        </w:tc>
      </w:tr>
      <w:tr w14:paraId="63863E6B">
        <w:trPr>
          <w:cantSplit/>
        </w:trPr>
        <w:tc>
          <w:tcPr>
            <w:tcW w:w="1552" w:type="dxa"/>
            <w:tcBorders>
              <w:top w:val="nil"/>
              <w:left w:val="nil"/>
              <w:bottom w:val="nil"/>
              <w:right w:val="nil"/>
            </w:tcBorders>
            <w:shd w:val="clear" w:color="auto" w:fill="FFFFFF"/>
            <w:vAlign w:val="center"/>
          </w:tcPr>
          <w:p w14:paraId="3E570879">
            <w:pPr>
              <w:pStyle w:val="167"/>
              <w:bidi w:val="0"/>
              <w:jc w:val="center"/>
              <w:rPr>
                <w:rFonts w:hint="default"/>
                <w:b w:val="0"/>
                <w:lang w:val="en-US" w:eastAsia="zh-CN"/>
              </w:rPr>
            </w:pPr>
            <w:r>
              <w:rPr>
                <w:rFonts w:hint="default"/>
                <w:b w:val="0"/>
                <w:lang w:val="en-US" w:eastAsia="zh-CN"/>
              </w:rPr>
              <w:t>Data selection</w:t>
            </w:r>
          </w:p>
        </w:tc>
        <w:tc>
          <w:tcPr>
            <w:tcW w:w="2020" w:type="dxa"/>
            <w:tcBorders>
              <w:top w:val="nil"/>
              <w:left w:val="nil"/>
              <w:bottom w:val="nil"/>
              <w:right w:val="nil"/>
            </w:tcBorders>
            <w:shd w:val="clear" w:color="auto" w:fill="FFFFFF"/>
            <w:vAlign w:val="center"/>
          </w:tcPr>
          <w:p w14:paraId="77AD8F7F">
            <w:pPr>
              <w:pStyle w:val="167"/>
              <w:bidi w:val="0"/>
              <w:jc w:val="center"/>
              <w:rPr>
                <w:rFonts w:hint="default"/>
                <w:b w:val="0"/>
                <w:lang w:val="en-US" w:eastAsia="zh-CN"/>
              </w:rPr>
            </w:pPr>
            <w:r>
              <w:rPr>
                <w:rFonts w:hint="default"/>
                <w:b w:val="0"/>
                <w:lang w:val="en-US" w:eastAsia="zh-CN"/>
              </w:rPr>
              <w:t>Multi-arm trials</w:t>
            </w:r>
          </w:p>
        </w:tc>
        <w:tc>
          <w:tcPr>
            <w:tcW w:w="4344" w:type="dxa"/>
            <w:tcBorders>
              <w:top w:val="nil"/>
              <w:left w:val="nil"/>
              <w:bottom w:val="nil"/>
              <w:right w:val="nil"/>
            </w:tcBorders>
            <w:shd w:val="clear" w:color="auto" w:fill="FFFFFF"/>
            <w:vAlign w:val="center"/>
          </w:tcPr>
          <w:p w14:paraId="79E377EA">
            <w:pPr>
              <w:pStyle w:val="167"/>
              <w:bidi w:val="0"/>
              <w:jc w:val="center"/>
              <w:rPr>
                <w:rFonts w:hint="default"/>
                <w:b w:val="0"/>
                <w:lang w:val="en-US" w:eastAsia="zh-CN"/>
              </w:rPr>
            </w:pPr>
            <w:r>
              <w:rPr>
                <w:rFonts w:hint="default"/>
                <w:b w:val="0"/>
                <w:lang w:val="en-US" w:eastAsia="zh-CN"/>
              </w:rPr>
              <w:t>When more than one intervention arm met the target-intervention definition and shared the same comparator, the eligible intervention arms were combined for the primary pairwise comparison. The shared comparator was included only once.</w:t>
            </w:r>
          </w:p>
        </w:tc>
        <w:tc>
          <w:tcPr>
            <w:tcW w:w="2465" w:type="dxa"/>
            <w:tcBorders>
              <w:top w:val="nil"/>
              <w:left w:val="nil"/>
              <w:bottom w:val="nil"/>
              <w:right w:val="nil"/>
            </w:tcBorders>
            <w:shd w:val="clear" w:color="auto" w:fill="FFFFFF"/>
            <w:vAlign w:val="center"/>
          </w:tcPr>
          <w:p w14:paraId="1E87044D">
            <w:pPr>
              <w:pStyle w:val="167"/>
              <w:bidi w:val="0"/>
              <w:jc w:val="center"/>
              <w:rPr>
                <w:rFonts w:hint="default"/>
                <w:b w:val="0"/>
                <w:lang w:val="en-US" w:eastAsia="zh-CN"/>
              </w:rPr>
            </w:pPr>
            <w:r>
              <w:rPr>
                <w:rFonts w:hint="default"/>
                <w:b w:val="0"/>
                <w:lang w:val="en-US" w:eastAsia="zh-CN"/>
              </w:rPr>
              <w:t>Johnson 2024: Clinic+TR and TR-only intervention arms combined for the primary analysis.</w:t>
            </w:r>
          </w:p>
        </w:tc>
        <w:tc>
          <w:tcPr>
            <w:tcW w:w="2930" w:type="dxa"/>
            <w:tcBorders>
              <w:top w:val="nil"/>
              <w:left w:val="nil"/>
              <w:bottom w:val="nil"/>
              <w:right w:val="nil"/>
            </w:tcBorders>
            <w:shd w:val="clear" w:color="auto" w:fill="FFFFFF"/>
            <w:vAlign w:val="center"/>
          </w:tcPr>
          <w:p w14:paraId="3174BD02">
            <w:pPr>
              <w:pStyle w:val="167"/>
              <w:bidi w:val="0"/>
              <w:jc w:val="center"/>
              <w:rPr>
                <w:rFonts w:hint="default"/>
                <w:b w:val="0"/>
                <w:lang w:val="en-US" w:eastAsia="zh-CN"/>
              </w:rPr>
            </w:pPr>
            <w:r>
              <w:rPr>
                <w:rFonts w:hint="default"/>
                <w:b w:val="0"/>
                <w:lang w:val="en-US" w:eastAsia="zh-CN"/>
              </w:rPr>
              <w:t>Alternative analyses retaining Clinic+TR only or TR-only were conducted in S05 and S06.</w:t>
            </w:r>
          </w:p>
        </w:tc>
      </w:tr>
      <w:tr w14:paraId="400E85E2">
        <w:trPr>
          <w:cantSplit/>
        </w:trPr>
        <w:tc>
          <w:tcPr>
            <w:tcW w:w="1552" w:type="dxa"/>
            <w:tcBorders>
              <w:top w:val="nil"/>
              <w:left w:val="nil"/>
              <w:bottom w:val="nil"/>
              <w:right w:val="nil"/>
            </w:tcBorders>
            <w:shd w:val="clear" w:color="auto" w:fill="FFFFFF"/>
            <w:vAlign w:val="center"/>
          </w:tcPr>
          <w:p w14:paraId="69FF27C6">
            <w:pPr>
              <w:pStyle w:val="167"/>
              <w:bidi w:val="0"/>
              <w:jc w:val="center"/>
              <w:rPr>
                <w:rFonts w:hint="default"/>
                <w:b w:val="0"/>
                <w:lang w:val="en-US" w:eastAsia="zh-CN"/>
              </w:rPr>
            </w:pPr>
            <w:r>
              <w:rPr>
                <w:rFonts w:hint="default"/>
                <w:b w:val="0"/>
                <w:lang w:val="en-US" w:eastAsia="zh-CN"/>
              </w:rPr>
              <w:t>Data selection</w:t>
            </w:r>
          </w:p>
        </w:tc>
        <w:tc>
          <w:tcPr>
            <w:tcW w:w="2020" w:type="dxa"/>
            <w:tcBorders>
              <w:top w:val="nil"/>
              <w:left w:val="nil"/>
              <w:bottom w:val="nil"/>
              <w:right w:val="nil"/>
            </w:tcBorders>
            <w:shd w:val="clear" w:color="auto" w:fill="FFFFFF"/>
            <w:vAlign w:val="center"/>
          </w:tcPr>
          <w:p w14:paraId="5517E05C">
            <w:pPr>
              <w:pStyle w:val="167"/>
              <w:bidi w:val="0"/>
              <w:jc w:val="center"/>
              <w:rPr>
                <w:rFonts w:hint="default"/>
                <w:b w:val="0"/>
                <w:lang w:val="en-US" w:eastAsia="zh-CN"/>
              </w:rPr>
            </w:pPr>
            <w:r>
              <w:rPr>
                <w:rFonts w:hint="default"/>
                <w:b w:val="0"/>
                <w:lang w:val="en-US" w:eastAsia="zh-CN"/>
              </w:rPr>
              <w:t>Model-based or adjusted estimates</w:t>
            </w:r>
          </w:p>
        </w:tc>
        <w:tc>
          <w:tcPr>
            <w:tcW w:w="4344" w:type="dxa"/>
            <w:tcBorders>
              <w:top w:val="nil"/>
              <w:left w:val="nil"/>
              <w:bottom w:val="nil"/>
              <w:right w:val="nil"/>
            </w:tcBorders>
            <w:shd w:val="clear" w:color="auto" w:fill="FFFFFF"/>
            <w:vAlign w:val="center"/>
          </w:tcPr>
          <w:p w14:paraId="1E8DA042">
            <w:pPr>
              <w:pStyle w:val="167"/>
              <w:bidi w:val="0"/>
              <w:jc w:val="center"/>
              <w:rPr>
                <w:rFonts w:hint="default"/>
                <w:b w:val="0"/>
                <w:lang w:val="en-US" w:eastAsia="zh-CN"/>
              </w:rPr>
            </w:pPr>
            <w:r>
              <w:rPr>
                <w:rFonts w:hint="default"/>
                <w:b w:val="0"/>
                <w:lang w:val="en-US" w:eastAsia="zh-CN"/>
              </w:rPr>
              <w:t>Estimated marginal means, model-based standard errors, and confidence intervals from linear mixed models were not treated as raw arm-level means and standard deviations. Raw SDs were not back-calculated from these model-based estimates. Where possible, a directly reported adjusted between-group effect and its SE or 95% CI was retained separately.</w:t>
            </w:r>
          </w:p>
        </w:tc>
        <w:tc>
          <w:tcPr>
            <w:tcW w:w="2465" w:type="dxa"/>
            <w:tcBorders>
              <w:top w:val="nil"/>
              <w:left w:val="nil"/>
              <w:bottom w:val="nil"/>
              <w:right w:val="nil"/>
            </w:tcBorders>
            <w:shd w:val="clear" w:color="auto" w:fill="FFFFFF"/>
            <w:vAlign w:val="center"/>
          </w:tcPr>
          <w:p w14:paraId="05A418C8">
            <w:pPr>
              <w:pStyle w:val="167"/>
              <w:bidi w:val="0"/>
              <w:jc w:val="center"/>
              <w:rPr>
                <w:rFonts w:hint="default"/>
                <w:b w:val="0"/>
                <w:lang w:val="en-US" w:eastAsia="zh-CN"/>
              </w:rPr>
            </w:pPr>
            <w:r>
              <w:rPr>
                <w:rFonts w:hint="default"/>
                <w:b w:val="0"/>
                <w:lang w:val="en-US" w:eastAsia="zh-CN"/>
              </w:rPr>
              <w:t>Pastana Ramos 2023 estimated marginal means; Alnes 2026 baseline-adjusted between-group mean differences.</w:t>
            </w:r>
          </w:p>
        </w:tc>
        <w:tc>
          <w:tcPr>
            <w:tcW w:w="2930" w:type="dxa"/>
            <w:tcBorders>
              <w:top w:val="nil"/>
              <w:left w:val="nil"/>
              <w:bottom w:val="nil"/>
              <w:right w:val="nil"/>
            </w:tcBorders>
            <w:shd w:val="clear" w:color="auto" w:fill="FFFFFF"/>
            <w:vAlign w:val="center"/>
          </w:tcPr>
          <w:p w14:paraId="3D3B6679">
            <w:pPr>
              <w:pStyle w:val="167"/>
              <w:bidi w:val="0"/>
              <w:jc w:val="center"/>
              <w:rPr>
                <w:rFonts w:hint="default"/>
                <w:b w:val="0"/>
                <w:lang w:val="en-US" w:eastAsia="zh-CN"/>
              </w:rPr>
            </w:pPr>
            <w:r>
              <w:rPr>
                <w:rFonts w:hint="default"/>
                <w:b w:val="0"/>
                <w:lang w:val="en-US" w:eastAsia="zh-CN"/>
              </w:rPr>
              <w:t>Non-convertible model-based results were excluded from the primary arm-based SMD synthesis and documented separately in Additional file 3.</w:t>
            </w:r>
          </w:p>
        </w:tc>
      </w:tr>
      <w:tr w14:paraId="01207280">
        <w:trPr>
          <w:cantSplit/>
        </w:trPr>
        <w:tc>
          <w:tcPr>
            <w:tcW w:w="1552" w:type="dxa"/>
            <w:tcBorders>
              <w:top w:val="nil"/>
              <w:left w:val="nil"/>
              <w:bottom w:val="nil"/>
              <w:right w:val="nil"/>
            </w:tcBorders>
            <w:shd w:val="clear" w:color="auto" w:fill="FFFFFF"/>
            <w:vAlign w:val="center"/>
          </w:tcPr>
          <w:p w14:paraId="714219A4">
            <w:pPr>
              <w:pStyle w:val="167"/>
              <w:bidi w:val="0"/>
              <w:jc w:val="center"/>
              <w:rPr>
                <w:rFonts w:hint="default"/>
                <w:b w:val="0"/>
                <w:lang w:val="en-US" w:eastAsia="zh-CN"/>
              </w:rPr>
            </w:pPr>
            <w:r>
              <w:rPr>
                <w:rFonts w:hint="default"/>
                <w:b w:val="0"/>
                <w:lang w:val="en-US" w:eastAsia="zh-CN"/>
              </w:rPr>
              <w:t>Effect-size harmonisation</w:t>
            </w:r>
          </w:p>
        </w:tc>
        <w:tc>
          <w:tcPr>
            <w:tcW w:w="2020" w:type="dxa"/>
            <w:tcBorders>
              <w:top w:val="nil"/>
              <w:left w:val="nil"/>
              <w:bottom w:val="nil"/>
              <w:right w:val="nil"/>
            </w:tcBorders>
            <w:shd w:val="clear" w:color="auto" w:fill="FFFFFF"/>
            <w:vAlign w:val="center"/>
          </w:tcPr>
          <w:p w14:paraId="10A9D80B">
            <w:pPr>
              <w:pStyle w:val="167"/>
              <w:bidi w:val="0"/>
              <w:jc w:val="center"/>
              <w:rPr>
                <w:rFonts w:hint="default"/>
                <w:b w:val="0"/>
                <w:lang w:val="en-US" w:eastAsia="zh-CN"/>
              </w:rPr>
            </w:pPr>
            <w:r>
              <w:rPr>
                <w:rFonts w:hint="default"/>
                <w:b w:val="0"/>
                <w:lang w:val="en-US" w:eastAsia="zh-CN"/>
              </w:rPr>
              <w:t>Standardised mean difference</w:t>
            </w:r>
          </w:p>
        </w:tc>
        <w:tc>
          <w:tcPr>
            <w:tcW w:w="4344" w:type="dxa"/>
            <w:tcBorders>
              <w:top w:val="nil"/>
              <w:left w:val="nil"/>
              <w:bottom w:val="nil"/>
              <w:right w:val="nil"/>
            </w:tcBorders>
            <w:shd w:val="clear" w:color="auto" w:fill="FFFFFF"/>
            <w:vAlign w:val="center"/>
          </w:tcPr>
          <w:p w14:paraId="475E34EC">
            <w:pPr>
              <w:pStyle w:val="167"/>
              <w:bidi w:val="0"/>
              <w:jc w:val="center"/>
              <w:rPr>
                <w:rFonts w:hint="default"/>
                <w:b w:val="0"/>
                <w:lang w:val="en-US" w:eastAsia="zh-CN"/>
              </w:rPr>
            </w:pPr>
            <w:r>
              <w:rPr>
                <w:rFonts w:hint="default"/>
                <w:b w:val="0"/>
                <w:lang w:val="en-US" w:eastAsia="zh-CN"/>
              </w:rPr>
              <w:t>Continuous outcomes measured using different scales or tests within the same construct were expressed as standardised mean differences with the Hedges small-sample correction.</w:t>
            </w:r>
          </w:p>
        </w:tc>
        <w:tc>
          <w:tcPr>
            <w:tcW w:w="2465" w:type="dxa"/>
            <w:tcBorders>
              <w:top w:val="nil"/>
              <w:left w:val="nil"/>
              <w:bottom w:val="nil"/>
              <w:right w:val="nil"/>
            </w:tcBorders>
            <w:shd w:val="clear" w:color="auto" w:fill="FFFFFF"/>
            <w:vAlign w:val="center"/>
          </w:tcPr>
          <w:p w14:paraId="6DE54E93">
            <w:pPr>
              <w:pStyle w:val="167"/>
              <w:bidi w:val="0"/>
              <w:jc w:val="center"/>
              <w:rPr>
                <w:rFonts w:hint="default"/>
                <w:b w:val="0"/>
                <w:lang w:val="en-US" w:eastAsia="zh-CN"/>
              </w:rPr>
            </w:pPr>
            <w:r>
              <w:rPr>
                <w:rFonts w:hint="default"/>
                <w:b w:val="0"/>
                <w:lang w:val="en-US" w:eastAsia="zh-CN"/>
              </w:rPr>
              <w:t>Direction-harmonised Hedges’ g and corresponding standard error.</w:t>
            </w:r>
          </w:p>
        </w:tc>
        <w:tc>
          <w:tcPr>
            <w:tcW w:w="2930" w:type="dxa"/>
            <w:tcBorders>
              <w:top w:val="nil"/>
              <w:left w:val="nil"/>
              <w:bottom w:val="nil"/>
              <w:right w:val="nil"/>
            </w:tcBorders>
            <w:shd w:val="clear" w:color="auto" w:fill="FFFFFF"/>
            <w:vAlign w:val="center"/>
          </w:tcPr>
          <w:p w14:paraId="77BCB011">
            <w:pPr>
              <w:pStyle w:val="167"/>
              <w:bidi w:val="0"/>
              <w:jc w:val="center"/>
              <w:rPr>
                <w:rFonts w:hint="default"/>
                <w:b w:val="0"/>
                <w:lang w:val="en-US" w:eastAsia="zh-CN"/>
              </w:rPr>
            </w:pPr>
            <w:r>
              <w:rPr>
                <w:rFonts w:hint="default"/>
                <w:b w:val="0"/>
                <w:lang w:val="en-US" w:eastAsia="zh-CN"/>
              </w:rPr>
              <w:t>Generic inverse-variance synthesis used the direction-harmonised study-level Hedges’ g and its standard error. Hedges’ g &gt; 0 consistently indicated an effect favouring remote monitoring-supported home-based exercise.</w:t>
            </w:r>
          </w:p>
        </w:tc>
      </w:tr>
      <w:tr w14:paraId="17139735">
        <w:trPr>
          <w:cantSplit/>
        </w:trPr>
        <w:tc>
          <w:tcPr>
            <w:tcW w:w="1552" w:type="dxa"/>
            <w:tcBorders>
              <w:top w:val="nil"/>
              <w:left w:val="nil"/>
              <w:bottom w:val="nil"/>
              <w:right w:val="nil"/>
            </w:tcBorders>
            <w:shd w:val="clear" w:color="auto" w:fill="FFFFFF"/>
            <w:vAlign w:val="center"/>
          </w:tcPr>
          <w:p w14:paraId="0EE128F5">
            <w:pPr>
              <w:pStyle w:val="167"/>
              <w:bidi w:val="0"/>
              <w:jc w:val="center"/>
              <w:rPr>
                <w:rFonts w:hint="default"/>
                <w:b w:val="0"/>
                <w:lang w:val="en-US" w:eastAsia="zh-CN"/>
              </w:rPr>
            </w:pPr>
            <w:r>
              <w:rPr>
                <w:rFonts w:hint="default"/>
                <w:b w:val="0"/>
                <w:lang w:val="en-US" w:eastAsia="zh-CN"/>
              </w:rPr>
              <w:t>Conversion rule</w:t>
            </w:r>
          </w:p>
        </w:tc>
        <w:tc>
          <w:tcPr>
            <w:tcW w:w="2020" w:type="dxa"/>
            <w:tcBorders>
              <w:top w:val="nil"/>
              <w:left w:val="nil"/>
              <w:bottom w:val="nil"/>
              <w:right w:val="nil"/>
            </w:tcBorders>
            <w:shd w:val="clear" w:color="auto" w:fill="FFFFFF"/>
            <w:vAlign w:val="center"/>
          </w:tcPr>
          <w:p w14:paraId="2198B4A0">
            <w:pPr>
              <w:pStyle w:val="167"/>
              <w:bidi w:val="0"/>
              <w:jc w:val="center"/>
              <w:rPr>
                <w:rFonts w:hint="default"/>
                <w:b w:val="0"/>
                <w:lang w:val="en-US" w:eastAsia="zh-CN"/>
              </w:rPr>
            </w:pPr>
            <w:r>
              <w:rPr>
                <w:rFonts w:hint="default"/>
                <w:b w:val="0"/>
                <w:lang w:val="en-US" w:eastAsia="zh-CN"/>
              </w:rPr>
              <w:t>SE to SD</w:t>
            </w:r>
          </w:p>
        </w:tc>
        <w:tc>
          <w:tcPr>
            <w:tcW w:w="4344" w:type="dxa"/>
            <w:tcBorders>
              <w:top w:val="nil"/>
              <w:left w:val="nil"/>
              <w:bottom w:val="nil"/>
              <w:right w:val="nil"/>
            </w:tcBorders>
            <w:shd w:val="clear" w:color="auto" w:fill="FFFFFF"/>
            <w:vAlign w:val="center"/>
          </w:tcPr>
          <w:p w14:paraId="154A6B85">
            <w:pPr>
              <w:pStyle w:val="167"/>
              <w:bidi w:val="0"/>
              <w:jc w:val="center"/>
              <w:rPr>
                <w:rFonts w:hint="default"/>
                <w:b w:val="0"/>
                <w:lang w:val="en-US" w:eastAsia="zh-CN"/>
              </w:rPr>
            </w:pPr>
            <w:r>
              <w:rPr>
                <w:rFonts w:hint="default"/>
                <w:b w:val="0"/>
                <w:lang w:val="en-US" w:eastAsia="zh-CN"/>
              </w:rPr>
              <w:t>An SE was converted to an SD only when it referred to an unadjusted arithmetic arm-level mean and the relevant sample size was available. The conversion was SD = SE × √n.</w:t>
            </w:r>
          </w:p>
        </w:tc>
        <w:tc>
          <w:tcPr>
            <w:tcW w:w="2465" w:type="dxa"/>
            <w:tcBorders>
              <w:top w:val="nil"/>
              <w:left w:val="nil"/>
              <w:bottom w:val="nil"/>
              <w:right w:val="nil"/>
            </w:tcBorders>
            <w:shd w:val="clear" w:color="auto" w:fill="FFFFFF"/>
            <w:vAlign w:val="center"/>
          </w:tcPr>
          <w:p w14:paraId="23B1E5F3">
            <w:pPr>
              <w:pStyle w:val="167"/>
              <w:bidi w:val="0"/>
              <w:jc w:val="center"/>
              <w:rPr>
                <w:rFonts w:hint="default"/>
                <w:b w:val="0"/>
                <w:lang w:val="en-US" w:eastAsia="zh-CN"/>
              </w:rPr>
            </w:pPr>
            <w:r>
              <w:rPr>
                <w:rFonts w:hint="default"/>
                <w:b w:val="0"/>
                <w:lang w:val="en-US" w:eastAsia="zh-CN"/>
              </w:rPr>
              <w:t>Directly reported arm-level mean and SE.</w:t>
            </w:r>
          </w:p>
        </w:tc>
        <w:tc>
          <w:tcPr>
            <w:tcW w:w="2930" w:type="dxa"/>
            <w:tcBorders>
              <w:top w:val="nil"/>
              <w:left w:val="nil"/>
              <w:bottom w:val="nil"/>
              <w:right w:val="nil"/>
            </w:tcBorders>
            <w:shd w:val="clear" w:color="auto" w:fill="FFFFFF"/>
            <w:vAlign w:val="center"/>
          </w:tcPr>
          <w:p w14:paraId="192475AD">
            <w:pPr>
              <w:pStyle w:val="167"/>
              <w:bidi w:val="0"/>
              <w:jc w:val="center"/>
              <w:rPr>
                <w:rFonts w:hint="default"/>
                <w:b w:val="0"/>
                <w:lang w:val="en-US" w:eastAsia="zh-CN"/>
              </w:rPr>
            </w:pPr>
            <w:r>
              <w:rPr>
                <w:rFonts w:hint="default"/>
                <w:b w:val="0"/>
                <w:lang w:val="en-US" w:eastAsia="zh-CN"/>
              </w:rPr>
              <w:t>The converted SD was labelled in the extraction dataset. The rule was not applied to estimated marginal means or other model-based estimates.</w:t>
            </w:r>
          </w:p>
        </w:tc>
      </w:tr>
      <w:tr w14:paraId="0D62E29E">
        <w:trPr>
          <w:cantSplit/>
        </w:trPr>
        <w:tc>
          <w:tcPr>
            <w:tcW w:w="1552" w:type="dxa"/>
            <w:tcBorders>
              <w:top w:val="nil"/>
              <w:left w:val="nil"/>
              <w:bottom w:val="nil"/>
              <w:right w:val="nil"/>
            </w:tcBorders>
            <w:shd w:val="clear" w:color="auto" w:fill="FFFFFF"/>
            <w:vAlign w:val="center"/>
          </w:tcPr>
          <w:p w14:paraId="13474CF9">
            <w:pPr>
              <w:pStyle w:val="167"/>
              <w:bidi w:val="0"/>
              <w:jc w:val="center"/>
              <w:rPr>
                <w:rFonts w:hint="default"/>
                <w:b w:val="0"/>
                <w:lang w:val="en-US" w:eastAsia="zh-CN"/>
              </w:rPr>
            </w:pPr>
            <w:r>
              <w:rPr>
                <w:rFonts w:hint="default"/>
                <w:b w:val="0"/>
                <w:lang w:val="en-US" w:eastAsia="zh-CN"/>
              </w:rPr>
              <w:t>Conversion rule</w:t>
            </w:r>
          </w:p>
        </w:tc>
        <w:tc>
          <w:tcPr>
            <w:tcW w:w="2020" w:type="dxa"/>
            <w:tcBorders>
              <w:top w:val="nil"/>
              <w:left w:val="nil"/>
              <w:bottom w:val="nil"/>
              <w:right w:val="nil"/>
            </w:tcBorders>
            <w:shd w:val="clear" w:color="auto" w:fill="FFFFFF"/>
            <w:vAlign w:val="center"/>
          </w:tcPr>
          <w:p w14:paraId="72A644CD">
            <w:pPr>
              <w:pStyle w:val="167"/>
              <w:bidi w:val="0"/>
              <w:jc w:val="center"/>
              <w:rPr>
                <w:rFonts w:hint="default"/>
                <w:b w:val="0"/>
                <w:lang w:val="en-US" w:eastAsia="zh-CN"/>
              </w:rPr>
            </w:pPr>
            <w:r>
              <w:rPr>
                <w:rFonts w:hint="default"/>
                <w:b w:val="0"/>
                <w:lang w:val="en-US" w:eastAsia="zh-CN"/>
              </w:rPr>
              <w:t>95% CI to SD</w:t>
            </w:r>
          </w:p>
        </w:tc>
        <w:tc>
          <w:tcPr>
            <w:tcW w:w="4344" w:type="dxa"/>
            <w:tcBorders>
              <w:top w:val="nil"/>
              <w:left w:val="nil"/>
              <w:bottom w:val="nil"/>
              <w:right w:val="nil"/>
            </w:tcBorders>
            <w:shd w:val="clear" w:color="auto" w:fill="FFFFFF"/>
            <w:vAlign w:val="center"/>
          </w:tcPr>
          <w:p w14:paraId="6818C977">
            <w:pPr>
              <w:pStyle w:val="167"/>
              <w:bidi w:val="0"/>
              <w:jc w:val="center"/>
              <w:rPr>
                <w:rFonts w:hint="default"/>
                <w:b w:val="0"/>
                <w:lang w:val="en-US" w:eastAsia="zh-CN"/>
              </w:rPr>
            </w:pPr>
            <w:r>
              <w:rPr>
                <w:rFonts w:hint="default"/>
                <w:b w:val="0"/>
                <w:lang w:val="en-US" w:eastAsia="zh-CN"/>
              </w:rPr>
              <w:t>A 95% CI was converted to an SD only when it referred to an unadjusted arm-level mean or change score with an appropriate sampling distribution. The normal-approximation formula was SD = (upper limit − lower limit)/(2 × 1.96) × √n, unless a suitable t-based conversion was available.</w:t>
            </w:r>
          </w:p>
        </w:tc>
        <w:tc>
          <w:tcPr>
            <w:tcW w:w="2465" w:type="dxa"/>
            <w:tcBorders>
              <w:top w:val="nil"/>
              <w:left w:val="nil"/>
              <w:bottom w:val="nil"/>
              <w:right w:val="nil"/>
            </w:tcBorders>
            <w:shd w:val="clear" w:color="auto" w:fill="FFFFFF"/>
            <w:vAlign w:val="center"/>
          </w:tcPr>
          <w:p w14:paraId="75218ACD">
            <w:pPr>
              <w:pStyle w:val="167"/>
              <w:bidi w:val="0"/>
              <w:jc w:val="center"/>
              <w:rPr>
                <w:rFonts w:hint="default"/>
                <w:b w:val="0"/>
                <w:lang w:val="en-US" w:eastAsia="zh-CN"/>
              </w:rPr>
            </w:pPr>
            <w:r>
              <w:rPr>
                <w:rFonts w:hint="default"/>
                <w:b w:val="0"/>
                <w:lang w:val="en-US" w:eastAsia="zh-CN"/>
              </w:rPr>
              <w:t>Directly reported arm-level mean or change score with a 95% CI.</w:t>
            </w:r>
          </w:p>
        </w:tc>
        <w:tc>
          <w:tcPr>
            <w:tcW w:w="2930" w:type="dxa"/>
            <w:tcBorders>
              <w:top w:val="nil"/>
              <w:left w:val="nil"/>
              <w:bottom w:val="nil"/>
              <w:right w:val="nil"/>
            </w:tcBorders>
            <w:shd w:val="clear" w:color="auto" w:fill="FFFFFF"/>
            <w:vAlign w:val="center"/>
          </w:tcPr>
          <w:p w14:paraId="5F2A75CB">
            <w:pPr>
              <w:pStyle w:val="167"/>
              <w:bidi w:val="0"/>
              <w:jc w:val="center"/>
              <w:rPr>
                <w:rFonts w:hint="default"/>
                <w:b w:val="0"/>
                <w:lang w:val="en-US" w:eastAsia="zh-CN"/>
              </w:rPr>
            </w:pPr>
            <w:r>
              <w:rPr>
                <w:rFonts w:hint="default"/>
                <w:b w:val="0"/>
                <w:lang w:val="en-US" w:eastAsia="zh-CN"/>
              </w:rPr>
              <w:t>Model-based confidence intervals were not back-converted to raw SDs. All conversions and their sources were documented in Additional file 3.</w:t>
            </w:r>
          </w:p>
        </w:tc>
      </w:tr>
      <w:tr w14:paraId="676538D8">
        <w:trPr>
          <w:cantSplit/>
        </w:trPr>
        <w:tc>
          <w:tcPr>
            <w:tcW w:w="1552" w:type="dxa"/>
            <w:tcBorders>
              <w:top w:val="nil"/>
              <w:left w:val="nil"/>
              <w:bottom w:val="single" w:color="000000" w:sz="12" w:space="0"/>
              <w:right w:val="nil"/>
            </w:tcBorders>
            <w:shd w:val="clear" w:color="auto" w:fill="FFFFFF"/>
            <w:vAlign w:val="center"/>
          </w:tcPr>
          <w:p w14:paraId="0B33AA57">
            <w:pPr>
              <w:pStyle w:val="167"/>
              <w:bidi w:val="0"/>
              <w:jc w:val="center"/>
              <w:rPr>
                <w:rFonts w:hint="default"/>
                <w:b w:val="0"/>
                <w:lang w:val="en-US" w:eastAsia="zh-CN"/>
              </w:rPr>
            </w:pPr>
            <w:r>
              <w:rPr>
                <w:rFonts w:hint="default"/>
                <w:b w:val="0"/>
                <w:lang w:val="en-US" w:eastAsia="zh-CN"/>
              </w:rPr>
              <w:t>Data availability</w:t>
            </w:r>
          </w:p>
        </w:tc>
        <w:tc>
          <w:tcPr>
            <w:tcW w:w="2020" w:type="dxa"/>
            <w:tcBorders>
              <w:top w:val="nil"/>
              <w:left w:val="nil"/>
              <w:bottom w:val="single" w:color="000000" w:sz="12" w:space="0"/>
              <w:right w:val="nil"/>
            </w:tcBorders>
            <w:shd w:val="clear" w:color="auto" w:fill="FFFFFF"/>
            <w:vAlign w:val="center"/>
          </w:tcPr>
          <w:p w14:paraId="70336B49">
            <w:pPr>
              <w:pStyle w:val="167"/>
              <w:bidi w:val="0"/>
              <w:jc w:val="center"/>
              <w:rPr>
                <w:rFonts w:hint="default"/>
                <w:b w:val="0"/>
                <w:lang w:val="en-US" w:eastAsia="zh-CN"/>
              </w:rPr>
            </w:pPr>
            <w:r>
              <w:rPr>
                <w:rFonts w:hint="default"/>
                <w:b w:val="0"/>
                <w:lang w:val="en-US" w:eastAsia="zh-CN"/>
              </w:rPr>
              <w:t>Insufficient or non-convertible data</w:t>
            </w:r>
          </w:p>
        </w:tc>
        <w:tc>
          <w:tcPr>
            <w:tcW w:w="4344" w:type="dxa"/>
            <w:tcBorders>
              <w:top w:val="nil"/>
              <w:left w:val="nil"/>
              <w:bottom w:val="single" w:color="000000" w:sz="12" w:space="0"/>
              <w:right w:val="nil"/>
            </w:tcBorders>
            <w:shd w:val="clear" w:color="auto" w:fill="FFFFFF"/>
            <w:vAlign w:val="center"/>
          </w:tcPr>
          <w:p w14:paraId="18747984">
            <w:pPr>
              <w:pStyle w:val="167"/>
              <w:bidi w:val="0"/>
              <w:jc w:val="center"/>
              <w:rPr>
                <w:rFonts w:hint="default"/>
                <w:b w:val="0"/>
                <w:lang w:val="en-US" w:eastAsia="zh-CN"/>
              </w:rPr>
            </w:pPr>
            <w:r>
              <w:rPr>
                <w:rFonts w:hint="default"/>
                <w:b w:val="0"/>
                <w:lang w:val="en-US" w:eastAsia="zh-CN"/>
              </w:rPr>
              <w:t>A result was not included in quantitative synthesis when the required endpoint data were unavailable and no statistically valid conversion or directly usable effect estimate could be obtained.</w:t>
            </w:r>
          </w:p>
        </w:tc>
        <w:tc>
          <w:tcPr>
            <w:tcW w:w="2465" w:type="dxa"/>
            <w:tcBorders>
              <w:top w:val="nil"/>
              <w:left w:val="nil"/>
              <w:bottom w:val="single" w:color="000000" w:sz="12" w:space="0"/>
              <w:right w:val="nil"/>
            </w:tcBorders>
            <w:shd w:val="clear" w:color="auto" w:fill="FFFFFF"/>
            <w:vAlign w:val="center"/>
          </w:tcPr>
          <w:p w14:paraId="7A665B65">
            <w:pPr>
              <w:pStyle w:val="167"/>
              <w:bidi w:val="0"/>
              <w:jc w:val="center"/>
              <w:rPr>
                <w:rFonts w:hint="default"/>
                <w:b w:val="0"/>
                <w:lang w:val="en-US" w:eastAsia="zh-CN"/>
              </w:rPr>
            </w:pPr>
            <w:r>
              <w:rPr>
                <w:rFonts w:hint="default"/>
                <w:b w:val="0"/>
                <w:lang w:val="en-US" w:eastAsia="zh-CN"/>
              </w:rPr>
              <w:t>Missing SD; non-convertible model-based estimate; outcome reported only narratively; incompatible unit-of-analysis information.</w:t>
            </w:r>
          </w:p>
        </w:tc>
        <w:tc>
          <w:tcPr>
            <w:tcW w:w="2930" w:type="dxa"/>
            <w:tcBorders>
              <w:top w:val="nil"/>
              <w:left w:val="nil"/>
              <w:bottom w:val="single" w:color="000000" w:sz="12" w:space="0"/>
              <w:right w:val="nil"/>
            </w:tcBorders>
            <w:shd w:val="clear" w:color="auto" w:fill="FFFFFF"/>
            <w:vAlign w:val="center"/>
          </w:tcPr>
          <w:p w14:paraId="60D8AE5F">
            <w:pPr>
              <w:pStyle w:val="167"/>
              <w:bidi w:val="0"/>
              <w:jc w:val="center"/>
              <w:rPr>
                <w:rFonts w:hint="default"/>
                <w:b w:val="0"/>
                <w:lang w:val="en-US" w:eastAsia="zh-CN"/>
              </w:rPr>
            </w:pPr>
            <w:r>
              <w:rPr>
                <w:rFonts w:hint="default"/>
                <w:b w:val="0"/>
                <w:lang w:val="en-US" w:eastAsia="zh-CN"/>
              </w:rPr>
              <w:t>The result and the specific reason for non-inclusion were retained in the Non_selected_or_not_calculable sheet of Additional file 3.</w:t>
            </w:r>
          </w:p>
        </w:tc>
      </w:tr>
    </w:tbl>
    <w:p w14:paraId="12136B7D">
      <w:pPr>
        <w:pStyle w:val="3"/>
        <w:bidi w:val="0"/>
        <w:rPr>
          <w:lang w:val="en-US" w:eastAsia="zh-CN"/>
        </w:rPr>
      </w:pPr>
      <w:r>
        <w:rPr>
          <w:rFonts w:hint="default"/>
          <w:lang w:val="en-US" w:eastAsia="zh-CN"/>
        </w:rPr>
        <w:t>Supplementary Table S4. RoB 2 assessments</w:t>
      </w:r>
    </w:p>
    <w:p w14:paraId="1C65C5D1">
      <w:pPr>
        <w:pStyle w:val="4"/>
        <w:bidi w:val="0"/>
        <w:rPr>
          <w:rFonts w:hint="eastAsia"/>
          <w:lang w:val="en-US" w:eastAsia="zh-CN"/>
        </w:rPr>
      </w:pPr>
      <w:r>
        <w:rPr>
          <w:rFonts w:hint="eastAsia"/>
          <w:lang w:val="en-US" w:eastAsia="zh-CN"/>
        </w:rPr>
        <w:t>Supplementary Table S4a. Study–outcome-level RoB 2 judgements</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1"/>
        <w:gridCol w:w="3240"/>
        <w:gridCol w:w="3000"/>
        <w:gridCol w:w="1775"/>
        <w:gridCol w:w="607"/>
        <w:gridCol w:w="607"/>
        <w:gridCol w:w="607"/>
        <w:gridCol w:w="607"/>
        <w:gridCol w:w="607"/>
        <w:gridCol w:w="1114"/>
      </w:tblGrid>
      <w:tr w14:paraId="7B546DCE">
        <w:tc>
          <w:tcPr>
            <w:tcW w:w="706" w:type="pct"/>
            <w:tcBorders>
              <w:top w:val="single" w:color="000000" w:sz="12" w:space="0"/>
              <w:left w:val="nil"/>
              <w:bottom w:val="single" w:color="000000" w:sz="4" w:space="0"/>
              <w:right w:val="nil"/>
              <w:tl2br w:val="nil"/>
            </w:tcBorders>
            <w:shd w:val="clear" w:color="auto" w:fill="FFFFFF"/>
            <w:vAlign w:val="center"/>
          </w:tcPr>
          <w:p w14:paraId="4F2075A7">
            <w:pPr>
              <w:pStyle w:val="167"/>
              <w:bidi w:val="0"/>
              <w:jc w:val="center"/>
              <w:rPr>
                <w:b w:val="0"/>
                <w:lang w:val="en-US" w:eastAsia="zh-CN"/>
              </w:rPr>
            </w:pPr>
            <w:r>
              <w:rPr>
                <w:b w:val="0"/>
                <w:lang w:val="en-US" w:eastAsia="zh-CN"/>
              </w:rPr>
              <w:t>Study</w:t>
            </w:r>
          </w:p>
        </w:tc>
        <w:tc>
          <w:tcPr>
            <w:tcW w:w="1143" w:type="pct"/>
            <w:tcBorders>
              <w:top w:val="single" w:color="000000" w:sz="12" w:space="0"/>
              <w:left w:val="nil"/>
              <w:bottom w:val="single" w:color="000000" w:sz="4" w:space="0"/>
              <w:right w:val="nil"/>
            </w:tcBorders>
            <w:shd w:val="clear" w:color="auto" w:fill="FFFFFF"/>
            <w:vAlign w:val="center"/>
          </w:tcPr>
          <w:p w14:paraId="0465E185">
            <w:pPr>
              <w:pStyle w:val="167"/>
              <w:bidi w:val="0"/>
              <w:jc w:val="center"/>
              <w:rPr>
                <w:b w:val="0"/>
                <w:lang w:val="en-US" w:eastAsia="zh-CN"/>
              </w:rPr>
            </w:pPr>
            <w:r>
              <w:rPr>
                <w:b w:val="0"/>
                <w:lang w:val="en-US" w:eastAsia="zh-CN"/>
              </w:rPr>
              <w:t>Outcome</w:t>
            </w:r>
          </w:p>
        </w:tc>
        <w:tc>
          <w:tcPr>
            <w:tcW w:w="1058" w:type="pct"/>
            <w:tcBorders>
              <w:top w:val="single" w:color="000000" w:sz="12" w:space="0"/>
              <w:left w:val="nil"/>
              <w:bottom w:val="single" w:color="000000" w:sz="4" w:space="0"/>
              <w:right w:val="nil"/>
            </w:tcBorders>
            <w:shd w:val="clear" w:color="auto" w:fill="FFFFFF"/>
            <w:vAlign w:val="center"/>
          </w:tcPr>
          <w:p w14:paraId="2F991ED9">
            <w:pPr>
              <w:pStyle w:val="167"/>
              <w:bidi w:val="0"/>
              <w:jc w:val="center"/>
              <w:rPr>
                <w:b w:val="0"/>
                <w:lang w:val="en-US" w:eastAsia="zh-CN"/>
              </w:rPr>
            </w:pPr>
            <w:r>
              <w:rPr>
                <w:b w:val="0"/>
                <w:lang w:val="en-US" w:eastAsia="zh-CN"/>
              </w:rPr>
              <w:t>Comparator</w:t>
            </w:r>
          </w:p>
        </w:tc>
        <w:tc>
          <w:tcPr>
            <w:tcW w:w="626" w:type="pct"/>
            <w:tcBorders>
              <w:top w:val="single" w:color="000000" w:sz="12" w:space="0"/>
              <w:left w:val="nil"/>
              <w:bottom w:val="single" w:color="000000" w:sz="4" w:space="0"/>
              <w:right w:val="nil"/>
            </w:tcBorders>
            <w:shd w:val="clear" w:color="auto" w:fill="FFFFFF"/>
            <w:vAlign w:val="center"/>
          </w:tcPr>
          <w:p w14:paraId="4F81DC8A">
            <w:pPr>
              <w:pStyle w:val="167"/>
              <w:bidi w:val="0"/>
              <w:jc w:val="center"/>
              <w:rPr>
                <w:b w:val="0"/>
                <w:lang w:val="en-US" w:eastAsia="zh-CN"/>
              </w:rPr>
            </w:pPr>
            <w:r>
              <w:rPr>
                <w:b w:val="0"/>
                <w:lang w:val="en-US" w:eastAsia="zh-CN"/>
              </w:rPr>
              <w:t>Time point</w:t>
            </w:r>
          </w:p>
        </w:tc>
        <w:tc>
          <w:tcPr>
            <w:tcW w:w="214" w:type="pct"/>
            <w:tcBorders>
              <w:top w:val="single" w:color="000000" w:sz="12" w:space="0"/>
              <w:left w:val="nil"/>
              <w:bottom w:val="single" w:color="000000" w:sz="4" w:space="0"/>
              <w:right w:val="nil"/>
            </w:tcBorders>
            <w:shd w:val="clear" w:color="auto" w:fill="FFFFFF"/>
            <w:vAlign w:val="center"/>
          </w:tcPr>
          <w:p w14:paraId="5136768A">
            <w:pPr>
              <w:pStyle w:val="167"/>
              <w:bidi w:val="0"/>
              <w:jc w:val="center"/>
              <w:rPr>
                <w:b w:val="0"/>
                <w:lang w:val="en-US" w:eastAsia="zh-CN"/>
              </w:rPr>
            </w:pPr>
            <w:r>
              <w:rPr>
                <w:b w:val="0"/>
                <w:lang w:val="en-US" w:eastAsia="zh-CN"/>
              </w:rPr>
              <w:t>D1</w:t>
            </w:r>
          </w:p>
        </w:tc>
        <w:tc>
          <w:tcPr>
            <w:tcW w:w="214" w:type="pct"/>
            <w:tcBorders>
              <w:top w:val="single" w:color="000000" w:sz="12" w:space="0"/>
              <w:left w:val="nil"/>
              <w:bottom w:val="single" w:color="000000" w:sz="4" w:space="0"/>
              <w:right w:val="nil"/>
            </w:tcBorders>
            <w:shd w:val="clear" w:color="auto" w:fill="FFFFFF"/>
            <w:vAlign w:val="center"/>
          </w:tcPr>
          <w:p w14:paraId="62DC92B0">
            <w:pPr>
              <w:pStyle w:val="167"/>
              <w:bidi w:val="0"/>
              <w:jc w:val="center"/>
              <w:rPr>
                <w:b w:val="0"/>
                <w:lang w:val="en-US" w:eastAsia="zh-CN"/>
              </w:rPr>
            </w:pPr>
            <w:r>
              <w:rPr>
                <w:b w:val="0"/>
                <w:lang w:val="en-US" w:eastAsia="zh-CN"/>
              </w:rPr>
              <w:t>D2</w:t>
            </w:r>
          </w:p>
        </w:tc>
        <w:tc>
          <w:tcPr>
            <w:tcW w:w="214" w:type="pct"/>
            <w:tcBorders>
              <w:top w:val="single" w:color="000000" w:sz="12" w:space="0"/>
              <w:left w:val="nil"/>
              <w:bottom w:val="single" w:color="000000" w:sz="4" w:space="0"/>
              <w:right w:val="nil"/>
            </w:tcBorders>
            <w:shd w:val="clear" w:color="auto" w:fill="FFFFFF"/>
            <w:vAlign w:val="center"/>
          </w:tcPr>
          <w:p w14:paraId="7EB7ED07">
            <w:pPr>
              <w:pStyle w:val="167"/>
              <w:bidi w:val="0"/>
              <w:jc w:val="center"/>
              <w:rPr>
                <w:b w:val="0"/>
                <w:lang w:val="en-US" w:eastAsia="zh-CN"/>
              </w:rPr>
            </w:pPr>
            <w:r>
              <w:rPr>
                <w:b w:val="0"/>
                <w:lang w:val="en-US" w:eastAsia="zh-CN"/>
              </w:rPr>
              <w:t>D3</w:t>
            </w:r>
          </w:p>
        </w:tc>
        <w:tc>
          <w:tcPr>
            <w:tcW w:w="214" w:type="pct"/>
            <w:tcBorders>
              <w:top w:val="single" w:color="000000" w:sz="12" w:space="0"/>
              <w:left w:val="nil"/>
              <w:bottom w:val="single" w:color="000000" w:sz="4" w:space="0"/>
              <w:right w:val="nil"/>
            </w:tcBorders>
            <w:shd w:val="clear" w:color="auto" w:fill="FFFFFF"/>
            <w:vAlign w:val="center"/>
          </w:tcPr>
          <w:p w14:paraId="323806DC">
            <w:pPr>
              <w:pStyle w:val="167"/>
              <w:bidi w:val="0"/>
              <w:jc w:val="center"/>
              <w:rPr>
                <w:b w:val="0"/>
                <w:lang w:val="en-US" w:eastAsia="zh-CN"/>
              </w:rPr>
            </w:pPr>
            <w:r>
              <w:rPr>
                <w:b w:val="0"/>
                <w:lang w:val="en-US" w:eastAsia="zh-CN"/>
              </w:rPr>
              <w:t>D4</w:t>
            </w:r>
          </w:p>
        </w:tc>
        <w:tc>
          <w:tcPr>
            <w:tcW w:w="214" w:type="pct"/>
            <w:tcBorders>
              <w:top w:val="single" w:color="000000" w:sz="12" w:space="0"/>
              <w:left w:val="nil"/>
              <w:bottom w:val="single" w:color="000000" w:sz="4" w:space="0"/>
              <w:right w:val="nil"/>
            </w:tcBorders>
            <w:shd w:val="clear" w:color="auto" w:fill="FFFFFF"/>
            <w:vAlign w:val="center"/>
          </w:tcPr>
          <w:p w14:paraId="0B285FCF">
            <w:pPr>
              <w:pStyle w:val="167"/>
              <w:bidi w:val="0"/>
              <w:jc w:val="center"/>
              <w:rPr>
                <w:b w:val="0"/>
                <w:lang w:val="en-US" w:eastAsia="zh-CN"/>
              </w:rPr>
            </w:pPr>
            <w:r>
              <w:rPr>
                <w:b w:val="0"/>
                <w:lang w:val="en-US" w:eastAsia="zh-CN"/>
              </w:rPr>
              <w:t>D5</w:t>
            </w:r>
          </w:p>
        </w:tc>
        <w:tc>
          <w:tcPr>
            <w:tcW w:w="393" w:type="pct"/>
            <w:tcBorders>
              <w:top w:val="single" w:color="000000" w:sz="12" w:space="0"/>
              <w:left w:val="nil"/>
              <w:bottom w:val="single" w:color="000000" w:sz="4" w:space="0"/>
              <w:right w:val="nil"/>
            </w:tcBorders>
            <w:shd w:val="clear" w:color="auto" w:fill="FFFFFF"/>
            <w:vAlign w:val="center"/>
          </w:tcPr>
          <w:p w14:paraId="607B9710">
            <w:pPr>
              <w:pStyle w:val="167"/>
              <w:bidi w:val="0"/>
              <w:jc w:val="center"/>
              <w:rPr>
                <w:b w:val="0"/>
                <w:lang w:val="en-US" w:eastAsia="zh-CN"/>
              </w:rPr>
            </w:pPr>
            <w:r>
              <w:rPr>
                <w:b w:val="0"/>
                <w:lang w:val="en-US" w:eastAsia="zh-CN"/>
              </w:rPr>
              <w:t>Overall</w:t>
            </w:r>
          </w:p>
        </w:tc>
      </w:tr>
      <w:tr w14:paraId="506E9EDD">
        <w:tc>
          <w:tcPr>
            <w:tcW w:w="706" w:type="pct"/>
            <w:tcBorders>
              <w:top w:val="single" w:color="000000" w:sz="4" w:space="0"/>
              <w:left w:val="nil"/>
              <w:bottom w:val="nil"/>
              <w:right w:val="nil"/>
            </w:tcBorders>
            <w:shd w:val="clear" w:color="auto" w:fill="FFFFFF"/>
            <w:vAlign w:val="center"/>
          </w:tcPr>
          <w:p w14:paraId="21D0CC95">
            <w:pPr>
              <w:pStyle w:val="167"/>
              <w:bidi w:val="0"/>
              <w:jc w:val="center"/>
              <w:rPr>
                <w:b w:val="0"/>
                <w:lang w:val="en-US" w:eastAsia="zh-CN"/>
              </w:rPr>
            </w:pPr>
            <w:r>
              <w:rPr>
                <w:b w:val="0"/>
                <w:lang w:val="en-US" w:eastAsia="zh-CN"/>
              </w:rPr>
              <w:t>Bove 2025</w:t>
            </w:r>
          </w:p>
        </w:tc>
        <w:tc>
          <w:tcPr>
            <w:tcW w:w="1143" w:type="pct"/>
            <w:tcBorders>
              <w:top w:val="single" w:color="000000" w:sz="4" w:space="0"/>
              <w:left w:val="nil"/>
              <w:bottom w:val="nil"/>
              <w:right w:val="nil"/>
            </w:tcBorders>
            <w:shd w:val="clear" w:color="auto" w:fill="FFFFFF"/>
            <w:vAlign w:val="center"/>
          </w:tcPr>
          <w:p w14:paraId="32239E2D">
            <w:pPr>
              <w:pStyle w:val="167"/>
              <w:bidi w:val="0"/>
              <w:jc w:val="center"/>
              <w:rPr>
                <w:b w:val="0"/>
                <w:lang w:val="en-US" w:eastAsia="zh-CN"/>
              </w:rPr>
            </w:pPr>
            <w:r>
              <w:rPr>
                <w:b w:val="0"/>
                <w:lang w:val="en-US" w:eastAsia="zh-CN"/>
              </w:rPr>
              <w:t>Gait/walking</w:t>
            </w:r>
          </w:p>
        </w:tc>
        <w:tc>
          <w:tcPr>
            <w:tcW w:w="1058" w:type="pct"/>
            <w:tcBorders>
              <w:top w:val="single" w:color="000000" w:sz="4" w:space="0"/>
              <w:left w:val="nil"/>
              <w:bottom w:val="nil"/>
              <w:right w:val="nil"/>
            </w:tcBorders>
            <w:shd w:val="clear" w:color="auto" w:fill="FFFFFF"/>
            <w:vAlign w:val="center"/>
          </w:tcPr>
          <w:p w14:paraId="31BC5882">
            <w:pPr>
              <w:pStyle w:val="167"/>
              <w:bidi w:val="0"/>
              <w:jc w:val="center"/>
              <w:rPr>
                <w:b w:val="0"/>
                <w:lang w:val="en-US" w:eastAsia="zh-CN"/>
              </w:rPr>
            </w:pPr>
            <w:r>
              <w:rPr>
                <w:b w:val="0"/>
                <w:lang w:val="en-US" w:eastAsia="zh-CN"/>
              </w:rPr>
              <w:t>Ordinary home exercise</w:t>
            </w:r>
          </w:p>
        </w:tc>
        <w:tc>
          <w:tcPr>
            <w:tcW w:w="626" w:type="pct"/>
            <w:tcBorders>
              <w:top w:val="single" w:color="000000" w:sz="4" w:space="0"/>
              <w:left w:val="nil"/>
              <w:bottom w:val="nil"/>
              <w:right w:val="nil"/>
            </w:tcBorders>
            <w:shd w:val="clear" w:color="auto" w:fill="FFFFFF"/>
            <w:vAlign w:val="center"/>
          </w:tcPr>
          <w:p w14:paraId="01D3DF3E">
            <w:pPr>
              <w:pStyle w:val="167"/>
              <w:bidi w:val="0"/>
              <w:jc w:val="center"/>
              <w:rPr>
                <w:b w:val="0"/>
                <w:lang w:val="en-US" w:eastAsia="zh-CN"/>
              </w:rPr>
            </w:pPr>
            <w:r>
              <w:rPr>
                <w:b w:val="0"/>
                <w:lang w:val="en-US" w:eastAsia="zh-CN"/>
              </w:rPr>
              <w:t>8 weeks</w:t>
            </w:r>
          </w:p>
        </w:tc>
        <w:tc>
          <w:tcPr>
            <w:tcW w:w="214" w:type="pct"/>
            <w:tcBorders>
              <w:top w:val="single" w:color="000000" w:sz="4" w:space="0"/>
              <w:left w:val="nil"/>
              <w:bottom w:val="nil"/>
              <w:right w:val="nil"/>
            </w:tcBorders>
            <w:shd w:val="clear" w:color="auto" w:fill="FFFFFF"/>
            <w:vAlign w:val="center"/>
          </w:tcPr>
          <w:p w14:paraId="2D5CCE89">
            <w:pPr>
              <w:pStyle w:val="167"/>
              <w:bidi w:val="0"/>
              <w:jc w:val="center"/>
              <w:rPr>
                <w:b w:val="0"/>
                <w:lang w:val="en-US" w:eastAsia="zh-CN"/>
              </w:rPr>
            </w:pPr>
            <w:r>
              <w:rPr>
                <w:b w:val="0"/>
                <w:lang w:val="en-US" w:eastAsia="zh-CN"/>
              </w:rPr>
              <w:t>SC</w:t>
            </w:r>
          </w:p>
        </w:tc>
        <w:tc>
          <w:tcPr>
            <w:tcW w:w="214" w:type="pct"/>
            <w:tcBorders>
              <w:top w:val="single" w:color="000000" w:sz="4" w:space="0"/>
              <w:left w:val="nil"/>
              <w:bottom w:val="nil"/>
              <w:right w:val="nil"/>
            </w:tcBorders>
            <w:shd w:val="clear" w:color="auto" w:fill="FFFFFF"/>
            <w:vAlign w:val="center"/>
          </w:tcPr>
          <w:p w14:paraId="35373478">
            <w:pPr>
              <w:pStyle w:val="167"/>
              <w:bidi w:val="0"/>
              <w:jc w:val="center"/>
              <w:rPr>
                <w:b w:val="0"/>
                <w:lang w:val="en-US" w:eastAsia="zh-CN"/>
              </w:rPr>
            </w:pPr>
            <w:r>
              <w:rPr>
                <w:b w:val="0"/>
                <w:lang w:val="en-US" w:eastAsia="zh-CN"/>
              </w:rPr>
              <w:t>SC</w:t>
            </w:r>
          </w:p>
        </w:tc>
        <w:tc>
          <w:tcPr>
            <w:tcW w:w="214" w:type="pct"/>
            <w:tcBorders>
              <w:top w:val="single" w:color="000000" w:sz="4" w:space="0"/>
              <w:left w:val="nil"/>
              <w:bottom w:val="nil"/>
              <w:right w:val="nil"/>
            </w:tcBorders>
            <w:shd w:val="clear" w:color="auto" w:fill="FFFFFF"/>
            <w:vAlign w:val="center"/>
          </w:tcPr>
          <w:p w14:paraId="3EA27528">
            <w:pPr>
              <w:pStyle w:val="167"/>
              <w:bidi w:val="0"/>
              <w:jc w:val="center"/>
              <w:rPr>
                <w:b w:val="0"/>
                <w:lang w:val="en-US" w:eastAsia="zh-CN"/>
              </w:rPr>
            </w:pPr>
            <w:r>
              <w:rPr>
                <w:b w:val="0"/>
                <w:lang w:val="en-US" w:eastAsia="zh-CN"/>
              </w:rPr>
              <w:t>SC</w:t>
            </w:r>
          </w:p>
        </w:tc>
        <w:tc>
          <w:tcPr>
            <w:tcW w:w="214" w:type="pct"/>
            <w:tcBorders>
              <w:top w:val="single" w:color="000000" w:sz="4" w:space="0"/>
              <w:left w:val="nil"/>
              <w:bottom w:val="nil"/>
              <w:right w:val="nil"/>
            </w:tcBorders>
            <w:shd w:val="clear" w:color="auto" w:fill="FFFFFF"/>
            <w:vAlign w:val="center"/>
          </w:tcPr>
          <w:p w14:paraId="1D045247">
            <w:pPr>
              <w:pStyle w:val="167"/>
              <w:bidi w:val="0"/>
              <w:jc w:val="center"/>
              <w:rPr>
                <w:b w:val="0"/>
                <w:lang w:val="en-US" w:eastAsia="zh-CN"/>
              </w:rPr>
            </w:pPr>
            <w:r>
              <w:rPr>
                <w:b w:val="0"/>
                <w:lang w:val="en-US" w:eastAsia="zh-CN"/>
              </w:rPr>
              <w:t>L</w:t>
            </w:r>
          </w:p>
        </w:tc>
        <w:tc>
          <w:tcPr>
            <w:tcW w:w="214" w:type="pct"/>
            <w:tcBorders>
              <w:top w:val="single" w:color="000000" w:sz="4" w:space="0"/>
              <w:left w:val="nil"/>
              <w:bottom w:val="nil"/>
              <w:right w:val="nil"/>
            </w:tcBorders>
            <w:shd w:val="clear" w:color="auto" w:fill="FFFFFF"/>
            <w:vAlign w:val="center"/>
          </w:tcPr>
          <w:p w14:paraId="0ABED971">
            <w:pPr>
              <w:pStyle w:val="167"/>
              <w:bidi w:val="0"/>
              <w:jc w:val="center"/>
              <w:rPr>
                <w:b w:val="0"/>
                <w:lang w:val="en-US" w:eastAsia="zh-CN"/>
              </w:rPr>
            </w:pPr>
            <w:r>
              <w:rPr>
                <w:b w:val="0"/>
                <w:lang w:val="en-US" w:eastAsia="zh-CN"/>
              </w:rPr>
              <w:t>SC</w:t>
            </w:r>
          </w:p>
        </w:tc>
        <w:tc>
          <w:tcPr>
            <w:tcW w:w="393" w:type="pct"/>
            <w:tcBorders>
              <w:top w:val="single" w:color="000000" w:sz="4" w:space="0"/>
              <w:left w:val="nil"/>
              <w:bottom w:val="nil"/>
              <w:right w:val="nil"/>
            </w:tcBorders>
            <w:shd w:val="clear" w:color="auto" w:fill="FFFFFF"/>
            <w:vAlign w:val="center"/>
          </w:tcPr>
          <w:p w14:paraId="4CEDD5D8">
            <w:pPr>
              <w:pStyle w:val="167"/>
              <w:bidi w:val="0"/>
              <w:jc w:val="center"/>
              <w:rPr>
                <w:b w:val="0"/>
                <w:lang w:val="en-US" w:eastAsia="zh-CN"/>
              </w:rPr>
            </w:pPr>
            <w:r>
              <w:rPr>
                <w:b w:val="0"/>
                <w:lang w:val="en-US" w:eastAsia="zh-CN"/>
              </w:rPr>
              <w:t>SC</w:t>
            </w:r>
          </w:p>
        </w:tc>
      </w:tr>
      <w:tr w14:paraId="51E72A90">
        <w:tc>
          <w:tcPr>
            <w:tcW w:w="706" w:type="pct"/>
            <w:tcBorders>
              <w:top w:val="nil"/>
              <w:left w:val="nil"/>
              <w:bottom w:val="nil"/>
              <w:right w:val="nil"/>
            </w:tcBorders>
            <w:shd w:val="clear" w:color="auto" w:fill="FFFFFF"/>
            <w:vAlign w:val="center"/>
          </w:tcPr>
          <w:p w14:paraId="16E2F49B">
            <w:pPr>
              <w:pStyle w:val="167"/>
              <w:bidi w:val="0"/>
              <w:jc w:val="center"/>
              <w:rPr>
                <w:b w:val="0"/>
                <w:lang w:val="en-US" w:eastAsia="zh-CN"/>
              </w:rPr>
            </w:pPr>
            <w:r>
              <w:rPr>
                <w:b w:val="0"/>
                <w:lang w:val="en-US" w:eastAsia="zh-CN"/>
              </w:rPr>
              <w:t>Del Pino 2025</w:t>
            </w:r>
          </w:p>
        </w:tc>
        <w:tc>
          <w:tcPr>
            <w:tcW w:w="1143" w:type="pct"/>
            <w:tcBorders>
              <w:top w:val="nil"/>
              <w:left w:val="nil"/>
              <w:bottom w:val="nil"/>
              <w:right w:val="nil"/>
            </w:tcBorders>
            <w:shd w:val="clear" w:color="auto" w:fill="FFFFFF"/>
            <w:vAlign w:val="center"/>
          </w:tcPr>
          <w:p w14:paraId="3B7DF61C">
            <w:pPr>
              <w:pStyle w:val="167"/>
              <w:bidi w:val="0"/>
              <w:jc w:val="center"/>
              <w:rPr>
                <w:b w:val="0"/>
                <w:lang w:val="en-US" w:eastAsia="zh-CN"/>
              </w:rPr>
            </w:pPr>
            <w:r>
              <w:rPr>
                <w:b w:val="0"/>
                <w:lang w:val="en-US" w:eastAsia="zh-CN"/>
              </w:rPr>
              <w:t>MDS-UPDRS/UPDRS III</w:t>
            </w:r>
          </w:p>
        </w:tc>
        <w:tc>
          <w:tcPr>
            <w:tcW w:w="1058" w:type="pct"/>
            <w:tcBorders>
              <w:top w:val="nil"/>
              <w:left w:val="nil"/>
              <w:bottom w:val="nil"/>
              <w:right w:val="nil"/>
            </w:tcBorders>
            <w:shd w:val="clear" w:color="auto" w:fill="FFFFFF"/>
            <w:vAlign w:val="center"/>
          </w:tcPr>
          <w:p w14:paraId="6D05604E">
            <w:pPr>
              <w:pStyle w:val="167"/>
              <w:bidi w:val="0"/>
              <w:jc w:val="center"/>
              <w:rPr>
                <w:b w:val="0"/>
                <w:lang w:val="en-US" w:eastAsia="zh-CN"/>
              </w:rPr>
            </w:pPr>
            <w:r>
              <w:rPr>
                <w:b w:val="0"/>
                <w:lang w:val="en-US" w:eastAsia="zh-CN"/>
              </w:rPr>
              <w:t>Passive/minimal</w:t>
            </w:r>
          </w:p>
        </w:tc>
        <w:tc>
          <w:tcPr>
            <w:tcW w:w="626" w:type="pct"/>
            <w:tcBorders>
              <w:top w:val="nil"/>
              <w:left w:val="nil"/>
              <w:bottom w:val="nil"/>
              <w:right w:val="nil"/>
            </w:tcBorders>
            <w:shd w:val="clear" w:color="auto" w:fill="FFFFFF"/>
            <w:vAlign w:val="center"/>
          </w:tcPr>
          <w:p w14:paraId="1FAE038E">
            <w:pPr>
              <w:pStyle w:val="167"/>
              <w:bidi w:val="0"/>
              <w:jc w:val="center"/>
              <w:rPr>
                <w:b w:val="0"/>
                <w:lang w:val="en-US" w:eastAsia="zh-CN"/>
              </w:rPr>
            </w:pPr>
            <w:r>
              <w:rPr>
                <w:b w:val="0"/>
                <w:lang w:val="en-US" w:eastAsia="zh-CN"/>
              </w:rPr>
              <w:t>4 months</w:t>
            </w:r>
          </w:p>
        </w:tc>
        <w:tc>
          <w:tcPr>
            <w:tcW w:w="214" w:type="pct"/>
            <w:tcBorders>
              <w:top w:val="nil"/>
              <w:left w:val="nil"/>
              <w:bottom w:val="nil"/>
              <w:right w:val="nil"/>
            </w:tcBorders>
            <w:shd w:val="clear" w:color="auto" w:fill="FFFFFF"/>
            <w:vAlign w:val="center"/>
          </w:tcPr>
          <w:p w14:paraId="56E4E1C1">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782CC88">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7BBBDCA5">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254C232D">
            <w:pPr>
              <w:pStyle w:val="167"/>
              <w:bidi w:val="0"/>
              <w:jc w:val="center"/>
              <w:rPr>
                <w:b w:val="0"/>
                <w:lang w:val="en-US" w:eastAsia="zh-CN"/>
              </w:rPr>
            </w:pPr>
            <w:r>
              <w:rPr>
                <w:b w:val="0"/>
                <w:lang w:val="en-US" w:eastAsia="zh-CN"/>
              </w:rPr>
              <w:t>H</w:t>
            </w:r>
          </w:p>
        </w:tc>
        <w:tc>
          <w:tcPr>
            <w:tcW w:w="214" w:type="pct"/>
            <w:tcBorders>
              <w:top w:val="nil"/>
              <w:left w:val="nil"/>
              <w:bottom w:val="nil"/>
              <w:right w:val="nil"/>
            </w:tcBorders>
            <w:shd w:val="clear" w:color="auto" w:fill="FFFFFF"/>
            <w:vAlign w:val="center"/>
          </w:tcPr>
          <w:p w14:paraId="0F56A0FC">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142B99C0">
            <w:pPr>
              <w:pStyle w:val="167"/>
              <w:bidi w:val="0"/>
              <w:jc w:val="center"/>
              <w:rPr>
                <w:b w:val="0"/>
                <w:lang w:val="en-US" w:eastAsia="zh-CN"/>
              </w:rPr>
            </w:pPr>
            <w:r>
              <w:rPr>
                <w:b w:val="0"/>
                <w:lang w:val="en-US" w:eastAsia="zh-CN"/>
              </w:rPr>
              <w:t>H</w:t>
            </w:r>
          </w:p>
        </w:tc>
      </w:tr>
      <w:tr w14:paraId="68F69BBA">
        <w:tc>
          <w:tcPr>
            <w:tcW w:w="706" w:type="pct"/>
            <w:tcBorders>
              <w:top w:val="nil"/>
              <w:left w:val="nil"/>
              <w:bottom w:val="nil"/>
              <w:right w:val="nil"/>
            </w:tcBorders>
            <w:shd w:val="clear" w:color="auto" w:fill="FFFFFF"/>
            <w:vAlign w:val="center"/>
          </w:tcPr>
          <w:p w14:paraId="7595035C">
            <w:pPr>
              <w:pStyle w:val="167"/>
              <w:bidi w:val="0"/>
              <w:jc w:val="center"/>
              <w:rPr>
                <w:b w:val="0"/>
                <w:lang w:val="en-US" w:eastAsia="zh-CN"/>
              </w:rPr>
            </w:pPr>
            <w:r>
              <w:rPr>
                <w:b w:val="0"/>
                <w:lang w:val="en-US" w:eastAsia="zh-CN"/>
              </w:rPr>
              <w:t>Dhamija 2025</w:t>
            </w:r>
          </w:p>
        </w:tc>
        <w:tc>
          <w:tcPr>
            <w:tcW w:w="1143" w:type="pct"/>
            <w:tcBorders>
              <w:top w:val="nil"/>
              <w:left w:val="nil"/>
              <w:bottom w:val="nil"/>
              <w:right w:val="nil"/>
            </w:tcBorders>
            <w:shd w:val="clear" w:color="auto" w:fill="FFFFFF"/>
            <w:vAlign w:val="center"/>
          </w:tcPr>
          <w:p w14:paraId="670FDB4C">
            <w:pPr>
              <w:pStyle w:val="167"/>
              <w:bidi w:val="0"/>
              <w:jc w:val="center"/>
              <w:rPr>
                <w:b w:val="0"/>
                <w:lang w:val="en-US" w:eastAsia="zh-CN"/>
              </w:rPr>
            </w:pPr>
            <w:r>
              <w:rPr>
                <w:b w:val="0"/>
                <w:lang w:val="en-US" w:eastAsia="zh-CN"/>
              </w:rPr>
              <w:t>MDS-UPDRS/UPDRS III</w:t>
            </w:r>
          </w:p>
        </w:tc>
        <w:tc>
          <w:tcPr>
            <w:tcW w:w="1058" w:type="pct"/>
            <w:tcBorders>
              <w:top w:val="nil"/>
              <w:left w:val="nil"/>
              <w:bottom w:val="nil"/>
              <w:right w:val="nil"/>
            </w:tcBorders>
            <w:shd w:val="clear" w:color="auto" w:fill="FFFFFF"/>
            <w:vAlign w:val="center"/>
          </w:tcPr>
          <w:p w14:paraId="430975F4">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735ECB16">
            <w:pPr>
              <w:pStyle w:val="167"/>
              <w:bidi w:val="0"/>
              <w:jc w:val="center"/>
              <w:rPr>
                <w:b w:val="0"/>
                <w:lang w:val="en-US" w:eastAsia="zh-CN"/>
              </w:rPr>
            </w:pPr>
            <w:r>
              <w:rPr>
                <w:b w:val="0"/>
                <w:lang w:val="en-US" w:eastAsia="zh-CN"/>
              </w:rPr>
              <w:t>12 weeks</w:t>
            </w:r>
          </w:p>
        </w:tc>
        <w:tc>
          <w:tcPr>
            <w:tcW w:w="214" w:type="pct"/>
            <w:tcBorders>
              <w:top w:val="nil"/>
              <w:left w:val="nil"/>
              <w:bottom w:val="nil"/>
              <w:right w:val="nil"/>
            </w:tcBorders>
            <w:shd w:val="clear" w:color="auto" w:fill="FFFFFF"/>
            <w:vAlign w:val="center"/>
          </w:tcPr>
          <w:p w14:paraId="42848CD4">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59E73A34">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604016AC">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131692D2">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25D86814">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4E4D9AD4">
            <w:pPr>
              <w:pStyle w:val="167"/>
              <w:bidi w:val="0"/>
              <w:jc w:val="center"/>
              <w:rPr>
                <w:b w:val="0"/>
                <w:lang w:val="en-US" w:eastAsia="zh-CN"/>
              </w:rPr>
            </w:pPr>
            <w:r>
              <w:rPr>
                <w:b w:val="0"/>
                <w:lang w:val="en-US" w:eastAsia="zh-CN"/>
              </w:rPr>
              <w:t>SC</w:t>
            </w:r>
          </w:p>
        </w:tc>
      </w:tr>
      <w:tr w14:paraId="24B465D5">
        <w:tc>
          <w:tcPr>
            <w:tcW w:w="706" w:type="pct"/>
            <w:tcBorders>
              <w:top w:val="nil"/>
              <w:left w:val="nil"/>
              <w:bottom w:val="nil"/>
              <w:right w:val="nil"/>
            </w:tcBorders>
            <w:shd w:val="clear" w:color="auto" w:fill="FFFFFF"/>
            <w:vAlign w:val="center"/>
          </w:tcPr>
          <w:p w14:paraId="1B0F4585">
            <w:pPr>
              <w:pStyle w:val="167"/>
              <w:bidi w:val="0"/>
              <w:jc w:val="center"/>
              <w:rPr>
                <w:b w:val="0"/>
                <w:lang w:val="en-US" w:eastAsia="zh-CN"/>
              </w:rPr>
            </w:pPr>
            <w:r>
              <w:rPr>
                <w:b w:val="0"/>
                <w:lang w:val="en-US" w:eastAsia="zh-CN"/>
              </w:rPr>
              <w:t>Dhamija 2025</w:t>
            </w:r>
          </w:p>
        </w:tc>
        <w:tc>
          <w:tcPr>
            <w:tcW w:w="1143" w:type="pct"/>
            <w:tcBorders>
              <w:top w:val="nil"/>
              <w:left w:val="nil"/>
              <w:bottom w:val="nil"/>
              <w:right w:val="nil"/>
            </w:tcBorders>
            <w:shd w:val="clear" w:color="auto" w:fill="FFFFFF"/>
            <w:vAlign w:val="center"/>
          </w:tcPr>
          <w:p w14:paraId="01B75966">
            <w:pPr>
              <w:pStyle w:val="167"/>
              <w:bidi w:val="0"/>
              <w:jc w:val="center"/>
              <w:rPr>
                <w:b w:val="0"/>
                <w:lang w:val="en-US" w:eastAsia="zh-CN"/>
              </w:rPr>
            </w:pPr>
            <w:r>
              <w:rPr>
                <w:b w:val="0"/>
                <w:lang w:val="en-US" w:eastAsia="zh-CN"/>
              </w:rPr>
              <w:t>Balance</w:t>
            </w:r>
          </w:p>
        </w:tc>
        <w:tc>
          <w:tcPr>
            <w:tcW w:w="1058" w:type="pct"/>
            <w:tcBorders>
              <w:top w:val="nil"/>
              <w:left w:val="nil"/>
              <w:bottom w:val="nil"/>
              <w:right w:val="nil"/>
            </w:tcBorders>
            <w:shd w:val="clear" w:color="auto" w:fill="FFFFFF"/>
            <w:vAlign w:val="center"/>
          </w:tcPr>
          <w:p w14:paraId="43F43FED">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6358526E">
            <w:pPr>
              <w:pStyle w:val="167"/>
              <w:bidi w:val="0"/>
              <w:jc w:val="center"/>
              <w:rPr>
                <w:b w:val="0"/>
                <w:lang w:val="en-US" w:eastAsia="zh-CN"/>
              </w:rPr>
            </w:pPr>
            <w:r>
              <w:rPr>
                <w:b w:val="0"/>
                <w:lang w:val="en-US" w:eastAsia="zh-CN"/>
              </w:rPr>
              <w:t>12 weeks</w:t>
            </w:r>
          </w:p>
        </w:tc>
        <w:tc>
          <w:tcPr>
            <w:tcW w:w="214" w:type="pct"/>
            <w:tcBorders>
              <w:top w:val="nil"/>
              <w:left w:val="nil"/>
              <w:bottom w:val="nil"/>
              <w:right w:val="nil"/>
            </w:tcBorders>
            <w:shd w:val="clear" w:color="auto" w:fill="FFFFFF"/>
            <w:vAlign w:val="center"/>
          </w:tcPr>
          <w:p w14:paraId="7FDFB737">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18C578A8">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0F59DAEC">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4C1AEEE0">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757956B9">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1AF16873">
            <w:pPr>
              <w:pStyle w:val="167"/>
              <w:bidi w:val="0"/>
              <w:jc w:val="center"/>
              <w:rPr>
                <w:b w:val="0"/>
                <w:lang w:val="en-US" w:eastAsia="zh-CN"/>
              </w:rPr>
            </w:pPr>
            <w:r>
              <w:rPr>
                <w:b w:val="0"/>
                <w:lang w:val="en-US" w:eastAsia="zh-CN"/>
              </w:rPr>
              <w:t>SC</w:t>
            </w:r>
          </w:p>
        </w:tc>
      </w:tr>
      <w:tr w14:paraId="539E98A2">
        <w:tc>
          <w:tcPr>
            <w:tcW w:w="706" w:type="pct"/>
            <w:tcBorders>
              <w:top w:val="nil"/>
              <w:left w:val="nil"/>
              <w:bottom w:val="nil"/>
              <w:right w:val="nil"/>
            </w:tcBorders>
            <w:shd w:val="clear" w:color="auto" w:fill="FFFFFF"/>
            <w:vAlign w:val="center"/>
          </w:tcPr>
          <w:p w14:paraId="73DEB838">
            <w:pPr>
              <w:pStyle w:val="167"/>
              <w:bidi w:val="0"/>
              <w:jc w:val="center"/>
              <w:rPr>
                <w:b w:val="0"/>
                <w:lang w:val="en-US" w:eastAsia="zh-CN"/>
              </w:rPr>
            </w:pPr>
            <w:r>
              <w:rPr>
                <w:b w:val="0"/>
                <w:lang w:val="en-US" w:eastAsia="zh-CN"/>
              </w:rPr>
              <w:t>Eldemir 2025</w:t>
            </w:r>
          </w:p>
        </w:tc>
        <w:tc>
          <w:tcPr>
            <w:tcW w:w="1143" w:type="pct"/>
            <w:tcBorders>
              <w:top w:val="nil"/>
              <w:left w:val="nil"/>
              <w:bottom w:val="nil"/>
              <w:right w:val="nil"/>
            </w:tcBorders>
            <w:shd w:val="clear" w:color="auto" w:fill="FFFFFF"/>
            <w:vAlign w:val="center"/>
          </w:tcPr>
          <w:p w14:paraId="4567BBBE">
            <w:pPr>
              <w:pStyle w:val="167"/>
              <w:bidi w:val="0"/>
              <w:jc w:val="center"/>
              <w:rPr>
                <w:b w:val="0"/>
                <w:lang w:val="en-US" w:eastAsia="zh-CN"/>
              </w:rPr>
            </w:pPr>
            <w:r>
              <w:rPr>
                <w:b w:val="0"/>
                <w:lang w:val="en-US" w:eastAsia="zh-CN"/>
              </w:rPr>
              <w:t>MDS-UPDRS/UPDRS III</w:t>
            </w:r>
          </w:p>
        </w:tc>
        <w:tc>
          <w:tcPr>
            <w:tcW w:w="1058" w:type="pct"/>
            <w:tcBorders>
              <w:top w:val="nil"/>
              <w:left w:val="nil"/>
              <w:bottom w:val="nil"/>
              <w:right w:val="nil"/>
            </w:tcBorders>
            <w:shd w:val="clear" w:color="auto" w:fill="FFFFFF"/>
            <w:vAlign w:val="center"/>
          </w:tcPr>
          <w:p w14:paraId="49FC2571">
            <w:pPr>
              <w:pStyle w:val="167"/>
              <w:bidi w:val="0"/>
              <w:jc w:val="center"/>
              <w:rPr>
                <w:b w:val="0"/>
                <w:lang w:val="en-US" w:eastAsia="zh-CN"/>
              </w:rPr>
            </w:pPr>
            <w:r>
              <w:rPr>
                <w:b w:val="0"/>
                <w:lang w:val="en-US" w:eastAsia="zh-CN"/>
              </w:rPr>
              <w:t>Ordinary home exercise</w:t>
            </w:r>
          </w:p>
        </w:tc>
        <w:tc>
          <w:tcPr>
            <w:tcW w:w="626" w:type="pct"/>
            <w:tcBorders>
              <w:top w:val="nil"/>
              <w:left w:val="nil"/>
              <w:bottom w:val="nil"/>
              <w:right w:val="nil"/>
            </w:tcBorders>
            <w:shd w:val="clear" w:color="auto" w:fill="FFFFFF"/>
            <w:vAlign w:val="center"/>
          </w:tcPr>
          <w:p w14:paraId="6BC46EA3">
            <w:pPr>
              <w:pStyle w:val="167"/>
              <w:bidi w:val="0"/>
              <w:jc w:val="center"/>
              <w:rPr>
                <w:b w:val="0"/>
                <w:lang w:val="en-US" w:eastAsia="zh-CN"/>
              </w:rPr>
            </w:pPr>
            <w:r>
              <w:rPr>
                <w:b w:val="0"/>
                <w:lang w:val="en-US" w:eastAsia="zh-CN"/>
              </w:rPr>
              <w:t>6 weeks</w:t>
            </w:r>
          </w:p>
        </w:tc>
        <w:tc>
          <w:tcPr>
            <w:tcW w:w="214" w:type="pct"/>
            <w:tcBorders>
              <w:top w:val="nil"/>
              <w:left w:val="nil"/>
              <w:bottom w:val="nil"/>
              <w:right w:val="nil"/>
            </w:tcBorders>
            <w:shd w:val="clear" w:color="auto" w:fill="FFFFFF"/>
            <w:vAlign w:val="center"/>
          </w:tcPr>
          <w:p w14:paraId="0668BAD2">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18D5129E">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A2027C0">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391D4ADE">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74F199CB">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15AD1F9E">
            <w:pPr>
              <w:pStyle w:val="167"/>
              <w:bidi w:val="0"/>
              <w:jc w:val="center"/>
              <w:rPr>
                <w:b w:val="0"/>
                <w:lang w:val="en-US" w:eastAsia="zh-CN"/>
              </w:rPr>
            </w:pPr>
            <w:r>
              <w:rPr>
                <w:b w:val="0"/>
                <w:lang w:val="en-US" w:eastAsia="zh-CN"/>
              </w:rPr>
              <w:t>SC</w:t>
            </w:r>
          </w:p>
        </w:tc>
      </w:tr>
      <w:tr w14:paraId="680F7BF1">
        <w:tc>
          <w:tcPr>
            <w:tcW w:w="706" w:type="pct"/>
            <w:tcBorders>
              <w:top w:val="nil"/>
              <w:left w:val="nil"/>
              <w:bottom w:val="nil"/>
              <w:right w:val="nil"/>
            </w:tcBorders>
            <w:shd w:val="clear" w:color="auto" w:fill="FFFFFF"/>
            <w:vAlign w:val="center"/>
          </w:tcPr>
          <w:p w14:paraId="3CDC58C1">
            <w:pPr>
              <w:pStyle w:val="167"/>
              <w:bidi w:val="0"/>
              <w:jc w:val="center"/>
              <w:rPr>
                <w:b w:val="0"/>
                <w:lang w:val="en-US" w:eastAsia="zh-CN"/>
              </w:rPr>
            </w:pPr>
            <w:r>
              <w:rPr>
                <w:b w:val="0"/>
                <w:lang w:val="en-US" w:eastAsia="zh-CN"/>
              </w:rPr>
              <w:t>Flynn 2021</w:t>
            </w:r>
          </w:p>
        </w:tc>
        <w:tc>
          <w:tcPr>
            <w:tcW w:w="1143" w:type="pct"/>
            <w:tcBorders>
              <w:top w:val="nil"/>
              <w:left w:val="nil"/>
              <w:bottom w:val="nil"/>
              <w:right w:val="nil"/>
            </w:tcBorders>
            <w:shd w:val="clear" w:color="auto" w:fill="FFFFFF"/>
            <w:vAlign w:val="center"/>
          </w:tcPr>
          <w:p w14:paraId="74B4A988">
            <w:pPr>
              <w:pStyle w:val="167"/>
              <w:bidi w:val="0"/>
              <w:jc w:val="center"/>
              <w:rPr>
                <w:b w:val="0"/>
                <w:lang w:val="en-US" w:eastAsia="zh-CN"/>
              </w:rPr>
            </w:pPr>
            <w:r>
              <w:rPr>
                <w:b w:val="0"/>
                <w:lang w:val="en-US" w:eastAsia="zh-CN"/>
              </w:rPr>
              <w:t>Balance</w:t>
            </w:r>
          </w:p>
        </w:tc>
        <w:tc>
          <w:tcPr>
            <w:tcW w:w="1058" w:type="pct"/>
            <w:tcBorders>
              <w:top w:val="nil"/>
              <w:left w:val="nil"/>
              <w:bottom w:val="nil"/>
              <w:right w:val="nil"/>
            </w:tcBorders>
            <w:shd w:val="clear" w:color="auto" w:fill="FFFFFF"/>
            <w:vAlign w:val="center"/>
          </w:tcPr>
          <w:p w14:paraId="355EB9A3">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18AD743F">
            <w:pPr>
              <w:pStyle w:val="167"/>
              <w:bidi w:val="0"/>
              <w:jc w:val="center"/>
              <w:rPr>
                <w:b w:val="0"/>
                <w:lang w:val="en-US" w:eastAsia="zh-CN"/>
              </w:rPr>
            </w:pPr>
            <w:r>
              <w:rPr>
                <w:b w:val="0"/>
                <w:lang w:val="en-US" w:eastAsia="zh-CN"/>
              </w:rPr>
              <w:t>10 weeks</w:t>
            </w:r>
          </w:p>
        </w:tc>
        <w:tc>
          <w:tcPr>
            <w:tcW w:w="214" w:type="pct"/>
            <w:tcBorders>
              <w:top w:val="nil"/>
              <w:left w:val="nil"/>
              <w:bottom w:val="nil"/>
              <w:right w:val="nil"/>
            </w:tcBorders>
            <w:shd w:val="clear" w:color="auto" w:fill="FFFFFF"/>
            <w:vAlign w:val="center"/>
          </w:tcPr>
          <w:p w14:paraId="2274427C">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71254B7E">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4C095111">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5C5C8C0F">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5045A637">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3669CE22">
            <w:pPr>
              <w:pStyle w:val="167"/>
              <w:bidi w:val="0"/>
              <w:jc w:val="center"/>
              <w:rPr>
                <w:b w:val="0"/>
                <w:lang w:val="en-US" w:eastAsia="zh-CN"/>
              </w:rPr>
            </w:pPr>
            <w:r>
              <w:rPr>
                <w:b w:val="0"/>
                <w:lang w:val="en-US" w:eastAsia="zh-CN"/>
              </w:rPr>
              <w:t>SC</w:t>
            </w:r>
          </w:p>
        </w:tc>
      </w:tr>
      <w:tr w14:paraId="725D9ACA">
        <w:tc>
          <w:tcPr>
            <w:tcW w:w="706" w:type="pct"/>
            <w:tcBorders>
              <w:top w:val="nil"/>
              <w:left w:val="nil"/>
              <w:bottom w:val="nil"/>
              <w:right w:val="nil"/>
            </w:tcBorders>
            <w:shd w:val="clear" w:color="auto" w:fill="FFFFFF"/>
            <w:vAlign w:val="center"/>
          </w:tcPr>
          <w:p w14:paraId="5BDA458B">
            <w:pPr>
              <w:pStyle w:val="167"/>
              <w:bidi w:val="0"/>
              <w:jc w:val="center"/>
              <w:rPr>
                <w:b w:val="0"/>
                <w:lang w:val="en-US" w:eastAsia="zh-CN"/>
              </w:rPr>
            </w:pPr>
            <w:r>
              <w:rPr>
                <w:b w:val="0"/>
                <w:lang w:val="en-US" w:eastAsia="zh-CN"/>
              </w:rPr>
              <w:t>Flynn 2021</w:t>
            </w:r>
          </w:p>
        </w:tc>
        <w:tc>
          <w:tcPr>
            <w:tcW w:w="1143" w:type="pct"/>
            <w:tcBorders>
              <w:top w:val="nil"/>
              <w:left w:val="nil"/>
              <w:bottom w:val="nil"/>
              <w:right w:val="nil"/>
            </w:tcBorders>
            <w:shd w:val="clear" w:color="auto" w:fill="FFFFFF"/>
            <w:vAlign w:val="center"/>
          </w:tcPr>
          <w:p w14:paraId="11D5AE69">
            <w:pPr>
              <w:pStyle w:val="167"/>
              <w:bidi w:val="0"/>
              <w:jc w:val="center"/>
              <w:rPr>
                <w:b w:val="0"/>
                <w:lang w:val="en-US" w:eastAsia="zh-CN"/>
              </w:rPr>
            </w:pPr>
            <w:r>
              <w:rPr>
                <w:b w:val="0"/>
                <w:lang w:val="en-US" w:eastAsia="zh-CN"/>
              </w:rPr>
              <w:t>Gait/walking</w:t>
            </w:r>
          </w:p>
        </w:tc>
        <w:tc>
          <w:tcPr>
            <w:tcW w:w="1058" w:type="pct"/>
            <w:tcBorders>
              <w:top w:val="nil"/>
              <w:left w:val="nil"/>
              <w:bottom w:val="nil"/>
              <w:right w:val="nil"/>
            </w:tcBorders>
            <w:shd w:val="clear" w:color="auto" w:fill="FFFFFF"/>
            <w:vAlign w:val="center"/>
          </w:tcPr>
          <w:p w14:paraId="0A4FAA04">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7DE0C6CF">
            <w:pPr>
              <w:pStyle w:val="167"/>
              <w:bidi w:val="0"/>
              <w:jc w:val="center"/>
              <w:rPr>
                <w:b w:val="0"/>
                <w:lang w:val="en-US" w:eastAsia="zh-CN"/>
              </w:rPr>
            </w:pPr>
            <w:r>
              <w:rPr>
                <w:b w:val="0"/>
                <w:lang w:val="en-US" w:eastAsia="zh-CN"/>
              </w:rPr>
              <w:t>10 weeks</w:t>
            </w:r>
          </w:p>
        </w:tc>
        <w:tc>
          <w:tcPr>
            <w:tcW w:w="214" w:type="pct"/>
            <w:tcBorders>
              <w:top w:val="nil"/>
              <w:left w:val="nil"/>
              <w:bottom w:val="nil"/>
              <w:right w:val="nil"/>
            </w:tcBorders>
            <w:shd w:val="clear" w:color="auto" w:fill="FFFFFF"/>
            <w:vAlign w:val="center"/>
          </w:tcPr>
          <w:p w14:paraId="0C003976">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427744B8">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7D125457">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2DB288F7">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325773AB">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7E685B07">
            <w:pPr>
              <w:pStyle w:val="167"/>
              <w:bidi w:val="0"/>
              <w:jc w:val="center"/>
              <w:rPr>
                <w:b w:val="0"/>
                <w:lang w:val="en-US" w:eastAsia="zh-CN"/>
              </w:rPr>
            </w:pPr>
            <w:r>
              <w:rPr>
                <w:b w:val="0"/>
                <w:lang w:val="en-US" w:eastAsia="zh-CN"/>
              </w:rPr>
              <w:t>SC</w:t>
            </w:r>
          </w:p>
        </w:tc>
      </w:tr>
      <w:tr w14:paraId="6072FBAC">
        <w:tc>
          <w:tcPr>
            <w:tcW w:w="706" w:type="pct"/>
            <w:tcBorders>
              <w:top w:val="nil"/>
              <w:left w:val="nil"/>
              <w:bottom w:val="nil"/>
              <w:right w:val="nil"/>
            </w:tcBorders>
            <w:shd w:val="clear" w:color="auto" w:fill="FFFFFF"/>
            <w:vAlign w:val="center"/>
          </w:tcPr>
          <w:p w14:paraId="5505C26B">
            <w:pPr>
              <w:pStyle w:val="167"/>
              <w:bidi w:val="0"/>
              <w:jc w:val="center"/>
              <w:rPr>
                <w:b w:val="0"/>
                <w:lang w:val="en-US" w:eastAsia="zh-CN"/>
              </w:rPr>
            </w:pPr>
            <w:r>
              <w:rPr>
                <w:b w:val="0"/>
                <w:lang w:val="en-US" w:eastAsia="zh-CN"/>
              </w:rPr>
              <w:t>Gandolfi 2017</w:t>
            </w:r>
          </w:p>
        </w:tc>
        <w:tc>
          <w:tcPr>
            <w:tcW w:w="1143" w:type="pct"/>
            <w:tcBorders>
              <w:top w:val="nil"/>
              <w:left w:val="nil"/>
              <w:bottom w:val="nil"/>
              <w:right w:val="nil"/>
            </w:tcBorders>
            <w:shd w:val="clear" w:color="auto" w:fill="FFFFFF"/>
            <w:vAlign w:val="center"/>
          </w:tcPr>
          <w:p w14:paraId="1A8C8411">
            <w:pPr>
              <w:pStyle w:val="167"/>
              <w:bidi w:val="0"/>
              <w:jc w:val="center"/>
              <w:rPr>
                <w:b w:val="0"/>
                <w:lang w:val="en-US" w:eastAsia="zh-CN"/>
              </w:rPr>
            </w:pPr>
            <w:r>
              <w:rPr>
                <w:b w:val="0"/>
                <w:lang w:val="en-US" w:eastAsia="zh-CN"/>
              </w:rPr>
              <w:t>Balance</w:t>
            </w:r>
          </w:p>
        </w:tc>
        <w:tc>
          <w:tcPr>
            <w:tcW w:w="1058" w:type="pct"/>
            <w:tcBorders>
              <w:top w:val="nil"/>
              <w:left w:val="nil"/>
              <w:bottom w:val="nil"/>
              <w:right w:val="nil"/>
            </w:tcBorders>
            <w:shd w:val="clear" w:color="auto" w:fill="FFFFFF"/>
            <w:vAlign w:val="center"/>
          </w:tcPr>
          <w:p w14:paraId="0B657B9A">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26F849BE">
            <w:pPr>
              <w:pStyle w:val="167"/>
              <w:bidi w:val="0"/>
              <w:jc w:val="center"/>
              <w:rPr>
                <w:b w:val="0"/>
                <w:lang w:val="en-US" w:eastAsia="zh-CN"/>
              </w:rPr>
            </w:pPr>
            <w:r>
              <w:rPr>
                <w:b w:val="0"/>
                <w:lang w:val="en-US" w:eastAsia="zh-CN"/>
              </w:rPr>
              <w:t>7 weeks</w:t>
            </w:r>
          </w:p>
        </w:tc>
        <w:tc>
          <w:tcPr>
            <w:tcW w:w="214" w:type="pct"/>
            <w:tcBorders>
              <w:top w:val="nil"/>
              <w:left w:val="nil"/>
              <w:bottom w:val="nil"/>
              <w:right w:val="nil"/>
            </w:tcBorders>
            <w:shd w:val="clear" w:color="auto" w:fill="FFFFFF"/>
            <w:vAlign w:val="center"/>
          </w:tcPr>
          <w:p w14:paraId="405527EC">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3D05ADA2">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24A9DED0">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47052EDE">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17B058BF">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7C614B1B">
            <w:pPr>
              <w:pStyle w:val="167"/>
              <w:bidi w:val="0"/>
              <w:jc w:val="center"/>
              <w:rPr>
                <w:b w:val="0"/>
                <w:lang w:val="en-US" w:eastAsia="zh-CN"/>
              </w:rPr>
            </w:pPr>
            <w:r>
              <w:rPr>
                <w:b w:val="0"/>
                <w:lang w:val="en-US" w:eastAsia="zh-CN"/>
              </w:rPr>
              <w:t>SC</w:t>
            </w:r>
          </w:p>
        </w:tc>
      </w:tr>
      <w:tr w14:paraId="30B3A83B">
        <w:tc>
          <w:tcPr>
            <w:tcW w:w="706" w:type="pct"/>
            <w:tcBorders>
              <w:top w:val="nil"/>
              <w:left w:val="nil"/>
              <w:bottom w:val="nil"/>
              <w:right w:val="nil"/>
            </w:tcBorders>
            <w:shd w:val="clear" w:color="auto" w:fill="FFFFFF"/>
            <w:vAlign w:val="center"/>
          </w:tcPr>
          <w:p w14:paraId="732614F9">
            <w:pPr>
              <w:pStyle w:val="167"/>
              <w:bidi w:val="0"/>
              <w:jc w:val="center"/>
              <w:rPr>
                <w:b w:val="0"/>
                <w:lang w:val="en-US" w:eastAsia="zh-CN"/>
              </w:rPr>
            </w:pPr>
            <w:r>
              <w:rPr>
                <w:b w:val="0"/>
                <w:lang w:val="en-US" w:eastAsia="zh-CN"/>
              </w:rPr>
              <w:t>Gandolfi 2017</w:t>
            </w:r>
          </w:p>
        </w:tc>
        <w:tc>
          <w:tcPr>
            <w:tcW w:w="1143" w:type="pct"/>
            <w:tcBorders>
              <w:top w:val="nil"/>
              <w:left w:val="nil"/>
              <w:bottom w:val="nil"/>
              <w:right w:val="nil"/>
            </w:tcBorders>
            <w:shd w:val="clear" w:color="auto" w:fill="FFFFFF"/>
            <w:vAlign w:val="center"/>
          </w:tcPr>
          <w:p w14:paraId="07C12D07">
            <w:pPr>
              <w:pStyle w:val="167"/>
              <w:bidi w:val="0"/>
              <w:jc w:val="center"/>
              <w:rPr>
                <w:b w:val="0"/>
                <w:lang w:val="en-US" w:eastAsia="zh-CN"/>
              </w:rPr>
            </w:pPr>
            <w:r>
              <w:rPr>
                <w:b w:val="0"/>
                <w:lang w:val="en-US" w:eastAsia="zh-CN"/>
              </w:rPr>
              <w:t>Gait/walking</w:t>
            </w:r>
          </w:p>
        </w:tc>
        <w:tc>
          <w:tcPr>
            <w:tcW w:w="1058" w:type="pct"/>
            <w:tcBorders>
              <w:top w:val="nil"/>
              <w:left w:val="nil"/>
              <w:bottom w:val="nil"/>
              <w:right w:val="nil"/>
            </w:tcBorders>
            <w:shd w:val="clear" w:color="auto" w:fill="FFFFFF"/>
            <w:vAlign w:val="center"/>
          </w:tcPr>
          <w:p w14:paraId="5C418474">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57FB90D0">
            <w:pPr>
              <w:pStyle w:val="167"/>
              <w:bidi w:val="0"/>
              <w:jc w:val="center"/>
              <w:rPr>
                <w:b w:val="0"/>
                <w:lang w:val="en-US" w:eastAsia="zh-CN"/>
              </w:rPr>
            </w:pPr>
            <w:r>
              <w:rPr>
                <w:b w:val="0"/>
                <w:lang w:val="en-US" w:eastAsia="zh-CN"/>
              </w:rPr>
              <w:t>7 weeks</w:t>
            </w:r>
          </w:p>
        </w:tc>
        <w:tc>
          <w:tcPr>
            <w:tcW w:w="214" w:type="pct"/>
            <w:tcBorders>
              <w:top w:val="nil"/>
              <w:left w:val="nil"/>
              <w:bottom w:val="nil"/>
              <w:right w:val="nil"/>
            </w:tcBorders>
            <w:shd w:val="clear" w:color="auto" w:fill="FFFFFF"/>
            <w:vAlign w:val="center"/>
          </w:tcPr>
          <w:p w14:paraId="3A1961A6">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13564826">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9A90E9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43892FA1">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1A0EAE7B">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19552907">
            <w:pPr>
              <w:pStyle w:val="167"/>
              <w:bidi w:val="0"/>
              <w:jc w:val="center"/>
              <w:rPr>
                <w:b w:val="0"/>
                <w:lang w:val="en-US" w:eastAsia="zh-CN"/>
              </w:rPr>
            </w:pPr>
            <w:r>
              <w:rPr>
                <w:b w:val="0"/>
                <w:lang w:val="en-US" w:eastAsia="zh-CN"/>
              </w:rPr>
              <w:t>SC</w:t>
            </w:r>
          </w:p>
        </w:tc>
      </w:tr>
      <w:tr w14:paraId="02AA10ED">
        <w:tc>
          <w:tcPr>
            <w:tcW w:w="706" w:type="pct"/>
            <w:tcBorders>
              <w:top w:val="nil"/>
              <w:left w:val="nil"/>
              <w:bottom w:val="nil"/>
              <w:right w:val="nil"/>
            </w:tcBorders>
            <w:shd w:val="clear" w:color="auto" w:fill="FFFFFF"/>
            <w:vAlign w:val="center"/>
          </w:tcPr>
          <w:p w14:paraId="55DE567F">
            <w:pPr>
              <w:pStyle w:val="167"/>
              <w:bidi w:val="0"/>
              <w:jc w:val="center"/>
              <w:rPr>
                <w:b w:val="0"/>
                <w:lang w:val="en-US" w:eastAsia="zh-CN"/>
              </w:rPr>
            </w:pPr>
            <w:r>
              <w:rPr>
                <w:b w:val="0"/>
                <w:lang w:val="en-US" w:eastAsia="zh-CN"/>
              </w:rPr>
              <w:t>Ge 2024</w:t>
            </w:r>
          </w:p>
        </w:tc>
        <w:tc>
          <w:tcPr>
            <w:tcW w:w="1143" w:type="pct"/>
            <w:tcBorders>
              <w:top w:val="nil"/>
              <w:left w:val="nil"/>
              <w:bottom w:val="nil"/>
              <w:right w:val="nil"/>
            </w:tcBorders>
            <w:shd w:val="clear" w:color="auto" w:fill="FFFFFF"/>
            <w:vAlign w:val="center"/>
          </w:tcPr>
          <w:p w14:paraId="090F80E8">
            <w:pPr>
              <w:pStyle w:val="167"/>
              <w:bidi w:val="0"/>
              <w:jc w:val="center"/>
              <w:rPr>
                <w:b w:val="0"/>
                <w:lang w:val="en-US" w:eastAsia="zh-CN"/>
              </w:rPr>
            </w:pPr>
            <w:r>
              <w:rPr>
                <w:b w:val="0"/>
                <w:lang w:val="en-US" w:eastAsia="zh-CN"/>
              </w:rPr>
              <w:t>MDS-UPDRS/UPDRS III</w:t>
            </w:r>
          </w:p>
        </w:tc>
        <w:tc>
          <w:tcPr>
            <w:tcW w:w="1058" w:type="pct"/>
            <w:tcBorders>
              <w:top w:val="nil"/>
              <w:left w:val="nil"/>
              <w:bottom w:val="nil"/>
              <w:right w:val="nil"/>
            </w:tcBorders>
            <w:shd w:val="clear" w:color="auto" w:fill="FFFFFF"/>
            <w:vAlign w:val="center"/>
          </w:tcPr>
          <w:p w14:paraId="07676F51">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21DF934E">
            <w:pPr>
              <w:pStyle w:val="167"/>
              <w:bidi w:val="0"/>
              <w:jc w:val="center"/>
              <w:rPr>
                <w:b w:val="0"/>
                <w:lang w:val="en-US" w:eastAsia="zh-CN"/>
              </w:rPr>
            </w:pPr>
            <w:r>
              <w:rPr>
                <w:b w:val="0"/>
                <w:lang w:val="en-US" w:eastAsia="zh-CN"/>
              </w:rPr>
              <w:t>4 weeks</w:t>
            </w:r>
          </w:p>
        </w:tc>
        <w:tc>
          <w:tcPr>
            <w:tcW w:w="214" w:type="pct"/>
            <w:tcBorders>
              <w:top w:val="nil"/>
              <w:left w:val="nil"/>
              <w:bottom w:val="nil"/>
              <w:right w:val="nil"/>
            </w:tcBorders>
            <w:shd w:val="clear" w:color="auto" w:fill="FFFFFF"/>
            <w:vAlign w:val="center"/>
          </w:tcPr>
          <w:p w14:paraId="070713C0">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03C2D41E">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210B01BD">
            <w:pPr>
              <w:pStyle w:val="167"/>
              <w:bidi w:val="0"/>
              <w:jc w:val="center"/>
              <w:rPr>
                <w:b w:val="0"/>
                <w:lang w:val="en-US" w:eastAsia="zh-CN"/>
              </w:rPr>
            </w:pPr>
            <w:r>
              <w:rPr>
                <w:b w:val="0"/>
                <w:lang w:val="en-US" w:eastAsia="zh-CN"/>
              </w:rPr>
              <w:t>H</w:t>
            </w:r>
          </w:p>
        </w:tc>
        <w:tc>
          <w:tcPr>
            <w:tcW w:w="214" w:type="pct"/>
            <w:tcBorders>
              <w:top w:val="nil"/>
              <w:left w:val="nil"/>
              <w:bottom w:val="nil"/>
              <w:right w:val="nil"/>
            </w:tcBorders>
            <w:shd w:val="clear" w:color="auto" w:fill="FFFFFF"/>
            <w:vAlign w:val="center"/>
          </w:tcPr>
          <w:p w14:paraId="5E5DF751">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3AD5BFBB">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7E1E708E">
            <w:pPr>
              <w:pStyle w:val="167"/>
              <w:bidi w:val="0"/>
              <w:jc w:val="center"/>
              <w:rPr>
                <w:b w:val="0"/>
                <w:lang w:val="en-US" w:eastAsia="zh-CN"/>
              </w:rPr>
            </w:pPr>
            <w:r>
              <w:rPr>
                <w:b w:val="0"/>
                <w:lang w:val="en-US" w:eastAsia="zh-CN"/>
              </w:rPr>
              <w:t>H</w:t>
            </w:r>
          </w:p>
        </w:tc>
      </w:tr>
      <w:tr w14:paraId="3273DBF7">
        <w:tc>
          <w:tcPr>
            <w:tcW w:w="706" w:type="pct"/>
            <w:tcBorders>
              <w:top w:val="nil"/>
              <w:left w:val="nil"/>
              <w:bottom w:val="nil"/>
              <w:right w:val="nil"/>
            </w:tcBorders>
            <w:shd w:val="clear" w:color="auto" w:fill="FFFFFF"/>
            <w:vAlign w:val="center"/>
          </w:tcPr>
          <w:p w14:paraId="37274AA1">
            <w:pPr>
              <w:pStyle w:val="167"/>
              <w:bidi w:val="0"/>
              <w:jc w:val="center"/>
              <w:rPr>
                <w:b w:val="0"/>
                <w:lang w:val="en-US" w:eastAsia="zh-CN"/>
              </w:rPr>
            </w:pPr>
            <w:r>
              <w:rPr>
                <w:b w:val="0"/>
                <w:lang w:val="en-US" w:eastAsia="zh-CN"/>
              </w:rPr>
              <w:t>Ge 2024</w:t>
            </w:r>
          </w:p>
        </w:tc>
        <w:tc>
          <w:tcPr>
            <w:tcW w:w="1143" w:type="pct"/>
            <w:tcBorders>
              <w:top w:val="nil"/>
              <w:left w:val="nil"/>
              <w:bottom w:val="nil"/>
              <w:right w:val="nil"/>
            </w:tcBorders>
            <w:shd w:val="clear" w:color="auto" w:fill="FFFFFF"/>
            <w:vAlign w:val="center"/>
          </w:tcPr>
          <w:p w14:paraId="074FAB4D">
            <w:pPr>
              <w:pStyle w:val="167"/>
              <w:bidi w:val="0"/>
              <w:jc w:val="center"/>
              <w:rPr>
                <w:b w:val="0"/>
                <w:lang w:val="en-US" w:eastAsia="zh-CN"/>
              </w:rPr>
            </w:pPr>
            <w:r>
              <w:rPr>
                <w:b w:val="0"/>
                <w:lang w:val="en-US" w:eastAsia="zh-CN"/>
              </w:rPr>
              <w:t>Balance</w:t>
            </w:r>
          </w:p>
        </w:tc>
        <w:tc>
          <w:tcPr>
            <w:tcW w:w="1058" w:type="pct"/>
            <w:tcBorders>
              <w:top w:val="nil"/>
              <w:left w:val="nil"/>
              <w:bottom w:val="nil"/>
              <w:right w:val="nil"/>
            </w:tcBorders>
            <w:shd w:val="clear" w:color="auto" w:fill="FFFFFF"/>
            <w:vAlign w:val="center"/>
          </w:tcPr>
          <w:p w14:paraId="4CFFEDCE">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3F34A3FD">
            <w:pPr>
              <w:pStyle w:val="167"/>
              <w:bidi w:val="0"/>
              <w:jc w:val="center"/>
              <w:rPr>
                <w:b w:val="0"/>
                <w:lang w:val="en-US" w:eastAsia="zh-CN"/>
              </w:rPr>
            </w:pPr>
            <w:r>
              <w:rPr>
                <w:b w:val="0"/>
                <w:lang w:val="en-US" w:eastAsia="zh-CN"/>
              </w:rPr>
              <w:t>4 weeks</w:t>
            </w:r>
          </w:p>
        </w:tc>
        <w:tc>
          <w:tcPr>
            <w:tcW w:w="214" w:type="pct"/>
            <w:tcBorders>
              <w:top w:val="nil"/>
              <w:left w:val="nil"/>
              <w:bottom w:val="nil"/>
              <w:right w:val="nil"/>
            </w:tcBorders>
            <w:shd w:val="clear" w:color="auto" w:fill="FFFFFF"/>
            <w:vAlign w:val="center"/>
          </w:tcPr>
          <w:p w14:paraId="1DEF056F">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2463A1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1FB9E6BB">
            <w:pPr>
              <w:pStyle w:val="167"/>
              <w:bidi w:val="0"/>
              <w:jc w:val="center"/>
              <w:rPr>
                <w:b w:val="0"/>
                <w:lang w:val="en-US" w:eastAsia="zh-CN"/>
              </w:rPr>
            </w:pPr>
            <w:r>
              <w:rPr>
                <w:b w:val="0"/>
                <w:lang w:val="en-US" w:eastAsia="zh-CN"/>
              </w:rPr>
              <w:t>H</w:t>
            </w:r>
          </w:p>
        </w:tc>
        <w:tc>
          <w:tcPr>
            <w:tcW w:w="214" w:type="pct"/>
            <w:tcBorders>
              <w:top w:val="nil"/>
              <w:left w:val="nil"/>
              <w:bottom w:val="nil"/>
              <w:right w:val="nil"/>
            </w:tcBorders>
            <w:shd w:val="clear" w:color="auto" w:fill="FFFFFF"/>
            <w:vAlign w:val="center"/>
          </w:tcPr>
          <w:p w14:paraId="62BC1B0C">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2C2A953C">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37EFAA21">
            <w:pPr>
              <w:pStyle w:val="167"/>
              <w:bidi w:val="0"/>
              <w:jc w:val="center"/>
              <w:rPr>
                <w:b w:val="0"/>
                <w:lang w:val="en-US" w:eastAsia="zh-CN"/>
              </w:rPr>
            </w:pPr>
            <w:r>
              <w:rPr>
                <w:b w:val="0"/>
                <w:lang w:val="en-US" w:eastAsia="zh-CN"/>
              </w:rPr>
              <w:t>H</w:t>
            </w:r>
          </w:p>
        </w:tc>
      </w:tr>
      <w:tr w14:paraId="2C97B4E0">
        <w:tc>
          <w:tcPr>
            <w:tcW w:w="706" w:type="pct"/>
            <w:tcBorders>
              <w:top w:val="nil"/>
              <w:left w:val="nil"/>
              <w:bottom w:val="nil"/>
              <w:right w:val="nil"/>
            </w:tcBorders>
            <w:shd w:val="clear" w:color="auto" w:fill="FFFFFF"/>
            <w:vAlign w:val="center"/>
          </w:tcPr>
          <w:p w14:paraId="1AE79541">
            <w:pPr>
              <w:pStyle w:val="167"/>
              <w:bidi w:val="0"/>
              <w:jc w:val="center"/>
              <w:rPr>
                <w:b w:val="0"/>
                <w:lang w:val="en-US" w:eastAsia="zh-CN"/>
              </w:rPr>
            </w:pPr>
            <w:r>
              <w:rPr>
                <w:b w:val="0"/>
                <w:lang w:val="en-US" w:eastAsia="zh-CN"/>
              </w:rPr>
              <w:t>Ge 2024</w:t>
            </w:r>
          </w:p>
        </w:tc>
        <w:tc>
          <w:tcPr>
            <w:tcW w:w="1143" w:type="pct"/>
            <w:tcBorders>
              <w:top w:val="nil"/>
              <w:left w:val="nil"/>
              <w:bottom w:val="nil"/>
              <w:right w:val="nil"/>
            </w:tcBorders>
            <w:shd w:val="clear" w:color="auto" w:fill="FFFFFF"/>
            <w:vAlign w:val="center"/>
          </w:tcPr>
          <w:p w14:paraId="57B708FB">
            <w:pPr>
              <w:pStyle w:val="167"/>
              <w:bidi w:val="0"/>
              <w:jc w:val="center"/>
              <w:rPr>
                <w:b w:val="0"/>
                <w:lang w:val="en-US" w:eastAsia="zh-CN"/>
              </w:rPr>
            </w:pPr>
            <w:r>
              <w:rPr>
                <w:b w:val="0"/>
                <w:lang w:val="en-US" w:eastAsia="zh-CN"/>
              </w:rPr>
              <w:t>Functional mobility</w:t>
            </w:r>
          </w:p>
        </w:tc>
        <w:tc>
          <w:tcPr>
            <w:tcW w:w="1058" w:type="pct"/>
            <w:tcBorders>
              <w:top w:val="nil"/>
              <w:left w:val="nil"/>
              <w:bottom w:val="nil"/>
              <w:right w:val="nil"/>
            </w:tcBorders>
            <w:shd w:val="clear" w:color="auto" w:fill="FFFFFF"/>
            <w:vAlign w:val="center"/>
          </w:tcPr>
          <w:p w14:paraId="053219BD">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58E457C2">
            <w:pPr>
              <w:pStyle w:val="167"/>
              <w:bidi w:val="0"/>
              <w:jc w:val="center"/>
              <w:rPr>
                <w:b w:val="0"/>
                <w:lang w:val="en-US" w:eastAsia="zh-CN"/>
              </w:rPr>
            </w:pPr>
            <w:r>
              <w:rPr>
                <w:b w:val="0"/>
                <w:lang w:val="en-US" w:eastAsia="zh-CN"/>
              </w:rPr>
              <w:t>4 weeks</w:t>
            </w:r>
          </w:p>
        </w:tc>
        <w:tc>
          <w:tcPr>
            <w:tcW w:w="214" w:type="pct"/>
            <w:tcBorders>
              <w:top w:val="nil"/>
              <w:left w:val="nil"/>
              <w:bottom w:val="nil"/>
              <w:right w:val="nil"/>
            </w:tcBorders>
            <w:shd w:val="clear" w:color="auto" w:fill="FFFFFF"/>
            <w:vAlign w:val="center"/>
          </w:tcPr>
          <w:p w14:paraId="1710A635">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29B79E5">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7B5AEF4D">
            <w:pPr>
              <w:pStyle w:val="167"/>
              <w:bidi w:val="0"/>
              <w:jc w:val="center"/>
              <w:rPr>
                <w:b w:val="0"/>
                <w:lang w:val="en-US" w:eastAsia="zh-CN"/>
              </w:rPr>
            </w:pPr>
            <w:r>
              <w:rPr>
                <w:b w:val="0"/>
                <w:lang w:val="en-US" w:eastAsia="zh-CN"/>
              </w:rPr>
              <w:t>H</w:t>
            </w:r>
          </w:p>
        </w:tc>
        <w:tc>
          <w:tcPr>
            <w:tcW w:w="214" w:type="pct"/>
            <w:tcBorders>
              <w:top w:val="nil"/>
              <w:left w:val="nil"/>
              <w:bottom w:val="nil"/>
              <w:right w:val="nil"/>
            </w:tcBorders>
            <w:shd w:val="clear" w:color="auto" w:fill="FFFFFF"/>
            <w:vAlign w:val="center"/>
          </w:tcPr>
          <w:p w14:paraId="66A95335">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791A5631">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53E2F1A3">
            <w:pPr>
              <w:pStyle w:val="167"/>
              <w:bidi w:val="0"/>
              <w:jc w:val="center"/>
              <w:rPr>
                <w:b w:val="0"/>
                <w:lang w:val="en-US" w:eastAsia="zh-CN"/>
              </w:rPr>
            </w:pPr>
            <w:r>
              <w:rPr>
                <w:b w:val="0"/>
                <w:lang w:val="en-US" w:eastAsia="zh-CN"/>
              </w:rPr>
              <w:t>H</w:t>
            </w:r>
          </w:p>
        </w:tc>
      </w:tr>
      <w:tr w14:paraId="64E86E52">
        <w:tc>
          <w:tcPr>
            <w:tcW w:w="706" w:type="pct"/>
            <w:tcBorders>
              <w:top w:val="nil"/>
              <w:left w:val="nil"/>
              <w:bottom w:val="nil"/>
              <w:right w:val="nil"/>
            </w:tcBorders>
            <w:shd w:val="clear" w:color="auto" w:fill="FFFFFF"/>
            <w:vAlign w:val="center"/>
          </w:tcPr>
          <w:p w14:paraId="459BA3CE">
            <w:pPr>
              <w:pStyle w:val="167"/>
              <w:bidi w:val="0"/>
              <w:jc w:val="center"/>
              <w:rPr>
                <w:b w:val="0"/>
                <w:lang w:val="en-US" w:eastAsia="zh-CN"/>
              </w:rPr>
            </w:pPr>
            <w:r>
              <w:rPr>
                <w:b w:val="0"/>
                <w:lang w:val="en-US" w:eastAsia="zh-CN"/>
              </w:rPr>
              <w:t>Ge 2024</w:t>
            </w:r>
          </w:p>
        </w:tc>
        <w:tc>
          <w:tcPr>
            <w:tcW w:w="1143" w:type="pct"/>
            <w:tcBorders>
              <w:top w:val="nil"/>
              <w:left w:val="nil"/>
              <w:bottom w:val="nil"/>
              <w:right w:val="nil"/>
            </w:tcBorders>
            <w:shd w:val="clear" w:color="auto" w:fill="FFFFFF"/>
            <w:vAlign w:val="center"/>
          </w:tcPr>
          <w:p w14:paraId="533A8C89">
            <w:pPr>
              <w:pStyle w:val="167"/>
              <w:bidi w:val="0"/>
              <w:jc w:val="center"/>
              <w:rPr>
                <w:b w:val="0"/>
                <w:lang w:val="en-US" w:eastAsia="zh-CN"/>
              </w:rPr>
            </w:pPr>
            <w:r>
              <w:rPr>
                <w:b w:val="0"/>
                <w:lang w:val="en-US" w:eastAsia="zh-CN"/>
              </w:rPr>
              <w:t>Gait/walking</w:t>
            </w:r>
          </w:p>
        </w:tc>
        <w:tc>
          <w:tcPr>
            <w:tcW w:w="1058" w:type="pct"/>
            <w:tcBorders>
              <w:top w:val="nil"/>
              <w:left w:val="nil"/>
              <w:bottom w:val="nil"/>
              <w:right w:val="nil"/>
            </w:tcBorders>
            <w:shd w:val="clear" w:color="auto" w:fill="FFFFFF"/>
            <w:vAlign w:val="center"/>
          </w:tcPr>
          <w:p w14:paraId="24A39135">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4134A134">
            <w:pPr>
              <w:pStyle w:val="167"/>
              <w:bidi w:val="0"/>
              <w:jc w:val="center"/>
              <w:rPr>
                <w:b w:val="0"/>
                <w:lang w:val="en-US" w:eastAsia="zh-CN"/>
              </w:rPr>
            </w:pPr>
            <w:r>
              <w:rPr>
                <w:b w:val="0"/>
                <w:lang w:val="en-US" w:eastAsia="zh-CN"/>
              </w:rPr>
              <w:t>4 weeks</w:t>
            </w:r>
          </w:p>
        </w:tc>
        <w:tc>
          <w:tcPr>
            <w:tcW w:w="214" w:type="pct"/>
            <w:tcBorders>
              <w:top w:val="nil"/>
              <w:left w:val="nil"/>
              <w:bottom w:val="nil"/>
              <w:right w:val="nil"/>
            </w:tcBorders>
            <w:shd w:val="clear" w:color="auto" w:fill="FFFFFF"/>
            <w:vAlign w:val="center"/>
          </w:tcPr>
          <w:p w14:paraId="5E4A10CE">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6763B4AB">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0BE834B5">
            <w:pPr>
              <w:pStyle w:val="167"/>
              <w:bidi w:val="0"/>
              <w:jc w:val="center"/>
              <w:rPr>
                <w:b w:val="0"/>
                <w:lang w:val="en-US" w:eastAsia="zh-CN"/>
              </w:rPr>
            </w:pPr>
            <w:r>
              <w:rPr>
                <w:b w:val="0"/>
                <w:lang w:val="en-US" w:eastAsia="zh-CN"/>
              </w:rPr>
              <w:t>H</w:t>
            </w:r>
          </w:p>
        </w:tc>
        <w:tc>
          <w:tcPr>
            <w:tcW w:w="214" w:type="pct"/>
            <w:tcBorders>
              <w:top w:val="nil"/>
              <w:left w:val="nil"/>
              <w:bottom w:val="nil"/>
              <w:right w:val="nil"/>
            </w:tcBorders>
            <w:shd w:val="clear" w:color="auto" w:fill="FFFFFF"/>
            <w:vAlign w:val="center"/>
          </w:tcPr>
          <w:p w14:paraId="3B799781">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22F69D28">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031665FE">
            <w:pPr>
              <w:pStyle w:val="167"/>
              <w:bidi w:val="0"/>
              <w:jc w:val="center"/>
              <w:rPr>
                <w:b w:val="0"/>
                <w:lang w:val="en-US" w:eastAsia="zh-CN"/>
              </w:rPr>
            </w:pPr>
            <w:r>
              <w:rPr>
                <w:b w:val="0"/>
                <w:lang w:val="en-US" w:eastAsia="zh-CN"/>
              </w:rPr>
              <w:t>H</w:t>
            </w:r>
          </w:p>
        </w:tc>
      </w:tr>
      <w:tr w14:paraId="2AF303F8">
        <w:tc>
          <w:tcPr>
            <w:tcW w:w="706" w:type="pct"/>
            <w:tcBorders>
              <w:top w:val="nil"/>
              <w:left w:val="nil"/>
              <w:bottom w:val="nil"/>
              <w:right w:val="nil"/>
            </w:tcBorders>
            <w:shd w:val="clear" w:color="auto" w:fill="FFFFFF"/>
            <w:vAlign w:val="center"/>
          </w:tcPr>
          <w:p w14:paraId="64F8D9A8">
            <w:pPr>
              <w:pStyle w:val="167"/>
              <w:bidi w:val="0"/>
              <w:jc w:val="center"/>
              <w:rPr>
                <w:b w:val="0"/>
                <w:lang w:val="en-US" w:eastAsia="zh-CN"/>
              </w:rPr>
            </w:pPr>
            <w:r>
              <w:rPr>
                <w:b w:val="0"/>
                <w:lang w:val="en-US" w:eastAsia="zh-CN"/>
              </w:rPr>
              <w:t>Ginis 2016</w:t>
            </w:r>
          </w:p>
        </w:tc>
        <w:tc>
          <w:tcPr>
            <w:tcW w:w="1143" w:type="pct"/>
            <w:tcBorders>
              <w:top w:val="nil"/>
              <w:left w:val="nil"/>
              <w:bottom w:val="nil"/>
              <w:right w:val="nil"/>
            </w:tcBorders>
            <w:shd w:val="clear" w:color="auto" w:fill="FFFFFF"/>
            <w:vAlign w:val="center"/>
          </w:tcPr>
          <w:p w14:paraId="3FD13417">
            <w:pPr>
              <w:pStyle w:val="167"/>
              <w:bidi w:val="0"/>
              <w:jc w:val="center"/>
              <w:rPr>
                <w:b w:val="0"/>
                <w:lang w:val="en-US" w:eastAsia="zh-CN"/>
              </w:rPr>
            </w:pPr>
            <w:r>
              <w:rPr>
                <w:b w:val="0"/>
                <w:lang w:val="en-US" w:eastAsia="zh-CN"/>
              </w:rPr>
              <w:t>MDS-UPDRS/UPDRS III</w:t>
            </w:r>
          </w:p>
        </w:tc>
        <w:tc>
          <w:tcPr>
            <w:tcW w:w="1058" w:type="pct"/>
            <w:tcBorders>
              <w:top w:val="nil"/>
              <w:left w:val="nil"/>
              <w:bottom w:val="nil"/>
              <w:right w:val="nil"/>
            </w:tcBorders>
            <w:shd w:val="clear" w:color="auto" w:fill="FFFFFF"/>
            <w:vAlign w:val="center"/>
          </w:tcPr>
          <w:p w14:paraId="64BBFEBF">
            <w:pPr>
              <w:pStyle w:val="167"/>
              <w:bidi w:val="0"/>
              <w:jc w:val="center"/>
              <w:rPr>
                <w:b w:val="0"/>
                <w:lang w:val="en-US" w:eastAsia="zh-CN"/>
              </w:rPr>
            </w:pPr>
            <w:r>
              <w:rPr>
                <w:b w:val="0"/>
                <w:lang w:val="en-US" w:eastAsia="zh-CN"/>
              </w:rPr>
              <w:t>Ordinary home exercise</w:t>
            </w:r>
          </w:p>
        </w:tc>
        <w:tc>
          <w:tcPr>
            <w:tcW w:w="626" w:type="pct"/>
            <w:tcBorders>
              <w:top w:val="nil"/>
              <w:left w:val="nil"/>
              <w:bottom w:val="nil"/>
              <w:right w:val="nil"/>
            </w:tcBorders>
            <w:shd w:val="clear" w:color="auto" w:fill="FFFFFF"/>
            <w:vAlign w:val="center"/>
          </w:tcPr>
          <w:p w14:paraId="78830B12">
            <w:pPr>
              <w:pStyle w:val="167"/>
              <w:bidi w:val="0"/>
              <w:jc w:val="center"/>
              <w:rPr>
                <w:b w:val="0"/>
                <w:lang w:val="en-US" w:eastAsia="zh-CN"/>
              </w:rPr>
            </w:pPr>
            <w:r>
              <w:rPr>
                <w:b w:val="0"/>
                <w:lang w:val="en-US" w:eastAsia="zh-CN"/>
              </w:rPr>
              <w:t>6 weeks</w:t>
            </w:r>
          </w:p>
        </w:tc>
        <w:tc>
          <w:tcPr>
            <w:tcW w:w="214" w:type="pct"/>
            <w:tcBorders>
              <w:top w:val="nil"/>
              <w:left w:val="nil"/>
              <w:bottom w:val="nil"/>
              <w:right w:val="nil"/>
            </w:tcBorders>
            <w:shd w:val="clear" w:color="auto" w:fill="FFFFFF"/>
            <w:vAlign w:val="center"/>
          </w:tcPr>
          <w:p w14:paraId="7CF628C3">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2BB86572">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153CE3D5">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40D6A7C8">
            <w:pPr>
              <w:pStyle w:val="167"/>
              <w:bidi w:val="0"/>
              <w:jc w:val="center"/>
              <w:rPr>
                <w:b w:val="0"/>
                <w:lang w:val="en-US" w:eastAsia="zh-CN"/>
              </w:rPr>
            </w:pPr>
            <w:r>
              <w:rPr>
                <w:b w:val="0"/>
                <w:lang w:val="en-US" w:eastAsia="zh-CN"/>
              </w:rPr>
              <w:t>H</w:t>
            </w:r>
          </w:p>
        </w:tc>
        <w:tc>
          <w:tcPr>
            <w:tcW w:w="214" w:type="pct"/>
            <w:tcBorders>
              <w:top w:val="nil"/>
              <w:left w:val="nil"/>
              <w:bottom w:val="nil"/>
              <w:right w:val="nil"/>
            </w:tcBorders>
            <w:shd w:val="clear" w:color="auto" w:fill="FFFFFF"/>
            <w:vAlign w:val="center"/>
          </w:tcPr>
          <w:p w14:paraId="7CDCF6AC">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6CC3096C">
            <w:pPr>
              <w:pStyle w:val="167"/>
              <w:bidi w:val="0"/>
              <w:jc w:val="center"/>
              <w:rPr>
                <w:b w:val="0"/>
                <w:lang w:val="en-US" w:eastAsia="zh-CN"/>
              </w:rPr>
            </w:pPr>
            <w:r>
              <w:rPr>
                <w:b w:val="0"/>
                <w:lang w:val="en-US" w:eastAsia="zh-CN"/>
              </w:rPr>
              <w:t>H</w:t>
            </w:r>
          </w:p>
        </w:tc>
      </w:tr>
      <w:tr w14:paraId="1EBB9C51">
        <w:tc>
          <w:tcPr>
            <w:tcW w:w="706" w:type="pct"/>
            <w:tcBorders>
              <w:top w:val="nil"/>
              <w:left w:val="nil"/>
              <w:bottom w:val="nil"/>
              <w:right w:val="nil"/>
            </w:tcBorders>
            <w:shd w:val="clear" w:color="auto" w:fill="FFFFFF"/>
            <w:vAlign w:val="center"/>
          </w:tcPr>
          <w:p w14:paraId="5C7EA18B">
            <w:pPr>
              <w:pStyle w:val="167"/>
              <w:bidi w:val="0"/>
              <w:jc w:val="center"/>
              <w:rPr>
                <w:b w:val="0"/>
                <w:lang w:val="en-US" w:eastAsia="zh-CN"/>
              </w:rPr>
            </w:pPr>
            <w:r>
              <w:rPr>
                <w:b w:val="0"/>
                <w:lang w:val="en-US" w:eastAsia="zh-CN"/>
              </w:rPr>
              <w:t>Ginis 2016</w:t>
            </w:r>
          </w:p>
        </w:tc>
        <w:tc>
          <w:tcPr>
            <w:tcW w:w="1143" w:type="pct"/>
            <w:tcBorders>
              <w:top w:val="nil"/>
              <w:left w:val="nil"/>
              <w:bottom w:val="nil"/>
              <w:right w:val="nil"/>
            </w:tcBorders>
            <w:shd w:val="clear" w:color="auto" w:fill="FFFFFF"/>
            <w:vAlign w:val="center"/>
          </w:tcPr>
          <w:p w14:paraId="1495E1D9">
            <w:pPr>
              <w:pStyle w:val="167"/>
              <w:bidi w:val="0"/>
              <w:jc w:val="center"/>
              <w:rPr>
                <w:b w:val="0"/>
                <w:lang w:val="en-US" w:eastAsia="zh-CN"/>
              </w:rPr>
            </w:pPr>
            <w:r>
              <w:rPr>
                <w:b w:val="0"/>
                <w:lang w:val="en-US" w:eastAsia="zh-CN"/>
              </w:rPr>
              <w:t>Balance</w:t>
            </w:r>
          </w:p>
        </w:tc>
        <w:tc>
          <w:tcPr>
            <w:tcW w:w="1058" w:type="pct"/>
            <w:tcBorders>
              <w:top w:val="nil"/>
              <w:left w:val="nil"/>
              <w:bottom w:val="nil"/>
              <w:right w:val="nil"/>
            </w:tcBorders>
            <w:shd w:val="clear" w:color="auto" w:fill="FFFFFF"/>
            <w:vAlign w:val="center"/>
          </w:tcPr>
          <w:p w14:paraId="0DB8AD04">
            <w:pPr>
              <w:pStyle w:val="167"/>
              <w:bidi w:val="0"/>
              <w:jc w:val="center"/>
              <w:rPr>
                <w:b w:val="0"/>
                <w:lang w:val="en-US" w:eastAsia="zh-CN"/>
              </w:rPr>
            </w:pPr>
            <w:r>
              <w:rPr>
                <w:b w:val="0"/>
                <w:lang w:val="en-US" w:eastAsia="zh-CN"/>
              </w:rPr>
              <w:t>Ordinary home exercise</w:t>
            </w:r>
          </w:p>
        </w:tc>
        <w:tc>
          <w:tcPr>
            <w:tcW w:w="626" w:type="pct"/>
            <w:tcBorders>
              <w:top w:val="nil"/>
              <w:left w:val="nil"/>
              <w:bottom w:val="nil"/>
              <w:right w:val="nil"/>
            </w:tcBorders>
            <w:shd w:val="clear" w:color="auto" w:fill="FFFFFF"/>
            <w:vAlign w:val="center"/>
          </w:tcPr>
          <w:p w14:paraId="7F61AA6F">
            <w:pPr>
              <w:pStyle w:val="167"/>
              <w:bidi w:val="0"/>
              <w:jc w:val="center"/>
              <w:rPr>
                <w:b w:val="0"/>
                <w:lang w:val="en-US" w:eastAsia="zh-CN"/>
              </w:rPr>
            </w:pPr>
            <w:r>
              <w:rPr>
                <w:b w:val="0"/>
                <w:lang w:val="en-US" w:eastAsia="zh-CN"/>
              </w:rPr>
              <w:t>6 weeks</w:t>
            </w:r>
          </w:p>
        </w:tc>
        <w:tc>
          <w:tcPr>
            <w:tcW w:w="214" w:type="pct"/>
            <w:tcBorders>
              <w:top w:val="nil"/>
              <w:left w:val="nil"/>
              <w:bottom w:val="nil"/>
              <w:right w:val="nil"/>
            </w:tcBorders>
            <w:shd w:val="clear" w:color="auto" w:fill="FFFFFF"/>
            <w:vAlign w:val="center"/>
          </w:tcPr>
          <w:p w14:paraId="3FF90296">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16BD0D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3DD6D4E9">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28B6D247">
            <w:pPr>
              <w:pStyle w:val="167"/>
              <w:bidi w:val="0"/>
              <w:jc w:val="center"/>
              <w:rPr>
                <w:b w:val="0"/>
                <w:lang w:val="en-US" w:eastAsia="zh-CN"/>
              </w:rPr>
            </w:pPr>
            <w:r>
              <w:rPr>
                <w:b w:val="0"/>
                <w:lang w:val="en-US" w:eastAsia="zh-CN"/>
              </w:rPr>
              <w:t>H</w:t>
            </w:r>
          </w:p>
        </w:tc>
        <w:tc>
          <w:tcPr>
            <w:tcW w:w="214" w:type="pct"/>
            <w:tcBorders>
              <w:top w:val="nil"/>
              <w:left w:val="nil"/>
              <w:bottom w:val="nil"/>
              <w:right w:val="nil"/>
            </w:tcBorders>
            <w:shd w:val="clear" w:color="auto" w:fill="FFFFFF"/>
            <w:vAlign w:val="center"/>
          </w:tcPr>
          <w:p w14:paraId="375DC58F">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613D4A90">
            <w:pPr>
              <w:pStyle w:val="167"/>
              <w:bidi w:val="0"/>
              <w:jc w:val="center"/>
              <w:rPr>
                <w:b w:val="0"/>
                <w:lang w:val="en-US" w:eastAsia="zh-CN"/>
              </w:rPr>
            </w:pPr>
            <w:r>
              <w:rPr>
                <w:b w:val="0"/>
                <w:lang w:val="en-US" w:eastAsia="zh-CN"/>
              </w:rPr>
              <w:t>H</w:t>
            </w:r>
          </w:p>
        </w:tc>
      </w:tr>
      <w:tr w14:paraId="363F5BD5">
        <w:tc>
          <w:tcPr>
            <w:tcW w:w="706" w:type="pct"/>
            <w:tcBorders>
              <w:top w:val="nil"/>
              <w:left w:val="nil"/>
              <w:bottom w:val="nil"/>
              <w:right w:val="nil"/>
            </w:tcBorders>
            <w:shd w:val="clear" w:color="auto" w:fill="FFFFFF"/>
            <w:vAlign w:val="center"/>
          </w:tcPr>
          <w:p w14:paraId="58E18351">
            <w:pPr>
              <w:pStyle w:val="167"/>
              <w:bidi w:val="0"/>
              <w:jc w:val="center"/>
              <w:rPr>
                <w:b w:val="0"/>
                <w:lang w:val="en-US" w:eastAsia="zh-CN"/>
              </w:rPr>
            </w:pPr>
            <w:r>
              <w:rPr>
                <w:b w:val="0"/>
                <w:lang w:val="en-US" w:eastAsia="zh-CN"/>
              </w:rPr>
              <w:t>Ginis 2016</w:t>
            </w:r>
          </w:p>
        </w:tc>
        <w:tc>
          <w:tcPr>
            <w:tcW w:w="1143" w:type="pct"/>
            <w:tcBorders>
              <w:top w:val="nil"/>
              <w:left w:val="nil"/>
              <w:bottom w:val="nil"/>
              <w:right w:val="nil"/>
            </w:tcBorders>
            <w:shd w:val="clear" w:color="auto" w:fill="FFFFFF"/>
            <w:vAlign w:val="center"/>
          </w:tcPr>
          <w:p w14:paraId="5A7F5673">
            <w:pPr>
              <w:pStyle w:val="167"/>
              <w:bidi w:val="0"/>
              <w:jc w:val="center"/>
              <w:rPr>
                <w:b w:val="0"/>
                <w:lang w:val="en-US" w:eastAsia="zh-CN"/>
              </w:rPr>
            </w:pPr>
            <w:r>
              <w:rPr>
                <w:b w:val="0"/>
                <w:lang w:val="en-US" w:eastAsia="zh-CN"/>
              </w:rPr>
              <w:t>Gait/walking</w:t>
            </w:r>
          </w:p>
        </w:tc>
        <w:tc>
          <w:tcPr>
            <w:tcW w:w="1058" w:type="pct"/>
            <w:tcBorders>
              <w:top w:val="nil"/>
              <w:left w:val="nil"/>
              <w:bottom w:val="nil"/>
              <w:right w:val="nil"/>
            </w:tcBorders>
            <w:shd w:val="clear" w:color="auto" w:fill="FFFFFF"/>
            <w:vAlign w:val="center"/>
          </w:tcPr>
          <w:p w14:paraId="6C671B38">
            <w:pPr>
              <w:pStyle w:val="167"/>
              <w:bidi w:val="0"/>
              <w:jc w:val="center"/>
              <w:rPr>
                <w:b w:val="0"/>
                <w:lang w:val="en-US" w:eastAsia="zh-CN"/>
              </w:rPr>
            </w:pPr>
            <w:r>
              <w:rPr>
                <w:b w:val="0"/>
                <w:lang w:val="en-US" w:eastAsia="zh-CN"/>
              </w:rPr>
              <w:t>Ordinary home exercise</w:t>
            </w:r>
          </w:p>
        </w:tc>
        <w:tc>
          <w:tcPr>
            <w:tcW w:w="626" w:type="pct"/>
            <w:tcBorders>
              <w:top w:val="nil"/>
              <w:left w:val="nil"/>
              <w:bottom w:val="nil"/>
              <w:right w:val="nil"/>
            </w:tcBorders>
            <w:shd w:val="clear" w:color="auto" w:fill="FFFFFF"/>
            <w:vAlign w:val="center"/>
          </w:tcPr>
          <w:p w14:paraId="68174C40">
            <w:pPr>
              <w:pStyle w:val="167"/>
              <w:bidi w:val="0"/>
              <w:jc w:val="center"/>
              <w:rPr>
                <w:b w:val="0"/>
                <w:lang w:val="en-US" w:eastAsia="zh-CN"/>
              </w:rPr>
            </w:pPr>
            <w:r>
              <w:rPr>
                <w:b w:val="0"/>
                <w:lang w:val="en-US" w:eastAsia="zh-CN"/>
              </w:rPr>
              <w:t>6 weeks</w:t>
            </w:r>
          </w:p>
        </w:tc>
        <w:tc>
          <w:tcPr>
            <w:tcW w:w="214" w:type="pct"/>
            <w:tcBorders>
              <w:top w:val="nil"/>
              <w:left w:val="nil"/>
              <w:bottom w:val="nil"/>
              <w:right w:val="nil"/>
            </w:tcBorders>
            <w:shd w:val="clear" w:color="auto" w:fill="FFFFFF"/>
            <w:vAlign w:val="center"/>
          </w:tcPr>
          <w:p w14:paraId="3B6FEC3E">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ADB857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09D5A584">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48195FB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49C280F9">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5746E5D5">
            <w:pPr>
              <w:pStyle w:val="167"/>
              <w:bidi w:val="0"/>
              <w:jc w:val="center"/>
              <w:rPr>
                <w:b w:val="0"/>
                <w:lang w:val="en-US" w:eastAsia="zh-CN"/>
              </w:rPr>
            </w:pPr>
            <w:r>
              <w:rPr>
                <w:b w:val="0"/>
                <w:lang w:val="en-US" w:eastAsia="zh-CN"/>
              </w:rPr>
              <w:t>SC</w:t>
            </w:r>
          </w:p>
        </w:tc>
      </w:tr>
      <w:tr w14:paraId="713B7BEF">
        <w:tc>
          <w:tcPr>
            <w:tcW w:w="706" w:type="pct"/>
            <w:tcBorders>
              <w:top w:val="nil"/>
              <w:left w:val="nil"/>
              <w:bottom w:val="nil"/>
              <w:right w:val="nil"/>
            </w:tcBorders>
            <w:shd w:val="clear" w:color="auto" w:fill="FFFFFF"/>
            <w:vAlign w:val="center"/>
          </w:tcPr>
          <w:p w14:paraId="3C2838A3">
            <w:pPr>
              <w:pStyle w:val="167"/>
              <w:bidi w:val="0"/>
              <w:jc w:val="center"/>
              <w:rPr>
                <w:b w:val="0"/>
                <w:lang w:val="en-US" w:eastAsia="zh-CN"/>
              </w:rPr>
            </w:pPr>
            <w:r>
              <w:rPr>
                <w:b w:val="0"/>
                <w:lang w:val="en-US" w:eastAsia="zh-CN"/>
              </w:rPr>
              <w:t>Goffredo 2023</w:t>
            </w:r>
          </w:p>
        </w:tc>
        <w:tc>
          <w:tcPr>
            <w:tcW w:w="1143" w:type="pct"/>
            <w:tcBorders>
              <w:top w:val="nil"/>
              <w:left w:val="nil"/>
              <w:bottom w:val="nil"/>
              <w:right w:val="nil"/>
            </w:tcBorders>
            <w:shd w:val="clear" w:color="auto" w:fill="FFFFFF"/>
            <w:vAlign w:val="center"/>
          </w:tcPr>
          <w:p w14:paraId="3373DD30">
            <w:pPr>
              <w:pStyle w:val="167"/>
              <w:bidi w:val="0"/>
              <w:jc w:val="center"/>
              <w:rPr>
                <w:b w:val="0"/>
                <w:lang w:val="en-US" w:eastAsia="zh-CN"/>
              </w:rPr>
            </w:pPr>
            <w:r>
              <w:rPr>
                <w:b w:val="0"/>
                <w:lang w:val="en-US" w:eastAsia="zh-CN"/>
              </w:rPr>
              <w:t>MDS-UPDRS/UPDRS III</w:t>
            </w:r>
          </w:p>
        </w:tc>
        <w:tc>
          <w:tcPr>
            <w:tcW w:w="1058" w:type="pct"/>
            <w:tcBorders>
              <w:top w:val="nil"/>
              <w:left w:val="nil"/>
              <w:bottom w:val="nil"/>
              <w:right w:val="nil"/>
            </w:tcBorders>
            <w:shd w:val="clear" w:color="auto" w:fill="FFFFFF"/>
            <w:vAlign w:val="center"/>
          </w:tcPr>
          <w:p w14:paraId="60C7EB85">
            <w:pPr>
              <w:pStyle w:val="167"/>
              <w:bidi w:val="0"/>
              <w:jc w:val="center"/>
              <w:rPr>
                <w:b w:val="0"/>
                <w:lang w:val="en-US" w:eastAsia="zh-CN"/>
              </w:rPr>
            </w:pPr>
            <w:r>
              <w:rPr>
                <w:b w:val="0"/>
                <w:lang w:val="en-US" w:eastAsia="zh-CN"/>
              </w:rPr>
              <w:t>Ordinary home exercise</w:t>
            </w:r>
          </w:p>
        </w:tc>
        <w:tc>
          <w:tcPr>
            <w:tcW w:w="626" w:type="pct"/>
            <w:tcBorders>
              <w:top w:val="nil"/>
              <w:left w:val="nil"/>
              <w:bottom w:val="nil"/>
              <w:right w:val="nil"/>
            </w:tcBorders>
            <w:shd w:val="clear" w:color="auto" w:fill="FFFFFF"/>
            <w:vAlign w:val="center"/>
          </w:tcPr>
          <w:p w14:paraId="5F07B5D9">
            <w:pPr>
              <w:pStyle w:val="167"/>
              <w:bidi w:val="0"/>
              <w:jc w:val="center"/>
              <w:rPr>
                <w:b w:val="0"/>
                <w:lang w:val="en-US" w:eastAsia="zh-CN"/>
              </w:rPr>
            </w:pPr>
            <w:r>
              <w:rPr>
                <w:b w:val="0"/>
                <w:lang w:val="en-US" w:eastAsia="zh-CN"/>
              </w:rPr>
              <w:t>6–10 weeks</w:t>
            </w:r>
          </w:p>
        </w:tc>
        <w:tc>
          <w:tcPr>
            <w:tcW w:w="214" w:type="pct"/>
            <w:tcBorders>
              <w:top w:val="nil"/>
              <w:left w:val="nil"/>
              <w:bottom w:val="nil"/>
              <w:right w:val="nil"/>
            </w:tcBorders>
            <w:shd w:val="clear" w:color="auto" w:fill="FFFFFF"/>
            <w:vAlign w:val="center"/>
          </w:tcPr>
          <w:p w14:paraId="7212CF32">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2A5413A5">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3F9FDD3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679F7F55">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4748BF6A">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10BA338F">
            <w:pPr>
              <w:pStyle w:val="167"/>
              <w:bidi w:val="0"/>
              <w:jc w:val="center"/>
              <w:rPr>
                <w:b w:val="0"/>
                <w:lang w:val="en-US" w:eastAsia="zh-CN"/>
              </w:rPr>
            </w:pPr>
            <w:r>
              <w:rPr>
                <w:b w:val="0"/>
                <w:lang w:val="en-US" w:eastAsia="zh-CN"/>
              </w:rPr>
              <w:t>SC</w:t>
            </w:r>
          </w:p>
        </w:tc>
      </w:tr>
      <w:tr w14:paraId="11ABCA91">
        <w:tc>
          <w:tcPr>
            <w:tcW w:w="706" w:type="pct"/>
            <w:tcBorders>
              <w:top w:val="nil"/>
              <w:left w:val="nil"/>
              <w:bottom w:val="nil"/>
              <w:right w:val="nil"/>
            </w:tcBorders>
            <w:shd w:val="clear" w:color="auto" w:fill="FFFFFF"/>
            <w:vAlign w:val="center"/>
          </w:tcPr>
          <w:p w14:paraId="7678B315">
            <w:pPr>
              <w:pStyle w:val="167"/>
              <w:bidi w:val="0"/>
              <w:jc w:val="center"/>
              <w:rPr>
                <w:b w:val="0"/>
                <w:lang w:val="en-US" w:eastAsia="zh-CN"/>
              </w:rPr>
            </w:pPr>
            <w:r>
              <w:rPr>
                <w:b w:val="0"/>
                <w:lang w:val="en-US" w:eastAsia="zh-CN"/>
              </w:rPr>
              <w:t>Goffredo 2023</w:t>
            </w:r>
          </w:p>
        </w:tc>
        <w:tc>
          <w:tcPr>
            <w:tcW w:w="1143" w:type="pct"/>
            <w:tcBorders>
              <w:top w:val="nil"/>
              <w:left w:val="nil"/>
              <w:bottom w:val="nil"/>
              <w:right w:val="nil"/>
            </w:tcBorders>
            <w:shd w:val="clear" w:color="auto" w:fill="FFFFFF"/>
            <w:vAlign w:val="center"/>
          </w:tcPr>
          <w:p w14:paraId="604460E3">
            <w:pPr>
              <w:pStyle w:val="167"/>
              <w:bidi w:val="0"/>
              <w:jc w:val="center"/>
              <w:rPr>
                <w:b w:val="0"/>
                <w:lang w:val="en-US" w:eastAsia="zh-CN"/>
              </w:rPr>
            </w:pPr>
            <w:r>
              <w:rPr>
                <w:b w:val="0"/>
                <w:lang w:val="en-US" w:eastAsia="zh-CN"/>
              </w:rPr>
              <w:t>Balance</w:t>
            </w:r>
          </w:p>
        </w:tc>
        <w:tc>
          <w:tcPr>
            <w:tcW w:w="1058" w:type="pct"/>
            <w:tcBorders>
              <w:top w:val="nil"/>
              <w:left w:val="nil"/>
              <w:bottom w:val="nil"/>
              <w:right w:val="nil"/>
            </w:tcBorders>
            <w:shd w:val="clear" w:color="auto" w:fill="FFFFFF"/>
            <w:vAlign w:val="center"/>
          </w:tcPr>
          <w:p w14:paraId="02442466">
            <w:pPr>
              <w:pStyle w:val="167"/>
              <w:bidi w:val="0"/>
              <w:jc w:val="center"/>
              <w:rPr>
                <w:b w:val="0"/>
                <w:lang w:val="en-US" w:eastAsia="zh-CN"/>
              </w:rPr>
            </w:pPr>
            <w:r>
              <w:rPr>
                <w:b w:val="0"/>
                <w:lang w:val="en-US" w:eastAsia="zh-CN"/>
              </w:rPr>
              <w:t>Ordinary home exercise</w:t>
            </w:r>
          </w:p>
        </w:tc>
        <w:tc>
          <w:tcPr>
            <w:tcW w:w="626" w:type="pct"/>
            <w:tcBorders>
              <w:top w:val="nil"/>
              <w:left w:val="nil"/>
              <w:bottom w:val="nil"/>
              <w:right w:val="nil"/>
            </w:tcBorders>
            <w:shd w:val="clear" w:color="auto" w:fill="FFFFFF"/>
            <w:vAlign w:val="center"/>
          </w:tcPr>
          <w:p w14:paraId="44155EFD">
            <w:pPr>
              <w:pStyle w:val="167"/>
              <w:bidi w:val="0"/>
              <w:jc w:val="center"/>
              <w:rPr>
                <w:b w:val="0"/>
                <w:lang w:val="en-US" w:eastAsia="zh-CN"/>
              </w:rPr>
            </w:pPr>
            <w:r>
              <w:rPr>
                <w:b w:val="0"/>
                <w:lang w:val="en-US" w:eastAsia="zh-CN"/>
              </w:rPr>
              <w:t>6–10 weeks</w:t>
            </w:r>
          </w:p>
        </w:tc>
        <w:tc>
          <w:tcPr>
            <w:tcW w:w="214" w:type="pct"/>
            <w:tcBorders>
              <w:top w:val="nil"/>
              <w:left w:val="nil"/>
              <w:bottom w:val="nil"/>
              <w:right w:val="nil"/>
            </w:tcBorders>
            <w:shd w:val="clear" w:color="auto" w:fill="FFFFFF"/>
            <w:vAlign w:val="center"/>
          </w:tcPr>
          <w:p w14:paraId="261F34A6">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0D2D14E">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4E5929B">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3CAC11C9">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4019133C">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6AAC2C86">
            <w:pPr>
              <w:pStyle w:val="167"/>
              <w:bidi w:val="0"/>
              <w:jc w:val="center"/>
              <w:rPr>
                <w:b w:val="0"/>
                <w:lang w:val="en-US" w:eastAsia="zh-CN"/>
              </w:rPr>
            </w:pPr>
            <w:r>
              <w:rPr>
                <w:b w:val="0"/>
                <w:lang w:val="en-US" w:eastAsia="zh-CN"/>
              </w:rPr>
              <w:t>SC</w:t>
            </w:r>
          </w:p>
        </w:tc>
      </w:tr>
      <w:tr w14:paraId="4AE6823C">
        <w:tc>
          <w:tcPr>
            <w:tcW w:w="706" w:type="pct"/>
            <w:tcBorders>
              <w:top w:val="nil"/>
              <w:left w:val="nil"/>
              <w:bottom w:val="nil"/>
              <w:right w:val="nil"/>
            </w:tcBorders>
            <w:shd w:val="clear" w:color="auto" w:fill="FFFFFF"/>
            <w:vAlign w:val="center"/>
          </w:tcPr>
          <w:p w14:paraId="4D6DA9F2">
            <w:pPr>
              <w:pStyle w:val="167"/>
              <w:bidi w:val="0"/>
              <w:jc w:val="center"/>
              <w:rPr>
                <w:b w:val="0"/>
                <w:lang w:val="en-US" w:eastAsia="zh-CN"/>
              </w:rPr>
            </w:pPr>
            <w:r>
              <w:rPr>
                <w:b w:val="0"/>
                <w:lang w:val="en-US" w:eastAsia="zh-CN"/>
              </w:rPr>
              <w:t>Goffredo 2023</w:t>
            </w:r>
          </w:p>
        </w:tc>
        <w:tc>
          <w:tcPr>
            <w:tcW w:w="1143" w:type="pct"/>
            <w:tcBorders>
              <w:top w:val="nil"/>
              <w:left w:val="nil"/>
              <w:bottom w:val="nil"/>
              <w:right w:val="nil"/>
            </w:tcBorders>
            <w:shd w:val="clear" w:color="auto" w:fill="FFFFFF"/>
            <w:vAlign w:val="center"/>
          </w:tcPr>
          <w:p w14:paraId="48FE3C91">
            <w:pPr>
              <w:pStyle w:val="167"/>
              <w:bidi w:val="0"/>
              <w:jc w:val="center"/>
              <w:rPr>
                <w:b w:val="0"/>
                <w:lang w:val="en-US" w:eastAsia="zh-CN"/>
              </w:rPr>
            </w:pPr>
            <w:r>
              <w:rPr>
                <w:b w:val="0"/>
                <w:lang w:val="en-US" w:eastAsia="zh-CN"/>
              </w:rPr>
              <w:t>Functional mobility</w:t>
            </w:r>
          </w:p>
        </w:tc>
        <w:tc>
          <w:tcPr>
            <w:tcW w:w="1058" w:type="pct"/>
            <w:tcBorders>
              <w:top w:val="nil"/>
              <w:left w:val="nil"/>
              <w:bottom w:val="nil"/>
              <w:right w:val="nil"/>
            </w:tcBorders>
            <w:shd w:val="clear" w:color="auto" w:fill="FFFFFF"/>
            <w:vAlign w:val="center"/>
          </w:tcPr>
          <w:p w14:paraId="580A648D">
            <w:pPr>
              <w:pStyle w:val="167"/>
              <w:bidi w:val="0"/>
              <w:jc w:val="center"/>
              <w:rPr>
                <w:b w:val="0"/>
                <w:lang w:val="en-US" w:eastAsia="zh-CN"/>
              </w:rPr>
            </w:pPr>
            <w:r>
              <w:rPr>
                <w:b w:val="0"/>
                <w:lang w:val="en-US" w:eastAsia="zh-CN"/>
              </w:rPr>
              <w:t>Ordinary home exercise</w:t>
            </w:r>
          </w:p>
        </w:tc>
        <w:tc>
          <w:tcPr>
            <w:tcW w:w="626" w:type="pct"/>
            <w:tcBorders>
              <w:top w:val="nil"/>
              <w:left w:val="nil"/>
              <w:bottom w:val="nil"/>
              <w:right w:val="nil"/>
            </w:tcBorders>
            <w:shd w:val="clear" w:color="auto" w:fill="FFFFFF"/>
            <w:vAlign w:val="center"/>
          </w:tcPr>
          <w:p w14:paraId="6801E36B">
            <w:pPr>
              <w:pStyle w:val="167"/>
              <w:bidi w:val="0"/>
              <w:jc w:val="center"/>
              <w:rPr>
                <w:b w:val="0"/>
                <w:lang w:val="en-US" w:eastAsia="zh-CN"/>
              </w:rPr>
            </w:pPr>
            <w:r>
              <w:rPr>
                <w:b w:val="0"/>
                <w:lang w:val="en-US" w:eastAsia="zh-CN"/>
              </w:rPr>
              <w:t>6–10 weeks</w:t>
            </w:r>
          </w:p>
        </w:tc>
        <w:tc>
          <w:tcPr>
            <w:tcW w:w="214" w:type="pct"/>
            <w:tcBorders>
              <w:top w:val="nil"/>
              <w:left w:val="nil"/>
              <w:bottom w:val="nil"/>
              <w:right w:val="nil"/>
            </w:tcBorders>
            <w:shd w:val="clear" w:color="auto" w:fill="FFFFFF"/>
            <w:vAlign w:val="center"/>
          </w:tcPr>
          <w:p w14:paraId="2AEE789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1AC6F262">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3F6FC15B">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02F93A5D">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716191E9">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11A8DDA6">
            <w:pPr>
              <w:pStyle w:val="167"/>
              <w:bidi w:val="0"/>
              <w:jc w:val="center"/>
              <w:rPr>
                <w:b w:val="0"/>
                <w:lang w:val="en-US" w:eastAsia="zh-CN"/>
              </w:rPr>
            </w:pPr>
            <w:r>
              <w:rPr>
                <w:b w:val="0"/>
                <w:lang w:val="en-US" w:eastAsia="zh-CN"/>
              </w:rPr>
              <w:t>SC</w:t>
            </w:r>
          </w:p>
        </w:tc>
      </w:tr>
      <w:tr w14:paraId="7B67935D">
        <w:tc>
          <w:tcPr>
            <w:tcW w:w="706" w:type="pct"/>
            <w:tcBorders>
              <w:top w:val="nil"/>
              <w:left w:val="nil"/>
              <w:bottom w:val="nil"/>
              <w:right w:val="nil"/>
            </w:tcBorders>
            <w:shd w:val="clear" w:color="auto" w:fill="FFFFFF"/>
            <w:vAlign w:val="center"/>
          </w:tcPr>
          <w:p w14:paraId="088DB5B8">
            <w:pPr>
              <w:pStyle w:val="167"/>
              <w:bidi w:val="0"/>
              <w:jc w:val="center"/>
              <w:rPr>
                <w:b w:val="0"/>
                <w:lang w:val="en-US" w:eastAsia="zh-CN"/>
              </w:rPr>
            </w:pPr>
            <w:r>
              <w:rPr>
                <w:b w:val="0"/>
                <w:lang w:val="en-US" w:eastAsia="zh-CN"/>
              </w:rPr>
              <w:t>Harpham 2025</w:t>
            </w:r>
          </w:p>
        </w:tc>
        <w:tc>
          <w:tcPr>
            <w:tcW w:w="1143" w:type="pct"/>
            <w:tcBorders>
              <w:top w:val="nil"/>
              <w:left w:val="nil"/>
              <w:bottom w:val="nil"/>
              <w:right w:val="nil"/>
            </w:tcBorders>
            <w:shd w:val="clear" w:color="auto" w:fill="FFFFFF"/>
            <w:vAlign w:val="center"/>
          </w:tcPr>
          <w:p w14:paraId="46E1AE62">
            <w:pPr>
              <w:pStyle w:val="167"/>
              <w:bidi w:val="0"/>
              <w:jc w:val="center"/>
              <w:rPr>
                <w:b w:val="0"/>
                <w:lang w:val="en-US" w:eastAsia="zh-CN"/>
              </w:rPr>
            </w:pPr>
            <w:r>
              <w:rPr>
                <w:b w:val="0"/>
                <w:lang w:val="en-US" w:eastAsia="zh-CN"/>
              </w:rPr>
              <w:t>MDS-UPDRS/UPDRS III</w:t>
            </w:r>
          </w:p>
        </w:tc>
        <w:tc>
          <w:tcPr>
            <w:tcW w:w="1058" w:type="pct"/>
            <w:tcBorders>
              <w:top w:val="nil"/>
              <w:left w:val="nil"/>
              <w:bottom w:val="nil"/>
              <w:right w:val="nil"/>
            </w:tcBorders>
            <w:shd w:val="clear" w:color="auto" w:fill="FFFFFF"/>
            <w:vAlign w:val="center"/>
          </w:tcPr>
          <w:p w14:paraId="4DEECCF8">
            <w:pPr>
              <w:pStyle w:val="167"/>
              <w:bidi w:val="0"/>
              <w:jc w:val="center"/>
              <w:rPr>
                <w:b w:val="0"/>
                <w:lang w:val="en-US" w:eastAsia="zh-CN"/>
              </w:rPr>
            </w:pPr>
            <w:r>
              <w:rPr>
                <w:b w:val="0"/>
                <w:lang w:val="en-US" w:eastAsia="zh-CN"/>
              </w:rPr>
              <w:t>Passive/minimal</w:t>
            </w:r>
          </w:p>
        </w:tc>
        <w:tc>
          <w:tcPr>
            <w:tcW w:w="626" w:type="pct"/>
            <w:tcBorders>
              <w:top w:val="nil"/>
              <w:left w:val="nil"/>
              <w:bottom w:val="nil"/>
              <w:right w:val="nil"/>
            </w:tcBorders>
            <w:shd w:val="clear" w:color="auto" w:fill="FFFFFF"/>
            <w:vAlign w:val="center"/>
          </w:tcPr>
          <w:p w14:paraId="20121645">
            <w:pPr>
              <w:pStyle w:val="167"/>
              <w:bidi w:val="0"/>
              <w:jc w:val="center"/>
              <w:rPr>
                <w:b w:val="0"/>
                <w:lang w:val="en-US" w:eastAsia="zh-CN"/>
              </w:rPr>
            </w:pPr>
            <w:r>
              <w:rPr>
                <w:b w:val="0"/>
                <w:lang w:val="en-US" w:eastAsia="zh-CN"/>
              </w:rPr>
              <w:t>12 weeks</w:t>
            </w:r>
          </w:p>
        </w:tc>
        <w:tc>
          <w:tcPr>
            <w:tcW w:w="214" w:type="pct"/>
            <w:tcBorders>
              <w:top w:val="nil"/>
              <w:left w:val="nil"/>
              <w:bottom w:val="nil"/>
              <w:right w:val="nil"/>
            </w:tcBorders>
            <w:shd w:val="clear" w:color="auto" w:fill="FFFFFF"/>
            <w:vAlign w:val="center"/>
          </w:tcPr>
          <w:p w14:paraId="38AA3783">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655EFB05">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777ABE5B">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0C413A54">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2FF3A9A0">
            <w:pPr>
              <w:pStyle w:val="167"/>
              <w:bidi w:val="0"/>
              <w:jc w:val="center"/>
              <w:rPr>
                <w:b w:val="0"/>
                <w:lang w:val="en-US" w:eastAsia="zh-CN"/>
              </w:rPr>
            </w:pPr>
            <w:r>
              <w:rPr>
                <w:b w:val="0"/>
                <w:lang w:val="en-US" w:eastAsia="zh-CN"/>
              </w:rPr>
              <w:t>L</w:t>
            </w:r>
          </w:p>
        </w:tc>
        <w:tc>
          <w:tcPr>
            <w:tcW w:w="393" w:type="pct"/>
            <w:tcBorders>
              <w:top w:val="nil"/>
              <w:left w:val="nil"/>
              <w:bottom w:val="nil"/>
              <w:right w:val="nil"/>
            </w:tcBorders>
            <w:shd w:val="clear" w:color="auto" w:fill="FFFFFF"/>
            <w:vAlign w:val="center"/>
          </w:tcPr>
          <w:p w14:paraId="4758895F">
            <w:pPr>
              <w:pStyle w:val="167"/>
              <w:bidi w:val="0"/>
              <w:jc w:val="center"/>
              <w:rPr>
                <w:b w:val="0"/>
                <w:lang w:val="en-US" w:eastAsia="zh-CN"/>
              </w:rPr>
            </w:pPr>
            <w:r>
              <w:rPr>
                <w:b w:val="0"/>
                <w:lang w:val="en-US" w:eastAsia="zh-CN"/>
              </w:rPr>
              <w:t>SC</w:t>
            </w:r>
          </w:p>
        </w:tc>
      </w:tr>
      <w:tr w14:paraId="29BC7C9E">
        <w:tc>
          <w:tcPr>
            <w:tcW w:w="706" w:type="pct"/>
            <w:tcBorders>
              <w:top w:val="nil"/>
              <w:left w:val="nil"/>
              <w:bottom w:val="nil"/>
              <w:right w:val="nil"/>
            </w:tcBorders>
            <w:shd w:val="clear" w:color="auto" w:fill="FFFFFF"/>
            <w:vAlign w:val="center"/>
          </w:tcPr>
          <w:p w14:paraId="277F1328">
            <w:pPr>
              <w:pStyle w:val="167"/>
              <w:bidi w:val="0"/>
              <w:jc w:val="center"/>
              <w:rPr>
                <w:b w:val="0"/>
                <w:lang w:val="en-US" w:eastAsia="zh-CN"/>
              </w:rPr>
            </w:pPr>
            <w:r>
              <w:rPr>
                <w:b w:val="0"/>
                <w:lang w:val="en-US" w:eastAsia="zh-CN"/>
              </w:rPr>
              <w:t>Johnson 2024</w:t>
            </w:r>
          </w:p>
        </w:tc>
        <w:tc>
          <w:tcPr>
            <w:tcW w:w="1143" w:type="pct"/>
            <w:tcBorders>
              <w:top w:val="nil"/>
              <w:left w:val="nil"/>
              <w:bottom w:val="nil"/>
              <w:right w:val="nil"/>
            </w:tcBorders>
            <w:shd w:val="clear" w:color="auto" w:fill="FFFFFF"/>
            <w:vAlign w:val="center"/>
          </w:tcPr>
          <w:p w14:paraId="2B5037ED">
            <w:pPr>
              <w:pStyle w:val="167"/>
              <w:bidi w:val="0"/>
              <w:jc w:val="center"/>
              <w:rPr>
                <w:b w:val="0"/>
                <w:lang w:val="en-US" w:eastAsia="zh-CN"/>
              </w:rPr>
            </w:pPr>
            <w:r>
              <w:rPr>
                <w:b w:val="0"/>
                <w:lang w:val="en-US" w:eastAsia="zh-CN"/>
              </w:rPr>
              <w:t>Balance</w:t>
            </w:r>
          </w:p>
        </w:tc>
        <w:tc>
          <w:tcPr>
            <w:tcW w:w="1058" w:type="pct"/>
            <w:tcBorders>
              <w:top w:val="nil"/>
              <w:left w:val="nil"/>
              <w:bottom w:val="nil"/>
              <w:right w:val="nil"/>
            </w:tcBorders>
            <w:shd w:val="clear" w:color="auto" w:fill="FFFFFF"/>
            <w:vAlign w:val="center"/>
          </w:tcPr>
          <w:p w14:paraId="595D87CA">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10FA7F0F">
            <w:pPr>
              <w:pStyle w:val="167"/>
              <w:bidi w:val="0"/>
              <w:jc w:val="center"/>
              <w:rPr>
                <w:b w:val="0"/>
                <w:lang w:val="en-US" w:eastAsia="zh-CN"/>
              </w:rPr>
            </w:pPr>
            <w:r>
              <w:rPr>
                <w:b w:val="0"/>
                <w:lang w:val="en-US" w:eastAsia="zh-CN"/>
              </w:rPr>
              <w:t>5 weeks</w:t>
            </w:r>
          </w:p>
        </w:tc>
        <w:tc>
          <w:tcPr>
            <w:tcW w:w="214" w:type="pct"/>
            <w:tcBorders>
              <w:top w:val="nil"/>
              <w:left w:val="nil"/>
              <w:bottom w:val="nil"/>
              <w:right w:val="nil"/>
            </w:tcBorders>
            <w:shd w:val="clear" w:color="auto" w:fill="FFFFFF"/>
            <w:vAlign w:val="center"/>
          </w:tcPr>
          <w:p w14:paraId="2C779752">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36914907">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1D1176F7">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068AA24C">
            <w:pPr>
              <w:pStyle w:val="167"/>
              <w:bidi w:val="0"/>
              <w:jc w:val="center"/>
              <w:rPr>
                <w:b w:val="0"/>
                <w:lang w:val="en-US" w:eastAsia="zh-CN"/>
              </w:rPr>
            </w:pPr>
            <w:r>
              <w:rPr>
                <w:b w:val="0"/>
                <w:lang w:val="en-US" w:eastAsia="zh-CN"/>
              </w:rPr>
              <w:t>H</w:t>
            </w:r>
          </w:p>
        </w:tc>
        <w:tc>
          <w:tcPr>
            <w:tcW w:w="214" w:type="pct"/>
            <w:tcBorders>
              <w:top w:val="nil"/>
              <w:left w:val="nil"/>
              <w:bottom w:val="nil"/>
              <w:right w:val="nil"/>
            </w:tcBorders>
            <w:shd w:val="clear" w:color="auto" w:fill="FFFFFF"/>
            <w:vAlign w:val="center"/>
          </w:tcPr>
          <w:p w14:paraId="73F9775F">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7F672194">
            <w:pPr>
              <w:pStyle w:val="167"/>
              <w:bidi w:val="0"/>
              <w:jc w:val="center"/>
              <w:rPr>
                <w:b w:val="0"/>
                <w:lang w:val="en-US" w:eastAsia="zh-CN"/>
              </w:rPr>
            </w:pPr>
            <w:r>
              <w:rPr>
                <w:b w:val="0"/>
                <w:lang w:val="en-US" w:eastAsia="zh-CN"/>
              </w:rPr>
              <w:t>H</w:t>
            </w:r>
          </w:p>
        </w:tc>
      </w:tr>
      <w:tr w14:paraId="5A44B814">
        <w:tc>
          <w:tcPr>
            <w:tcW w:w="706" w:type="pct"/>
            <w:tcBorders>
              <w:top w:val="nil"/>
              <w:left w:val="nil"/>
              <w:bottom w:val="nil"/>
              <w:right w:val="nil"/>
            </w:tcBorders>
            <w:shd w:val="clear" w:color="auto" w:fill="FFFFFF"/>
            <w:vAlign w:val="center"/>
          </w:tcPr>
          <w:p w14:paraId="5E3592EB">
            <w:pPr>
              <w:pStyle w:val="167"/>
              <w:bidi w:val="0"/>
              <w:jc w:val="center"/>
              <w:rPr>
                <w:b w:val="0"/>
                <w:lang w:val="en-US" w:eastAsia="zh-CN"/>
              </w:rPr>
            </w:pPr>
            <w:r>
              <w:rPr>
                <w:b w:val="0"/>
                <w:lang w:val="en-US" w:eastAsia="zh-CN"/>
              </w:rPr>
              <w:t>Johnson 2024</w:t>
            </w:r>
          </w:p>
        </w:tc>
        <w:tc>
          <w:tcPr>
            <w:tcW w:w="1143" w:type="pct"/>
            <w:tcBorders>
              <w:top w:val="nil"/>
              <w:left w:val="nil"/>
              <w:bottom w:val="nil"/>
              <w:right w:val="nil"/>
            </w:tcBorders>
            <w:shd w:val="clear" w:color="auto" w:fill="FFFFFF"/>
            <w:vAlign w:val="center"/>
          </w:tcPr>
          <w:p w14:paraId="35C1B15F">
            <w:pPr>
              <w:pStyle w:val="167"/>
              <w:bidi w:val="0"/>
              <w:jc w:val="center"/>
              <w:rPr>
                <w:b w:val="0"/>
                <w:lang w:val="en-US" w:eastAsia="zh-CN"/>
              </w:rPr>
            </w:pPr>
            <w:r>
              <w:rPr>
                <w:b w:val="0"/>
                <w:lang w:val="en-US" w:eastAsia="zh-CN"/>
              </w:rPr>
              <w:t>Functional mobility</w:t>
            </w:r>
          </w:p>
        </w:tc>
        <w:tc>
          <w:tcPr>
            <w:tcW w:w="1058" w:type="pct"/>
            <w:tcBorders>
              <w:top w:val="nil"/>
              <w:left w:val="nil"/>
              <w:bottom w:val="nil"/>
              <w:right w:val="nil"/>
            </w:tcBorders>
            <w:shd w:val="clear" w:color="auto" w:fill="FFFFFF"/>
            <w:vAlign w:val="center"/>
          </w:tcPr>
          <w:p w14:paraId="566B126F">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6BC348A4">
            <w:pPr>
              <w:pStyle w:val="167"/>
              <w:bidi w:val="0"/>
              <w:jc w:val="center"/>
              <w:rPr>
                <w:b w:val="0"/>
                <w:lang w:val="en-US" w:eastAsia="zh-CN"/>
              </w:rPr>
            </w:pPr>
            <w:r>
              <w:rPr>
                <w:b w:val="0"/>
                <w:lang w:val="en-US" w:eastAsia="zh-CN"/>
              </w:rPr>
              <w:t>5 weeks</w:t>
            </w:r>
          </w:p>
        </w:tc>
        <w:tc>
          <w:tcPr>
            <w:tcW w:w="214" w:type="pct"/>
            <w:tcBorders>
              <w:top w:val="nil"/>
              <w:left w:val="nil"/>
              <w:bottom w:val="nil"/>
              <w:right w:val="nil"/>
            </w:tcBorders>
            <w:shd w:val="clear" w:color="auto" w:fill="FFFFFF"/>
            <w:vAlign w:val="center"/>
          </w:tcPr>
          <w:p w14:paraId="0D2B35E2">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737787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46BFE3E3">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2D169B5A">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7B3ADF19">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4FD9B5C1">
            <w:pPr>
              <w:pStyle w:val="167"/>
              <w:bidi w:val="0"/>
              <w:jc w:val="center"/>
              <w:rPr>
                <w:b w:val="0"/>
                <w:lang w:val="en-US" w:eastAsia="zh-CN"/>
              </w:rPr>
            </w:pPr>
            <w:r>
              <w:rPr>
                <w:b w:val="0"/>
                <w:lang w:val="en-US" w:eastAsia="zh-CN"/>
              </w:rPr>
              <w:t>SC</w:t>
            </w:r>
          </w:p>
        </w:tc>
      </w:tr>
      <w:tr w14:paraId="18E27A4F">
        <w:tc>
          <w:tcPr>
            <w:tcW w:w="706" w:type="pct"/>
            <w:tcBorders>
              <w:top w:val="nil"/>
              <w:left w:val="nil"/>
              <w:bottom w:val="nil"/>
              <w:right w:val="nil"/>
            </w:tcBorders>
            <w:shd w:val="clear" w:color="auto" w:fill="FFFFFF"/>
            <w:vAlign w:val="center"/>
          </w:tcPr>
          <w:p w14:paraId="1C202674">
            <w:pPr>
              <w:pStyle w:val="167"/>
              <w:bidi w:val="0"/>
              <w:jc w:val="center"/>
              <w:rPr>
                <w:b w:val="0"/>
                <w:lang w:val="en-US" w:eastAsia="zh-CN"/>
              </w:rPr>
            </w:pPr>
            <w:r>
              <w:rPr>
                <w:b w:val="0"/>
                <w:lang w:val="en-US" w:eastAsia="zh-CN"/>
              </w:rPr>
              <w:t>Johnson 2024</w:t>
            </w:r>
          </w:p>
        </w:tc>
        <w:tc>
          <w:tcPr>
            <w:tcW w:w="1143" w:type="pct"/>
            <w:tcBorders>
              <w:top w:val="nil"/>
              <w:left w:val="nil"/>
              <w:bottom w:val="nil"/>
              <w:right w:val="nil"/>
            </w:tcBorders>
            <w:shd w:val="clear" w:color="auto" w:fill="FFFFFF"/>
            <w:vAlign w:val="center"/>
          </w:tcPr>
          <w:p w14:paraId="411EC4ED">
            <w:pPr>
              <w:pStyle w:val="167"/>
              <w:bidi w:val="0"/>
              <w:jc w:val="center"/>
              <w:rPr>
                <w:b w:val="0"/>
                <w:lang w:val="en-US" w:eastAsia="zh-CN"/>
              </w:rPr>
            </w:pPr>
            <w:r>
              <w:rPr>
                <w:b w:val="0"/>
                <w:lang w:val="en-US" w:eastAsia="zh-CN"/>
              </w:rPr>
              <w:t>Gait/walking</w:t>
            </w:r>
          </w:p>
        </w:tc>
        <w:tc>
          <w:tcPr>
            <w:tcW w:w="1058" w:type="pct"/>
            <w:tcBorders>
              <w:top w:val="nil"/>
              <w:left w:val="nil"/>
              <w:bottom w:val="nil"/>
              <w:right w:val="nil"/>
            </w:tcBorders>
            <w:shd w:val="clear" w:color="auto" w:fill="FFFFFF"/>
            <w:vAlign w:val="center"/>
          </w:tcPr>
          <w:p w14:paraId="631D10E4">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185B31C9">
            <w:pPr>
              <w:pStyle w:val="167"/>
              <w:bidi w:val="0"/>
              <w:jc w:val="center"/>
              <w:rPr>
                <w:b w:val="0"/>
                <w:lang w:val="en-US" w:eastAsia="zh-CN"/>
              </w:rPr>
            </w:pPr>
            <w:r>
              <w:rPr>
                <w:b w:val="0"/>
                <w:lang w:val="en-US" w:eastAsia="zh-CN"/>
              </w:rPr>
              <w:t>5 weeks</w:t>
            </w:r>
          </w:p>
        </w:tc>
        <w:tc>
          <w:tcPr>
            <w:tcW w:w="214" w:type="pct"/>
            <w:tcBorders>
              <w:top w:val="nil"/>
              <w:left w:val="nil"/>
              <w:bottom w:val="nil"/>
              <w:right w:val="nil"/>
            </w:tcBorders>
            <w:shd w:val="clear" w:color="auto" w:fill="FFFFFF"/>
            <w:vAlign w:val="center"/>
          </w:tcPr>
          <w:p w14:paraId="40FABFD7">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1D98BD12">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01DB9E39">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7103C28C">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AA4F197">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775D56D2">
            <w:pPr>
              <w:pStyle w:val="167"/>
              <w:bidi w:val="0"/>
              <w:jc w:val="center"/>
              <w:rPr>
                <w:b w:val="0"/>
                <w:lang w:val="en-US" w:eastAsia="zh-CN"/>
              </w:rPr>
            </w:pPr>
            <w:r>
              <w:rPr>
                <w:b w:val="0"/>
                <w:lang w:val="en-US" w:eastAsia="zh-CN"/>
              </w:rPr>
              <w:t>SC</w:t>
            </w:r>
          </w:p>
        </w:tc>
      </w:tr>
      <w:tr w14:paraId="3888EC23">
        <w:tc>
          <w:tcPr>
            <w:tcW w:w="706" w:type="pct"/>
            <w:tcBorders>
              <w:top w:val="nil"/>
              <w:left w:val="nil"/>
              <w:bottom w:val="nil"/>
              <w:right w:val="nil"/>
            </w:tcBorders>
            <w:shd w:val="clear" w:color="auto" w:fill="FFFFFF"/>
            <w:vAlign w:val="center"/>
          </w:tcPr>
          <w:p w14:paraId="72FC4D33">
            <w:pPr>
              <w:pStyle w:val="167"/>
              <w:bidi w:val="0"/>
              <w:jc w:val="center"/>
              <w:rPr>
                <w:b w:val="0"/>
                <w:lang w:val="en-US" w:eastAsia="zh-CN"/>
              </w:rPr>
            </w:pPr>
            <w:r>
              <w:rPr>
                <w:b w:val="0"/>
                <w:lang w:val="en-US" w:eastAsia="zh-CN"/>
              </w:rPr>
              <w:t>Jones 2025</w:t>
            </w:r>
          </w:p>
        </w:tc>
        <w:tc>
          <w:tcPr>
            <w:tcW w:w="1143" w:type="pct"/>
            <w:tcBorders>
              <w:top w:val="nil"/>
              <w:left w:val="nil"/>
              <w:bottom w:val="nil"/>
              <w:right w:val="nil"/>
            </w:tcBorders>
            <w:shd w:val="clear" w:color="auto" w:fill="FFFFFF"/>
            <w:vAlign w:val="center"/>
          </w:tcPr>
          <w:p w14:paraId="14AD92D9">
            <w:pPr>
              <w:pStyle w:val="167"/>
              <w:bidi w:val="0"/>
              <w:jc w:val="center"/>
              <w:rPr>
                <w:b w:val="0"/>
                <w:lang w:val="en-US" w:eastAsia="zh-CN"/>
              </w:rPr>
            </w:pPr>
            <w:r>
              <w:rPr>
                <w:b w:val="0"/>
                <w:lang w:val="en-US" w:eastAsia="zh-CN"/>
              </w:rPr>
              <w:t>MDS-UPDRS/UPDRS III</w:t>
            </w:r>
          </w:p>
        </w:tc>
        <w:tc>
          <w:tcPr>
            <w:tcW w:w="1058" w:type="pct"/>
            <w:tcBorders>
              <w:top w:val="nil"/>
              <w:left w:val="nil"/>
              <w:bottom w:val="nil"/>
              <w:right w:val="nil"/>
            </w:tcBorders>
            <w:shd w:val="clear" w:color="auto" w:fill="FFFFFF"/>
            <w:vAlign w:val="center"/>
          </w:tcPr>
          <w:p w14:paraId="6F01AA51">
            <w:pPr>
              <w:pStyle w:val="167"/>
              <w:bidi w:val="0"/>
              <w:jc w:val="center"/>
              <w:rPr>
                <w:b w:val="0"/>
                <w:lang w:val="en-US" w:eastAsia="zh-CN"/>
              </w:rPr>
            </w:pPr>
            <w:r>
              <w:rPr>
                <w:b w:val="0"/>
                <w:lang w:val="en-US" w:eastAsia="zh-CN"/>
              </w:rPr>
              <w:t>Active rehabilitation</w:t>
            </w:r>
          </w:p>
        </w:tc>
        <w:tc>
          <w:tcPr>
            <w:tcW w:w="626" w:type="pct"/>
            <w:tcBorders>
              <w:top w:val="nil"/>
              <w:left w:val="nil"/>
              <w:bottom w:val="nil"/>
              <w:right w:val="nil"/>
            </w:tcBorders>
            <w:shd w:val="clear" w:color="auto" w:fill="FFFFFF"/>
            <w:vAlign w:val="center"/>
          </w:tcPr>
          <w:p w14:paraId="728AC93B">
            <w:pPr>
              <w:pStyle w:val="167"/>
              <w:bidi w:val="0"/>
              <w:jc w:val="center"/>
              <w:rPr>
                <w:b w:val="0"/>
                <w:lang w:val="en-US" w:eastAsia="zh-CN"/>
              </w:rPr>
            </w:pPr>
            <w:r>
              <w:rPr>
                <w:b w:val="0"/>
                <w:lang w:val="en-US" w:eastAsia="zh-CN"/>
              </w:rPr>
              <w:t>30 weeks</w:t>
            </w:r>
          </w:p>
        </w:tc>
        <w:tc>
          <w:tcPr>
            <w:tcW w:w="214" w:type="pct"/>
            <w:tcBorders>
              <w:top w:val="nil"/>
              <w:left w:val="nil"/>
              <w:bottom w:val="nil"/>
              <w:right w:val="nil"/>
            </w:tcBorders>
            <w:shd w:val="clear" w:color="auto" w:fill="FFFFFF"/>
            <w:vAlign w:val="center"/>
          </w:tcPr>
          <w:p w14:paraId="5BC77527">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1BC23CCC">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5BBF95D4">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618FDE8E">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6989287B">
            <w:pPr>
              <w:pStyle w:val="167"/>
              <w:bidi w:val="0"/>
              <w:jc w:val="center"/>
              <w:rPr>
                <w:b w:val="0"/>
                <w:lang w:val="en-US" w:eastAsia="zh-CN"/>
              </w:rPr>
            </w:pPr>
            <w:r>
              <w:rPr>
                <w:b w:val="0"/>
                <w:lang w:val="en-US" w:eastAsia="zh-CN"/>
              </w:rPr>
              <w:t>L</w:t>
            </w:r>
          </w:p>
        </w:tc>
        <w:tc>
          <w:tcPr>
            <w:tcW w:w="393" w:type="pct"/>
            <w:tcBorders>
              <w:top w:val="nil"/>
              <w:left w:val="nil"/>
              <w:bottom w:val="nil"/>
              <w:right w:val="nil"/>
            </w:tcBorders>
            <w:shd w:val="clear" w:color="auto" w:fill="FFFFFF"/>
            <w:vAlign w:val="center"/>
          </w:tcPr>
          <w:p w14:paraId="1F14FC3D">
            <w:pPr>
              <w:pStyle w:val="167"/>
              <w:bidi w:val="0"/>
              <w:jc w:val="center"/>
              <w:rPr>
                <w:b w:val="0"/>
                <w:lang w:val="en-US" w:eastAsia="zh-CN"/>
              </w:rPr>
            </w:pPr>
            <w:r>
              <w:rPr>
                <w:b w:val="0"/>
                <w:lang w:val="en-US" w:eastAsia="zh-CN"/>
              </w:rPr>
              <w:t>SC</w:t>
            </w:r>
          </w:p>
        </w:tc>
      </w:tr>
      <w:tr w14:paraId="09FCD13B">
        <w:tc>
          <w:tcPr>
            <w:tcW w:w="706" w:type="pct"/>
            <w:tcBorders>
              <w:top w:val="nil"/>
              <w:left w:val="nil"/>
              <w:bottom w:val="nil"/>
              <w:right w:val="nil"/>
            </w:tcBorders>
            <w:shd w:val="clear" w:color="auto" w:fill="FFFFFF"/>
            <w:vAlign w:val="center"/>
          </w:tcPr>
          <w:p w14:paraId="4CDC1499">
            <w:pPr>
              <w:pStyle w:val="167"/>
              <w:bidi w:val="0"/>
              <w:jc w:val="center"/>
              <w:rPr>
                <w:b w:val="0"/>
                <w:lang w:val="en-US" w:eastAsia="zh-CN"/>
              </w:rPr>
            </w:pPr>
            <w:r>
              <w:rPr>
                <w:b w:val="0"/>
                <w:lang w:val="en-US" w:eastAsia="zh-CN"/>
              </w:rPr>
              <w:t>Song 2018</w:t>
            </w:r>
          </w:p>
        </w:tc>
        <w:tc>
          <w:tcPr>
            <w:tcW w:w="1143" w:type="pct"/>
            <w:tcBorders>
              <w:top w:val="nil"/>
              <w:left w:val="nil"/>
              <w:bottom w:val="nil"/>
              <w:right w:val="nil"/>
            </w:tcBorders>
            <w:shd w:val="clear" w:color="auto" w:fill="FFFFFF"/>
            <w:vAlign w:val="center"/>
          </w:tcPr>
          <w:p w14:paraId="5A216A31">
            <w:pPr>
              <w:pStyle w:val="167"/>
              <w:bidi w:val="0"/>
              <w:jc w:val="center"/>
              <w:rPr>
                <w:b w:val="0"/>
                <w:lang w:val="en-US" w:eastAsia="zh-CN"/>
              </w:rPr>
            </w:pPr>
            <w:r>
              <w:rPr>
                <w:b w:val="0"/>
                <w:lang w:val="en-US" w:eastAsia="zh-CN"/>
              </w:rPr>
              <w:t>Functional mobility</w:t>
            </w:r>
          </w:p>
        </w:tc>
        <w:tc>
          <w:tcPr>
            <w:tcW w:w="1058" w:type="pct"/>
            <w:tcBorders>
              <w:top w:val="nil"/>
              <w:left w:val="nil"/>
              <w:bottom w:val="nil"/>
              <w:right w:val="nil"/>
            </w:tcBorders>
            <w:shd w:val="clear" w:color="auto" w:fill="FFFFFF"/>
            <w:vAlign w:val="center"/>
          </w:tcPr>
          <w:p w14:paraId="03174C33">
            <w:pPr>
              <w:pStyle w:val="167"/>
              <w:bidi w:val="0"/>
              <w:jc w:val="center"/>
              <w:rPr>
                <w:b w:val="0"/>
                <w:lang w:val="en-US" w:eastAsia="zh-CN"/>
              </w:rPr>
            </w:pPr>
            <w:r>
              <w:rPr>
                <w:b w:val="0"/>
                <w:lang w:val="en-US" w:eastAsia="zh-CN"/>
              </w:rPr>
              <w:t>Passive/minimal</w:t>
            </w:r>
          </w:p>
        </w:tc>
        <w:tc>
          <w:tcPr>
            <w:tcW w:w="626" w:type="pct"/>
            <w:tcBorders>
              <w:top w:val="nil"/>
              <w:left w:val="nil"/>
              <w:bottom w:val="nil"/>
              <w:right w:val="nil"/>
            </w:tcBorders>
            <w:shd w:val="clear" w:color="auto" w:fill="FFFFFF"/>
            <w:vAlign w:val="center"/>
          </w:tcPr>
          <w:p w14:paraId="7299CED3">
            <w:pPr>
              <w:pStyle w:val="167"/>
              <w:bidi w:val="0"/>
              <w:jc w:val="center"/>
              <w:rPr>
                <w:b w:val="0"/>
                <w:lang w:val="en-US" w:eastAsia="zh-CN"/>
              </w:rPr>
            </w:pPr>
            <w:r>
              <w:rPr>
                <w:b w:val="0"/>
                <w:lang w:val="en-US" w:eastAsia="zh-CN"/>
              </w:rPr>
              <w:t>12 weeks</w:t>
            </w:r>
          </w:p>
        </w:tc>
        <w:tc>
          <w:tcPr>
            <w:tcW w:w="214" w:type="pct"/>
            <w:tcBorders>
              <w:top w:val="nil"/>
              <w:left w:val="nil"/>
              <w:bottom w:val="nil"/>
              <w:right w:val="nil"/>
            </w:tcBorders>
            <w:shd w:val="clear" w:color="auto" w:fill="FFFFFF"/>
            <w:vAlign w:val="center"/>
          </w:tcPr>
          <w:p w14:paraId="2C877B6E">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3AA5D3B7">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652EB5EB">
            <w:pPr>
              <w:pStyle w:val="167"/>
              <w:bidi w:val="0"/>
              <w:jc w:val="center"/>
              <w:rPr>
                <w:b w:val="0"/>
                <w:lang w:val="en-US" w:eastAsia="zh-CN"/>
              </w:rPr>
            </w:pPr>
            <w:r>
              <w:rPr>
                <w:b w:val="0"/>
                <w:lang w:val="en-US" w:eastAsia="zh-CN"/>
              </w:rPr>
              <w:t>SC</w:t>
            </w:r>
          </w:p>
        </w:tc>
        <w:tc>
          <w:tcPr>
            <w:tcW w:w="214" w:type="pct"/>
            <w:tcBorders>
              <w:top w:val="nil"/>
              <w:left w:val="nil"/>
              <w:bottom w:val="nil"/>
              <w:right w:val="nil"/>
            </w:tcBorders>
            <w:shd w:val="clear" w:color="auto" w:fill="FFFFFF"/>
            <w:vAlign w:val="center"/>
          </w:tcPr>
          <w:p w14:paraId="4FCEFEA6">
            <w:pPr>
              <w:pStyle w:val="167"/>
              <w:bidi w:val="0"/>
              <w:jc w:val="center"/>
              <w:rPr>
                <w:b w:val="0"/>
                <w:lang w:val="en-US" w:eastAsia="zh-CN"/>
              </w:rPr>
            </w:pPr>
            <w:r>
              <w:rPr>
                <w:b w:val="0"/>
                <w:lang w:val="en-US" w:eastAsia="zh-CN"/>
              </w:rPr>
              <w:t>L</w:t>
            </w:r>
          </w:p>
        </w:tc>
        <w:tc>
          <w:tcPr>
            <w:tcW w:w="214" w:type="pct"/>
            <w:tcBorders>
              <w:top w:val="nil"/>
              <w:left w:val="nil"/>
              <w:bottom w:val="nil"/>
              <w:right w:val="nil"/>
            </w:tcBorders>
            <w:shd w:val="clear" w:color="auto" w:fill="FFFFFF"/>
            <w:vAlign w:val="center"/>
          </w:tcPr>
          <w:p w14:paraId="5ED674F6">
            <w:pPr>
              <w:pStyle w:val="167"/>
              <w:bidi w:val="0"/>
              <w:jc w:val="center"/>
              <w:rPr>
                <w:b w:val="0"/>
                <w:lang w:val="en-US" w:eastAsia="zh-CN"/>
              </w:rPr>
            </w:pPr>
            <w:r>
              <w:rPr>
                <w:b w:val="0"/>
                <w:lang w:val="en-US" w:eastAsia="zh-CN"/>
              </w:rPr>
              <w:t>SC</w:t>
            </w:r>
          </w:p>
        </w:tc>
        <w:tc>
          <w:tcPr>
            <w:tcW w:w="393" w:type="pct"/>
            <w:tcBorders>
              <w:top w:val="nil"/>
              <w:left w:val="nil"/>
              <w:bottom w:val="nil"/>
              <w:right w:val="nil"/>
            </w:tcBorders>
            <w:shd w:val="clear" w:color="auto" w:fill="FFFFFF"/>
            <w:vAlign w:val="center"/>
          </w:tcPr>
          <w:p w14:paraId="61EB0B2A">
            <w:pPr>
              <w:pStyle w:val="167"/>
              <w:bidi w:val="0"/>
              <w:jc w:val="center"/>
              <w:rPr>
                <w:b w:val="0"/>
                <w:lang w:val="en-US" w:eastAsia="zh-CN"/>
              </w:rPr>
            </w:pPr>
            <w:r>
              <w:rPr>
                <w:b w:val="0"/>
                <w:lang w:val="en-US" w:eastAsia="zh-CN"/>
              </w:rPr>
              <w:t>SC</w:t>
            </w:r>
          </w:p>
        </w:tc>
      </w:tr>
      <w:tr w14:paraId="066ED6EB">
        <w:tc>
          <w:tcPr>
            <w:tcW w:w="706" w:type="pct"/>
            <w:tcBorders>
              <w:top w:val="nil"/>
              <w:left w:val="nil"/>
              <w:bottom w:val="single" w:color="000000" w:sz="12" w:space="0"/>
              <w:right w:val="nil"/>
            </w:tcBorders>
            <w:shd w:val="clear" w:color="auto" w:fill="FFFFFF"/>
            <w:vAlign w:val="center"/>
          </w:tcPr>
          <w:p w14:paraId="392587E3">
            <w:pPr>
              <w:pStyle w:val="167"/>
              <w:bidi w:val="0"/>
              <w:jc w:val="center"/>
              <w:rPr>
                <w:b w:val="0"/>
                <w:lang w:val="en-US" w:eastAsia="zh-CN"/>
              </w:rPr>
            </w:pPr>
            <w:r>
              <w:rPr>
                <w:b w:val="0"/>
                <w:lang w:val="en-US" w:eastAsia="zh-CN"/>
              </w:rPr>
              <w:t>Song 2018</w:t>
            </w:r>
          </w:p>
        </w:tc>
        <w:tc>
          <w:tcPr>
            <w:tcW w:w="1143" w:type="pct"/>
            <w:tcBorders>
              <w:top w:val="nil"/>
              <w:left w:val="nil"/>
              <w:bottom w:val="single" w:color="000000" w:sz="12" w:space="0"/>
              <w:right w:val="nil"/>
            </w:tcBorders>
            <w:shd w:val="clear" w:color="auto" w:fill="FFFFFF"/>
            <w:vAlign w:val="center"/>
          </w:tcPr>
          <w:p w14:paraId="447BCB1A">
            <w:pPr>
              <w:pStyle w:val="167"/>
              <w:bidi w:val="0"/>
              <w:jc w:val="center"/>
              <w:rPr>
                <w:b w:val="0"/>
                <w:lang w:val="en-US" w:eastAsia="zh-CN"/>
              </w:rPr>
            </w:pPr>
            <w:r>
              <w:rPr>
                <w:b w:val="0"/>
                <w:lang w:val="en-US" w:eastAsia="zh-CN"/>
              </w:rPr>
              <w:t>Gait/walking</w:t>
            </w:r>
          </w:p>
        </w:tc>
        <w:tc>
          <w:tcPr>
            <w:tcW w:w="1058" w:type="pct"/>
            <w:tcBorders>
              <w:top w:val="nil"/>
              <w:left w:val="nil"/>
              <w:bottom w:val="single" w:color="000000" w:sz="12" w:space="0"/>
              <w:right w:val="nil"/>
            </w:tcBorders>
            <w:shd w:val="clear" w:color="auto" w:fill="FFFFFF"/>
            <w:vAlign w:val="center"/>
          </w:tcPr>
          <w:p w14:paraId="03A65766">
            <w:pPr>
              <w:pStyle w:val="167"/>
              <w:bidi w:val="0"/>
              <w:jc w:val="center"/>
              <w:rPr>
                <w:b w:val="0"/>
                <w:lang w:val="en-US" w:eastAsia="zh-CN"/>
              </w:rPr>
            </w:pPr>
            <w:r>
              <w:rPr>
                <w:b w:val="0"/>
                <w:lang w:val="en-US" w:eastAsia="zh-CN"/>
              </w:rPr>
              <w:t>Passive/minimal</w:t>
            </w:r>
          </w:p>
        </w:tc>
        <w:tc>
          <w:tcPr>
            <w:tcW w:w="626" w:type="pct"/>
            <w:tcBorders>
              <w:top w:val="nil"/>
              <w:left w:val="nil"/>
              <w:bottom w:val="single" w:color="000000" w:sz="12" w:space="0"/>
              <w:right w:val="nil"/>
            </w:tcBorders>
            <w:shd w:val="clear" w:color="auto" w:fill="FFFFFF"/>
            <w:vAlign w:val="center"/>
          </w:tcPr>
          <w:p w14:paraId="7F8261B3">
            <w:pPr>
              <w:pStyle w:val="167"/>
              <w:bidi w:val="0"/>
              <w:jc w:val="center"/>
              <w:rPr>
                <w:b w:val="0"/>
                <w:lang w:val="en-US" w:eastAsia="zh-CN"/>
              </w:rPr>
            </w:pPr>
            <w:r>
              <w:rPr>
                <w:b w:val="0"/>
                <w:lang w:val="en-US" w:eastAsia="zh-CN"/>
              </w:rPr>
              <w:t>12 weeks</w:t>
            </w:r>
          </w:p>
        </w:tc>
        <w:tc>
          <w:tcPr>
            <w:tcW w:w="214" w:type="pct"/>
            <w:tcBorders>
              <w:top w:val="nil"/>
              <w:left w:val="nil"/>
              <w:bottom w:val="single" w:color="000000" w:sz="12" w:space="0"/>
              <w:right w:val="nil"/>
            </w:tcBorders>
            <w:shd w:val="clear" w:color="auto" w:fill="FFFFFF"/>
            <w:vAlign w:val="center"/>
          </w:tcPr>
          <w:p w14:paraId="33227BC8">
            <w:pPr>
              <w:pStyle w:val="167"/>
              <w:bidi w:val="0"/>
              <w:jc w:val="center"/>
              <w:rPr>
                <w:b w:val="0"/>
                <w:lang w:val="en-US" w:eastAsia="zh-CN"/>
              </w:rPr>
            </w:pPr>
            <w:r>
              <w:rPr>
                <w:b w:val="0"/>
                <w:lang w:val="en-US" w:eastAsia="zh-CN"/>
              </w:rPr>
              <w:t>L</w:t>
            </w:r>
          </w:p>
        </w:tc>
        <w:tc>
          <w:tcPr>
            <w:tcW w:w="214" w:type="pct"/>
            <w:tcBorders>
              <w:top w:val="nil"/>
              <w:left w:val="nil"/>
              <w:bottom w:val="single" w:color="000000" w:sz="12" w:space="0"/>
              <w:right w:val="nil"/>
            </w:tcBorders>
            <w:shd w:val="clear" w:color="auto" w:fill="FFFFFF"/>
            <w:vAlign w:val="center"/>
          </w:tcPr>
          <w:p w14:paraId="32741F97">
            <w:pPr>
              <w:pStyle w:val="167"/>
              <w:bidi w:val="0"/>
              <w:jc w:val="center"/>
              <w:rPr>
                <w:b w:val="0"/>
                <w:lang w:val="en-US" w:eastAsia="zh-CN"/>
              </w:rPr>
            </w:pPr>
            <w:r>
              <w:rPr>
                <w:b w:val="0"/>
                <w:lang w:val="en-US" w:eastAsia="zh-CN"/>
              </w:rPr>
              <w:t>SC</w:t>
            </w:r>
          </w:p>
        </w:tc>
        <w:tc>
          <w:tcPr>
            <w:tcW w:w="214" w:type="pct"/>
            <w:tcBorders>
              <w:top w:val="nil"/>
              <w:left w:val="nil"/>
              <w:bottom w:val="single" w:color="000000" w:sz="12" w:space="0"/>
              <w:right w:val="nil"/>
            </w:tcBorders>
            <w:shd w:val="clear" w:color="auto" w:fill="FFFFFF"/>
            <w:vAlign w:val="center"/>
          </w:tcPr>
          <w:p w14:paraId="680CADC9">
            <w:pPr>
              <w:pStyle w:val="167"/>
              <w:bidi w:val="0"/>
              <w:jc w:val="center"/>
              <w:rPr>
                <w:b w:val="0"/>
                <w:lang w:val="en-US" w:eastAsia="zh-CN"/>
              </w:rPr>
            </w:pPr>
            <w:r>
              <w:rPr>
                <w:b w:val="0"/>
                <w:lang w:val="en-US" w:eastAsia="zh-CN"/>
              </w:rPr>
              <w:t>SC</w:t>
            </w:r>
          </w:p>
        </w:tc>
        <w:tc>
          <w:tcPr>
            <w:tcW w:w="214" w:type="pct"/>
            <w:tcBorders>
              <w:top w:val="nil"/>
              <w:left w:val="nil"/>
              <w:bottom w:val="single" w:color="000000" w:sz="12" w:space="0"/>
              <w:right w:val="nil"/>
            </w:tcBorders>
            <w:shd w:val="clear" w:color="auto" w:fill="FFFFFF"/>
            <w:vAlign w:val="center"/>
          </w:tcPr>
          <w:p w14:paraId="0EF17353">
            <w:pPr>
              <w:pStyle w:val="167"/>
              <w:bidi w:val="0"/>
              <w:jc w:val="center"/>
              <w:rPr>
                <w:b w:val="0"/>
                <w:lang w:val="en-US" w:eastAsia="zh-CN"/>
              </w:rPr>
            </w:pPr>
            <w:r>
              <w:rPr>
                <w:b w:val="0"/>
                <w:lang w:val="en-US" w:eastAsia="zh-CN"/>
              </w:rPr>
              <w:t>L</w:t>
            </w:r>
          </w:p>
        </w:tc>
        <w:tc>
          <w:tcPr>
            <w:tcW w:w="214" w:type="pct"/>
            <w:tcBorders>
              <w:top w:val="nil"/>
              <w:left w:val="nil"/>
              <w:bottom w:val="single" w:color="000000" w:sz="12" w:space="0"/>
              <w:right w:val="nil"/>
            </w:tcBorders>
            <w:shd w:val="clear" w:color="auto" w:fill="FFFFFF"/>
            <w:vAlign w:val="center"/>
          </w:tcPr>
          <w:p w14:paraId="412618B0">
            <w:pPr>
              <w:pStyle w:val="167"/>
              <w:bidi w:val="0"/>
              <w:jc w:val="center"/>
              <w:rPr>
                <w:b w:val="0"/>
                <w:lang w:val="en-US" w:eastAsia="zh-CN"/>
              </w:rPr>
            </w:pPr>
            <w:r>
              <w:rPr>
                <w:b w:val="0"/>
                <w:lang w:val="en-US" w:eastAsia="zh-CN"/>
              </w:rPr>
              <w:t>SC</w:t>
            </w:r>
          </w:p>
        </w:tc>
        <w:tc>
          <w:tcPr>
            <w:tcW w:w="393" w:type="pct"/>
            <w:tcBorders>
              <w:top w:val="nil"/>
              <w:left w:val="nil"/>
              <w:bottom w:val="single" w:color="000000" w:sz="12" w:space="0"/>
              <w:right w:val="nil"/>
            </w:tcBorders>
            <w:shd w:val="clear" w:color="auto" w:fill="FFFFFF"/>
            <w:vAlign w:val="center"/>
          </w:tcPr>
          <w:p w14:paraId="55B36B1E">
            <w:pPr>
              <w:pStyle w:val="167"/>
              <w:bidi w:val="0"/>
              <w:jc w:val="center"/>
              <w:rPr>
                <w:b w:val="0"/>
                <w:lang w:val="en-US" w:eastAsia="zh-CN"/>
              </w:rPr>
            </w:pPr>
            <w:r>
              <w:rPr>
                <w:b w:val="0"/>
                <w:lang w:val="en-US" w:eastAsia="zh-CN"/>
              </w:rPr>
              <w:t>SC</w:t>
            </w:r>
          </w:p>
        </w:tc>
      </w:tr>
    </w:tbl>
    <w:p w14:paraId="6B12F68B">
      <w:pPr>
        <w:pStyle w:val="4"/>
        <w:bidi w:val="0"/>
      </w:pPr>
      <w:r>
        <w:rPr>
          <w:lang w:val="en-US" w:eastAsia="zh-CN"/>
        </w:rPr>
        <w:t>Supplementary Table S4b. Summary of overall RoB 2 judgements by outcome domain</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5"/>
        <w:gridCol w:w="1470"/>
        <w:gridCol w:w="1470"/>
        <w:gridCol w:w="1470"/>
        <w:gridCol w:w="1470"/>
        <w:gridCol w:w="6809"/>
      </w:tblGrid>
      <w:tr w14:paraId="07F1BF9B">
        <w:tc>
          <w:tcPr>
            <w:tcW w:w="1485" w:type="dxa"/>
            <w:tcBorders>
              <w:top w:val="single" w:color="000000" w:sz="12" w:space="0"/>
              <w:left w:val="nil"/>
              <w:bottom w:val="single" w:color="000000" w:sz="4" w:space="0"/>
              <w:right w:val="nil"/>
              <w:tl2br w:val="nil"/>
            </w:tcBorders>
            <w:shd w:val="clear" w:color="auto" w:fill="FFFFFF"/>
            <w:vAlign w:val="center"/>
          </w:tcPr>
          <w:p w14:paraId="39D13C8F">
            <w:pPr>
              <w:pStyle w:val="167"/>
              <w:bidi w:val="0"/>
              <w:jc w:val="center"/>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Outcome domain</w:t>
            </w:r>
          </w:p>
        </w:tc>
        <w:tc>
          <w:tcPr>
            <w:tcW w:w="1470" w:type="dxa"/>
            <w:tcBorders>
              <w:top w:val="single" w:color="000000" w:sz="12" w:space="0"/>
              <w:left w:val="nil"/>
              <w:bottom w:val="single" w:color="000000" w:sz="4" w:space="0"/>
              <w:right w:val="nil"/>
            </w:tcBorders>
            <w:shd w:val="clear" w:color="auto" w:fill="FFFFFF"/>
            <w:vAlign w:val="center"/>
          </w:tcPr>
          <w:p w14:paraId="2B7EAFA9">
            <w:pPr>
              <w:pStyle w:val="167"/>
              <w:bidi w:val="0"/>
              <w:jc w:val="center"/>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Total results</w:t>
            </w:r>
          </w:p>
        </w:tc>
        <w:tc>
          <w:tcPr>
            <w:tcW w:w="1470" w:type="dxa"/>
            <w:tcBorders>
              <w:top w:val="single" w:color="000000" w:sz="12" w:space="0"/>
              <w:left w:val="nil"/>
              <w:bottom w:val="single" w:color="000000" w:sz="4" w:space="0"/>
              <w:right w:val="nil"/>
            </w:tcBorders>
            <w:shd w:val="clear" w:color="auto" w:fill="FFFFFF"/>
            <w:vAlign w:val="center"/>
          </w:tcPr>
          <w:p w14:paraId="45B807B4">
            <w:pPr>
              <w:pStyle w:val="167"/>
              <w:bidi w:val="0"/>
              <w:jc w:val="center"/>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Low risk, n (%)</w:t>
            </w:r>
          </w:p>
        </w:tc>
        <w:tc>
          <w:tcPr>
            <w:tcW w:w="1470" w:type="dxa"/>
            <w:tcBorders>
              <w:top w:val="single" w:color="000000" w:sz="12" w:space="0"/>
              <w:left w:val="nil"/>
              <w:bottom w:val="single" w:color="000000" w:sz="4" w:space="0"/>
              <w:right w:val="nil"/>
            </w:tcBorders>
            <w:shd w:val="clear" w:color="auto" w:fill="FFFFFF"/>
            <w:vAlign w:val="center"/>
          </w:tcPr>
          <w:p w14:paraId="227F83D9">
            <w:pPr>
              <w:pStyle w:val="167"/>
              <w:bidi w:val="0"/>
              <w:jc w:val="center"/>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Some concerns, n (%)</w:t>
            </w:r>
          </w:p>
        </w:tc>
        <w:tc>
          <w:tcPr>
            <w:tcW w:w="1470" w:type="dxa"/>
            <w:tcBorders>
              <w:top w:val="single" w:color="000000" w:sz="12" w:space="0"/>
              <w:left w:val="nil"/>
              <w:bottom w:val="single" w:color="000000" w:sz="4" w:space="0"/>
              <w:right w:val="nil"/>
            </w:tcBorders>
            <w:shd w:val="clear" w:color="auto" w:fill="FFFFFF"/>
            <w:vAlign w:val="center"/>
          </w:tcPr>
          <w:p w14:paraId="4B89AB8C">
            <w:pPr>
              <w:pStyle w:val="167"/>
              <w:bidi w:val="0"/>
              <w:jc w:val="center"/>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High risk, n (%)</w:t>
            </w:r>
          </w:p>
        </w:tc>
        <w:tc>
          <w:tcPr>
            <w:tcW w:w="6809" w:type="dxa"/>
            <w:tcBorders>
              <w:top w:val="single" w:color="000000" w:sz="12" w:space="0"/>
              <w:left w:val="nil"/>
              <w:bottom w:val="single" w:color="000000" w:sz="4" w:space="0"/>
              <w:right w:val="nil"/>
            </w:tcBorders>
            <w:shd w:val="clear" w:color="auto" w:fill="FFFFFF"/>
            <w:vAlign w:val="center"/>
          </w:tcPr>
          <w:p w14:paraId="75A9E82F">
            <w:pPr>
              <w:pStyle w:val="167"/>
              <w:bidi w:val="0"/>
              <w:jc w:val="center"/>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Main pattern</w:t>
            </w:r>
          </w:p>
        </w:tc>
      </w:tr>
      <w:tr w14:paraId="42C7DEC7">
        <w:tc>
          <w:tcPr>
            <w:tcW w:w="1485" w:type="dxa"/>
            <w:tcBorders>
              <w:top w:val="single" w:color="000000" w:sz="4" w:space="0"/>
              <w:left w:val="nil"/>
              <w:bottom w:val="nil"/>
              <w:right w:val="nil"/>
            </w:tcBorders>
            <w:shd w:val="clear" w:color="auto" w:fill="FFFFFF"/>
            <w:vAlign w:val="center"/>
          </w:tcPr>
          <w:p w14:paraId="77F9E72C">
            <w:pPr>
              <w:pStyle w:val="167"/>
              <w:bidi w:val="0"/>
              <w:jc w:val="center"/>
              <w:rPr>
                <w:b w:val="0"/>
                <w:lang w:val="en-US" w:eastAsia="zh-CN"/>
              </w:rPr>
            </w:pPr>
            <w:r>
              <w:rPr>
                <w:b w:val="0"/>
                <w:lang w:val="en-US" w:eastAsia="zh-CN"/>
              </w:rPr>
              <w:t>MDS-UPDRS III/UPDRS III</w:t>
            </w:r>
          </w:p>
        </w:tc>
        <w:tc>
          <w:tcPr>
            <w:tcW w:w="1470" w:type="dxa"/>
            <w:tcBorders>
              <w:top w:val="single" w:color="000000" w:sz="4" w:space="0"/>
              <w:left w:val="nil"/>
              <w:bottom w:val="nil"/>
              <w:right w:val="nil"/>
            </w:tcBorders>
            <w:shd w:val="clear" w:color="auto" w:fill="FFFFFF"/>
            <w:vAlign w:val="center"/>
          </w:tcPr>
          <w:p w14:paraId="2C3E7A9C">
            <w:pPr>
              <w:pStyle w:val="167"/>
              <w:bidi w:val="0"/>
              <w:jc w:val="center"/>
              <w:rPr>
                <w:b w:val="0"/>
                <w:lang w:val="en-US" w:eastAsia="zh-CN"/>
              </w:rPr>
            </w:pPr>
            <w:r>
              <w:rPr>
                <w:b w:val="0"/>
                <w:lang w:val="en-US" w:eastAsia="zh-CN"/>
              </w:rPr>
              <w:t>8</w:t>
            </w:r>
          </w:p>
        </w:tc>
        <w:tc>
          <w:tcPr>
            <w:tcW w:w="1470" w:type="dxa"/>
            <w:tcBorders>
              <w:top w:val="single" w:color="000000" w:sz="4" w:space="0"/>
              <w:left w:val="nil"/>
              <w:bottom w:val="nil"/>
              <w:right w:val="nil"/>
            </w:tcBorders>
            <w:shd w:val="clear" w:color="auto" w:fill="FFFFFF"/>
            <w:vAlign w:val="center"/>
          </w:tcPr>
          <w:p w14:paraId="5BFF9505">
            <w:pPr>
              <w:pStyle w:val="167"/>
              <w:bidi w:val="0"/>
              <w:jc w:val="center"/>
              <w:rPr>
                <w:b w:val="0"/>
                <w:lang w:val="en-US" w:eastAsia="zh-CN"/>
              </w:rPr>
            </w:pPr>
            <w:r>
              <w:rPr>
                <w:b w:val="0"/>
                <w:lang w:val="en-US" w:eastAsia="zh-CN"/>
              </w:rPr>
              <w:t>0 (0.0%)</w:t>
            </w:r>
          </w:p>
        </w:tc>
        <w:tc>
          <w:tcPr>
            <w:tcW w:w="1470" w:type="dxa"/>
            <w:tcBorders>
              <w:top w:val="single" w:color="000000" w:sz="4" w:space="0"/>
              <w:left w:val="nil"/>
              <w:bottom w:val="nil"/>
              <w:right w:val="nil"/>
            </w:tcBorders>
            <w:shd w:val="clear" w:color="auto" w:fill="FFFFFF"/>
            <w:vAlign w:val="center"/>
          </w:tcPr>
          <w:p w14:paraId="24064B92">
            <w:pPr>
              <w:pStyle w:val="167"/>
              <w:bidi w:val="0"/>
              <w:jc w:val="center"/>
              <w:rPr>
                <w:b w:val="0"/>
                <w:lang w:val="en-US" w:eastAsia="zh-CN"/>
              </w:rPr>
            </w:pPr>
            <w:r>
              <w:rPr>
                <w:b w:val="0"/>
                <w:lang w:val="en-US" w:eastAsia="zh-CN"/>
              </w:rPr>
              <w:t>5 (62.5%)</w:t>
            </w:r>
          </w:p>
        </w:tc>
        <w:tc>
          <w:tcPr>
            <w:tcW w:w="1470" w:type="dxa"/>
            <w:tcBorders>
              <w:top w:val="single" w:color="000000" w:sz="4" w:space="0"/>
              <w:left w:val="nil"/>
              <w:bottom w:val="nil"/>
              <w:right w:val="nil"/>
            </w:tcBorders>
            <w:shd w:val="clear" w:color="auto" w:fill="FFFFFF"/>
            <w:vAlign w:val="center"/>
          </w:tcPr>
          <w:p w14:paraId="60F5F8CB">
            <w:pPr>
              <w:pStyle w:val="167"/>
              <w:bidi w:val="0"/>
              <w:jc w:val="center"/>
              <w:rPr>
                <w:b w:val="0"/>
                <w:lang w:val="en-US" w:eastAsia="zh-CN"/>
              </w:rPr>
            </w:pPr>
            <w:r>
              <w:rPr>
                <w:b w:val="0"/>
                <w:lang w:val="en-US" w:eastAsia="zh-CN"/>
              </w:rPr>
              <w:t>3 (37.5%)</w:t>
            </w:r>
          </w:p>
        </w:tc>
        <w:tc>
          <w:tcPr>
            <w:tcW w:w="6809" w:type="dxa"/>
            <w:tcBorders>
              <w:top w:val="single" w:color="000000" w:sz="4" w:space="0"/>
              <w:left w:val="nil"/>
              <w:bottom w:val="nil"/>
              <w:right w:val="nil"/>
            </w:tcBorders>
            <w:shd w:val="clear" w:color="auto" w:fill="FFFFFF"/>
            <w:vAlign w:val="center"/>
          </w:tcPr>
          <w:p w14:paraId="3959EE83">
            <w:pPr>
              <w:pStyle w:val="167"/>
              <w:bidi w:val="0"/>
              <w:jc w:val="center"/>
              <w:rPr>
                <w:b w:val="0"/>
                <w:lang w:val="en-US" w:eastAsia="zh-CN"/>
              </w:rPr>
            </w:pPr>
            <w:r>
              <w:rPr>
                <w:b w:val="0"/>
                <w:lang w:val="en-US" w:eastAsia="zh-CN"/>
              </w:rPr>
              <w:t>High-risk judgements resulted from measurement bias for Del Pino 2025 and Ginis 2016 and missing-outcome-data bias for Ge 2024.</w:t>
            </w:r>
          </w:p>
        </w:tc>
      </w:tr>
      <w:tr w14:paraId="0A1A94E2">
        <w:tc>
          <w:tcPr>
            <w:tcW w:w="1485" w:type="dxa"/>
            <w:tcBorders>
              <w:top w:val="nil"/>
              <w:left w:val="nil"/>
              <w:bottom w:val="nil"/>
              <w:right w:val="nil"/>
            </w:tcBorders>
            <w:shd w:val="clear" w:color="auto" w:fill="FFFFFF"/>
            <w:vAlign w:val="center"/>
          </w:tcPr>
          <w:p w14:paraId="63F077BE">
            <w:pPr>
              <w:pStyle w:val="167"/>
              <w:bidi w:val="0"/>
              <w:jc w:val="center"/>
              <w:rPr>
                <w:b w:val="0"/>
                <w:lang w:val="en-US" w:eastAsia="zh-CN"/>
              </w:rPr>
            </w:pPr>
            <w:r>
              <w:rPr>
                <w:b w:val="0"/>
                <w:lang w:val="en-US" w:eastAsia="zh-CN"/>
              </w:rPr>
              <w:t>Balance function</w:t>
            </w:r>
          </w:p>
        </w:tc>
        <w:tc>
          <w:tcPr>
            <w:tcW w:w="1470" w:type="dxa"/>
            <w:tcBorders>
              <w:top w:val="nil"/>
              <w:left w:val="nil"/>
              <w:bottom w:val="nil"/>
              <w:right w:val="nil"/>
            </w:tcBorders>
            <w:shd w:val="clear" w:color="auto" w:fill="FFFFFF"/>
            <w:vAlign w:val="center"/>
          </w:tcPr>
          <w:p w14:paraId="0DC5AD58">
            <w:pPr>
              <w:pStyle w:val="167"/>
              <w:bidi w:val="0"/>
              <w:jc w:val="center"/>
              <w:rPr>
                <w:b w:val="0"/>
                <w:lang w:val="en-US" w:eastAsia="zh-CN"/>
              </w:rPr>
            </w:pPr>
            <w:r>
              <w:rPr>
                <w:b w:val="0"/>
                <w:lang w:val="en-US" w:eastAsia="zh-CN"/>
              </w:rPr>
              <w:t>7</w:t>
            </w:r>
          </w:p>
        </w:tc>
        <w:tc>
          <w:tcPr>
            <w:tcW w:w="1470" w:type="dxa"/>
            <w:tcBorders>
              <w:top w:val="nil"/>
              <w:left w:val="nil"/>
              <w:bottom w:val="nil"/>
              <w:right w:val="nil"/>
            </w:tcBorders>
            <w:shd w:val="clear" w:color="auto" w:fill="FFFFFF"/>
            <w:vAlign w:val="center"/>
          </w:tcPr>
          <w:p w14:paraId="293E80D3">
            <w:pPr>
              <w:pStyle w:val="167"/>
              <w:bidi w:val="0"/>
              <w:jc w:val="center"/>
              <w:rPr>
                <w:b w:val="0"/>
                <w:lang w:val="en-US" w:eastAsia="zh-CN"/>
              </w:rPr>
            </w:pPr>
            <w:r>
              <w:rPr>
                <w:b w:val="0"/>
                <w:lang w:val="en-US" w:eastAsia="zh-CN"/>
              </w:rPr>
              <w:t>0 (0.0%)</w:t>
            </w:r>
          </w:p>
        </w:tc>
        <w:tc>
          <w:tcPr>
            <w:tcW w:w="1470" w:type="dxa"/>
            <w:tcBorders>
              <w:top w:val="nil"/>
              <w:left w:val="nil"/>
              <w:bottom w:val="nil"/>
              <w:right w:val="nil"/>
            </w:tcBorders>
            <w:shd w:val="clear" w:color="auto" w:fill="FFFFFF"/>
            <w:vAlign w:val="center"/>
          </w:tcPr>
          <w:p w14:paraId="0A8E17F7">
            <w:pPr>
              <w:pStyle w:val="167"/>
              <w:bidi w:val="0"/>
              <w:jc w:val="center"/>
              <w:rPr>
                <w:b w:val="0"/>
                <w:lang w:val="en-US" w:eastAsia="zh-CN"/>
              </w:rPr>
            </w:pPr>
            <w:r>
              <w:rPr>
                <w:b w:val="0"/>
                <w:lang w:val="en-US" w:eastAsia="zh-CN"/>
              </w:rPr>
              <w:t>4 (57.1%)</w:t>
            </w:r>
          </w:p>
        </w:tc>
        <w:tc>
          <w:tcPr>
            <w:tcW w:w="1470" w:type="dxa"/>
            <w:tcBorders>
              <w:top w:val="nil"/>
              <w:left w:val="nil"/>
              <w:bottom w:val="nil"/>
              <w:right w:val="nil"/>
            </w:tcBorders>
            <w:shd w:val="clear" w:color="auto" w:fill="FFFFFF"/>
            <w:vAlign w:val="center"/>
          </w:tcPr>
          <w:p w14:paraId="739C3FD6">
            <w:pPr>
              <w:pStyle w:val="167"/>
              <w:bidi w:val="0"/>
              <w:jc w:val="center"/>
              <w:rPr>
                <w:b w:val="0"/>
                <w:lang w:val="en-US" w:eastAsia="zh-CN"/>
              </w:rPr>
            </w:pPr>
            <w:r>
              <w:rPr>
                <w:b w:val="0"/>
                <w:lang w:val="en-US" w:eastAsia="zh-CN"/>
              </w:rPr>
              <w:t>3 (42.9%)</w:t>
            </w:r>
          </w:p>
        </w:tc>
        <w:tc>
          <w:tcPr>
            <w:tcW w:w="6809" w:type="dxa"/>
            <w:tcBorders>
              <w:top w:val="nil"/>
              <w:left w:val="nil"/>
              <w:bottom w:val="nil"/>
              <w:right w:val="nil"/>
            </w:tcBorders>
            <w:shd w:val="clear" w:color="auto" w:fill="FFFFFF"/>
            <w:vAlign w:val="center"/>
          </w:tcPr>
          <w:p w14:paraId="710CD204">
            <w:pPr>
              <w:pStyle w:val="167"/>
              <w:bidi w:val="0"/>
              <w:jc w:val="center"/>
              <w:rPr>
                <w:b w:val="0"/>
                <w:lang w:val="en-US" w:eastAsia="zh-CN"/>
              </w:rPr>
            </w:pPr>
            <w:r>
              <w:rPr>
                <w:b w:val="0"/>
                <w:lang w:val="en-US" w:eastAsia="zh-CN"/>
              </w:rPr>
              <w:t>High-risk judgements resulted from missing outcome data for Ge 2024 and measurement bias for Ginis 2016 and Johnson 2024.</w:t>
            </w:r>
          </w:p>
        </w:tc>
      </w:tr>
      <w:tr w14:paraId="394F7B0F">
        <w:tc>
          <w:tcPr>
            <w:tcW w:w="1485" w:type="dxa"/>
            <w:tcBorders>
              <w:top w:val="nil"/>
              <w:left w:val="nil"/>
              <w:bottom w:val="nil"/>
              <w:right w:val="nil"/>
            </w:tcBorders>
            <w:shd w:val="clear" w:color="auto" w:fill="FFFFFF"/>
            <w:vAlign w:val="center"/>
          </w:tcPr>
          <w:p w14:paraId="657CFA9C">
            <w:pPr>
              <w:pStyle w:val="167"/>
              <w:bidi w:val="0"/>
              <w:jc w:val="center"/>
              <w:rPr>
                <w:b w:val="0"/>
                <w:lang w:val="en-US" w:eastAsia="zh-CN"/>
              </w:rPr>
            </w:pPr>
            <w:r>
              <w:rPr>
                <w:b w:val="0"/>
                <w:lang w:val="en-US" w:eastAsia="zh-CN"/>
              </w:rPr>
              <w:t>Functional mobility</w:t>
            </w:r>
          </w:p>
        </w:tc>
        <w:tc>
          <w:tcPr>
            <w:tcW w:w="1470" w:type="dxa"/>
            <w:tcBorders>
              <w:top w:val="nil"/>
              <w:left w:val="nil"/>
              <w:bottom w:val="nil"/>
              <w:right w:val="nil"/>
            </w:tcBorders>
            <w:shd w:val="clear" w:color="auto" w:fill="FFFFFF"/>
            <w:vAlign w:val="center"/>
          </w:tcPr>
          <w:p w14:paraId="556617A8">
            <w:pPr>
              <w:pStyle w:val="167"/>
              <w:bidi w:val="0"/>
              <w:jc w:val="center"/>
              <w:rPr>
                <w:b w:val="0"/>
                <w:lang w:val="en-US" w:eastAsia="zh-CN"/>
              </w:rPr>
            </w:pPr>
            <w:r>
              <w:rPr>
                <w:b w:val="0"/>
                <w:lang w:val="en-US" w:eastAsia="zh-CN"/>
              </w:rPr>
              <w:t>4</w:t>
            </w:r>
          </w:p>
        </w:tc>
        <w:tc>
          <w:tcPr>
            <w:tcW w:w="1470" w:type="dxa"/>
            <w:tcBorders>
              <w:top w:val="nil"/>
              <w:left w:val="nil"/>
              <w:bottom w:val="nil"/>
              <w:right w:val="nil"/>
            </w:tcBorders>
            <w:shd w:val="clear" w:color="auto" w:fill="FFFFFF"/>
            <w:vAlign w:val="center"/>
          </w:tcPr>
          <w:p w14:paraId="30A19018">
            <w:pPr>
              <w:pStyle w:val="167"/>
              <w:bidi w:val="0"/>
              <w:jc w:val="center"/>
              <w:rPr>
                <w:b w:val="0"/>
                <w:lang w:val="en-US" w:eastAsia="zh-CN"/>
              </w:rPr>
            </w:pPr>
            <w:r>
              <w:rPr>
                <w:b w:val="0"/>
                <w:lang w:val="en-US" w:eastAsia="zh-CN"/>
              </w:rPr>
              <w:t>0 (0.0%)</w:t>
            </w:r>
          </w:p>
        </w:tc>
        <w:tc>
          <w:tcPr>
            <w:tcW w:w="1470" w:type="dxa"/>
            <w:tcBorders>
              <w:top w:val="nil"/>
              <w:left w:val="nil"/>
              <w:bottom w:val="nil"/>
              <w:right w:val="nil"/>
            </w:tcBorders>
            <w:shd w:val="clear" w:color="auto" w:fill="FFFFFF"/>
            <w:vAlign w:val="center"/>
          </w:tcPr>
          <w:p w14:paraId="1E17FE16">
            <w:pPr>
              <w:pStyle w:val="167"/>
              <w:bidi w:val="0"/>
              <w:jc w:val="center"/>
              <w:rPr>
                <w:b w:val="0"/>
                <w:lang w:val="en-US" w:eastAsia="zh-CN"/>
              </w:rPr>
            </w:pPr>
            <w:r>
              <w:rPr>
                <w:b w:val="0"/>
                <w:lang w:val="en-US" w:eastAsia="zh-CN"/>
              </w:rPr>
              <w:t>3 (75.0%)</w:t>
            </w:r>
          </w:p>
        </w:tc>
        <w:tc>
          <w:tcPr>
            <w:tcW w:w="1470" w:type="dxa"/>
            <w:tcBorders>
              <w:top w:val="nil"/>
              <w:left w:val="nil"/>
              <w:bottom w:val="nil"/>
              <w:right w:val="nil"/>
            </w:tcBorders>
            <w:shd w:val="clear" w:color="auto" w:fill="FFFFFF"/>
            <w:vAlign w:val="center"/>
          </w:tcPr>
          <w:p w14:paraId="31938E8F">
            <w:pPr>
              <w:pStyle w:val="167"/>
              <w:bidi w:val="0"/>
              <w:jc w:val="center"/>
              <w:rPr>
                <w:b w:val="0"/>
                <w:lang w:val="en-US" w:eastAsia="zh-CN"/>
              </w:rPr>
            </w:pPr>
            <w:r>
              <w:rPr>
                <w:b w:val="0"/>
                <w:lang w:val="en-US" w:eastAsia="zh-CN"/>
              </w:rPr>
              <w:t>1 (25.0%)</w:t>
            </w:r>
          </w:p>
        </w:tc>
        <w:tc>
          <w:tcPr>
            <w:tcW w:w="6809" w:type="dxa"/>
            <w:tcBorders>
              <w:top w:val="nil"/>
              <w:left w:val="nil"/>
              <w:bottom w:val="nil"/>
              <w:right w:val="nil"/>
            </w:tcBorders>
            <w:shd w:val="clear" w:color="auto" w:fill="FFFFFF"/>
            <w:vAlign w:val="center"/>
          </w:tcPr>
          <w:p w14:paraId="79C2FFB6">
            <w:pPr>
              <w:pStyle w:val="167"/>
              <w:bidi w:val="0"/>
              <w:jc w:val="center"/>
              <w:rPr>
                <w:b w:val="0"/>
                <w:lang w:val="en-US" w:eastAsia="zh-CN"/>
              </w:rPr>
            </w:pPr>
            <w:r>
              <w:rPr>
                <w:b w:val="0"/>
                <w:lang w:val="en-US" w:eastAsia="zh-CN"/>
              </w:rPr>
              <w:t>Ge 2024 was judged at high risk because of substantial and unequal missing outcome data; the other three results had some concerns.</w:t>
            </w:r>
          </w:p>
        </w:tc>
      </w:tr>
      <w:tr w14:paraId="499194CC">
        <w:tc>
          <w:tcPr>
            <w:tcW w:w="1485" w:type="dxa"/>
            <w:tcBorders>
              <w:top w:val="nil"/>
              <w:left w:val="nil"/>
              <w:bottom w:val="nil"/>
              <w:right w:val="nil"/>
            </w:tcBorders>
            <w:shd w:val="clear" w:color="auto" w:fill="FFFFFF"/>
            <w:vAlign w:val="center"/>
          </w:tcPr>
          <w:p w14:paraId="0707024B">
            <w:pPr>
              <w:pStyle w:val="167"/>
              <w:bidi w:val="0"/>
              <w:jc w:val="center"/>
              <w:rPr>
                <w:b w:val="0"/>
                <w:lang w:val="en-US" w:eastAsia="zh-CN"/>
              </w:rPr>
            </w:pPr>
            <w:r>
              <w:rPr>
                <w:b w:val="0"/>
                <w:lang w:val="en-US" w:eastAsia="zh-CN"/>
              </w:rPr>
              <w:t>Gait/walking function</w:t>
            </w:r>
          </w:p>
        </w:tc>
        <w:tc>
          <w:tcPr>
            <w:tcW w:w="1470" w:type="dxa"/>
            <w:tcBorders>
              <w:top w:val="nil"/>
              <w:left w:val="nil"/>
              <w:bottom w:val="nil"/>
              <w:right w:val="nil"/>
            </w:tcBorders>
            <w:shd w:val="clear" w:color="auto" w:fill="FFFFFF"/>
            <w:vAlign w:val="center"/>
          </w:tcPr>
          <w:p w14:paraId="06B65325">
            <w:pPr>
              <w:pStyle w:val="167"/>
              <w:bidi w:val="0"/>
              <w:jc w:val="center"/>
              <w:rPr>
                <w:b w:val="0"/>
                <w:lang w:val="en-US" w:eastAsia="zh-CN"/>
              </w:rPr>
            </w:pPr>
            <w:r>
              <w:rPr>
                <w:b w:val="0"/>
                <w:lang w:val="en-US" w:eastAsia="zh-CN"/>
              </w:rPr>
              <w:t>7</w:t>
            </w:r>
          </w:p>
        </w:tc>
        <w:tc>
          <w:tcPr>
            <w:tcW w:w="1470" w:type="dxa"/>
            <w:tcBorders>
              <w:top w:val="nil"/>
              <w:left w:val="nil"/>
              <w:bottom w:val="nil"/>
              <w:right w:val="nil"/>
            </w:tcBorders>
            <w:shd w:val="clear" w:color="auto" w:fill="FFFFFF"/>
            <w:vAlign w:val="center"/>
          </w:tcPr>
          <w:p w14:paraId="7B003AAC">
            <w:pPr>
              <w:pStyle w:val="167"/>
              <w:bidi w:val="0"/>
              <w:jc w:val="center"/>
              <w:rPr>
                <w:b w:val="0"/>
                <w:lang w:val="en-US" w:eastAsia="zh-CN"/>
              </w:rPr>
            </w:pPr>
            <w:r>
              <w:rPr>
                <w:b w:val="0"/>
                <w:lang w:val="en-US" w:eastAsia="zh-CN"/>
              </w:rPr>
              <w:t>0 (0.0%)</w:t>
            </w:r>
          </w:p>
        </w:tc>
        <w:tc>
          <w:tcPr>
            <w:tcW w:w="1470" w:type="dxa"/>
            <w:tcBorders>
              <w:top w:val="nil"/>
              <w:left w:val="nil"/>
              <w:bottom w:val="nil"/>
              <w:right w:val="nil"/>
            </w:tcBorders>
            <w:shd w:val="clear" w:color="auto" w:fill="FFFFFF"/>
            <w:vAlign w:val="center"/>
          </w:tcPr>
          <w:p w14:paraId="59908789">
            <w:pPr>
              <w:pStyle w:val="167"/>
              <w:bidi w:val="0"/>
              <w:jc w:val="center"/>
              <w:rPr>
                <w:b w:val="0"/>
                <w:lang w:val="en-US" w:eastAsia="zh-CN"/>
              </w:rPr>
            </w:pPr>
            <w:r>
              <w:rPr>
                <w:b w:val="0"/>
                <w:lang w:val="en-US" w:eastAsia="zh-CN"/>
              </w:rPr>
              <w:t>6 (85.7%)</w:t>
            </w:r>
          </w:p>
        </w:tc>
        <w:tc>
          <w:tcPr>
            <w:tcW w:w="1470" w:type="dxa"/>
            <w:tcBorders>
              <w:top w:val="nil"/>
              <w:left w:val="nil"/>
              <w:bottom w:val="nil"/>
              <w:right w:val="nil"/>
            </w:tcBorders>
            <w:shd w:val="clear" w:color="auto" w:fill="FFFFFF"/>
            <w:vAlign w:val="center"/>
          </w:tcPr>
          <w:p w14:paraId="2C201776">
            <w:pPr>
              <w:pStyle w:val="167"/>
              <w:bidi w:val="0"/>
              <w:jc w:val="center"/>
              <w:rPr>
                <w:b w:val="0"/>
                <w:lang w:val="en-US" w:eastAsia="zh-CN"/>
              </w:rPr>
            </w:pPr>
            <w:r>
              <w:rPr>
                <w:b w:val="0"/>
                <w:lang w:val="en-US" w:eastAsia="zh-CN"/>
              </w:rPr>
              <w:t>1 (14.3%)</w:t>
            </w:r>
          </w:p>
        </w:tc>
        <w:tc>
          <w:tcPr>
            <w:tcW w:w="6809" w:type="dxa"/>
            <w:tcBorders>
              <w:top w:val="nil"/>
              <w:left w:val="nil"/>
              <w:bottom w:val="nil"/>
              <w:right w:val="nil"/>
            </w:tcBorders>
            <w:shd w:val="clear" w:color="auto" w:fill="FFFFFF"/>
            <w:vAlign w:val="center"/>
          </w:tcPr>
          <w:p w14:paraId="55A987DF">
            <w:pPr>
              <w:pStyle w:val="167"/>
              <w:bidi w:val="0"/>
              <w:jc w:val="center"/>
              <w:rPr>
                <w:b w:val="0"/>
                <w:lang w:val="en-US" w:eastAsia="zh-CN"/>
              </w:rPr>
            </w:pPr>
            <w:r>
              <w:rPr>
                <w:b w:val="0"/>
                <w:lang w:val="en-US" w:eastAsia="zh-CN"/>
              </w:rPr>
              <w:t>Ge 2024 was judged at high risk because of missing outcome data; the remaining results had some concerns.</w:t>
            </w:r>
          </w:p>
        </w:tc>
      </w:tr>
      <w:tr w14:paraId="408ABD3F">
        <w:tc>
          <w:tcPr>
            <w:tcW w:w="1485" w:type="dxa"/>
            <w:tcBorders>
              <w:top w:val="nil"/>
              <w:left w:val="nil"/>
              <w:bottom w:val="single" w:color="000000" w:sz="12" w:space="0"/>
              <w:right w:val="nil"/>
            </w:tcBorders>
            <w:shd w:val="clear" w:color="auto" w:fill="FFFFFF"/>
            <w:vAlign w:val="center"/>
          </w:tcPr>
          <w:p w14:paraId="7D7E68F1">
            <w:pPr>
              <w:pStyle w:val="167"/>
              <w:bidi w:val="0"/>
              <w:jc w:val="center"/>
              <w:rPr>
                <w:b w:val="0"/>
                <w:lang w:val="en-US" w:eastAsia="zh-CN"/>
              </w:rPr>
            </w:pPr>
            <w:r>
              <w:rPr>
                <w:b w:val="0"/>
                <w:lang w:val="en-US" w:eastAsia="zh-CN"/>
              </w:rPr>
              <w:t>Total</w:t>
            </w:r>
          </w:p>
        </w:tc>
        <w:tc>
          <w:tcPr>
            <w:tcW w:w="1470" w:type="dxa"/>
            <w:tcBorders>
              <w:top w:val="nil"/>
              <w:left w:val="nil"/>
              <w:bottom w:val="single" w:color="000000" w:sz="12" w:space="0"/>
              <w:right w:val="nil"/>
            </w:tcBorders>
            <w:shd w:val="clear" w:color="auto" w:fill="FFFFFF"/>
            <w:vAlign w:val="center"/>
          </w:tcPr>
          <w:p w14:paraId="7E1FF63E">
            <w:pPr>
              <w:pStyle w:val="167"/>
              <w:bidi w:val="0"/>
              <w:jc w:val="center"/>
              <w:rPr>
                <w:b w:val="0"/>
                <w:lang w:val="en-US" w:eastAsia="zh-CN"/>
              </w:rPr>
            </w:pPr>
            <w:r>
              <w:rPr>
                <w:b w:val="0"/>
                <w:lang w:val="en-US" w:eastAsia="zh-CN"/>
              </w:rPr>
              <w:t>26</w:t>
            </w:r>
          </w:p>
        </w:tc>
        <w:tc>
          <w:tcPr>
            <w:tcW w:w="1470" w:type="dxa"/>
            <w:tcBorders>
              <w:top w:val="nil"/>
              <w:left w:val="nil"/>
              <w:bottom w:val="single" w:color="000000" w:sz="12" w:space="0"/>
              <w:right w:val="nil"/>
            </w:tcBorders>
            <w:shd w:val="clear" w:color="auto" w:fill="FFFFFF"/>
            <w:vAlign w:val="center"/>
          </w:tcPr>
          <w:p w14:paraId="36D99A3F">
            <w:pPr>
              <w:pStyle w:val="167"/>
              <w:bidi w:val="0"/>
              <w:jc w:val="center"/>
              <w:rPr>
                <w:b w:val="0"/>
                <w:lang w:val="en-US" w:eastAsia="zh-CN"/>
              </w:rPr>
            </w:pPr>
            <w:r>
              <w:rPr>
                <w:b w:val="0"/>
                <w:lang w:val="en-US" w:eastAsia="zh-CN"/>
              </w:rPr>
              <w:t>0 (0.0%)</w:t>
            </w:r>
          </w:p>
        </w:tc>
        <w:tc>
          <w:tcPr>
            <w:tcW w:w="1470" w:type="dxa"/>
            <w:tcBorders>
              <w:top w:val="nil"/>
              <w:left w:val="nil"/>
              <w:bottom w:val="single" w:color="000000" w:sz="12" w:space="0"/>
              <w:right w:val="nil"/>
            </w:tcBorders>
            <w:shd w:val="clear" w:color="auto" w:fill="FFFFFF"/>
            <w:vAlign w:val="center"/>
          </w:tcPr>
          <w:p w14:paraId="0C4B3B6E">
            <w:pPr>
              <w:pStyle w:val="167"/>
              <w:bidi w:val="0"/>
              <w:jc w:val="center"/>
              <w:rPr>
                <w:b w:val="0"/>
                <w:lang w:val="en-US" w:eastAsia="zh-CN"/>
              </w:rPr>
            </w:pPr>
            <w:r>
              <w:rPr>
                <w:b w:val="0"/>
                <w:lang w:val="en-US" w:eastAsia="zh-CN"/>
              </w:rPr>
              <w:t>18 (69.2%)</w:t>
            </w:r>
          </w:p>
        </w:tc>
        <w:tc>
          <w:tcPr>
            <w:tcW w:w="1470" w:type="dxa"/>
            <w:tcBorders>
              <w:top w:val="nil"/>
              <w:left w:val="nil"/>
              <w:bottom w:val="single" w:color="000000" w:sz="12" w:space="0"/>
              <w:right w:val="nil"/>
            </w:tcBorders>
            <w:shd w:val="clear" w:color="auto" w:fill="FFFFFF"/>
            <w:vAlign w:val="center"/>
          </w:tcPr>
          <w:p w14:paraId="7A8DF1FB">
            <w:pPr>
              <w:pStyle w:val="167"/>
              <w:bidi w:val="0"/>
              <w:jc w:val="center"/>
              <w:rPr>
                <w:b w:val="0"/>
                <w:lang w:val="en-US" w:eastAsia="zh-CN"/>
              </w:rPr>
            </w:pPr>
            <w:r>
              <w:rPr>
                <w:b w:val="0"/>
                <w:lang w:val="en-US" w:eastAsia="zh-CN"/>
              </w:rPr>
              <w:t>8 (30.8%)</w:t>
            </w:r>
          </w:p>
        </w:tc>
        <w:tc>
          <w:tcPr>
            <w:tcW w:w="6809" w:type="dxa"/>
            <w:tcBorders>
              <w:top w:val="nil"/>
              <w:left w:val="nil"/>
              <w:bottom w:val="single" w:color="000000" w:sz="12" w:space="0"/>
              <w:right w:val="nil"/>
            </w:tcBorders>
            <w:shd w:val="clear" w:color="auto" w:fill="FFFFFF"/>
            <w:vAlign w:val="center"/>
          </w:tcPr>
          <w:p w14:paraId="605EF91E">
            <w:pPr>
              <w:pStyle w:val="167"/>
              <w:bidi w:val="0"/>
              <w:jc w:val="center"/>
              <w:rPr>
                <w:b w:val="0"/>
                <w:lang w:val="en-US" w:eastAsia="zh-CN"/>
              </w:rPr>
            </w:pPr>
            <w:r>
              <w:rPr>
                <w:b w:val="0"/>
                <w:lang w:val="en-US" w:eastAsia="zh-CN"/>
              </w:rPr>
              <w:t>No result was judged at overall low risk. Most results had some concerns, and approximately one-third were judged at high risk.</w:t>
            </w:r>
          </w:p>
        </w:tc>
      </w:tr>
    </w:tbl>
    <w:p w14:paraId="551C298A">
      <w:pPr>
        <w:pStyle w:val="4"/>
        <w:bidi w:val="0"/>
      </w:pPr>
      <w:r>
        <w:rPr>
          <w:lang w:val="en-US" w:eastAsia="zh-CN"/>
        </w:rPr>
        <w:t>Supplementary Table S4c. Summary of RoB 2 judgements by bias domain</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2161"/>
        <w:gridCol w:w="1072"/>
        <w:gridCol w:w="1319"/>
        <w:gridCol w:w="1347"/>
        <w:gridCol w:w="7252"/>
      </w:tblGrid>
      <w:tr w14:paraId="4B4E0DEF">
        <w:trPr>
          <w:cantSplit/>
        </w:trPr>
        <w:tc>
          <w:tcPr>
            <w:tcW w:w="361" w:type="pct"/>
            <w:tcBorders>
              <w:top w:val="single" w:color="000000" w:sz="12" w:space="0"/>
              <w:left w:val="nil"/>
              <w:bottom w:val="single" w:color="000000" w:sz="4" w:space="0"/>
              <w:right w:val="nil"/>
              <w:tl2br w:val="nil"/>
            </w:tcBorders>
            <w:shd w:val="clear" w:color="auto" w:fill="FFFFFF"/>
            <w:vAlign w:val="center"/>
          </w:tcPr>
          <w:p w14:paraId="3952AEB9">
            <w:pPr>
              <w:pStyle w:val="167"/>
              <w:bidi w:val="0"/>
              <w:jc w:val="center"/>
              <w:rPr>
                <w:b w:val="0"/>
                <w:lang w:val="en-US" w:eastAsia="zh-CN"/>
              </w:rPr>
            </w:pPr>
            <w:r>
              <w:rPr>
                <w:b w:val="0"/>
                <w:lang w:val="en-US" w:eastAsia="zh-CN"/>
              </w:rPr>
              <w:t>RoB 2 domain</w:t>
            </w:r>
          </w:p>
        </w:tc>
        <w:tc>
          <w:tcPr>
            <w:tcW w:w="762" w:type="pct"/>
            <w:tcBorders>
              <w:top w:val="single" w:color="000000" w:sz="12" w:space="0"/>
              <w:left w:val="nil"/>
              <w:bottom w:val="single" w:color="000000" w:sz="4" w:space="0"/>
              <w:right w:val="nil"/>
            </w:tcBorders>
            <w:shd w:val="clear" w:color="auto" w:fill="FFFFFF"/>
            <w:vAlign w:val="center"/>
          </w:tcPr>
          <w:p w14:paraId="4CE0B0A9">
            <w:pPr>
              <w:pStyle w:val="167"/>
              <w:bidi w:val="0"/>
              <w:jc w:val="center"/>
              <w:rPr>
                <w:b w:val="0"/>
                <w:lang w:val="en-US" w:eastAsia="zh-CN"/>
              </w:rPr>
            </w:pPr>
            <w:r>
              <w:rPr>
                <w:b w:val="0"/>
                <w:lang w:val="en-US" w:eastAsia="zh-CN"/>
              </w:rPr>
              <w:t>Domain description</w:t>
            </w:r>
          </w:p>
        </w:tc>
        <w:tc>
          <w:tcPr>
            <w:tcW w:w="378" w:type="pct"/>
            <w:tcBorders>
              <w:top w:val="single" w:color="000000" w:sz="12" w:space="0"/>
              <w:left w:val="nil"/>
              <w:bottom w:val="single" w:color="000000" w:sz="4" w:space="0"/>
              <w:right w:val="nil"/>
            </w:tcBorders>
            <w:shd w:val="clear" w:color="auto" w:fill="FFFFFF"/>
            <w:vAlign w:val="center"/>
          </w:tcPr>
          <w:p w14:paraId="5D43A5F2">
            <w:pPr>
              <w:pStyle w:val="167"/>
              <w:bidi w:val="0"/>
              <w:jc w:val="center"/>
              <w:rPr>
                <w:b w:val="0"/>
                <w:lang w:val="en-US" w:eastAsia="zh-CN"/>
              </w:rPr>
            </w:pPr>
            <w:r>
              <w:rPr>
                <w:b w:val="0"/>
                <w:lang w:val="en-US" w:eastAsia="zh-CN"/>
              </w:rPr>
              <w:t>Low risk, n (%)</w:t>
            </w:r>
          </w:p>
        </w:tc>
        <w:tc>
          <w:tcPr>
            <w:tcW w:w="465" w:type="pct"/>
            <w:tcBorders>
              <w:top w:val="single" w:color="000000" w:sz="12" w:space="0"/>
              <w:left w:val="nil"/>
              <w:bottom w:val="single" w:color="000000" w:sz="4" w:space="0"/>
              <w:right w:val="nil"/>
            </w:tcBorders>
            <w:shd w:val="clear" w:color="auto" w:fill="FFFFFF"/>
            <w:vAlign w:val="center"/>
          </w:tcPr>
          <w:p w14:paraId="68110D00">
            <w:pPr>
              <w:pStyle w:val="167"/>
              <w:bidi w:val="0"/>
              <w:jc w:val="center"/>
              <w:rPr>
                <w:b w:val="0"/>
                <w:lang w:val="en-US" w:eastAsia="zh-CN"/>
              </w:rPr>
            </w:pPr>
            <w:r>
              <w:rPr>
                <w:b w:val="0"/>
                <w:lang w:val="en-US" w:eastAsia="zh-CN"/>
              </w:rPr>
              <w:t>Some concerns, n (%)</w:t>
            </w:r>
          </w:p>
        </w:tc>
        <w:tc>
          <w:tcPr>
            <w:tcW w:w="475" w:type="pct"/>
            <w:tcBorders>
              <w:top w:val="single" w:color="000000" w:sz="12" w:space="0"/>
              <w:left w:val="nil"/>
              <w:bottom w:val="single" w:color="000000" w:sz="4" w:space="0"/>
              <w:right w:val="nil"/>
            </w:tcBorders>
            <w:shd w:val="clear" w:color="auto" w:fill="FFFFFF"/>
            <w:vAlign w:val="center"/>
          </w:tcPr>
          <w:p w14:paraId="5C71F4C7">
            <w:pPr>
              <w:pStyle w:val="167"/>
              <w:bidi w:val="0"/>
              <w:jc w:val="center"/>
              <w:rPr>
                <w:b w:val="0"/>
                <w:lang w:val="en-US" w:eastAsia="zh-CN"/>
              </w:rPr>
            </w:pPr>
            <w:r>
              <w:rPr>
                <w:b w:val="0"/>
                <w:lang w:val="en-US" w:eastAsia="zh-CN"/>
              </w:rPr>
              <w:t>High risk, n (%)</w:t>
            </w:r>
          </w:p>
        </w:tc>
        <w:tc>
          <w:tcPr>
            <w:tcW w:w="2557" w:type="pct"/>
            <w:tcBorders>
              <w:top w:val="single" w:color="000000" w:sz="12" w:space="0"/>
              <w:left w:val="nil"/>
              <w:bottom w:val="single" w:color="000000" w:sz="4" w:space="0"/>
              <w:right w:val="nil"/>
            </w:tcBorders>
            <w:shd w:val="clear" w:color="auto" w:fill="FFFFFF"/>
            <w:vAlign w:val="center"/>
          </w:tcPr>
          <w:p w14:paraId="6EA6E075">
            <w:pPr>
              <w:pStyle w:val="167"/>
              <w:bidi w:val="0"/>
              <w:jc w:val="center"/>
              <w:rPr>
                <w:b w:val="0"/>
                <w:lang w:val="en-US" w:eastAsia="zh-CN"/>
              </w:rPr>
            </w:pPr>
            <w:r>
              <w:rPr>
                <w:b w:val="0"/>
                <w:lang w:val="en-US" w:eastAsia="zh-CN"/>
              </w:rPr>
              <w:t>Main basis for judgements</w:t>
            </w:r>
          </w:p>
        </w:tc>
      </w:tr>
      <w:tr w14:paraId="75EF382B">
        <w:trPr>
          <w:cantSplit/>
        </w:trPr>
        <w:tc>
          <w:tcPr>
            <w:tcW w:w="361" w:type="pct"/>
            <w:tcBorders>
              <w:top w:val="single" w:color="000000" w:sz="4" w:space="0"/>
              <w:left w:val="nil"/>
              <w:bottom w:val="nil"/>
              <w:right w:val="nil"/>
            </w:tcBorders>
            <w:shd w:val="clear" w:color="auto" w:fill="FFFFFF"/>
            <w:vAlign w:val="center"/>
          </w:tcPr>
          <w:p w14:paraId="7C18D4D8">
            <w:pPr>
              <w:pStyle w:val="167"/>
              <w:bidi w:val="0"/>
              <w:jc w:val="center"/>
              <w:rPr>
                <w:b w:val="0"/>
                <w:lang w:val="en-US" w:eastAsia="zh-CN"/>
              </w:rPr>
            </w:pPr>
            <w:r>
              <w:rPr>
                <w:b w:val="0"/>
                <w:lang w:val="en-US" w:eastAsia="zh-CN"/>
              </w:rPr>
              <w:t>D1</w:t>
            </w:r>
          </w:p>
        </w:tc>
        <w:tc>
          <w:tcPr>
            <w:tcW w:w="762" w:type="pct"/>
            <w:tcBorders>
              <w:top w:val="single" w:color="000000" w:sz="4" w:space="0"/>
              <w:left w:val="nil"/>
              <w:bottom w:val="nil"/>
              <w:right w:val="nil"/>
            </w:tcBorders>
            <w:shd w:val="clear" w:color="auto" w:fill="FFFFFF"/>
            <w:vAlign w:val="center"/>
          </w:tcPr>
          <w:p w14:paraId="124CFD71">
            <w:pPr>
              <w:pStyle w:val="167"/>
              <w:bidi w:val="0"/>
              <w:jc w:val="center"/>
              <w:rPr>
                <w:b w:val="0"/>
                <w:lang w:val="en-US" w:eastAsia="zh-CN"/>
              </w:rPr>
            </w:pPr>
            <w:r>
              <w:rPr>
                <w:b w:val="0"/>
                <w:lang w:val="en-US" w:eastAsia="zh-CN"/>
              </w:rPr>
              <w:t>Bias arising from the randomisation process</w:t>
            </w:r>
          </w:p>
        </w:tc>
        <w:tc>
          <w:tcPr>
            <w:tcW w:w="378" w:type="pct"/>
            <w:tcBorders>
              <w:top w:val="single" w:color="000000" w:sz="4" w:space="0"/>
              <w:left w:val="nil"/>
              <w:bottom w:val="nil"/>
              <w:right w:val="nil"/>
            </w:tcBorders>
            <w:shd w:val="clear" w:color="auto" w:fill="FFFFFF"/>
            <w:vAlign w:val="center"/>
          </w:tcPr>
          <w:p w14:paraId="29A605E3">
            <w:pPr>
              <w:pStyle w:val="167"/>
              <w:bidi w:val="0"/>
              <w:jc w:val="center"/>
              <w:rPr>
                <w:b w:val="0"/>
                <w:lang w:val="en-US" w:eastAsia="zh-CN"/>
              </w:rPr>
            </w:pPr>
            <w:r>
              <w:rPr>
                <w:b w:val="0"/>
                <w:lang w:val="en-US" w:eastAsia="zh-CN"/>
              </w:rPr>
              <w:t>6 (23.1%)</w:t>
            </w:r>
          </w:p>
        </w:tc>
        <w:tc>
          <w:tcPr>
            <w:tcW w:w="465" w:type="pct"/>
            <w:tcBorders>
              <w:top w:val="single" w:color="000000" w:sz="4" w:space="0"/>
              <w:left w:val="nil"/>
              <w:bottom w:val="nil"/>
              <w:right w:val="nil"/>
            </w:tcBorders>
            <w:shd w:val="clear" w:color="auto" w:fill="FFFFFF"/>
            <w:vAlign w:val="center"/>
          </w:tcPr>
          <w:p w14:paraId="733EDB0B">
            <w:pPr>
              <w:pStyle w:val="167"/>
              <w:bidi w:val="0"/>
              <w:jc w:val="center"/>
              <w:rPr>
                <w:b w:val="0"/>
                <w:lang w:val="en-US" w:eastAsia="zh-CN"/>
              </w:rPr>
            </w:pPr>
            <w:r>
              <w:rPr>
                <w:b w:val="0"/>
                <w:lang w:val="en-US" w:eastAsia="zh-CN"/>
              </w:rPr>
              <w:t>20 (76.9%)</w:t>
            </w:r>
          </w:p>
        </w:tc>
        <w:tc>
          <w:tcPr>
            <w:tcW w:w="475" w:type="pct"/>
            <w:tcBorders>
              <w:top w:val="single" w:color="000000" w:sz="4" w:space="0"/>
              <w:left w:val="nil"/>
              <w:bottom w:val="nil"/>
              <w:right w:val="nil"/>
            </w:tcBorders>
            <w:shd w:val="clear" w:color="auto" w:fill="FFFFFF"/>
            <w:vAlign w:val="center"/>
          </w:tcPr>
          <w:p w14:paraId="37EA8158">
            <w:pPr>
              <w:pStyle w:val="167"/>
              <w:bidi w:val="0"/>
              <w:jc w:val="center"/>
              <w:rPr>
                <w:b w:val="0"/>
                <w:lang w:val="en-US" w:eastAsia="zh-CN"/>
              </w:rPr>
            </w:pPr>
            <w:r>
              <w:rPr>
                <w:b w:val="0"/>
                <w:lang w:val="en-US" w:eastAsia="zh-CN"/>
              </w:rPr>
              <w:t>0 (0.0%)</w:t>
            </w:r>
          </w:p>
        </w:tc>
        <w:tc>
          <w:tcPr>
            <w:tcW w:w="2557" w:type="pct"/>
            <w:tcBorders>
              <w:top w:val="single" w:color="000000" w:sz="4" w:space="0"/>
              <w:left w:val="nil"/>
              <w:bottom w:val="nil"/>
              <w:right w:val="nil"/>
            </w:tcBorders>
            <w:shd w:val="clear" w:color="auto" w:fill="FFFFFF"/>
            <w:vAlign w:val="center"/>
          </w:tcPr>
          <w:p w14:paraId="0208E1D8">
            <w:pPr>
              <w:pStyle w:val="167"/>
              <w:bidi w:val="0"/>
              <w:jc w:val="center"/>
              <w:rPr>
                <w:b w:val="0"/>
                <w:lang w:val="en-US" w:eastAsia="zh-CN"/>
              </w:rPr>
            </w:pPr>
            <w:r>
              <w:rPr>
                <w:b w:val="0"/>
                <w:lang w:val="en-US" w:eastAsia="zh-CN"/>
              </w:rPr>
              <w:t>Sequence generation or allocation concealment was frequently insufficiently described. Baseline information did not generally indicate clear failure of randomisation, so no result was judged at high risk in D1.</w:t>
            </w:r>
          </w:p>
        </w:tc>
      </w:tr>
      <w:tr w14:paraId="31A6CF0D">
        <w:trPr>
          <w:cantSplit/>
        </w:trPr>
        <w:tc>
          <w:tcPr>
            <w:tcW w:w="361" w:type="pct"/>
            <w:tcBorders>
              <w:top w:val="nil"/>
              <w:left w:val="nil"/>
              <w:bottom w:val="nil"/>
              <w:right w:val="nil"/>
            </w:tcBorders>
            <w:shd w:val="clear" w:color="auto" w:fill="FFFFFF"/>
            <w:vAlign w:val="center"/>
          </w:tcPr>
          <w:p w14:paraId="1FA604CF">
            <w:pPr>
              <w:pStyle w:val="167"/>
              <w:bidi w:val="0"/>
              <w:jc w:val="center"/>
              <w:rPr>
                <w:b w:val="0"/>
                <w:lang w:val="en-US" w:eastAsia="zh-CN"/>
              </w:rPr>
            </w:pPr>
            <w:r>
              <w:rPr>
                <w:b w:val="0"/>
                <w:lang w:val="en-US" w:eastAsia="zh-CN"/>
              </w:rPr>
              <w:t>D2</w:t>
            </w:r>
          </w:p>
        </w:tc>
        <w:tc>
          <w:tcPr>
            <w:tcW w:w="762" w:type="pct"/>
            <w:tcBorders>
              <w:top w:val="nil"/>
              <w:left w:val="nil"/>
              <w:bottom w:val="nil"/>
              <w:right w:val="nil"/>
            </w:tcBorders>
            <w:shd w:val="clear" w:color="auto" w:fill="FFFFFF"/>
            <w:vAlign w:val="center"/>
          </w:tcPr>
          <w:p w14:paraId="411250AF">
            <w:pPr>
              <w:pStyle w:val="167"/>
              <w:bidi w:val="0"/>
              <w:jc w:val="center"/>
              <w:rPr>
                <w:b w:val="0"/>
                <w:lang w:val="en-US" w:eastAsia="zh-CN"/>
              </w:rPr>
            </w:pPr>
            <w:r>
              <w:rPr>
                <w:b w:val="0"/>
                <w:lang w:val="en-US" w:eastAsia="zh-CN"/>
              </w:rPr>
              <w:t>Bias due to deviations from intended interventions</w:t>
            </w:r>
          </w:p>
        </w:tc>
        <w:tc>
          <w:tcPr>
            <w:tcW w:w="378" w:type="pct"/>
            <w:tcBorders>
              <w:top w:val="nil"/>
              <w:left w:val="nil"/>
              <w:bottom w:val="nil"/>
              <w:right w:val="nil"/>
            </w:tcBorders>
            <w:shd w:val="clear" w:color="auto" w:fill="FFFFFF"/>
            <w:vAlign w:val="center"/>
          </w:tcPr>
          <w:p w14:paraId="40EA8E6C">
            <w:pPr>
              <w:pStyle w:val="167"/>
              <w:bidi w:val="0"/>
              <w:jc w:val="center"/>
              <w:rPr>
                <w:b w:val="0"/>
                <w:lang w:val="en-US" w:eastAsia="zh-CN"/>
              </w:rPr>
            </w:pPr>
            <w:r>
              <w:rPr>
                <w:b w:val="0"/>
                <w:lang w:val="en-US" w:eastAsia="zh-CN"/>
              </w:rPr>
              <w:t>4 (15.4%)</w:t>
            </w:r>
          </w:p>
        </w:tc>
        <w:tc>
          <w:tcPr>
            <w:tcW w:w="465" w:type="pct"/>
            <w:tcBorders>
              <w:top w:val="nil"/>
              <w:left w:val="nil"/>
              <w:bottom w:val="nil"/>
              <w:right w:val="nil"/>
            </w:tcBorders>
            <w:shd w:val="clear" w:color="auto" w:fill="FFFFFF"/>
            <w:vAlign w:val="center"/>
          </w:tcPr>
          <w:p w14:paraId="3050064A">
            <w:pPr>
              <w:pStyle w:val="167"/>
              <w:bidi w:val="0"/>
              <w:jc w:val="center"/>
              <w:rPr>
                <w:b w:val="0"/>
                <w:lang w:val="en-US" w:eastAsia="zh-CN"/>
              </w:rPr>
            </w:pPr>
            <w:r>
              <w:rPr>
                <w:b w:val="0"/>
                <w:lang w:val="en-US" w:eastAsia="zh-CN"/>
              </w:rPr>
              <w:t>22 (84.6%)</w:t>
            </w:r>
          </w:p>
        </w:tc>
        <w:tc>
          <w:tcPr>
            <w:tcW w:w="475" w:type="pct"/>
            <w:tcBorders>
              <w:top w:val="nil"/>
              <w:left w:val="nil"/>
              <w:bottom w:val="nil"/>
              <w:right w:val="nil"/>
            </w:tcBorders>
            <w:shd w:val="clear" w:color="auto" w:fill="FFFFFF"/>
            <w:vAlign w:val="center"/>
          </w:tcPr>
          <w:p w14:paraId="6D95E327">
            <w:pPr>
              <w:pStyle w:val="167"/>
              <w:bidi w:val="0"/>
              <w:jc w:val="center"/>
              <w:rPr>
                <w:b w:val="0"/>
                <w:lang w:val="en-US" w:eastAsia="zh-CN"/>
              </w:rPr>
            </w:pPr>
            <w:r>
              <w:rPr>
                <w:b w:val="0"/>
                <w:lang w:val="en-US" w:eastAsia="zh-CN"/>
              </w:rPr>
              <w:t>0 (0.0%)</w:t>
            </w:r>
          </w:p>
        </w:tc>
        <w:tc>
          <w:tcPr>
            <w:tcW w:w="2557" w:type="pct"/>
            <w:tcBorders>
              <w:top w:val="nil"/>
              <w:left w:val="nil"/>
              <w:bottom w:val="nil"/>
              <w:right w:val="nil"/>
            </w:tcBorders>
            <w:shd w:val="clear" w:color="auto" w:fill="FFFFFF"/>
            <w:vAlign w:val="center"/>
          </w:tcPr>
          <w:p w14:paraId="4FF8D2F1">
            <w:pPr>
              <w:pStyle w:val="167"/>
              <w:bidi w:val="0"/>
              <w:jc w:val="center"/>
              <w:rPr>
                <w:b w:val="0"/>
                <w:lang w:val="en-US" w:eastAsia="zh-CN"/>
              </w:rPr>
            </w:pPr>
            <w:r>
              <w:rPr>
                <w:b w:val="0"/>
                <w:lang w:val="en-US" w:eastAsia="zh-CN"/>
              </w:rPr>
              <w:t>Participant and provider blinding was generally infeasible in exercise trials. Information on deviations, co-interventions, intervention fidelity, and analysis according to assignment was often incomplete.</w:t>
            </w:r>
          </w:p>
        </w:tc>
      </w:tr>
      <w:tr w14:paraId="37A46EE1">
        <w:trPr>
          <w:cantSplit/>
        </w:trPr>
        <w:tc>
          <w:tcPr>
            <w:tcW w:w="361" w:type="pct"/>
            <w:tcBorders>
              <w:top w:val="nil"/>
              <w:left w:val="nil"/>
              <w:bottom w:val="nil"/>
              <w:right w:val="nil"/>
            </w:tcBorders>
            <w:shd w:val="clear" w:color="auto" w:fill="FFFFFF"/>
            <w:vAlign w:val="center"/>
          </w:tcPr>
          <w:p w14:paraId="64C95A37">
            <w:pPr>
              <w:pStyle w:val="167"/>
              <w:bidi w:val="0"/>
              <w:jc w:val="center"/>
              <w:rPr>
                <w:b w:val="0"/>
                <w:lang w:val="en-US" w:eastAsia="zh-CN"/>
              </w:rPr>
            </w:pPr>
            <w:r>
              <w:rPr>
                <w:b w:val="0"/>
                <w:lang w:val="en-US" w:eastAsia="zh-CN"/>
              </w:rPr>
              <w:t>D3</w:t>
            </w:r>
          </w:p>
        </w:tc>
        <w:tc>
          <w:tcPr>
            <w:tcW w:w="762" w:type="pct"/>
            <w:tcBorders>
              <w:top w:val="nil"/>
              <w:left w:val="nil"/>
              <w:bottom w:val="nil"/>
              <w:right w:val="nil"/>
            </w:tcBorders>
            <w:shd w:val="clear" w:color="auto" w:fill="FFFFFF"/>
            <w:vAlign w:val="center"/>
          </w:tcPr>
          <w:p w14:paraId="61EEE42D">
            <w:pPr>
              <w:pStyle w:val="167"/>
              <w:bidi w:val="0"/>
              <w:jc w:val="center"/>
              <w:rPr>
                <w:b w:val="0"/>
                <w:lang w:val="en-US" w:eastAsia="zh-CN"/>
              </w:rPr>
            </w:pPr>
            <w:r>
              <w:rPr>
                <w:b w:val="0"/>
                <w:lang w:val="en-US" w:eastAsia="zh-CN"/>
              </w:rPr>
              <w:t>Bias due to missing outcome data</w:t>
            </w:r>
          </w:p>
        </w:tc>
        <w:tc>
          <w:tcPr>
            <w:tcW w:w="378" w:type="pct"/>
            <w:tcBorders>
              <w:top w:val="nil"/>
              <w:left w:val="nil"/>
              <w:bottom w:val="nil"/>
              <w:right w:val="nil"/>
            </w:tcBorders>
            <w:shd w:val="clear" w:color="auto" w:fill="FFFFFF"/>
            <w:vAlign w:val="center"/>
          </w:tcPr>
          <w:p w14:paraId="10E1EA6F">
            <w:pPr>
              <w:pStyle w:val="167"/>
              <w:bidi w:val="0"/>
              <w:jc w:val="center"/>
              <w:rPr>
                <w:b w:val="0"/>
                <w:lang w:val="en-US" w:eastAsia="zh-CN"/>
              </w:rPr>
            </w:pPr>
            <w:r>
              <w:rPr>
                <w:b w:val="0"/>
                <w:lang w:val="en-US" w:eastAsia="zh-CN"/>
              </w:rPr>
              <w:t>8 (30.8%)</w:t>
            </w:r>
          </w:p>
        </w:tc>
        <w:tc>
          <w:tcPr>
            <w:tcW w:w="465" w:type="pct"/>
            <w:tcBorders>
              <w:top w:val="nil"/>
              <w:left w:val="nil"/>
              <w:bottom w:val="nil"/>
              <w:right w:val="nil"/>
            </w:tcBorders>
            <w:shd w:val="clear" w:color="auto" w:fill="FFFFFF"/>
            <w:vAlign w:val="center"/>
          </w:tcPr>
          <w:p w14:paraId="2A43E58A">
            <w:pPr>
              <w:pStyle w:val="167"/>
              <w:bidi w:val="0"/>
              <w:jc w:val="center"/>
              <w:rPr>
                <w:b w:val="0"/>
                <w:lang w:val="en-US" w:eastAsia="zh-CN"/>
              </w:rPr>
            </w:pPr>
            <w:r>
              <w:rPr>
                <w:b w:val="0"/>
                <w:lang w:val="en-US" w:eastAsia="zh-CN"/>
              </w:rPr>
              <w:t>14 (53.8%)</w:t>
            </w:r>
          </w:p>
        </w:tc>
        <w:tc>
          <w:tcPr>
            <w:tcW w:w="475" w:type="pct"/>
            <w:tcBorders>
              <w:top w:val="nil"/>
              <w:left w:val="nil"/>
              <w:bottom w:val="nil"/>
              <w:right w:val="nil"/>
            </w:tcBorders>
            <w:shd w:val="clear" w:color="auto" w:fill="FFFFFF"/>
            <w:vAlign w:val="center"/>
          </w:tcPr>
          <w:p w14:paraId="4BC8BDC3">
            <w:pPr>
              <w:pStyle w:val="167"/>
              <w:bidi w:val="0"/>
              <w:jc w:val="center"/>
              <w:rPr>
                <w:b w:val="0"/>
                <w:lang w:val="en-US" w:eastAsia="zh-CN"/>
              </w:rPr>
            </w:pPr>
            <w:r>
              <w:rPr>
                <w:b w:val="0"/>
                <w:lang w:val="en-US" w:eastAsia="zh-CN"/>
              </w:rPr>
              <w:t>4 (15.4%)</w:t>
            </w:r>
          </w:p>
        </w:tc>
        <w:tc>
          <w:tcPr>
            <w:tcW w:w="2557" w:type="pct"/>
            <w:tcBorders>
              <w:top w:val="nil"/>
              <w:left w:val="nil"/>
              <w:bottom w:val="nil"/>
              <w:right w:val="nil"/>
            </w:tcBorders>
            <w:shd w:val="clear" w:color="auto" w:fill="FFFFFF"/>
            <w:vAlign w:val="center"/>
          </w:tcPr>
          <w:p w14:paraId="7F72B6AF">
            <w:pPr>
              <w:pStyle w:val="167"/>
              <w:bidi w:val="0"/>
              <w:jc w:val="center"/>
              <w:rPr>
                <w:b w:val="0"/>
                <w:lang w:val="en-US" w:eastAsia="zh-CN"/>
              </w:rPr>
            </w:pPr>
            <w:r>
              <w:rPr>
                <w:b w:val="0"/>
                <w:lang w:val="en-US" w:eastAsia="zh-CN"/>
              </w:rPr>
              <w:t>The four high-risk judgements were all from Ge 2024, which had substantial and unequal post-randomisation missing data across the four selected outcomes. Other trials generally had complete or moderately incomplete outcome data.</w:t>
            </w:r>
          </w:p>
        </w:tc>
      </w:tr>
      <w:tr w14:paraId="213BC6C9">
        <w:trPr>
          <w:cantSplit/>
        </w:trPr>
        <w:tc>
          <w:tcPr>
            <w:tcW w:w="361" w:type="pct"/>
            <w:tcBorders>
              <w:top w:val="nil"/>
              <w:left w:val="nil"/>
              <w:bottom w:val="nil"/>
              <w:right w:val="nil"/>
            </w:tcBorders>
            <w:shd w:val="clear" w:color="auto" w:fill="FFFFFF"/>
            <w:vAlign w:val="center"/>
          </w:tcPr>
          <w:p w14:paraId="36D278B9">
            <w:pPr>
              <w:pStyle w:val="167"/>
              <w:bidi w:val="0"/>
              <w:jc w:val="center"/>
              <w:rPr>
                <w:b w:val="0"/>
                <w:lang w:val="en-US" w:eastAsia="zh-CN"/>
              </w:rPr>
            </w:pPr>
            <w:r>
              <w:rPr>
                <w:b w:val="0"/>
                <w:lang w:val="en-US" w:eastAsia="zh-CN"/>
              </w:rPr>
              <w:t>D4</w:t>
            </w:r>
          </w:p>
        </w:tc>
        <w:tc>
          <w:tcPr>
            <w:tcW w:w="762" w:type="pct"/>
            <w:tcBorders>
              <w:top w:val="nil"/>
              <w:left w:val="nil"/>
              <w:bottom w:val="nil"/>
              <w:right w:val="nil"/>
            </w:tcBorders>
            <w:shd w:val="clear" w:color="auto" w:fill="FFFFFF"/>
            <w:vAlign w:val="center"/>
          </w:tcPr>
          <w:p w14:paraId="07EEE0DB">
            <w:pPr>
              <w:pStyle w:val="167"/>
              <w:bidi w:val="0"/>
              <w:jc w:val="center"/>
              <w:rPr>
                <w:b w:val="0"/>
                <w:lang w:val="en-US" w:eastAsia="zh-CN"/>
              </w:rPr>
            </w:pPr>
            <w:r>
              <w:rPr>
                <w:b w:val="0"/>
                <w:lang w:val="en-US" w:eastAsia="zh-CN"/>
              </w:rPr>
              <w:t>Bias in measurement of the outcome</w:t>
            </w:r>
          </w:p>
        </w:tc>
        <w:tc>
          <w:tcPr>
            <w:tcW w:w="378" w:type="pct"/>
            <w:tcBorders>
              <w:top w:val="nil"/>
              <w:left w:val="nil"/>
              <w:bottom w:val="nil"/>
              <w:right w:val="nil"/>
            </w:tcBorders>
            <w:shd w:val="clear" w:color="auto" w:fill="FFFFFF"/>
            <w:vAlign w:val="center"/>
          </w:tcPr>
          <w:p w14:paraId="705E91A8">
            <w:pPr>
              <w:pStyle w:val="167"/>
              <w:bidi w:val="0"/>
              <w:jc w:val="center"/>
              <w:rPr>
                <w:b w:val="0"/>
                <w:lang w:val="en-US" w:eastAsia="zh-CN"/>
              </w:rPr>
            </w:pPr>
            <w:r>
              <w:rPr>
                <w:b w:val="0"/>
                <w:lang w:val="en-US" w:eastAsia="zh-CN"/>
              </w:rPr>
              <w:t>19 (73.1%)</w:t>
            </w:r>
          </w:p>
        </w:tc>
        <w:tc>
          <w:tcPr>
            <w:tcW w:w="465" w:type="pct"/>
            <w:tcBorders>
              <w:top w:val="nil"/>
              <w:left w:val="nil"/>
              <w:bottom w:val="nil"/>
              <w:right w:val="nil"/>
            </w:tcBorders>
            <w:shd w:val="clear" w:color="auto" w:fill="FFFFFF"/>
            <w:vAlign w:val="center"/>
          </w:tcPr>
          <w:p w14:paraId="65D6801D">
            <w:pPr>
              <w:pStyle w:val="167"/>
              <w:bidi w:val="0"/>
              <w:jc w:val="center"/>
              <w:rPr>
                <w:b w:val="0"/>
                <w:lang w:val="en-US" w:eastAsia="zh-CN"/>
              </w:rPr>
            </w:pPr>
            <w:r>
              <w:rPr>
                <w:b w:val="0"/>
                <w:lang w:val="en-US" w:eastAsia="zh-CN"/>
              </w:rPr>
              <w:t>3 (11.5%)</w:t>
            </w:r>
          </w:p>
        </w:tc>
        <w:tc>
          <w:tcPr>
            <w:tcW w:w="475" w:type="pct"/>
            <w:tcBorders>
              <w:top w:val="nil"/>
              <w:left w:val="nil"/>
              <w:bottom w:val="nil"/>
              <w:right w:val="nil"/>
            </w:tcBorders>
            <w:shd w:val="clear" w:color="auto" w:fill="FFFFFF"/>
            <w:vAlign w:val="center"/>
          </w:tcPr>
          <w:p w14:paraId="0CBA9F9D">
            <w:pPr>
              <w:pStyle w:val="167"/>
              <w:bidi w:val="0"/>
              <w:jc w:val="center"/>
              <w:rPr>
                <w:b w:val="0"/>
                <w:lang w:val="en-US" w:eastAsia="zh-CN"/>
              </w:rPr>
            </w:pPr>
            <w:r>
              <w:rPr>
                <w:b w:val="0"/>
                <w:lang w:val="en-US" w:eastAsia="zh-CN"/>
              </w:rPr>
              <w:t>4 (15.4%)</w:t>
            </w:r>
          </w:p>
        </w:tc>
        <w:tc>
          <w:tcPr>
            <w:tcW w:w="2557" w:type="pct"/>
            <w:tcBorders>
              <w:top w:val="nil"/>
              <w:left w:val="nil"/>
              <w:bottom w:val="nil"/>
              <w:right w:val="nil"/>
            </w:tcBorders>
            <w:shd w:val="clear" w:color="auto" w:fill="FFFFFF"/>
            <w:vAlign w:val="center"/>
          </w:tcPr>
          <w:p w14:paraId="0376136F">
            <w:pPr>
              <w:pStyle w:val="167"/>
              <w:bidi w:val="0"/>
              <w:jc w:val="center"/>
              <w:rPr>
                <w:b w:val="0"/>
                <w:lang w:val="en-US" w:eastAsia="zh-CN"/>
              </w:rPr>
            </w:pPr>
            <w:r>
              <w:rPr>
                <w:b w:val="0"/>
                <w:lang w:val="en-US" w:eastAsia="zh-CN"/>
              </w:rPr>
              <w:t>High-risk judgements involved clinical scales with an important assessor-judgement component when blinded assessment or protection from knowledge of allocation was not sufficiently established: Del Pino 2025 UPDRS III, Ginis 2016 UPDRS III and Mini-BESTest, and Johnson 2024 Mini-BESTest. Objective timed or instrumented outcomes were generally judged at low risk.</w:t>
            </w:r>
          </w:p>
        </w:tc>
      </w:tr>
      <w:tr w14:paraId="4377665A">
        <w:trPr>
          <w:cantSplit/>
        </w:trPr>
        <w:tc>
          <w:tcPr>
            <w:tcW w:w="361" w:type="pct"/>
            <w:tcBorders>
              <w:top w:val="nil"/>
              <w:left w:val="nil"/>
              <w:bottom w:val="nil"/>
              <w:right w:val="nil"/>
            </w:tcBorders>
            <w:shd w:val="clear" w:color="auto" w:fill="FFFFFF"/>
            <w:vAlign w:val="center"/>
          </w:tcPr>
          <w:p w14:paraId="4ACC0703">
            <w:pPr>
              <w:pStyle w:val="167"/>
              <w:bidi w:val="0"/>
              <w:jc w:val="center"/>
              <w:rPr>
                <w:b w:val="0"/>
                <w:lang w:val="en-US" w:eastAsia="zh-CN"/>
              </w:rPr>
            </w:pPr>
            <w:r>
              <w:rPr>
                <w:b w:val="0"/>
                <w:lang w:val="en-US" w:eastAsia="zh-CN"/>
              </w:rPr>
              <w:t>D5</w:t>
            </w:r>
          </w:p>
        </w:tc>
        <w:tc>
          <w:tcPr>
            <w:tcW w:w="762" w:type="pct"/>
            <w:tcBorders>
              <w:top w:val="nil"/>
              <w:left w:val="nil"/>
              <w:bottom w:val="nil"/>
              <w:right w:val="nil"/>
            </w:tcBorders>
            <w:shd w:val="clear" w:color="auto" w:fill="FFFFFF"/>
            <w:vAlign w:val="center"/>
          </w:tcPr>
          <w:p w14:paraId="6F37693C">
            <w:pPr>
              <w:pStyle w:val="167"/>
              <w:bidi w:val="0"/>
              <w:jc w:val="center"/>
              <w:rPr>
                <w:b w:val="0"/>
                <w:lang w:val="en-US" w:eastAsia="zh-CN"/>
              </w:rPr>
            </w:pPr>
            <w:r>
              <w:rPr>
                <w:b w:val="0"/>
                <w:lang w:val="en-US" w:eastAsia="zh-CN"/>
              </w:rPr>
              <w:t>Bias in selection of the reported result</w:t>
            </w:r>
          </w:p>
        </w:tc>
        <w:tc>
          <w:tcPr>
            <w:tcW w:w="378" w:type="pct"/>
            <w:tcBorders>
              <w:top w:val="nil"/>
              <w:left w:val="nil"/>
              <w:bottom w:val="nil"/>
              <w:right w:val="nil"/>
            </w:tcBorders>
            <w:shd w:val="clear" w:color="auto" w:fill="FFFFFF"/>
            <w:vAlign w:val="center"/>
          </w:tcPr>
          <w:p w14:paraId="6DEE47C6">
            <w:pPr>
              <w:pStyle w:val="167"/>
              <w:bidi w:val="0"/>
              <w:jc w:val="center"/>
              <w:rPr>
                <w:b w:val="0"/>
                <w:lang w:val="en-US" w:eastAsia="zh-CN"/>
              </w:rPr>
            </w:pPr>
            <w:r>
              <w:rPr>
                <w:b w:val="0"/>
                <w:lang w:val="en-US" w:eastAsia="zh-CN"/>
              </w:rPr>
              <w:t>2 (7.7%)</w:t>
            </w:r>
          </w:p>
        </w:tc>
        <w:tc>
          <w:tcPr>
            <w:tcW w:w="465" w:type="pct"/>
            <w:tcBorders>
              <w:top w:val="nil"/>
              <w:left w:val="nil"/>
              <w:bottom w:val="nil"/>
              <w:right w:val="nil"/>
            </w:tcBorders>
            <w:shd w:val="clear" w:color="auto" w:fill="FFFFFF"/>
            <w:vAlign w:val="center"/>
          </w:tcPr>
          <w:p w14:paraId="02745033">
            <w:pPr>
              <w:pStyle w:val="167"/>
              <w:bidi w:val="0"/>
              <w:jc w:val="center"/>
              <w:rPr>
                <w:b w:val="0"/>
                <w:lang w:val="en-US" w:eastAsia="zh-CN"/>
              </w:rPr>
            </w:pPr>
            <w:r>
              <w:rPr>
                <w:b w:val="0"/>
                <w:lang w:val="en-US" w:eastAsia="zh-CN"/>
              </w:rPr>
              <w:t>24 (92.3%)</w:t>
            </w:r>
          </w:p>
        </w:tc>
        <w:tc>
          <w:tcPr>
            <w:tcW w:w="475" w:type="pct"/>
            <w:tcBorders>
              <w:top w:val="nil"/>
              <w:left w:val="nil"/>
              <w:bottom w:val="nil"/>
              <w:right w:val="nil"/>
            </w:tcBorders>
            <w:shd w:val="clear" w:color="auto" w:fill="FFFFFF"/>
            <w:vAlign w:val="center"/>
          </w:tcPr>
          <w:p w14:paraId="07682F39">
            <w:pPr>
              <w:pStyle w:val="167"/>
              <w:bidi w:val="0"/>
              <w:jc w:val="center"/>
              <w:rPr>
                <w:b w:val="0"/>
                <w:lang w:val="en-US" w:eastAsia="zh-CN"/>
              </w:rPr>
            </w:pPr>
            <w:r>
              <w:rPr>
                <w:b w:val="0"/>
                <w:lang w:val="en-US" w:eastAsia="zh-CN"/>
              </w:rPr>
              <w:t>0 (0.0%)</w:t>
            </w:r>
          </w:p>
        </w:tc>
        <w:tc>
          <w:tcPr>
            <w:tcW w:w="2557" w:type="pct"/>
            <w:tcBorders>
              <w:top w:val="nil"/>
              <w:left w:val="nil"/>
              <w:bottom w:val="nil"/>
              <w:right w:val="nil"/>
            </w:tcBorders>
            <w:shd w:val="clear" w:color="auto" w:fill="FFFFFF"/>
            <w:vAlign w:val="center"/>
          </w:tcPr>
          <w:p w14:paraId="618E56C3">
            <w:pPr>
              <w:pStyle w:val="167"/>
              <w:bidi w:val="0"/>
              <w:jc w:val="center"/>
              <w:rPr>
                <w:b w:val="0"/>
                <w:lang w:val="en-US" w:eastAsia="zh-CN"/>
              </w:rPr>
            </w:pPr>
            <w:r>
              <w:rPr>
                <w:b w:val="0"/>
                <w:lang w:val="en-US" w:eastAsia="zh-CN"/>
              </w:rPr>
              <w:t>Most results lacked a sufficiently detailed, prospectively available analysis plan confirming the selected measure, time point, and analysis. Harpham 2025 and Jones 2025 had adequate prospective information to support low-risk D5 judgements.</w:t>
            </w:r>
          </w:p>
        </w:tc>
      </w:tr>
      <w:tr w14:paraId="047B0810">
        <w:trPr>
          <w:cantSplit/>
        </w:trPr>
        <w:tc>
          <w:tcPr>
            <w:tcW w:w="361" w:type="pct"/>
            <w:tcBorders>
              <w:top w:val="nil"/>
              <w:left w:val="nil"/>
              <w:bottom w:val="single" w:color="000000" w:sz="12" w:space="0"/>
              <w:right w:val="nil"/>
            </w:tcBorders>
            <w:shd w:val="clear" w:color="auto" w:fill="FFFFFF"/>
            <w:vAlign w:val="center"/>
          </w:tcPr>
          <w:p w14:paraId="2B2745B7">
            <w:pPr>
              <w:pStyle w:val="167"/>
              <w:bidi w:val="0"/>
              <w:jc w:val="center"/>
              <w:rPr>
                <w:b w:val="0"/>
                <w:lang w:val="en-US" w:eastAsia="zh-CN"/>
              </w:rPr>
            </w:pPr>
            <w:r>
              <w:rPr>
                <w:b w:val="0"/>
                <w:lang w:val="en-US" w:eastAsia="zh-CN"/>
              </w:rPr>
              <w:t>Overall</w:t>
            </w:r>
          </w:p>
        </w:tc>
        <w:tc>
          <w:tcPr>
            <w:tcW w:w="762" w:type="pct"/>
            <w:tcBorders>
              <w:top w:val="nil"/>
              <w:left w:val="nil"/>
              <w:bottom w:val="single" w:color="000000" w:sz="12" w:space="0"/>
              <w:right w:val="nil"/>
            </w:tcBorders>
            <w:shd w:val="clear" w:color="auto" w:fill="FFFFFF"/>
            <w:vAlign w:val="center"/>
          </w:tcPr>
          <w:p w14:paraId="3576ED6A">
            <w:pPr>
              <w:pStyle w:val="167"/>
              <w:bidi w:val="0"/>
              <w:jc w:val="center"/>
              <w:rPr>
                <w:b w:val="0"/>
                <w:lang w:val="en-US" w:eastAsia="zh-CN"/>
              </w:rPr>
            </w:pPr>
            <w:r>
              <w:rPr>
                <w:b w:val="0"/>
                <w:lang w:val="en-US" w:eastAsia="zh-CN"/>
              </w:rPr>
              <w:t>Overall risk of bias</w:t>
            </w:r>
          </w:p>
        </w:tc>
        <w:tc>
          <w:tcPr>
            <w:tcW w:w="378" w:type="pct"/>
            <w:tcBorders>
              <w:top w:val="nil"/>
              <w:left w:val="nil"/>
              <w:bottom w:val="single" w:color="000000" w:sz="12" w:space="0"/>
              <w:right w:val="nil"/>
            </w:tcBorders>
            <w:shd w:val="clear" w:color="auto" w:fill="FFFFFF"/>
            <w:vAlign w:val="center"/>
          </w:tcPr>
          <w:p w14:paraId="0245625B">
            <w:pPr>
              <w:pStyle w:val="167"/>
              <w:bidi w:val="0"/>
              <w:jc w:val="center"/>
              <w:rPr>
                <w:b w:val="0"/>
                <w:lang w:val="en-US" w:eastAsia="zh-CN"/>
              </w:rPr>
            </w:pPr>
            <w:r>
              <w:rPr>
                <w:b w:val="0"/>
                <w:lang w:val="en-US" w:eastAsia="zh-CN"/>
              </w:rPr>
              <w:t>0 (0.0%)</w:t>
            </w:r>
          </w:p>
        </w:tc>
        <w:tc>
          <w:tcPr>
            <w:tcW w:w="465" w:type="pct"/>
            <w:tcBorders>
              <w:top w:val="nil"/>
              <w:left w:val="nil"/>
              <w:bottom w:val="single" w:color="000000" w:sz="12" w:space="0"/>
              <w:right w:val="nil"/>
            </w:tcBorders>
            <w:shd w:val="clear" w:color="auto" w:fill="FFFFFF"/>
            <w:vAlign w:val="center"/>
          </w:tcPr>
          <w:p w14:paraId="3BE31BF8">
            <w:pPr>
              <w:pStyle w:val="167"/>
              <w:bidi w:val="0"/>
              <w:jc w:val="center"/>
              <w:rPr>
                <w:b w:val="0"/>
                <w:lang w:val="en-US" w:eastAsia="zh-CN"/>
              </w:rPr>
            </w:pPr>
            <w:r>
              <w:rPr>
                <w:b w:val="0"/>
                <w:lang w:val="en-US" w:eastAsia="zh-CN"/>
              </w:rPr>
              <w:t>18 (69.2%)</w:t>
            </w:r>
          </w:p>
        </w:tc>
        <w:tc>
          <w:tcPr>
            <w:tcW w:w="475" w:type="pct"/>
            <w:tcBorders>
              <w:top w:val="nil"/>
              <w:left w:val="nil"/>
              <w:bottom w:val="single" w:color="000000" w:sz="12" w:space="0"/>
              <w:right w:val="nil"/>
            </w:tcBorders>
            <w:shd w:val="clear" w:color="auto" w:fill="FFFFFF"/>
            <w:vAlign w:val="center"/>
          </w:tcPr>
          <w:p w14:paraId="21499915">
            <w:pPr>
              <w:pStyle w:val="167"/>
              <w:bidi w:val="0"/>
              <w:jc w:val="center"/>
              <w:rPr>
                <w:b w:val="0"/>
                <w:lang w:val="en-US" w:eastAsia="zh-CN"/>
              </w:rPr>
            </w:pPr>
            <w:r>
              <w:rPr>
                <w:b w:val="0"/>
                <w:lang w:val="en-US" w:eastAsia="zh-CN"/>
              </w:rPr>
              <w:t>8 (30.8%)</w:t>
            </w:r>
          </w:p>
        </w:tc>
        <w:tc>
          <w:tcPr>
            <w:tcW w:w="2557" w:type="pct"/>
            <w:tcBorders>
              <w:top w:val="nil"/>
              <w:left w:val="nil"/>
              <w:bottom w:val="single" w:color="000000" w:sz="12" w:space="0"/>
              <w:right w:val="nil"/>
            </w:tcBorders>
            <w:shd w:val="clear" w:color="auto" w:fill="FFFFFF"/>
            <w:vAlign w:val="center"/>
          </w:tcPr>
          <w:p w14:paraId="4B35B559">
            <w:pPr>
              <w:pStyle w:val="167"/>
              <w:bidi w:val="0"/>
              <w:jc w:val="center"/>
              <w:rPr>
                <w:b w:val="0"/>
                <w:lang w:val="en-US" w:eastAsia="zh-CN"/>
              </w:rPr>
            </w:pPr>
            <w:r>
              <w:rPr>
                <w:b w:val="0"/>
                <w:lang w:val="en-US" w:eastAsia="zh-CN"/>
              </w:rPr>
              <w:t>A result was judged at high overall risk when at least one domain was at high risk. Results with one or more domains showing some concerns, but no high-risk domain, were judged as having some concerns overall.</w:t>
            </w:r>
          </w:p>
        </w:tc>
      </w:tr>
    </w:tbl>
    <w:p w14:paraId="69FBF9D2">
      <w:pPr>
        <w:pStyle w:val="4"/>
        <w:bidi w:val="0"/>
      </w:pPr>
      <w:r>
        <w:rPr>
          <w:lang w:val="en-US" w:eastAsia="zh-CN"/>
        </w:rPr>
        <w:t>Supplementary Table S4d. Full RoB 2 signalling-question responses and judgement rationales for the 26 study–outcome results included in the primary analyses</w:t>
      </w:r>
    </w:p>
    <w:p w14:paraId="5BFFD48E">
      <w:pPr>
        <w:pStyle w:val="5"/>
        <w:bidi w:val="0"/>
        <w:rPr>
          <w:lang w:val="en-US" w:eastAsia="zh-CN"/>
        </w:rPr>
      </w:pPr>
      <w:r>
        <w:rPr>
          <w:lang w:val="en-US" w:eastAsia="zh-CN"/>
        </w:rPr>
        <w:t>Table S4d-1. Signalling-question key</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3"/>
        <w:gridCol w:w="2910"/>
        <w:gridCol w:w="8341"/>
      </w:tblGrid>
      <w:tr w14:paraId="0A1DDF7D">
        <w:tc>
          <w:tcPr>
            <w:tcW w:w="1031" w:type="pct"/>
            <w:tcBorders>
              <w:top w:val="single" w:color="000000" w:sz="12" w:space="0"/>
              <w:left w:val="nil"/>
              <w:bottom w:val="single" w:color="000000" w:sz="4" w:space="0"/>
              <w:right w:val="nil"/>
              <w:tl2br w:val="nil"/>
            </w:tcBorders>
            <w:shd w:val="clear" w:color="auto" w:fill="FFFFFF"/>
            <w:vAlign w:val="center"/>
          </w:tcPr>
          <w:p w14:paraId="5119A9CA">
            <w:pPr>
              <w:pStyle w:val="167"/>
              <w:bidi w:val="0"/>
              <w:jc w:val="center"/>
              <w:rPr>
                <w:b w:val="0"/>
                <w:lang w:val="en-US" w:eastAsia="zh-CN"/>
              </w:rPr>
            </w:pPr>
            <w:r>
              <w:rPr>
                <w:b w:val="0"/>
                <w:lang w:val="en-US" w:eastAsia="zh-CN"/>
              </w:rPr>
              <w:t>Domain</w:t>
            </w:r>
          </w:p>
        </w:tc>
        <w:tc>
          <w:tcPr>
            <w:tcW w:w="1026" w:type="pct"/>
            <w:tcBorders>
              <w:top w:val="single" w:color="000000" w:sz="12" w:space="0"/>
              <w:left w:val="nil"/>
              <w:bottom w:val="single" w:color="000000" w:sz="4" w:space="0"/>
              <w:right w:val="nil"/>
            </w:tcBorders>
            <w:shd w:val="clear" w:color="auto" w:fill="FFFFFF"/>
            <w:vAlign w:val="center"/>
          </w:tcPr>
          <w:p w14:paraId="33455C71">
            <w:pPr>
              <w:pStyle w:val="167"/>
              <w:bidi w:val="0"/>
              <w:jc w:val="center"/>
              <w:rPr>
                <w:b w:val="0"/>
                <w:lang w:val="en-US" w:eastAsia="zh-CN"/>
              </w:rPr>
            </w:pPr>
            <w:r>
              <w:rPr>
                <w:b w:val="0"/>
                <w:lang w:val="en-US" w:eastAsia="zh-CN"/>
              </w:rPr>
              <w:t>Question IDs</w:t>
            </w:r>
          </w:p>
        </w:tc>
        <w:tc>
          <w:tcPr>
            <w:tcW w:w="2941" w:type="pct"/>
            <w:tcBorders>
              <w:top w:val="single" w:color="000000" w:sz="12" w:space="0"/>
              <w:left w:val="nil"/>
              <w:bottom w:val="single" w:color="000000" w:sz="4" w:space="0"/>
              <w:right w:val="nil"/>
            </w:tcBorders>
            <w:shd w:val="clear" w:color="auto" w:fill="FFFFFF"/>
            <w:vAlign w:val="center"/>
          </w:tcPr>
          <w:p w14:paraId="7A6C38B8">
            <w:pPr>
              <w:pStyle w:val="167"/>
              <w:bidi w:val="0"/>
              <w:jc w:val="center"/>
              <w:rPr>
                <w:b w:val="0"/>
                <w:lang w:val="en-US" w:eastAsia="zh-CN"/>
              </w:rPr>
            </w:pPr>
            <w:r>
              <w:rPr>
                <w:b w:val="0"/>
                <w:lang w:val="en-US" w:eastAsia="zh-CN"/>
              </w:rPr>
              <w:t>Abbreviated content</w:t>
            </w:r>
          </w:p>
        </w:tc>
      </w:tr>
      <w:tr w14:paraId="641C74E7">
        <w:tc>
          <w:tcPr>
            <w:tcW w:w="1031" w:type="pct"/>
            <w:tcBorders>
              <w:top w:val="single" w:color="000000" w:sz="4" w:space="0"/>
              <w:left w:val="nil"/>
              <w:bottom w:val="nil"/>
              <w:right w:val="nil"/>
            </w:tcBorders>
            <w:shd w:val="clear" w:color="auto" w:fill="FFFFFF"/>
            <w:vAlign w:val="center"/>
          </w:tcPr>
          <w:p w14:paraId="45214738">
            <w:pPr>
              <w:pStyle w:val="167"/>
              <w:bidi w:val="0"/>
              <w:jc w:val="center"/>
              <w:rPr>
                <w:b w:val="0"/>
                <w:lang w:val="en-US" w:eastAsia="zh-CN"/>
              </w:rPr>
            </w:pPr>
            <w:r>
              <w:rPr>
                <w:b w:val="0"/>
                <w:lang w:val="en-US" w:eastAsia="zh-CN"/>
              </w:rPr>
              <w:t>D1. Randomization process</w:t>
            </w:r>
          </w:p>
        </w:tc>
        <w:tc>
          <w:tcPr>
            <w:tcW w:w="1026" w:type="pct"/>
            <w:tcBorders>
              <w:top w:val="single" w:color="000000" w:sz="4" w:space="0"/>
              <w:left w:val="nil"/>
              <w:bottom w:val="nil"/>
              <w:right w:val="nil"/>
            </w:tcBorders>
            <w:shd w:val="clear" w:color="auto" w:fill="FFFFFF"/>
            <w:vAlign w:val="center"/>
          </w:tcPr>
          <w:p w14:paraId="05FA3DF2">
            <w:pPr>
              <w:pStyle w:val="167"/>
              <w:bidi w:val="0"/>
              <w:jc w:val="center"/>
              <w:rPr>
                <w:b w:val="0"/>
                <w:lang w:val="en-US" w:eastAsia="zh-CN"/>
              </w:rPr>
            </w:pPr>
            <w:r>
              <w:rPr>
                <w:b w:val="0"/>
                <w:lang w:val="en-US" w:eastAsia="zh-CN"/>
              </w:rPr>
              <w:t>1.1–1.3</w:t>
            </w:r>
          </w:p>
        </w:tc>
        <w:tc>
          <w:tcPr>
            <w:tcW w:w="2941" w:type="pct"/>
            <w:tcBorders>
              <w:top w:val="single" w:color="000000" w:sz="4" w:space="0"/>
              <w:left w:val="nil"/>
              <w:bottom w:val="nil"/>
              <w:right w:val="nil"/>
            </w:tcBorders>
            <w:shd w:val="clear" w:color="auto" w:fill="FFFFFF"/>
            <w:vAlign w:val="center"/>
          </w:tcPr>
          <w:p w14:paraId="1627E0E8">
            <w:pPr>
              <w:pStyle w:val="167"/>
              <w:bidi w:val="0"/>
              <w:jc w:val="center"/>
              <w:rPr>
                <w:b w:val="0"/>
                <w:lang w:val="en-US" w:eastAsia="zh-CN"/>
              </w:rPr>
            </w:pPr>
            <w:r>
              <w:rPr>
                <w:b w:val="0"/>
                <w:lang w:val="en-US" w:eastAsia="zh-CN"/>
              </w:rPr>
              <w:t>Random sequence; allocation concealment; baseline imbalances</w:t>
            </w:r>
          </w:p>
        </w:tc>
      </w:tr>
      <w:tr w14:paraId="3D160A13">
        <w:tc>
          <w:tcPr>
            <w:tcW w:w="1031" w:type="pct"/>
            <w:tcBorders>
              <w:top w:val="nil"/>
              <w:left w:val="nil"/>
              <w:bottom w:val="nil"/>
              <w:right w:val="nil"/>
            </w:tcBorders>
            <w:shd w:val="clear" w:color="auto" w:fill="FFFFFF"/>
            <w:vAlign w:val="center"/>
          </w:tcPr>
          <w:p w14:paraId="46FBCA4D">
            <w:pPr>
              <w:pStyle w:val="167"/>
              <w:bidi w:val="0"/>
              <w:jc w:val="center"/>
              <w:rPr>
                <w:b w:val="0"/>
                <w:lang w:val="en-US" w:eastAsia="zh-CN"/>
              </w:rPr>
            </w:pPr>
            <w:r>
              <w:rPr>
                <w:b w:val="0"/>
                <w:lang w:val="en-US" w:eastAsia="zh-CN"/>
              </w:rPr>
              <w:t>D2. Deviations from intended interventions</w:t>
            </w:r>
          </w:p>
        </w:tc>
        <w:tc>
          <w:tcPr>
            <w:tcW w:w="1026" w:type="pct"/>
            <w:tcBorders>
              <w:top w:val="nil"/>
              <w:left w:val="nil"/>
              <w:bottom w:val="nil"/>
              <w:right w:val="nil"/>
            </w:tcBorders>
            <w:shd w:val="clear" w:color="auto" w:fill="FFFFFF"/>
            <w:vAlign w:val="center"/>
          </w:tcPr>
          <w:p w14:paraId="03E7AF2B">
            <w:pPr>
              <w:pStyle w:val="167"/>
              <w:bidi w:val="0"/>
              <w:jc w:val="center"/>
              <w:rPr>
                <w:b w:val="0"/>
                <w:lang w:val="en-US" w:eastAsia="zh-CN"/>
              </w:rPr>
            </w:pPr>
            <w:r>
              <w:rPr>
                <w:b w:val="0"/>
                <w:lang w:val="en-US" w:eastAsia="zh-CN"/>
              </w:rPr>
              <w:t>2.1–2.7</w:t>
            </w:r>
          </w:p>
        </w:tc>
        <w:tc>
          <w:tcPr>
            <w:tcW w:w="2941" w:type="pct"/>
            <w:tcBorders>
              <w:top w:val="nil"/>
              <w:left w:val="nil"/>
              <w:bottom w:val="nil"/>
              <w:right w:val="nil"/>
            </w:tcBorders>
            <w:shd w:val="clear" w:color="auto" w:fill="FFFFFF"/>
            <w:vAlign w:val="center"/>
          </w:tcPr>
          <w:p w14:paraId="1110EF81">
            <w:pPr>
              <w:pStyle w:val="167"/>
              <w:bidi w:val="0"/>
              <w:jc w:val="center"/>
              <w:rPr>
                <w:b w:val="0"/>
                <w:lang w:val="en-US" w:eastAsia="zh-CN"/>
              </w:rPr>
            </w:pPr>
            <w:r>
              <w:rPr>
                <w:b w:val="0"/>
                <w:lang w:val="en-US" w:eastAsia="zh-CN"/>
              </w:rPr>
              <w:t>Awareness of assignment; trial-context deviations; effects and balance of deviations; appropriateness of analysis</w:t>
            </w:r>
          </w:p>
        </w:tc>
      </w:tr>
      <w:tr w14:paraId="09D49ED4">
        <w:tc>
          <w:tcPr>
            <w:tcW w:w="1031" w:type="pct"/>
            <w:tcBorders>
              <w:top w:val="nil"/>
              <w:left w:val="nil"/>
              <w:bottom w:val="nil"/>
              <w:right w:val="nil"/>
            </w:tcBorders>
            <w:shd w:val="clear" w:color="auto" w:fill="FFFFFF"/>
            <w:vAlign w:val="center"/>
          </w:tcPr>
          <w:p w14:paraId="46E8159F">
            <w:pPr>
              <w:pStyle w:val="167"/>
              <w:bidi w:val="0"/>
              <w:jc w:val="center"/>
              <w:rPr>
                <w:b w:val="0"/>
                <w:lang w:val="en-US" w:eastAsia="zh-CN"/>
              </w:rPr>
            </w:pPr>
            <w:r>
              <w:rPr>
                <w:b w:val="0"/>
                <w:lang w:val="en-US" w:eastAsia="zh-CN"/>
              </w:rPr>
              <w:t>D3. Missing outcome data</w:t>
            </w:r>
          </w:p>
        </w:tc>
        <w:tc>
          <w:tcPr>
            <w:tcW w:w="1026" w:type="pct"/>
            <w:tcBorders>
              <w:top w:val="nil"/>
              <w:left w:val="nil"/>
              <w:bottom w:val="nil"/>
              <w:right w:val="nil"/>
            </w:tcBorders>
            <w:shd w:val="clear" w:color="auto" w:fill="FFFFFF"/>
            <w:vAlign w:val="center"/>
          </w:tcPr>
          <w:p w14:paraId="7D548A91">
            <w:pPr>
              <w:pStyle w:val="167"/>
              <w:bidi w:val="0"/>
              <w:jc w:val="center"/>
              <w:rPr>
                <w:b w:val="0"/>
                <w:lang w:val="en-US" w:eastAsia="zh-CN"/>
              </w:rPr>
            </w:pPr>
            <w:r>
              <w:rPr>
                <w:b w:val="0"/>
                <w:lang w:val="en-US" w:eastAsia="zh-CN"/>
              </w:rPr>
              <w:t>3.1–3.4</w:t>
            </w:r>
          </w:p>
        </w:tc>
        <w:tc>
          <w:tcPr>
            <w:tcW w:w="2941" w:type="pct"/>
            <w:tcBorders>
              <w:top w:val="nil"/>
              <w:left w:val="nil"/>
              <w:bottom w:val="nil"/>
              <w:right w:val="nil"/>
            </w:tcBorders>
            <w:shd w:val="clear" w:color="auto" w:fill="FFFFFF"/>
            <w:vAlign w:val="center"/>
          </w:tcPr>
          <w:p w14:paraId="75D30EDE">
            <w:pPr>
              <w:pStyle w:val="167"/>
              <w:bidi w:val="0"/>
              <w:jc w:val="center"/>
              <w:rPr>
                <w:b w:val="0"/>
                <w:lang w:val="en-US" w:eastAsia="zh-CN"/>
              </w:rPr>
            </w:pPr>
            <w:r>
              <w:rPr>
                <w:b w:val="0"/>
                <w:lang w:val="en-US" w:eastAsia="zh-CN"/>
              </w:rPr>
              <w:t>Availability of outcome data; evidence that missingness did not bias results; dependence of missingness on outcome</w:t>
            </w:r>
          </w:p>
        </w:tc>
      </w:tr>
      <w:tr w14:paraId="2104B138">
        <w:tc>
          <w:tcPr>
            <w:tcW w:w="1031" w:type="pct"/>
            <w:tcBorders>
              <w:top w:val="nil"/>
              <w:left w:val="nil"/>
              <w:bottom w:val="nil"/>
              <w:right w:val="nil"/>
            </w:tcBorders>
            <w:shd w:val="clear" w:color="auto" w:fill="FFFFFF"/>
            <w:vAlign w:val="center"/>
          </w:tcPr>
          <w:p w14:paraId="0CE2A0A4">
            <w:pPr>
              <w:pStyle w:val="167"/>
              <w:bidi w:val="0"/>
              <w:jc w:val="center"/>
              <w:rPr>
                <w:b w:val="0"/>
                <w:lang w:val="en-US" w:eastAsia="zh-CN"/>
              </w:rPr>
            </w:pPr>
            <w:r>
              <w:rPr>
                <w:b w:val="0"/>
                <w:lang w:val="en-US" w:eastAsia="zh-CN"/>
              </w:rPr>
              <w:t>D4. Measurement of outcome</w:t>
            </w:r>
          </w:p>
        </w:tc>
        <w:tc>
          <w:tcPr>
            <w:tcW w:w="1026" w:type="pct"/>
            <w:tcBorders>
              <w:top w:val="nil"/>
              <w:left w:val="nil"/>
              <w:bottom w:val="nil"/>
              <w:right w:val="nil"/>
            </w:tcBorders>
            <w:shd w:val="clear" w:color="auto" w:fill="FFFFFF"/>
            <w:vAlign w:val="center"/>
          </w:tcPr>
          <w:p w14:paraId="3BBB5375">
            <w:pPr>
              <w:pStyle w:val="167"/>
              <w:bidi w:val="0"/>
              <w:jc w:val="center"/>
              <w:rPr>
                <w:b w:val="0"/>
                <w:lang w:val="en-US" w:eastAsia="zh-CN"/>
              </w:rPr>
            </w:pPr>
            <w:r>
              <w:rPr>
                <w:b w:val="0"/>
                <w:lang w:val="en-US" w:eastAsia="zh-CN"/>
              </w:rPr>
              <w:t>4.1–4.5</w:t>
            </w:r>
          </w:p>
        </w:tc>
        <w:tc>
          <w:tcPr>
            <w:tcW w:w="2941" w:type="pct"/>
            <w:tcBorders>
              <w:top w:val="nil"/>
              <w:left w:val="nil"/>
              <w:bottom w:val="nil"/>
              <w:right w:val="nil"/>
            </w:tcBorders>
            <w:shd w:val="clear" w:color="auto" w:fill="FFFFFF"/>
            <w:vAlign w:val="center"/>
          </w:tcPr>
          <w:p w14:paraId="57ECC735">
            <w:pPr>
              <w:pStyle w:val="167"/>
              <w:bidi w:val="0"/>
              <w:jc w:val="center"/>
              <w:rPr>
                <w:b w:val="0"/>
                <w:lang w:val="en-US" w:eastAsia="zh-CN"/>
              </w:rPr>
            </w:pPr>
            <w:r>
              <w:rPr>
                <w:b w:val="0"/>
                <w:lang w:val="en-US" w:eastAsia="zh-CN"/>
              </w:rPr>
              <w:t>Appropriateness and comparability of measurement; assessor awareness; possible and likely influence of awareness</w:t>
            </w:r>
          </w:p>
        </w:tc>
      </w:tr>
      <w:tr w14:paraId="56033E63">
        <w:tc>
          <w:tcPr>
            <w:tcW w:w="1031" w:type="pct"/>
            <w:tcBorders>
              <w:top w:val="nil"/>
              <w:left w:val="nil"/>
              <w:bottom w:val="single" w:color="000000" w:sz="12" w:space="0"/>
              <w:right w:val="nil"/>
            </w:tcBorders>
            <w:shd w:val="clear" w:color="auto" w:fill="FFFFFF"/>
            <w:vAlign w:val="center"/>
          </w:tcPr>
          <w:p w14:paraId="643E5D95">
            <w:pPr>
              <w:pStyle w:val="167"/>
              <w:bidi w:val="0"/>
              <w:jc w:val="center"/>
              <w:rPr>
                <w:b w:val="0"/>
                <w:lang w:val="en-US" w:eastAsia="zh-CN"/>
              </w:rPr>
            </w:pPr>
            <w:r>
              <w:rPr>
                <w:b w:val="0"/>
                <w:lang w:val="en-US" w:eastAsia="zh-CN"/>
              </w:rPr>
              <w:t>D5. Selection of reported result</w:t>
            </w:r>
          </w:p>
        </w:tc>
        <w:tc>
          <w:tcPr>
            <w:tcW w:w="1026" w:type="pct"/>
            <w:tcBorders>
              <w:top w:val="nil"/>
              <w:left w:val="nil"/>
              <w:bottom w:val="single" w:color="000000" w:sz="12" w:space="0"/>
              <w:right w:val="nil"/>
            </w:tcBorders>
            <w:shd w:val="clear" w:color="auto" w:fill="FFFFFF"/>
            <w:vAlign w:val="center"/>
          </w:tcPr>
          <w:p w14:paraId="66971417">
            <w:pPr>
              <w:pStyle w:val="167"/>
              <w:bidi w:val="0"/>
              <w:jc w:val="center"/>
              <w:rPr>
                <w:b w:val="0"/>
                <w:lang w:val="en-US" w:eastAsia="zh-CN"/>
              </w:rPr>
            </w:pPr>
            <w:r>
              <w:rPr>
                <w:b w:val="0"/>
                <w:lang w:val="en-US" w:eastAsia="zh-CN"/>
              </w:rPr>
              <w:t>5.1–5.3</w:t>
            </w:r>
          </w:p>
        </w:tc>
        <w:tc>
          <w:tcPr>
            <w:tcW w:w="2941" w:type="pct"/>
            <w:tcBorders>
              <w:top w:val="nil"/>
              <w:left w:val="nil"/>
              <w:bottom w:val="single" w:color="000000" w:sz="12" w:space="0"/>
              <w:right w:val="nil"/>
            </w:tcBorders>
            <w:shd w:val="clear" w:color="auto" w:fill="FFFFFF"/>
            <w:vAlign w:val="center"/>
          </w:tcPr>
          <w:p w14:paraId="2B914F8D">
            <w:pPr>
              <w:pStyle w:val="167"/>
              <w:bidi w:val="0"/>
              <w:jc w:val="center"/>
              <w:rPr>
                <w:b w:val="0"/>
                <w:lang w:val="en-US" w:eastAsia="zh-CN"/>
              </w:rPr>
            </w:pPr>
            <w:r>
              <w:rPr>
                <w:b w:val="0"/>
                <w:lang w:val="en-US" w:eastAsia="zh-CN"/>
              </w:rPr>
              <w:t>Prespecified analysis plan; selection among multiple measurements or analyses</w:t>
            </w:r>
          </w:p>
        </w:tc>
      </w:tr>
    </w:tbl>
    <w:p w14:paraId="5B4C5B1A">
      <w:pPr>
        <w:pStyle w:val="5"/>
        <w:bidi w:val="0"/>
        <w:rPr>
          <w:lang w:val="en-US" w:eastAsia="zh-CN"/>
        </w:rPr>
      </w:pPr>
      <w:r>
        <w:rPr>
          <w:lang w:val="en-US" w:eastAsia="zh-CN"/>
        </w:rPr>
        <w:t>Table S4d-2. Response coding</w:t>
      </w:r>
    </w:p>
    <w:tbl>
      <w:tblPr>
        <w:tblStyle w:val="3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9913"/>
      </w:tblGrid>
      <w:tr w14:paraId="4DEECE53">
        <w:tc>
          <w:tcPr>
            <w:tcW w:w="1502" w:type="pct"/>
            <w:tcBorders>
              <w:top w:val="single" w:color="000000" w:sz="12" w:space="0"/>
              <w:left w:val="nil"/>
              <w:bottom w:val="single" w:color="000000" w:sz="4" w:space="0"/>
              <w:right w:val="nil"/>
              <w:tl2br w:val="nil"/>
            </w:tcBorders>
            <w:shd w:val="clear" w:color="auto" w:fill="FFFFFF"/>
            <w:vAlign w:val="center"/>
          </w:tcPr>
          <w:p w14:paraId="68E5DE6C">
            <w:pPr>
              <w:pStyle w:val="167"/>
              <w:bidi w:val="0"/>
              <w:jc w:val="center"/>
              <w:rPr>
                <w:b w:val="0"/>
                <w:lang w:val="en-US" w:eastAsia="zh-CN"/>
              </w:rPr>
            </w:pPr>
            <w:r>
              <w:rPr>
                <w:b w:val="0"/>
                <w:lang w:val="en-US" w:eastAsia="zh-CN"/>
              </w:rPr>
              <w:t>Code</w:t>
            </w:r>
          </w:p>
        </w:tc>
        <w:tc>
          <w:tcPr>
            <w:tcW w:w="3497" w:type="pct"/>
            <w:tcBorders>
              <w:top w:val="single" w:color="000000" w:sz="12" w:space="0"/>
              <w:left w:val="nil"/>
              <w:bottom w:val="single" w:color="000000" w:sz="4" w:space="0"/>
              <w:right w:val="nil"/>
            </w:tcBorders>
            <w:shd w:val="clear" w:color="auto" w:fill="FFFFFF"/>
            <w:vAlign w:val="center"/>
          </w:tcPr>
          <w:p w14:paraId="034E750D">
            <w:pPr>
              <w:pStyle w:val="167"/>
              <w:bidi w:val="0"/>
              <w:jc w:val="center"/>
              <w:rPr>
                <w:b w:val="0"/>
                <w:lang w:val="en-US" w:eastAsia="zh-CN"/>
              </w:rPr>
            </w:pPr>
            <w:r>
              <w:rPr>
                <w:b w:val="0"/>
                <w:lang w:val="en-US" w:eastAsia="zh-CN"/>
              </w:rPr>
              <w:t>Meaning</w:t>
            </w:r>
          </w:p>
        </w:tc>
      </w:tr>
      <w:tr w14:paraId="29AA83CD">
        <w:tc>
          <w:tcPr>
            <w:tcW w:w="1502" w:type="pct"/>
            <w:tcBorders>
              <w:top w:val="single" w:color="000000" w:sz="4" w:space="0"/>
              <w:left w:val="nil"/>
              <w:bottom w:val="nil"/>
              <w:right w:val="nil"/>
            </w:tcBorders>
            <w:shd w:val="clear" w:color="auto" w:fill="FFFFFF"/>
            <w:vAlign w:val="center"/>
          </w:tcPr>
          <w:p w14:paraId="31650197">
            <w:pPr>
              <w:pStyle w:val="167"/>
              <w:bidi w:val="0"/>
              <w:jc w:val="center"/>
              <w:rPr>
                <w:b w:val="0"/>
                <w:lang w:val="en-US" w:eastAsia="zh-CN"/>
              </w:rPr>
            </w:pPr>
            <w:r>
              <w:rPr>
                <w:b w:val="0"/>
                <w:lang w:val="en-US" w:eastAsia="zh-CN"/>
              </w:rPr>
              <w:t>Y</w:t>
            </w:r>
          </w:p>
        </w:tc>
        <w:tc>
          <w:tcPr>
            <w:tcW w:w="3497" w:type="pct"/>
            <w:tcBorders>
              <w:top w:val="single" w:color="000000" w:sz="4" w:space="0"/>
              <w:left w:val="nil"/>
              <w:bottom w:val="nil"/>
              <w:right w:val="nil"/>
            </w:tcBorders>
            <w:shd w:val="clear" w:color="auto" w:fill="FFFFFF"/>
            <w:vAlign w:val="center"/>
          </w:tcPr>
          <w:p w14:paraId="260AF6C4">
            <w:pPr>
              <w:pStyle w:val="167"/>
              <w:bidi w:val="0"/>
              <w:jc w:val="center"/>
              <w:rPr>
                <w:b w:val="0"/>
                <w:lang w:val="en-US" w:eastAsia="zh-CN"/>
              </w:rPr>
            </w:pPr>
            <w:r>
              <w:rPr>
                <w:b w:val="0"/>
                <w:lang w:val="en-US" w:eastAsia="zh-CN"/>
              </w:rPr>
              <w:t>Yes</w:t>
            </w:r>
          </w:p>
        </w:tc>
      </w:tr>
      <w:tr w14:paraId="7077119D">
        <w:tc>
          <w:tcPr>
            <w:tcW w:w="1502" w:type="pct"/>
            <w:tcBorders>
              <w:top w:val="nil"/>
              <w:left w:val="nil"/>
              <w:bottom w:val="nil"/>
              <w:right w:val="nil"/>
            </w:tcBorders>
            <w:shd w:val="clear" w:color="auto" w:fill="FFFFFF"/>
            <w:vAlign w:val="center"/>
          </w:tcPr>
          <w:p w14:paraId="658ECA18">
            <w:pPr>
              <w:pStyle w:val="167"/>
              <w:bidi w:val="0"/>
              <w:jc w:val="center"/>
              <w:rPr>
                <w:b w:val="0"/>
                <w:lang w:val="en-US" w:eastAsia="zh-CN"/>
              </w:rPr>
            </w:pPr>
            <w:r>
              <w:rPr>
                <w:b w:val="0"/>
                <w:lang w:val="en-US" w:eastAsia="zh-CN"/>
              </w:rPr>
              <w:t>PY</w:t>
            </w:r>
          </w:p>
        </w:tc>
        <w:tc>
          <w:tcPr>
            <w:tcW w:w="3497" w:type="pct"/>
            <w:tcBorders>
              <w:top w:val="nil"/>
              <w:left w:val="nil"/>
              <w:bottom w:val="nil"/>
              <w:right w:val="nil"/>
            </w:tcBorders>
            <w:shd w:val="clear" w:color="auto" w:fill="FFFFFF"/>
            <w:vAlign w:val="center"/>
          </w:tcPr>
          <w:p w14:paraId="5850D667">
            <w:pPr>
              <w:pStyle w:val="167"/>
              <w:bidi w:val="0"/>
              <w:jc w:val="center"/>
              <w:rPr>
                <w:b w:val="0"/>
                <w:lang w:val="en-US" w:eastAsia="zh-CN"/>
              </w:rPr>
            </w:pPr>
            <w:r>
              <w:rPr>
                <w:b w:val="0"/>
                <w:lang w:val="en-US" w:eastAsia="zh-CN"/>
              </w:rPr>
              <w:t>Probably yes</w:t>
            </w:r>
          </w:p>
        </w:tc>
      </w:tr>
      <w:tr w14:paraId="7E8675F7">
        <w:tc>
          <w:tcPr>
            <w:tcW w:w="1502" w:type="pct"/>
            <w:tcBorders>
              <w:top w:val="nil"/>
              <w:left w:val="nil"/>
              <w:bottom w:val="nil"/>
              <w:right w:val="nil"/>
            </w:tcBorders>
            <w:shd w:val="clear" w:color="auto" w:fill="FFFFFF"/>
            <w:vAlign w:val="center"/>
          </w:tcPr>
          <w:p w14:paraId="7962ECA4">
            <w:pPr>
              <w:pStyle w:val="167"/>
              <w:bidi w:val="0"/>
              <w:jc w:val="center"/>
              <w:rPr>
                <w:b w:val="0"/>
                <w:lang w:val="en-US" w:eastAsia="zh-CN"/>
              </w:rPr>
            </w:pPr>
            <w:r>
              <w:rPr>
                <w:b w:val="0"/>
                <w:lang w:val="en-US" w:eastAsia="zh-CN"/>
              </w:rPr>
              <w:t>PN</w:t>
            </w:r>
          </w:p>
        </w:tc>
        <w:tc>
          <w:tcPr>
            <w:tcW w:w="3497" w:type="pct"/>
            <w:tcBorders>
              <w:top w:val="nil"/>
              <w:left w:val="nil"/>
              <w:bottom w:val="nil"/>
              <w:right w:val="nil"/>
            </w:tcBorders>
            <w:shd w:val="clear" w:color="auto" w:fill="FFFFFF"/>
            <w:vAlign w:val="center"/>
          </w:tcPr>
          <w:p w14:paraId="2B1A6434">
            <w:pPr>
              <w:pStyle w:val="167"/>
              <w:bidi w:val="0"/>
              <w:jc w:val="center"/>
              <w:rPr>
                <w:b w:val="0"/>
                <w:lang w:val="en-US" w:eastAsia="zh-CN"/>
              </w:rPr>
            </w:pPr>
            <w:r>
              <w:rPr>
                <w:b w:val="0"/>
                <w:lang w:val="en-US" w:eastAsia="zh-CN"/>
              </w:rPr>
              <w:t>Probably no</w:t>
            </w:r>
          </w:p>
        </w:tc>
      </w:tr>
      <w:tr w14:paraId="2C8C4228">
        <w:tc>
          <w:tcPr>
            <w:tcW w:w="1502" w:type="pct"/>
            <w:tcBorders>
              <w:top w:val="nil"/>
              <w:left w:val="nil"/>
              <w:bottom w:val="nil"/>
              <w:right w:val="nil"/>
            </w:tcBorders>
            <w:shd w:val="clear" w:color="auto" w:fill="FFFFFF"/>
            <w:vAlign w:val="center"/>
          </w:tcPr>
          <w:p w14:paraId="4A1A55A9">
            <w:pPr>
              <w:pStyle w:val="167"/>
              <w:bidi w:val="0"/>
              <w:jc w:val="center"/>
              <w:rPr>
                <w:b w:val="0"/>
                <w:lang w:val="en-US" w:eastAsia="zh-CN"/>
              </w:rPr>
            </w:pPr>
            <w:r>
              <w:rPr>
                <w:b w:val="0"/>
                <w:lang w:val="en-US" w:eastAsia="zh-CN"/>
              </w:rPr>
              <w:t>N</w:t>
            </w:r>
          </w:p>
        </w:tc>
        <w:tc>
          <w:tcPr>
            <w:tcW w:w="3497" w:type="pct"/>
            <w:tcBorders>
              <w:top w:val="nil"/>
              <w:left w:val="nil"/>
              <w:bottom w:val="nil"/>
              <w:right w:val="nil"/>
            </w:tcBorders>
            <w:shd w:val="clear" w:color="auto" w:fill="FFFFFF"/>
            <w:vAlign w:val="center"/>
          </w:tcPr>
          <w:p w14:paraId="639B5F0B">
            <w:pPr>
              <w:pStyle w:val="167"/>
              <w:bidi w:val="0"/>
              <w:jc w:val="center"/>
              <w:rPr>
                <w:b w:val="0"/>
                <w:lang w:val="en-US" w:eastAsia="zh-CN"/>
              </w:rPr>
            </w:pPr>
            <w:r>
              <w:rPr>
                <w:b w:val="0"/>
                <w:lang w:val="en-US" w:eastAsia="zh-CN"/>
              </w:rPr>
              <w:t>No</w:t>
            </w:r>
          </w:p>
        </w:tc>
      </w:tr>
      <w:tr w14:paraId="00F36B0F">
        <w:tc>
          <w:tcPr>
            <w:tcW w:w="1502" w:type="pct"/>
            <w:tcBorders>
              <w:top w:val="nil"/>
              <w:left w:val="nil"/>
              <w:bottom w:val="nil"/>
              <w:right w:val="nil"/>
            </w:tcBorders>
            <w:shd w:val="clear" w:color="auto" w:fill="FFFFFF"/>
            <w:vAlign w:val="center"/>
          </w:tcPr>
          <w:p w14:paraId="1873769E">
            <w:pPr>
              <w:pStyle w:val="167"/>
              <w:bidi w:val="0"/>
              <w:jc w:val="center"/>
              <w:rPr>
                <w:b w:val="0"/>
                <w:lang w:val="en-US" w:eastAsia="zh-CN"/>
              </w:rPr>
            </w:pPr>
            <w:r>
              <w:rPr>
                <w:b w:val="0"/>
                <w:lang w:val="en-US" w:eastAsia="zh-CN"/>
              </w:rPr>
              <w:t>NI</w:t>
            </w:r>
          </w:p>
        </w:tc>
        <w:tc>
          <w:tcPr>
            <w:tcW w:w="3497" w:type="pct"/>
            <w:tcBorders>
              <w:top w:val="nil"/>
              <w:left w:val="nil"/>
              <w:bottom w:val="nil"/>
              <w:right w:val="nil"/>
            </w:tcBorders>
            <w:shd w:val="clear" w:color="auto" w:fill="FFFFFF"/>
            <w:vAlign w:val="center"/>
          </w:tcPr>
          <w:p w14:paraId="7E3615EC">
            <w:pPr>
              <w:pStyle w:val="167"/>
              <w:bidi w:val="0"/>
              <w:jc w:val="center"/>
              <w:rPr>
                <w:b w:val="0"/>
                <w:lang w:val="en-US" w:eastAsia="zh-CN"/>
              </w:rPr>
            </w:pPr>
            <w:r>
              <w:rPr>
                <w:b w:val="0"/>
                <w:lang w:val="en-US" w:eastAsia="zh-CN"/>
              </w:rPr>
              <w:t>No information</w:t>
            </w:r>
          </w:p>
        </w:tc>
      </w:tr>
      <w:tr w14:paraId="7C90D2DD">
        <w:tc>
          <w:tcPr>
            <w:tcW w:w="1502" w:type="pct"/>
            <w:tcBorders>
              <w:top w:val="nil"/>
              <w:left w:val="nil"/>
              <w:bottom w:val="nil"/>
              <w:right w:val="nil"/>
            </w:tcBorders>
            <w:shd w:val="clear" w:color="auto" w:fill="FFFFFF"/>
            <w:vAlign w:val="center"/>
          </w:tcPr>
          <w:p w14:paraId="61B56E05">
            <w:pPr>
              <w:pStyle w:val="167"/>
              <w:bidi w:val="0"/>
              <w:jc w:val="center"/>
              <w:rPr>
                <w:b w:val="0"/>
                <w:lang w:val="en-US" w:eastAsia="zh-CN"/>
              </w:rPr>
            </w:pPr>
            <w:r>
              <w:rPr>
                <w:b w:val="0"/>
                <w:lang w:val="en-US" w:eastAsia="zh-CN"/>
              </w:rPr>
              <w:t>NA</w:t>
            </w:r>
          </w:p>
        </w:tc>
        <w:tc>
          <w:tcPr>
            <w:tcW w:w="3497" w:type="pct"/>
            <w:tcBorders>
              <w:top w:val="nil"/>
              <w:left w:val="nil"/>
              <w:bottom w:val="nil"/>
              <w:right w:val="nil"/>
            </w:tcBorders>
            <w:shd w:val="clear" w:color="auto" w:fill="FFFFFF"/>
            <w:vAlign w:val="center"/>
          </w:tcPr>
          <w:p w14:paraId="296E317B">
            <w:pPr>
              <w:pStyle w:val="167"/>
              <w:bidi w:val="0"/>
              <w:jc w:val="center"/>
              <w:rPr>
                <w:b w:val="0"/>
                <w:lang w:val="en-US" w:eastAsia="zh-CN"/>
              </w:rPr>
            </w:pPr>
            <w:r>
              <w:rPr>
                <w:b w:val="0"/>
                <w:lang w:val="en-US" w:eastAsia="zh-CN"/>
              </w:rPr>
              <w:t>Not applicable</w:t>
            </w:r>
          </w:p>
        </w:tc>
      </w:tr>
      <w:tr w14:paraId="39252FBE">
        <w:tc>
          <w:tcPr>
            <w:tcW w:w="1502" w:type="pct"/>
            <w:tcBorders>
              <w:top w:val="nil"/>
              <w:left w:val="nil"/>
              <w:bottom w:val="nil"/>
              <w:right w:val="nil"/>
            </w:tcBorders>
            <w:shd w:val="clear" w:color="auto" w:fill="FFFFFF"/>
            <w:vAlign w:val="center"/>
          </w:tcPr>
          <w:p w14:paraId="1C854B80">
            <w:pPr>
              <w:pStyle w:val="167"/>
              <w:bidi w:val="0"/>
              <w:jc w:val="center"/>
              <w:rPr>
                <w:b w:val="0"/>
                <w:lang w:val="en-US" w:eastAsia="zh-CN"/>
              </w:rPr>
            </w:pPr>
            <w:r>
              <w:rPr>
                <w:b w:val="0"/>
                <w:lang w:val="en-US" w:eastAsia="zh-CN"/>
              </w:rPr>
              <w:t>L</w:t>
            </w:r>
          </w:p>
        </w:tc>
        <w:tc>
          <w:tcPr>
            <w:tcW w:w="3497" w:type="pct"/>
            <w:tcBorders>
              <w:top w:val="nil"/>
              <w:left w:val="nil"/>
              <w:bottom w:val="nil"/>
              <w:right w:val="nil"/>
            </w:tcBorders>
            <w:shd w:val="clear" w:color="auto" w:fill="FFFFFF"/>
            <w:vAlign w:val="center"/>
          </w:tcPr>
          <w:p w14:paraId="630C2894">
            <w:pPr>
              <w:pStyle w:val="167"/>
              <w:bidi w:val="0"/>
              <w:jc w:val="center"/>
              <w:rPr>
                <w:b w:val="0"/>
                <w:lang w:val="en-US" w:eastAsia="zh-CN"/>
              </w:rPr>
            </w:pPr>
            <w:r>
              <w:rPr>
                <w:b w:val="0"/>
                <w:lang w:val="en-US" w:eastAsia="zh-CN"/>
              </w:rPr>
              <w:t>Low risk</w:t>
            </w:r>
          </w:p>
        </w:tc>
      </w:tr>
      <w:tr w14:paraId="5485FB62">
        <w:tc>
          <w:tcPr>
            <w:tcW w:w="1502" w:type="pct"/>
            <w:tcBorders>
              <w:top w:val="nil"/>
              <w:left w:val="nil"/>
              <w:bottom w:val="nil"/>
              <w:right w:val="nil"/>
            </w:tcBorders>
            <w:shd w:val="clear" w:color="auto" w:fill="FFFFFF"/>
            <w:vAlign w:val="center"/>
          </w:tcPr>
          <w:p w14:paraId="3D8E462F">
            <w:pPr>
              <w:pStyle w:val="167"/>
              <w:bidi w:val="0"/>
              <w:jc w:val="center"/>
              <w:rPr>
                <w:b w:val="0"/>
                <w:lang w:val="en-US" w:eastAsia="zh-CN"/>
              </w:rPr>
            </w:pPr>
            <w:r>
              <w:rPr>
                <w:b w:val="0"/>
                <w:lang w:val="en-US" w:eastAsia="zh-CN"/>
              </w:rPr>
              <w:t>SC</w:t>
            </w:r>
          </w:p>
        </w:tc>
        <w:tc>
          <w:tcPr>
            <w:tcW w:w="3497" w:type="pct"/>
            <w:tcBorders>
              <w:top w:val="nil"/>
              <w:left w:val="nil"/>
              <w:bottom w:val="nil"/>
              <w:right w:val="nil"/>
            </w:tcBorders>
            <w:shd w:val="clear" w:color="auto" w:fill="FFFFFF"/>
            <w:vAlign w:val="center"/>
          </w:tcPr>
          <w:p w14:paraId="3F64AF9F">
            <w:pPr>
              <w:pStyle w:val="167"/>
              <w:bidi w:val="0"/>
              <w:jc w:val="center"/>
              <w:rPr>
                <w:b w:val="0"/>
                <w:lang w:val="en-US" w:eastAsia="zh-CN"/>
              </w:rPr>
            </w:pPr>
            <w:r>
              <w:rPr>
                <w:b w:val="0"/>
                <w:lang w:val="en-US" w:eastAsia="zh-CN"/>
              </w:rPr>
              <w:t>Some concerns</w:t>
            </w:r>
          </w:p>
        </w:tc>
      </w:tr>
      <w:tr w14:paraId="1DCA7043">
        <w:tc>
          <w:tcPr>
            <w:tcW w:w="1502" w:type="pct"/>
            <w:tcBorders>
              <w:top w:val="nil"/>
              <w:left w:val="nil"/>
              <w:bottom w:val="single" w:color="000000" w:sz="12" w:space="0"/>
              <w:right w:val="nil"/>
            </w:tcBorders>
            <w:shd w:val="clear" w:color="auto" w:fill="FFFFFF"/>
            <w:vAlign w:val="center"/>
          </w:tcPr>
          <w:p w14:paraId="01DB4971">
            <w:pPr>
              <w:pStyle w:val="167"/>
              <w:bidi w:val="0"/>
              <w:jc w:val="center"/>
              <w:rPr>
                <w:b w:val="0"/>
                <w:lang w:val="en-US" w:eastAsia="zh-CN"/>
              </w:rPr>
            </w:pPr>
            <w:r>
              <w:rPr>
                <w:b w:val="0"/>
                <w:lang w:val="en-US" w:eastAsia="zh-CN"/>
              </w:rPr>
              <w:t>H</w:t>
            </w:r>
          </w:p>
        </w:tc>
        <w:tc>
          <w:tcPr>
            <w:tcW w:w="3497" w:type="pct"/>
            <w:tcBorders>
              <w:top w:val="nil"/>
              <w:left w:val="nil"/>
              <w:bottom w:val="single" w:color="000000" w:sz="12" w:space="0"/>
              <w:right w:val="nil"/>
            </w:tcBorders>
            <w:shd w:val="clear" w:color="auto" w:fill="FFFFFF"/>
            <w:vAlign w:val="center"/>
          </w:tcPr>
          <w:p w14:paraId="34B7C4C7">
            <w:pPr>
              <w:pStyle w:val="167"/>
              <w:bidi w:val="0"/>
              <w:jc w:val="center"/>
              <w:rPr>
                <w:b w:val="0"/>
                <w:lang w:val="en-US" w:eastAsia="zh-CN"/>
              </w:rPr>
            </w:pPr>
            <w:r>
              <w:rPr>
                <w:b w:val="0"/>
                <w:lang w:val="en-US" w:eastAsia="zh-CN"/>
              </w:rPr>
              <w:t>High risk</w:t>
            </w:r>
          </w:p>
        </w:tc>
      </w:tr>
    </w:tbl>
    <w:p w14:paraId="5774D17D">
      <w:pPr>
        <w:pStyle w:val="5"/>
        <w:bidi w:val="0"/>
        <w:rPr>
          <w:lang w:val="en-US" w:eastAsia="zh-CN"/>
        </w:rPr>
      </w:pPr>
      <w:r>
        <w:rPr>
          <w:lang w:val="en-US" w:eastAsia="zh-CN"/>
        </w:rPr>
        <w:t>Table S4d-3. Compact response matrix</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444"/>
        <w:gridCol w:w="1379"/>
        <w:gridCol w:w="1735"/>
        <w:gridCol w:w="872"/>
        <w:gridCol w:w="1735"/>
        <w:gridCol w:w="1210"/>
        <w:gridCol w:w="1285"/>
        <w:gridCol w:w="882"/>
        <w:gridCol w:w="422"/>
        <w:gridCol w:w="422"/>
        <w:gridCol w:w="422"/>
        <w:gridCol w:w="422"/>
        <w:gridCol w:w="423"/>
        <w:gridCol w:w="723"/>
      </w:tblGrid>
      <w:tr w14:paraId="1599DF50">
        <w:tc>
          <w:tcPr>
            <w:tcW w:w="281" w:type="pct"/>
            <w:tcBorders>
              <w:top w:val="single" w:color="000000" w:sz="12" w:space="0"/>
              <w:left w:val="nil"/>
              <w:bottom w:val="single" w:color="000000" w:sz="4" w:space="0"/>
              <w:right w:val="nil"/>
              <w:tl2br w:val="nil"/>
            </w:tcBorders>
            <w:shd w:val="clear" w:color="auto" w:fill="FFFFFF"/>
            <w:vAlign w:val="center"/>
          </w:tcPr>
          <w:p w14:paraId="36A05185">
            <w:pPr>
              <w:pStyle w:val="167"/>
              <w:bidi w:val="0"/>
              <w:jc w:val="center"/>
              <w:rPr>
                <w:b w:val="0"/>
                <w:lang w:val="en-US" w:eastAsia="zh-CN"/>
              </w:rPr>
            </w:pPr>
            <w:r>
              <w:rPr>
                <w:b w:val="0"/>
                <w:lang w:val="en-US" w:eastAsia="zh-CN"/>
              </w:rPr>
              <w:t>Study</w:t>
            </w:r>
          </w:p>
        </w:tc>
        <w:tc>
          <w:tcPr>
            <w:tcW w:w="511" w:type="pct"/>
            <w:tcBorders>
              <w:top w:val="single" w:color="000000" w:sz="12" w:space="0"/>
              <w:left w:val="nil"/>
              <w:bottom w:val="single" w:color="000000" w:sz="4" w:space="0"/>
              <w:right w:val="nil"/>
            </w:tcBorders>
            <w:shd w:val="clear" w:color="auto" w:fill="FFFFFF"/>
            <w:vAlign w:val="center"/>
          </w:tcPr>
          <w:p w14:paraId="47F0C86D">
            <w:pPr>
              <w:pStyle w:val="167"/>
              <w:bidi w:val="0"/>
              <w:jc w:val="center"/>
              <w:rPr>
                <w:b w:val="0"/>
                <w:lang w:val="en-US" w:eastAsia="zh-CN"/>
              </w:rPr>
            </w:pPr>
            <w:r>
              <w:rPr>
                <w:b w:val="0"/>
                <w:lang w:val="en-US" w:eastAsia="zh-CN"/>
              </w:rPr>
              <w:t>Outcome/measure</w:t>
            </w:r>
          </w:p>
        </w:tc>
        <w:tc>
          <w:tcPr>
            <w:tcW w:w="503" w:type="pct"/>
            <w:tcBorders>
              <w:top w:val="single" w:color="000000" w:sz="12" w:space="0"/>
              <w:left w:val="nil"/>
              <w:bottom w:val="single" w:color="000000" w:sz="4" w:space="0"/>
              <w:right w:val="nil"/>
            </w:tcBorders>
            <w:shd w:val="clear" w:color="auto" w:fill="FFFFFF"/>
            <w:vAlign w:val="center"/>
          </w:tcPr>
          <w:p w14:paraId="123CE1EF">
            <w:pPr>
              <w:pStyle w:val="167"/>
              <w:bidi w:val="0"/>
              <w:jc w:val="center"/>
              <w:rPr>
                <w:b w:val="0"/>
                <w:lang w:val="en-US" w:eastAsia="zh-CN"/>
              </w:rPr>
            </w:pPr>
            <w:r>
              <w:rPr>
                <w:b w:val="0"/>
                <w:lang w:val="en-US" w:eastAsia="zh-CN"/>
              </w:rPr>
              <w:t>Time point</w:t>
            </w:r>
          </w:p>
        </w:tc>
        <w:tc>
          <w:tcPr>
            <w:tcW w:w="619" w:type="pct"/>
            <w:tcBorders>
              <w:top w:val="single" w:color="000000" w:sz="12" w:space="0"/>
              <w:left w:val="nil"/>
              <w:bottom w:val="single" w:color="000000" w:sz="4" w:space="0"/>
              <w:right w:val="nil"/>
            </w:tcBorders>
            <w:shd w:val="clear" w:color="auto" w:fill="FFFFFF"/>
            <w:vAlign w:val="center"/>
          </w:tcPr>
          <w:p w14:paraId="0A15427D">
            <w:pPr>
              <w:pStyle w:val="167"/>
              <w:bidi w:val="0"/>
              <w:jc w:val="center"/>
              <w:rPr>
                <w:b w:val="0"/>
                <w:lang w:val="en-US" w:eastAsia="zh-CN"/>
              </w:rPr>
            </w:pPr>
            <w:r>
              <w:rPr>
                <w:b w:val="0"/>
                <w:lang w:val="en-US" w:eastAsia="zh-CN"/>
              </w:rPr>
              <w:t>Comparator</w:t>
            </w:r>
          </w:p>
        </w:tc>
        <w:tc>
          <w:tcPr>
            <w:tcW w:w="312" w:type="pct"/>
            <w:tcBorders>
              <w:top w:val="single" w:color="000000" w:sz="12" w:space="0"/>
              <w:left w:val="nil"/>
              <w:bottom w:val="single" w:color="000000" w:sz="4" w:space="0"/>
              <w:right w:val="nil"/>
            </w:tcBorders>
            <w:shd w:val="clear" w:color="auto" w:fill="FFFFFF"/>
            <w:vAlign w:val="center"/>
          </w:tcPr>
          <w:p w14:paraId="207019A6">
            <w:pPr>
              <w:pStyle w:val="167"/>
              <w:bidi w:val="0"/>
              <w:jc w:val="center"/>
              <w:rPr>
                <w:b w:val="0"/>
                <w:lang w:val="en-US" w:eastAsia="zh-CN"/>
              </w:rPr>
            </w:pPr>
            <w:r>
              <w:rPr>
                <w:b w:val="0"/>
                <w:lang w:val="en-US" w:eastAsia="zh-CN"/>
              </w:rPr>
              <w:t>D1 responses</w:t>
            </w:r>
          </w:p>
        </w:tc>
        <w:tc>
          <w:tcPr>
            <w:tcW w:w="602" w:type="pct"/>
            <w:tcBorders>
              <w:top w:val="single" w:color="000000" w:sz="12" w:space="0"/>
              <w:left w:val="nil"/>
              <w:bottom w:val="single" w:color="000000" w:sz="4" w:space="0"/>
              <w:right w:val="nil"/>
            </w:tcBorders>
            <w:shd w:val="clear" w:color="auto" w:fill="FFFFFF"/>
            <w:vAlign w:val="center"/>
          </w:tcPr>
          <w:p w14:paraId="49EE78E5">
            <w:pPr>
              <w:pStyle w:val="167"/>
              <w:bidi w:val="0"/>
              <w:jc w:val="center"/>
              <w:rPr>
                <w:b w:val="0"/>
                <w:lang w:val="en-US" w:eastAsia="zh-CN"/>
              </w:rPr>
            </w:pPr>
            <w:r>
              <w:rPr>
                <w:b w:val="0"/>
                <w:lang w:val="en-US" w:eastAsia="zh-CN"/>
              </w:rPr>
              <w:t>D2 responses</w:t>
            </w:r>
          </w:p>
        </w:tc>
        <w:tc>
          <w:tcPr>
            <w:tcW w:w="414" w:type="pct"/>
            <w:tcBorders>
              <w:top w:val="single" w:color="000000" w:sz="12" w:space="0"/>
              <w:left w:val="nil"/>
              <w:bottom w:val="single" w:color="000000" w:sz="4" w:space="0"/>
              <w:right w:val="nil"/>
            </w:tcBorders>
            <w:shd w:val="clear" w:color="auto" w:fill="FFFFFF"/>
            <w:vAlign w:val="center"/>
          </w:tcPr>
          <w:p w14:paraId="66E786A1">
            <w:pPr>
              <w:pStyle w:val="167"/>
              <w:bidi w:val="0"/>
              <w:jc w:val="center"/>
              <w:rPr>
                <w:b w:val="0"/>
                <w:lang w:val="en-US" w:eastAsia="zh-CN"/>
              </w:rPr>
            </w:pPr>
            <w:r>
              <w:rPr>
                <w:b w:val="0"/>
                <w:lang w:val="en-US" w:eastAsia="zh-CN"/>
              </w:rPr>
              <w:t>D3 responses</w:t>
            </w:r>
          </w:p>
        </w:tc>
        <w:tc>
          <w:tcPr>
            <w:tcW w:w="445" w:type="pct"/>
            <w:tcBorders>
              <w:top w:val="single" w:color="000000" w:sz="12" w:space="0"/>
              <w:left w:val="nil"/>
              <w:bottom w:val="single" w:color="000000" w:sz="4" w:space="0"/>
              <w:right w:val="nil"/>
            </w:tcBorders>
            <w:shd w:val="clear" w:color="auto" w:fill="FFFFFF"/>
            <w:vAlign w:val="center"/>
          </w:tcPr>
          <w:p w14:paraId="24F27A36">
            <w:pPr>
              <w:pStyle w:val="167"/>
              <w:bidi w:val="0"/>
              <w:jc w:val="center"/>
              <w:rPr>
                <w:b w:val="0"/>
                <w:lang w:val="en-US" w:eastAsia="zh-CN"/>
              </w:rPr>
            </w:pPr>
            <w:r>
              <w:rPr>
                <w:b w:val="0"/>
                <w:lang w:val="en-US" w:eastAsia="zh-CN"/>
              </w:rPr>
              <w:t>D4 responses</w:t>
            </w:r>
          </w:p>
        </w:tc>
        <w:tc>
          <w:tcPr>
            <w:tcW w:w="312" w:type="pct"/>
            <w:tcBorders>
              <w:top w:val="single" w:color="000000" w:sz="12" w:space="0"/>
              <w:left w:val="nil"/>
              <w:bottom w:val="single" w:color="000000" w:sz="4" w:space="0"/>
              <w:right w:val="nil"/>
            </w:tcBorders>
            <w:shd w:val="clear" w:color="auto" w:fill="FFFFFF"/>
            <w:vAlign w:val="center"/>
          </w:tcPr>
          <w:p w14:paraId="5FB29021">
            <w:pPr>
              <w:pStyle w:val="167"/>
              <w:bidi w:val="0"/>
              <w:jc w:val="center"/>
              <w:rPr>
                <w:b w:val="0"/>
                <w:lang w:val="en-US" w:eastAsia="zh-CN"/>
              </w:rPr>
            </w:pPr>
            <w:r>
              <w:rPr>
                <w:b w:val="0"/>
                <w:lang w:val="en-US" w:eastAsia="zh-CN"/>
              </w:rPr>
              <w:t>D5 responses</w:t>
            </w:r>
          </w:p>
        </w:tc>
        <w:tc>
          <w:tcPr>
            <w:tcW w:w="148" w:type="pct"/>
            <w:tcBorders>
              <w:top w:val="single" w:color="000000" w:sz="12" w:space="0"/>
              <w:left w:val="nil"/>
              <w:bottom w:val="single" w:color="000000" w:sz="4" w:space="0"/>
              <w:right w:val="nil"/>
            </w:tcBorders>
            <w:shd w:val="clear" w:color="auto" w:fill="FFFFFF"/>
            <w:vAlign w:val="center"/>
          </w:tcPr>
          <w:p w14:paraId="3366F4C3">
            <w:pPr>
              <w:pStyle w:val="167"/>
              <w:bidi w:val="0"/>
              <w:jc w:val="center"/>
              <w:rPr>
                <w:b w:val="0"/>
                <w:lang w:val="en-US" w:eastAsia="zh-CN"/>
              </w:rPr>
            </w:pPr>
            <w:r>
              <w:rPr>
                <w:b w:val="0"/>
                <w:lang w:val="en-US" w:eastAsia="zh-CN"/>
              </w:rPr>
              <w:t>D1</w:t>
            </w:r>
          </w:p>
        </w:tc>
        <w:tc>
          <w:tcPr>
            <w:tcW w:w="148" w:type="pct"/>
            <w:tcBorders>
              <w:top w:val="single" w:color="000000" w:sz="12" w:space="0"/>
              <w:left w:val="nil"/>
              <w:bottom w:val="single" w:color="000000" w:sz="4" w:space="0"/>
              <w:right w:val="nil"/>
            </w:tcBorders>
            <w:shd w:val="clear" w:color="auto" w:fill="FFFFFF"/>
            <w:vAlign w:val="center"/>
          </w:tcPr>
          <w:p w14:paraId="707519EC">
            <w:pPr>
              <w:pStyle w:val="167"/>
              <w:bidi w:val="0"/>
              <w:jc w:val="center"/>
              <w:rPr>
                <w:b w:val="0"/>
                <w:lang w:val="en-US" w:eastAsia="zh-CN"/>
              </w:rPr>
            </w:pPr>
            <w:r>
              <w:rPr>
                <w:b w:val="0"/>
                <w:lang w:val="en-US" w:eastAsia="zh-CN"/>
              </w:rPr>
              <w:t>D2</w:t>
            </w:r>
          </w:p>
        </w:tc>
        <w:tc>
          <w:tcPr>
            <w:tcW w:w="148" w:type="pct"/>
            <w:tcBorders>
              <w:top w:val="single" w:color="000000" w:sz="12" w:space="0"/>
              <w:left w:val="nil"/>
              <w:bottom w:val="single" w:color="000000" w:sz="4" w:space="0"/>
              <w:right w:val="nil"/>
            </w:tcBorders>
            <w:shd w:val="clear" w:color="auto" w:fill="FFFFFF"/>
            <w:vAlign w:val="center"/>
          </w:tcPr>
          <w:p w14:paraId="554683CB">
            <w:pPr>
              <w:pStyle w:val="167"/>
              <w:bidi w:val="0"/>
              <w:jc w:val="center"/>
              <w:rPr>
                <w:b w:val="0"/>
                <w:lang w:val="en-US" w:eastAsia="zh-CN"/>
              </w:rPr>
            </w:pPr>
            <w:r>
              <w:rPr>
                <w:b w:val="0"/>
                <w:lang w:val="en-US" w:eastAsia="zh-CN"/>
              </w:rPr>
              <w:t>D3</w:t>
            </w:r>
          </w:p>
        </w:tc>
        <w:tc>
          <w:tcPr>
            <w:tcW w:w="148" w:type="pct"/>
            <w:tcBorders>
              <w:top w:val="single" w:color="000000" w:sz="12" w:space="0"/>
              <w:left w:val="nil"/>
              <w:bottom w:val="single" w:color="000000" w:sz="4" w:space="0"/>
              <w:right w:val="nil"/>
            </w:tcBorders>
            <w:shd w:val="clear" w:color="auto" w:fill="FFFFFF"/>
            <w:vAlign w:val="center"/>
          </w:tcPr>
          <w:p w14:paraId="488995DC">
            <w:pPr>
              <w:pStyle w:val="167"/>
              <w:bidi w:val="0"/>
              <w:jc w:val="center"/>
              <w:rPr>
                <w:b w:val="0"/>
                <w:lang w:val="en-US" w:eastAsia="zh-CN"/>
              </w:rPr>
            </w:pPr>
            <w:r>
              <w:rPr>
                <w:b w:val="0"/>
                <w:lang w:val="en-US" w:eastAsia="zh-CN"/>
              </w:rPr>
              <w:t>D4</w:t>
            </w:r>
          </w:p>
        </w:tc>
        <w:tc>
          <w:tcPr>
            <w:tcW w:w="148" w:type="pct"/>
            <w:tcBorders>
              <w:top w:val="single" w:color="000000" w:sz="12" w:space="0"/>
              <w:left w:val="nil"/>
              <w:bottom w:val="single" w:color="000000" w:sz="4" w:space="0"/>
              <w:right w:val="nil"/>
            </w:tcBorders>
            <w:shd w:val="clear" w:color="auto" w:fill="FFFFFF"/>
            <w:vAlign w:val="center"/>
          </w:tcPr>
          <w:p w14:paraId="6EFEF632">
            <w:pPr>
              <w:pStyle w:val="167"/>
              <w:bidi w:val="0"/>
              <w:jc w:val="center"/>
              <w:rPr>
                <w:b w:val="0"/>
                <w:lang w:val="en-US" w:eastAsia="zh-CN"/>
              </w:rPr>
            </w:pPr>
            <w:r>
              <w:rPr>
                <w:b w:val="0"/>
                <w:lang w:val="en-US" w:eastAsia="zh-CN"/>
              </w:rPr>
              <w:t>D5</w:t>
            </w:r>
          </w:p>
        </w:tc>
        <w:tc>
          <w:tcPr>
            <w:tcW w:w="254" w:type="pct"/>
            <w:tcBorders>
              <w:top w:val="single" w:color="000000" w:sz="12" w:space="0"/>
              <w:left w:val="nil"/>
              <w:bottom w:val="single" w:color="000000" w:sz="4" w:space="0"/>
              <w:right w:val="nil"/>
            </w:tcBorders>
            <w:shd w:val="clear" w:color="auto" w:fill="FFFFFF"/>
            <w:vAlign w:val="center"/>
          </w:tcPr>
          <w:p w14:paraId="21D8474B">
            <w:pPr>
              <w:pStyle w:val="167"/>
              <w:bidi w:val="0"/>
              <w:jc w:val="center"/>
              <w:rPr>
                <w:b w:val="0"/>
                <w:lang w:val="en-US" w:eastAsia="zh-CN"/>
              </w:rPr>
            </w:pPr>
            <w:r>
              <w:rPr>
                <w:b w:val="0"/>
                <w:lang w:val="en-US" w:eastAsia="zh-CN"/>
              </w:rPr>
              <w:t>Overall</w:t>
            </w:r>
          </w:p>
        </w:tc>
      </w:tr>
      <w:tr w14:paraId="470AE8B5">
        <w:tc>
          <w:tcPr>
            <w:tcW w:w="281" w:type="pct"/>
            <w:tcBorders>
              <w:top w:val="single" w:color="000000" w:sz="4" w:space="0"/>
              <w:left w:val="nil"/>
              <w:bottom w:val="nil"/>
              <w:right w:val="nil"/>
            </w:tcBorders>
            <w:shd w:val="clear" w:color="auto" w:fill="FFFFFF"/>
            <w:vAlign w:val="center"/>
          </w:tcPr>
          <w:p w14:paraId="27FBDAE3">
            <w:pPr>
              <w:pStyle w:val="167"/>
              <w:bidi w:val="0"/>
              <w:jc w:val="center"/>
              <w:rPr>
                <w:b w:val="0"/>
                <w:lang w:val="en-US" w:eastAsia="zh-CN"/>
              </w:rPr>
            </w:pPr>
            <w:r>
              <w:rPr>
                <w:b w:val="0"/>
                <w:lang w:val="en-US" w:eastAsia="zh-CN"/>
              </w:rPr>
              <w:t>Bove 2025</w:t>
            </w:r>
          </w:p>
        </w:tc>
        <w:tc>
          <w:tcPr>
            <w:tcW w:w="511" w:type="pct"/>
            <w:tcBorders>
              <w:top w:val="single" w:color="000000" w:sz="4" w:space="0"/>
              <w:left w:val="nil"/>
              <w:bottom w:val="nil"/>
              <w:right w:val="nil"/>
            </w:tcBorders>
            <w:shd w:val="clear" w:color="auto" w:fill="FFFFFF"/>
            <w:vAlign w:val="center"/>
          </w:tcPr>
          <w:p w14:paraId="33FC7944">
            <w:pPr>
              <w:pStyle w:val="167"/>
              <w:bidi w:val="0"/>
              <w:jc w:val="center"/>
              <w:rPr>
                <w:b w:val="0"/>
                <w:lang w:val="en-US" w:eastAsia="zh-CN"/>
              </w:rPr>
            </w:pPr>
            <w:r>
              <w:rPr>
                <w:b w:val="0"/>
                <w:lang w:val="en-US" w:eastAsia="zh-CN"/>
              </w:rPr>
              <w:t>Gait/walking function; mean speed</w:t>
            </w:r>
          </w:p>
        </w:tc>
        <w:tc>
          <w:tcPr>
            <w:tcW w:w="503" w:type="pct"/>
            <w:tcBorders>
              <w:top w:val="single" w:color="000000" w:sz="4" w:space="0"/>
              <w:left w:val="nil"/>
              <w:bottom w:val="nil"/>
              <w:right w:val="nil"/>
            </w:tcBorders>
            <w:shd w:val="clear" w:color="auto" w:fill="FFFFFF"/>
            <w:vAlign w:val="center"/>
          </w:tcPr>
          <w:p w14:paraId="40CFB026">
            <w:pPr>
              <w:pStyle w:val="167"/>
              <w:bidi w:val="0"/>
              <w:jc w:val="center"/>
              <w:rPr>
                <w:b w:val="0"/>
                <w:lang w:val="en-US" w:eastAsia="zh-CN"/>
              </w:rPr>
            </w:pPr>
            <w:r>
              <w:rPr>
                <w:b w:val="0"/>
                <w:lang w:val="en-US" w:eastAsia="zh-CN"/>
              </w:rPr>
              <w:t>Post, 8 wk</w:t>
            </w:r>
          </w:p>
        </w:tc>
        <w:tc>
          <w:tcPr>
            <w:tcW w:w="619" w:type="pct"/>
            <w:tcBorders>
              <w:top w:val="single" w:color="000000" w:sz="4" w:space="0"/>
              <w:left w:val="nil"/>
              <w:bottom w:val="nil"/>
              <w:right w:val="nil"/>
            </w:tcBorders>
            <w:shd w:val="clear" w:color="auto" w:fill="FFFFFF"/>
            <w:vAlign w:val="center"/>
          </w:tcPr>
          <w:p w14:paraId="6D1CA4B6">
            <w:pPr>
              <w:pStyle w:val="167"/>
              <w:bidi w:val="0"/>
              <w:jc w:val="center"/>
              <w:rPr>
                <w:b w:val="0"/>
                <w:lang w:val="en-US" w:eastAsia="zh-CN"/>
              </w:rPr>
            </w:pPr>
            <w:r>
              <w:rPr>
                <w:b w:val="0"/>
                <w:lang w:val="en-US" w:eastAsia="zh-CN"/>
              </w:rPr>
              <w:t>Ordinary home exercise/paper HEP</w:t>
            </w:r>
          </w:p>
        </w:tc>
        <w:tc>
          <w:tcPr>
            <w:tcW w:w="312" w:type="pct"/>
            <w:tcBorders>
              <w:top w:val="single" w:color="000000" w:sz="4" w:space="0"/>
              <w:left w:val="nil"/>
              <w:bottom w:val="nil"/>
              <w:right w:val="nil"/>
            </w:tcBorders>
            <w:shd w:val="clear" w:color="auto" w:fill="FFFFFF"/>
            <w:vAlign w:val="center"/>
          </w:tcPr>
          <w:p w14:paraId="469410A4">
            <w:pPr>
              <w:pStyle w:val="167"/>
              <w:bidi w:val="0"/>
              <w:jc w:val="center"/>
              <w:rPr>
                <w:b w:val="0"/>
                <w:lang w:val="en-US" w:eastAsia="zh-CN"/>
              </w:rPr>
            </w:pPr>
            <w:r>
              <w:rPr>
                <w:b w:val="0"/>
                <w:lang w:val="en-US" w:eastAsia="zh-CN"/>
              </w:rPr>
              <w:t>PY/NI/N</w:t>
            </w:r>
          </w:p>
        </w:tc>
        <w:tc>
          <w:tcPr>
            <w:tcW w:w="602" w:type="pct"/>
            <w:tcBorders>
              <w:top w:val="single" w:color="000000" w:sz="4" w:space="0"/>
              <w:left w:val="nil"/>
              <w:bottom w:val="nil"/>
              <w:right w:val="nil"/>
            </w:tcBorders>
            <w:shd w:val="clear" w:color="auto" w:fill="FFFFFF"/>
            <w:vAlign w:val="center"/>
          </w:tcPr>
          <w:p w14:paraId="3F90EECA">
            <w:pPr>
              <w:pStyle w:val="167"/>
              <w:bidi w:val="0"/>
              <w:jc w:val="center"/>
              <w:rPr>
                <w:b w:val="0"/>
                <w:lang w:val="en-US" w:eastAsia="zh-CN"/>
              </w:rPr>
            </w:pPr>
            <w:r>
              <w:rPr>
                <w:b w:val="0"/>
                <w:lang w:val="en-US" w:eastAsia="zh-CN"/>
              </w:rPr>
              <w:t>Y/Y/NI/NI/NI/PY/NA</w:t>
            </w:r>
          </w:p>
        </w:tc>
        <w:tc>
          <w:tcPr>
            <w:tcW w:w="414" w:type="pct"/>
            <w:tcBorders>
              <w:top w:val="single" w:color="000000" w:sz="4" w:space="0"/>
              <w:left w:val="nil"/>
              <w:bottom w:val="nil"/>
              <w:right w:val="nil"/>
            </w:tcBorders>
            <w:shd w:val="clear" w:color="auto" w:fill="FFFFFF"/>
            <w:vAlign w:val="center"/>
          </w:tcPr>
          <w:p w14:paraId="2DE080A0">
            <w:pPr>
              <w:pStyle w:val="167"/>
              <w:bidi w:val="0"/>
              <w:jc w:val="center"/>
              <w:rPr>
                <w:b w:val="0"/>
                <w:lang w:val="en-US" w:eastAsia="zh-CN"/>
              </w:rPr>
            </w:pPr>
            <w:r>
              <w:rPr>
                <w:b w:val="0"/>
                <w:lang w:val="en-US" w:eastAsia="zh-CN"/>
              </w:rPr>
              <w:t>N/NI/PY/NI</w:t>
            </w:r>
          </w:p>
        </w:tc>
        <w:tc>
          <w:tcPr>
            <w:tcW w:w="445" w:type="pct"/>
            <w:tcBorders>
              <w:top w:val="single" w:color="000000" w:sz="4" w:space="0"/>
              <w:left w:val="nil"/>
              <w:bottom w:val="nil"/>
              <w:right w:val="nil"/>
            </w:tcBorders>
            <w:shd w:val="clear" w:color="auto" w:fill="FFFFFF"/>
            <w:vAlign w:val="center"/>
          </w:tcPr>
          <w:p w14:paraId="0E986F42">
            <w:pPr>
              <w:pStyle w:val="167"/>
              <w:bidi w:val="0"/>
              <w:jc w:val="center"/>
              <w:rPr>
                <w:b w:val="0"/>
                <w:lang w:val="en-US" w:eastAsia="zh-CN"/>
              </w:rPr>
            </w:pPr>
            <w:r>
              <w:rPr>
                <w:b w:val="0"/>
                <w:lang w:val="en-US" w:eastAsia="zh-CN"/>
              </w:rPr>
              <w:t>N/N/NI/PN/NA</w:t>
            </w:r>
          </w:p>
        </w:tc>
        <w:tc>
          <w:tcPr>
            <w:tcW w:w="312" w:type="pct"/>
            <w:tcBorders>
              <w:top w:val="single" w:color="000000" w:sz="4" w:space="0"/>
              <w:left w:val="nil"/>
              <w:bottom w:val="nil"/>
              <w:right w:val="nil"/>
            </w:tcBorders>
            <w:shd w:val="clear" w:color="auto" w:fill="FFFFFF"/>
            <w:vAlign w:val="center"/>
          </w:tcPr>
          <w:p w14:paraId="421E640F">
            <w:pPr>
              <w:pStyle w:val="167"/>
              <w:bidi w:val="0"/>
              <w:jc w:val="center"/>
              <w:rPr>
                <w:b w:val="0"/>
                <w:lang w:val="en-US" w:eastAsia="zh-CN"/>
              </w:rPr>
            </w:pPr>
            <w:r>
              <w:rPr>
                <w:b w:val="0"/>
                <w:lang w:val="en-US" w:eastAsia="zh-CN"/>
              </w:rPr>
              <w:t>NI/PN/NI</w:t>
            </w:r>
          </w:p>
        </w:tc>
        <w:tc>
          <w:tcPr>
            <w:tcW w:w="148" w:type="pct"/>
            <w:tcBorders>
              <w:top w:val="single" w:color="000000" w:sz="4" w:space="0"/>
              <w:left w:val="nil"/>
              <w:bottom w:val="nil"/>
              <w:right w:val="nil"/>
            </w:tcBorders>
            <w:shd w:val="clear" w:color="auto" w:fill="FFFFFF"/>
            <w:vAlign w:val="center"/>
          </w:tcPr>
          <w:p w14:paraId="326EBF17">
            <w:pPr>
              <w:pStyle w:val="167"/>
              <w:bidi w:val="0"/>
              <w:jc w:val="center"/>
              <w:rPr>
                <w:b w:val="0"/>
                <w:lang w:val="en-US" w:eastAsia="zh-CN"/>
              </w:rPr>
            </w:pPr>
            <w:r>
              <w:rPr>
                <w:b w:val="0"/>
                <w:lang w:val="en-US" w:eastAsia="zh-CN"/>
              </w:rPr>
              <w:t>SC</w:t>
            </w:r>
          </w:p>
        </w:tc>
        <w:tc>
          <w:tcPr>
            <w:tcW w:w="148" w:type="pct"/>
            <w:tcBorders>
              <w:top w:val="single" w:color="000000" w:sz="4" w:space="0"/>
              <w:left w:val="nil"/>
              <w:bottom w:val="nil"/>
              <w:right w:val="nil"/>
            </w:tcBorders>
            <w:shd w:val="clear" w:color="auto" w:fill="FFFFFF"/>
            <w:vAlign w:val="center"/>
          </w:tcPr>
          <w:p w14:paraId="37C718CA">
            <w:pPr>
              <w:pStyle w:val="167"/>
              <w:bidi w:val="0"/>
              <w:jc w:val="center"/>
              <w:rPr>
                <w:b w:val="0"/>
                <w:lang w:val="en-US" w:eastAsia="zh-CN"/>
              </w:rPr>
            </w:pPr>
            <w:r>
              <w:rPr>
                <w:b w:val="0"/>
                <w:lang w:val="en-US" w:eastAsia="zh-CN"/>
              </w:rPr>
              <w:t>SC</w:t>
            </w:r>
          </w:p>
        </w:tc>
        <w:tc>
          <w:tcPr>
            <w:tcW w:w="148" w:type="pct"/>
            <w:tcBorders>
              <w:top w:val="single" w:color="000000" w:sz="4" w:space="0"/>
              <w:left w:val="nil"/>
              <w:bottom w:val="nil"/>
              <w:right w:val="nil"/>
            </w:tcBorders>
            <w:shd w:val="clear" w:color="auto" w:fill="FFFFFF"/>
            <w:vAlign w:val="center"/>
          </w:tcPr>
          <w:p w14:paraId="3A2E2E27">
            <w:pPr>
              <w:pStyle w:val="167"/>
              <w:bidi w:val="0"/>
              <w:jc w:val="center"/>
              <w:rPr>
                <w:b w:val="0"/>
                <w:lang w:val="en-US" w:eastAsia="zh-CN"/>
              </w:rPr>
            </w:pPr>
            <w:r>
              <w:rPr>
                <w:b w:val="0"/>
                <w:lang w:val="en-US" w:eastAsia="zh-CN"/>
              </w:rPr>
              <w:t>SC</w:t>
            </w:r>
          </w:p>
        </w:tc>
        <w:tc>
          <w:tcPr>
            <w:tcW w:w="148" w:type="pct"/>
            <w:tcBorders>
              <w:top w:val="single" w:color="000000" w:sz="4" w:space="0"/>
              <w:left w:val="nil"/>
              <w:bottom w:val="nil"/>
              <w:right w:val="nil"/>
            </w:tcBorders>
            <w:shd w:val="clear" w:color="auto" w:fill="FFFFFF"/>
            <w:vAlign w:val="center"/>
          </w:tcPr>
          <w:p w14:paraId="7B95F958">
            <w:pPr>
              <w:pStyle w:val="167"/>
              <w:bidi w:val="0"/>
              <w:jc w:val="center"/>
              <w:rPr>
                <w:b w:val="0"/>
                <w:lang w:val="en-US" w:eastAsia="zh-CN"/>
              </w:rPr>
            </w:pPr>
            <w:r>
              <w:rPr>
                <w:b w:val="0"/>
                <w:lang w:val="en-US" w:eastAsia="zh-CN"/>
              </w:rPr>
              <w:t>L</w:t>
            </w:r>
          </w:p>
        </w:tc>
        <w:tc>
          <w:tcPr>
            <w:tcW w:w="148" w:type="pct"/>
            <w:tcBorders>
              <w:top w:val="single" w:color="000000" w:sz="4" w:space="0"/>
              <w:left w:val="nil"/>
              <w:bottom w:val="nil"/>
              <w:right w:val="nil"/>
            </w:tcBorders>
            <w:shd w:val="clear" w:color="auto" w:fill="FFFFFF"/>
            <w:vAlign w:val="center"/>
          </w:tcPr>
          <w:p w14:paraId="40A066D7">
            <w:pPr>
              <w:pStyle w:val="167"/>
              <w:bidi w:val="0"/>
              <w:jc w:val="center"/>
              <w:rPr>
                <w:b w:val="0"/>
                <w:lang w:val="en-US" w:eastAsia="zh-CN"/>
              </w:rPr>
            </w:pPr>
            <w:r>
              <w:rPr>
                <w:b w:val="0"/>
                <w:lang w:val="en-US" w:eastAsia="zh-CN"/>
              </w:rPr>
              <w:t>SC</w:t>
            </w:r>
          </w:p>
        </w:tc>
        <w:tc>
          <w:tcPr>
            <w:tcW w:w="254" w:type="pct"/>
            <w:tcBorders>
              <w:top w:val="single" w:color="000000" w:sz="4" w:space="0"/>
              <w:left w:val="nil"/>
              <w:bottom w:val="nil"/>
              <w:right w:val="nil"/>
            </w:tcBorders>
            <w:shd w:val="clear" w:color="auto" w:fill="FFFFFF"/>
            <w:vAlign w:val="center"/>
          </w:tcPr>
          <w:p w14:paraId="2D74C10F">
            <w:pPr>
              <w:pStyle w:val="167"/>
              <w:bidi w:val="0"/>
              <w:jc w:val="center"/>
              <w:rPr>
                <w:b w:val="0"/>
                <w:lang w:val="en-US" w:eastAsia="zh-CN"/>
              </w:rPr>
            </w:pPr>
            <w:r>
              <w:rPr>
                <w:b w:val="0"/>
                <w:lang w:val="en-US" w:eastAsia="zh-CN"/>
              </w:rPr>
              <w:t>SC</w:t>
            </w:r>
          </w:p>
        </w:tc>
      </w:tr>
      <w:tr w14:paraId="05504A97">
        <w:tc>
          <w:tcPr>
            <w:tcW w:w="281" w:type="pct"/>
            <w:tcBorders>
              <w:top w:val="nil"/>
              <w:left w:val="nil"/>
              <w:bottom w:val="nil"/>
              <w:right w:val="nil"/>
            </w:tcBorders>
            <w:shd w:val="clear" w:color="auto" w:fill="FFFFFF"/>
            <w:vAlign w:val="center"/>
          </w:tcPr>
          <w:p w14:paraId="12418DF5">
            <w:pPr>
              <w:pStyle w:val="167"/>
              <w:bidi w:val="0"/>
              <w:jc w:val="center"/>
              <w:rPr>
                <w:b w:val="0"/>
                <w:lang w:val="en-US" w:eastAsia="zh-CN"/>
              </w:rPr>
            </w:pPr>
            <w:r>
              <w:rPr>
                <w:b w:val="0"/>
                <w:lang w:val="en-US" w:eastAsia="zh-CN"/>
              </w:rPr>
              <w:t>Del Pino 2025</w:t>
            </w:r>
          </w:p>
        </w:tc>
        <w:tc>
          <w:tcPr>
            <w:tcW w:w="511" w:type="pct"/>
            <w:tcBorders>
              <w:top w:val="nil"/>
              <w:left w:val="nil"/>
              <w:bottom w:val="nil"/>
              <w:right w:val="nil"/>
            </w:tcBorders>
            <w:shd w:val="clear" w:color="auto" w:fill="FFFFFF"/>
            <w:vAlign w:val="center"/>
          </w:tcPr>
          <w:p w14:paraId="5AF19EB7">
            <w:pPr>
              <w:pStyle w:val="167"/>
              <w:bidi w:val="0"/>
              <w:jc w:val="center"/>
              <w:rPr>
                <w:b w:val="0"/>
                <w:lang w:val="en-US" w:eastAsia="zh-CN"/>
              </w:rPr>
            </w:pPr>
            <w:r>
              <w:rPr>
                <w:b w:val="0"/>
                <w:lang w:val="en-US" w:eastAsia="zh-CN"/>
              </w:rPr>
              <w:t>UPDRS III</w:t>
            </w:r>
          </w:p>
        </w:tc>
        <w:tc>
          <w:tcPr>
            <w:tcW w:w="503" w:type="pct"/>
            <w:tcBorders>
              <w:top w:val="nil"/>
              <w:left w:val="nil"/>
              <w:bottom w:val="nil"/>
              <w:right w:val="nil"/>
            </w:tcBorders>
            <w:shd w:val="clear" w:color="auto" w:fill="FFFFFF"/>
            <w:vAlign w:val="center"/>
          </w:tcPr>
          <w:p w14:paraId="5A73602F">
            <w:pPr>
              <w:pStyle w:val="167"/>
              <w:bidi w:val="0"/>
              <w:jc w:val="center"/>
              <w:rPr>
                <w:b w:val="0"/>
                <w:lang w:val="en-US" w:eastAsia="zh-CN"/>
              </w:rPr>
            </w:pPr>
            <w:r>
              <w:rPr>
                <w:b w:val="0"/>
                <w:lang w:val="en-US" w:eastAsia="zh-CN"/>
              </w:rPr>
              <w:t>Post, 4 mo</w:t>
            </w:r>
          </w:p>
        </w:tc>
        <w:tc>
          <w:tcPr>
            <w:tcW w:w="619" w:type="pct"/>
            <w:tcBorders>
              <w:top w:val="nil"/>
              <w:left w:val="nil"/>
              <w:bottom w:val="nil"/>
              <w:right w:val="nil"/>
            </w:tcBorders>
            <w:shd w:val="clear" w:color="auto" w:fill="FFFFFF"/>
            <w:vAlign w:val="center"/>
          </w:tcPr>
          <w:p w14:paraId="51FA686D">
            <w:pPr>
              <w:pStyle w:val="167"/>
              <w:bidi w:val="0"/>
              <w:jc w:val="center"/>
              <w:rPr>
                <w:b w:val="0"/>
                <w:lang w:val="en-US" w:eastAsia="zh-CN"/>
              </w:rPr>
            </w:pPr>
            <w:r>
              <w:rPr>
                <w:b w:val="0"/>
                <w:lang w:val="en-US" w:eastAsia="zh-CN"/>
              </w:rPr>
              <w:t>Passive/minimal/usual care</w:t>
            </w:r>
          </w:p>
        </w:tc>
        <w:tc>
          <w:tcPr>
            <w:tcW w:w="312" w:type="pct"/>
            <w:tcBorders>
              <w:top w:val="nil"/>
              <w:left w:val="nil"/>
              <w:bottom w:val="nil"/>
              <w:right w:val="nil"/>
            </w:tcBorders>
            <w:shd w:val="clear" w:color="auto" w:fill="FFFFFF"/>
            <w:vAlign w:val="center"/>
          </w:tcPr>
          <w:p w14:paraId="277D9D3B">
            <w:pPr>
              <w:pStyle w:val="167"/>
              <w:bidi w:val="0"/>
              <w:jc w:val="center"/>
              <w:rPr>
                <w:b w:val="0"/>
                <w:lang w:val="en-US" w:eastAsia="zh-CN"/>
              </w:rPr>
            </w:pPr>
            <w:r>
              <w:rPr>
                <w:b w:val="0"/>
                <w:lang w:val="en-US" w:eastAsia="zh-CN"/>
              </w:rPr>
              <w:t>PY/NI/N</w:t>
            </w:r>
          </w:p>
        </w:tc>
        <w:tc>
          <w:tcPr>
            <w:tcW w:w="602" w:type="pct"/>
            <w:tcBorders>
              <w:top w:val="nil"/>
              <w:left w:val="nil"/>
              <w:bottom w:val="nil"/>
              <w:right w:val="nil"/>
            </w:tcBorders>
            <w:shd w:val="clear" w:color="auto" w:fill="FFFFFF"/>
            <w:vAlign w:val="center"/>
          </w:tcPr>
          <w:p w14:paraId="184BE958">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1CB4060C">
            <w:pPr>
              <w:pStyle w:val="167"/>
              <w:bidi w:val="0"/>
              <w:jc w:val="center"/>
              <w:rPr>
                <w:b w:val="0"/>
                <w:lang w:val="en-US" w:eastAsia="zh-CN"/>
              </w:rPr>
            </w:pPr>
            <w:r>
              <w:rPr>
                <w:b w:val="0"/>
                <w:lang w:val="en-US" w:eastAsia="zh-CN"/>
              </w:rPr>
              <w:t>N/NI/PY/NI</w:t>
            </w:r>
          </w:p>
        </w:tc>
        <w:tc>
          <w:tcPr>
            <w:tcW w:w="445" w:type="pct"/>
            <w:tcBorders>
              <w:top w:val="nil"/>
              <w:left w:val="nil"/>
              <w:bottom w:val="nil"/>
              <w:right w:val="nil"/>
            </w:tcBorders>
            <w:shd w:val="clear" w:color="auto" w:fill="FFFFFF"/>
            <w:vAlign w:val="center"/>
          </w:tcPr>
          <w:p w14:paraId="331F3790">
            <w:pPr>
              <w:pStyle w:val="167"/>
              <w:bidi w:val="0"/>
              <w:jc w:val="center"/>
              <w:rPr>
                <w:b w:val="0"/>
                <w:lang w:val="en-US" w:eastAsia="zh-CN"/>
              </w:rPr>
            </w:pPr>
            <w:r>
              <w:rPr>
                <w:b w:val="0"/>
                <w:lang w:val="en-US" w:eastAsia="zh-CN"/>
              </w:rPr>
              <w:t>N/N/Y/Y/PY</w:t>
            </w:r>
          </w:p>
        </w:tc>
        <w:tc>
          <w:tcPr>
            <w:tcW w:w="312" w:type="pct"/>
            <w:tcBorders>
              <w:top w:val="nil"/>
              <w:left w:val="nil"/>
              <w:bottom w:val="nil"/>
              <w:right w:val="nil"/>
            </w:tcBorders>
            <w:shd w:val="clear" w:color="auto" w:fill="FFFFFF"/>
            <w:vAlign w:val="center"/>
          </w:tcPr>
          <w:p w14:paraId="4A4A238C">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598ABCCA">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72F0EC54">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2BB3013F">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2347D32D">
            <w:pPr>
              <w:pStyle w:val="167"/>
              <w:bidi w:val="0"/>
              <w:jc w:val="center"/>
              <w:rPr>
                <w:b w:val="0"/>
                <w:lang w:val="en-US" w:eastAsia="zh-CN"/>
              </w:rPr>
            </w:pPr>
            <w:r>
              <w:rPr>
                <w:b w:val="0"/>
                <w:lang w:val="en-US" w:eastAsia="zh-CN"/>
              </w:rPr>
              <w:t>H</w:t>
            </w:r>
          </w:p>
        </w:tc>
        <w:tc>
          <w:tcPr>
            <w:tcW w:w="148" w:type="pct"/>
            <w:tcBorders>
              <w:top w:val="nil"/>
              <w:left w:val="nil"/>
              <w:bottom w:val="nil"/>
              <w:right w:val="nil"/>
            </w:tcBorders>
            <w:shd w:val="clear" w:color="auto" w:fill="FFFFFF"/>
            <w:vAlign w:val="center"/>
          </w:tcPr>
          <w:p w14:paraId="2BEB365C">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2C496CD9">
            <w:pPr>
              <w:pStyle w:val="167"/>
              <w:bidi w:val="0"/>
              <w:jc w:val="center"/>
              <w:rPr>
                <w:b w:val="0"/>
                <w:lang w:val="en-US" w:eastAsia="zh-CN"/>
              </w:rPr>
            </w:pPr>
            <w:r>
              <w:rPr>
                <w:b w:val="0"/>
                <w:lang w:val="en-US" w:eastAsia="zh-CN"/>
              </w:rPr>
              <w:t>H</w:t>
            </w:r>
          </w:p>
        </w:tc>
      </w:tr>
      <w:tr w14:paraId="0E4767D6">
        <w:tc>
          <w:tcPr>
            <w:tcW w:w="281" w:type="pct"/>
            <w:tcBorders>
              <w:top w:val="nil"/>
              <w:left w:val="nil"/>
              <w:bottom w:val="nil"/>
              <w:right w:val="nil"/>
            </w:tcBorders>
            <w:shd w:val="clear" w:color="auto" w:fill="FFFFFF"/>
            <w:vAlign w:val="center"/>
          </w:tcPr>
          <w:p w14:paraId="2D49DF0D">
            <w:pPr>
              <w:pStyle w:val="167"/>
              <w:bidi w:val="0"/>
              <w:jc w:val="center"/>
              <w:rPr>
                <w:b w:val="0"/>
                <w:lang w:val="en-US" w:eastAsia="zh-CN"/>
              </w:rPr>
            </w:pPr>
            <w:r>
              <w:rPr>
                <w:b w:val="0"/>
                <w:lang w:val="en-US" w:eastAsia="zh-CN"/>
              </w:rPr>
              <w:t>Dhamija 2025</w:t>
            </w:r>
          </w:p>
        </w:tc>
        <w:tc>
          <w:tcPr>
            <w:tcW w:w="511" w:type="pct"/>
            <w:tcBorders>
              <w:top w:val="nil"/>
              <w:left w:val="nil"/>
              <w:bottom w:val="nil"/>
              <w:right w:val="nil"/>
            </w:tcBorders>
            <w:shd w:val="clear" w:color="auto" w:fill="FFFFFF"/>
            <w:vAlign w:val="center"/>
          </w:tcPr>
          <w:p w14:paraId="50FAA72D">
            <w:pPr>
              <w:pStyle w:val="167"/>
              <w:bidi w:val="0"/>
              <w:jc w:val="center"/>
              <w:rPr>
                <w:b w:val="0"/>
                <w:lang w:val="en-US" w:eastAsia="zh-CN"/>
              </w:rPr>
            </w:pPr>
            <w:r>
              <w:rPr>
                <w:b w:val="0"/>
                <w:lang w:val="en-US" w:eastAsia="zh-CN"/>
              </w:rPr>
              <w:t>MDS-UPDRS III</w:t>
            </w:r>
          </w:p>
        </w:tc>
        <w:tc>
          <w:tcPr>
            <w:tcW w:w="503" w:type="pct"/>
            <w:tcBorders>
              <w:top w:val="nil"/>
              <w:left w:val="nil"/>
              <w:bottom w:val="nil"/>
              <w:right w:val="nil"/>
            </w:tcBorders>
            <w:shd w:val="clear" w:color="auto" w:fill="FFFFFF"/>
            <w:vAlign w:val="center"/>
          </w:tcPr>
          <w:p w14:paraId="2FE2839E">
            <w:pPr>
              <w:pStyle w:val="167"/>
              <w:bidi w:val="0"/>
              <w:jc w:val="center"/>
              <w:rPr>
                <w:b w:val="0"/>
                <w:lang w:val="en-US" w:eastAsia="zh-CN"/>
              </w:rPr>
            </w:pPr>
            <w:r>
              <w:rPr>
                <w:b w:val="0"/>
                <w:lang w:val="en-US" w:eastAsia="zh-CN"/>
              </w:rPr>
              <w:t>Post, 12 wk</w:t>
            </w:r>
          </w:p>
        </w:tc>
        <w:tc>
          <w:tcPr>
            <w:tcW w:w="619" w:type="pct"/>
            <w:tcBorders>
              <w:top w:val="nil"/>
              <w:left w:val="nil"/>
              <w:bottom w:val="nil"/>
              <w:right w:val="nil"/>
            </w:tcBorders>
            <w:shd w:val="clear" w:color="auto" w:fill="FFFFFF"/>
            <w:vAlign w:val="center"/>
          </w:tcPr>
          <w:p w14:paraId="1BE0FFF1">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77CF4D11">
            <w:pPr>
              <w:pStyle w:val="167"/>
              <w:bidi w:val="0"/>
              <w:jc w:val="center"/>
              <w:rPr>
                <w:b w:val="0"/>
                <w:lang w:val="en-US" w:eastAsia="zh-CN"/>
              </w:rPr>
            </w:pPr>
            <w:r>
              <w:rPr>
                <w:b w:val="0"/>
                <w:lang w:val="en-US" w:eastAsia="zh-CN"/>
              </w:rPr>
              <w:t>Y/Y/N</w:t>
            </w:r>
          </w:p>
        </w:tc>
        <w:tc>
          <w:tcPr>
            <w:tcW w:w="602" w:type="pct"/>
            <w:tcBorders>
              <w:top w:val="nil"/>
              <w:left w:val="nil"/>
              <w:bottom w:val="nil"/>
              <w:right w:val="nil"/>
            </w:tcBorders>
            <w:shd w:val="clear" w:color="auto" w:fill="FFFFFF"/>
            <w:vAlign w:val="center"/>
          </w:tcPr>
          <w:p w14:paraId="0A733601">
            <w:pPr>
              <w:pStyle w:val="167"/>
              <w:bidi w:val="0"/>
              <w:jc w:val="center"/>
              <w:rPr>
                <w:b w:val="0"/>
                <w:lang w:val="en-US" w:eastAsia="zh-CN"/>
              </w:rPr>
            </w:pPr>
            <w:r>
              <w:rPr>
                <w:b w:val="0"/>
                <w:lang w:val="en-US" w:eastAsia="zh-CN"/>
              </w:rPr>
              <w:t>Y/Y/N/NA/NA/Y/NA</w:t>
            </w:r>
          </w:p>
        </w:tc>
        <w:tc>
          <w:tcPr>
            <w:tcW w:w="414" w:type="pct"/>
            <w:tcBorders>
              <w:top w:val="nil"/>
              <w:left w:val="nil"/>
              <w:bottom w:val="nil"/>
              <w:right w:val="nil"/>
            </w:tcBorders>
            <w:shd w:val="clear" w:color="auto" w:fill="FFFFFF"/>
            <w:vAlign w:val="center"/>
          </w:tcPr>
          <w:p w14:paraId="427B6D2D">
            <w:pPr>
              <w:pStyle w:val="167"/>
              <w:bidi w:val="0"/>
              <w:jc w:val="center"/>
              <w:rPr>
                <w:b w:val="0"/>
                <w:lang w:val="en-US" w:eastAsia="zh-CN"/>
              </w:rPr>
            </w:pPr>
            <w:r>
              <w:rPr>
                <w:b w:val="0"/>
                <w:lang w:val="en-US" w:eastAsia="zh-CN"/>
              </w:rPr>
              <w:t>PY/Y/NA/NA</w:t>
            </w:r>
          </w:p>
        </w:tc>
        <w:tc>
          <w:tcPr>
            <w:tcW w:w="445" w:type="pct"/>
            <w:tcBorders>
              <w:top w:val="nil"/>
              <w:left w:val="nil"/>
              <w:bottom w:val="nil"/>
              <w:right w:val="nil"/>
            </w:tcBorders>
            <w:shd w:val="clear" w:color="auto" w:fill="FFFFFF"/>
            <w:vAlign w:val="center"/>
          </w:tcPr>
          <w:p w14:paraId="1F5C5D1E">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1AD978AB">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2940FAF2">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0602F92B">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3A879E59">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50A91ECE">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2BB0254D">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5DD17504">
            <w:pPr>
              <w:pStyle w:val="167"/>
              <w:bidi w:val="0"/>
              <w:jc w:val="center"/>
              <w:rPr>
                <w:b w:val="0"/>
                <w:lang w:val="en-US" w:eastAsia="zh-CN"/>
              </w:rPr>
            </w:pPr>
            <w:r>
              <w:rPr>
                <w:b w:val="0"/>
                <w:lang w:val="en-US" w:eastAsia="zh-CN"/>
              </w:rPr>
              <w:t>SC</w:t>
            </w:r>
          </w:p>
        </w:tc>
      </w:tr>
      <w:tr w14:paraId="3AE1A7B9">
        <w:tc>
          <w:tcPr>
            <w:tcW w:w="281" w:type="pct"/>
            <w:tcBorders>
              <w:top w:val="nil"/>
              <w:left w:val="nil"/>
              <w:bottom w:val="nil"/>
              <w:right w:val="nil"/>
            </w:tcBorders>
            <w:shd w:val="clear" w:color="auto" w:fill="FFFFFF"/>
            <w:vAlign w:val="center"/>
          </w:tcPr>
          <w:p w14:paraId="50938BDA">
            <w:pPr>
              <w:pStyle w:val="167"/>
              <w:bidi w:val="0"/>
              <w:jc w:val="center"/>
              <w:rPr>
                <w:b w:val="0"/>
                <w:lang w:val="en-US" w:eastAsia="zh-CN"/>
              </w:rPr>
            </w:pPr>
            <w:r>
              <w:rPr>
                <w:b w:val="0"/>
                <w:lang w:val="en-US" w:eastAsia="zh-CN"/>
              </w:rPr>
              <w:t>Dhamija 2025</w:t>
            </w:r>
          </w:p>
        </w:tc>
        <w:tc>
          <w:tcPr>
            <w:tcW w:w="511" w:type="pct"/>
            <w:tcBorders>
              <w:top w:val="nil"/>
              <w:left w:val="nil"/>
              <w:bottom w:val="nil"/>
              <w:right w:val="nil"/>
            </w:tcBorders>
            <w:shd w:val="clear" w:color="auto" w:fill="FFFFFF"/>
            <w:vAlign w:val="center"/>
          </w:tcPr>
          <w:p w14:paraId="3FD79B32">
            <w:pPr>
              <w:pStyle w:val="167"/>
              <w:bidi w:val="0"/>
              <w:jc w:val="center"/>
              <w:rPr>
                <w:b w:val="0"/>
                <w:lang w:val="en-US" w:eastAsia="zh-CN"/>
              </w:rPr>
            </w:pPr>
            <w:r>
              <w:rPr>
                <w:b w:val="0"/>
                <w:lang w:val="en-US" w:eastAsia="zh-CN"/>
              </w:rPr>
              <w:t>Balance; FRT</w:t>
            </w:r>
          </w:p>
        </w:tc>
        <w:tc>
          <w:tcPr>
            <w:tcW w:w="503" w:type="pct"/>
            <w:tcBorders>
              <w:top w:val="nil"/>
              <w:left w:val="nil"/>
              <w:bottom w:val="nil"/>
              <w:right w:val="nil"/>
            </w:tcBorders>
            <w:shd w:val="clear" w:color="auto" w:fill="FFFFFF"/>
            <w:vAlign w:val="center"/>
          </w:tcPr>
          <w:p w14:paraId="3305EE0E">
            <w:pPr>
              <w:pStyle w:val="167"/>
              <w:bidi w:val="0"/>
              <w:jc w:val="center"/>
              <w:rPr>
                <w:b w:val="0"/>
                <w:lang w:val="en-US" w:eastAsia="zh-CN"/>
              </w:rPr>
            </w:pPr>
            <w:r>
              <w:rPr>
                <w:b w:val="0"/>
                <w:lang w:val="en-US" w:eastAsia="zh-CN"/>
              </w:rPr>
              <w:t>Post, 12 wk</w:t>
            </w:r>
          </w:p>
        </w:tc>
        <w:tc>
          <w:tcPr>
            <w:tcW w:w="619" w:type="pct"/>
            <w:tcBorders>
              <w:top w:val="nil"/>
              <w:left w:val="nil"/>
              <w:bottom w:val="nil"/>
              <w:right w:val="nil"/>
            </w:tcBorders>
            <w:shd w:val="clear" w:color="auto" w:fill="FFFFFF"/>
            <w:vAlign w:val="center"/>
          </w:tcPr>
          <w:p w14:paraId="5F2086CF">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06147952">
            <w:pPr>
              <w:pStyle w:val="167"/>
              <w:bidi w:val="0"/>
              <w:jc w:val="center"/>
              <w:rPr>
                <w:b w:val="0"/>
                <w:lang w:val="en-US" w:eastAsia="zh-CN"/>
              </w:rPr>
            </w:pPr>
            <w:r>
              <w:rPr>
                <w:b w:val="0"/>
                <w:lang w:val="en-US" w:eastAsia="zh-CN"/>
              </w:rPr>
              <w:t>Y/Y/N</w:t>
            </w:r>
          </w:p>
        </w:tc>
        <w:tc>
          <w:tcPr>
            <w:tcW w:w="602" w:type="pct"/>
            <w:tcBorders>
              <w:top w:val="nil"/>
              <w:left w:val="nil"/>
              <w:bottom w:val="nil"/>
              <w:right w:val="nil"/>
            </w:tcBorders>
            <w:shd w:val="clear" w:color="auto" w:fill="FFFFFF"/>
            <w:vAlign w:val="center"/>
          </w:tcPr>
          <w:p w14:paraId="12E3D3B0">
            <w:pPr>
              <w:pStyle w:val="167"/>
              <w:bidi w:val="0"/>
              <w:jc w:val="center"/>
              <w:rPr>
                <w:b w:val="0"/>
                <w:lang w:val="en-US" w:eastAsia="zh-CN"/>
              </w:rPr>
            </w:pPr>
            <w:r>
              <w:rPr>
                <w:b w:val="0"/>
                <w:lang w:val="en-US" w:eastAsia="zh-CN"/>
              </w:rPr>
              <w:t>Y/Y/N/NA/NA/Y/NA</w:t>
            </w:r>
          </w:p>
        </w:tc>
        <w:tc>
          <w:tcPr>
            <w:tcW w:w="414" w:type="pct"/>
            <w:tcBorders>
              <w:top w:val="nil"/>
              <w:left w:val="nil"/>
              <w:bottom w:val="nil"/>
              <w:right w:val="nil"/>
            </w:tcBorders>
            <w:shd w:val="clear" w:color="auto" w:fill="FFFFFF"/>
            <w:vAlign w:val="center"/>
          </w:tcPr>
          <w:p w14:paraId="5DE89C92">
            <w:pPr>
              <w:pStyle w:val="167"/>
              <w:bidi w:val="0"/>
              <w:jc w:val="center"/>
              <w:rPr>
                <w:b w:val="0"/>
                <w:lang w:val="en-US" w:eastAsia="zh-CN"/>
              </w:rPr>
            </w:pPr>
            <w:r>
              <w:rPr>
                <w:b w:val="0"/>
                <w:lang w:val="en-US" w:eastAsia="zh-CN"/>
              </w:rPr>
              <w:t>PY/Y/NA/NA</w:t>
            </w:r>
          </w:p>
        </w:tc>
        <w:tc>
          <w:tcPr>
            <w:tcW w:w="445" w:type="pct"/>
            <w:tcBorders>
              <w:top w:val="nil"/>
              <w:left w:val="nil"/>
              <w:bottom w:val="nil"/>
              <w:right w:val="nil"/>
            </w:tcBorders>
            <w:shd w:val="clear" w:color="auto" w:fill="FFFFFF"/>
            <w:vAlign w:val="center"/>
          </w:tcPr>
          <w:p w14:paraId="541AFC50">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4EE0189E">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77B7C892">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60D01B9C">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076A0FF2">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27F07EA9">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6A08324E">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4D7C0134">
            <w:pPr>
              <w:pStyle w:val="167"/>
              <w:bidi w:val="0"/>
              <w:jc w:val="center"/>
              <w:rPr>
                <w:b w:val="0"/>
                <w:lang w:val="en-US" w:eastAsia="zh-CN"/>
              </w:rPr>
            </w:pPr>
            <w:r>
              <w:rPr>
                <w:b w:val="0"/>
                <w:lang w:val="en-US" w:eastAsia="zh-CN"/>
              </w:rPr>
              <w:t>SC</w:t>
            </w:r>
          </w:p>
        </w:tc>
      </w:tr>
      <w:tr w14:paraId="593C2B61">
        <w:tc>
          <w:tcPr>
            <w:tcW w:w="281" w:type="pct"/>
            <w:tcBorders>
              <w:top w:val="nil"/>
              <w:left w:val="nil"/>
              <w:bottom w:val="nil"/>
              <w:right w:val="nil"/>
            </w:tcBorders>
            <w:shd w:val="clear" w:color="auto" w:fill="FFFFFF"/>
            <w:vAlign w:val="center"/>
          </w:tcPr>
          <w:p w14:paraId="3849D95C">
            <w:pPr>
              <w:pStyle w:val="167"/>
              <w:bidi w:val="0"/>
              <w:jc w:val="center"/>
              <w:rPr>
                <w:b w:val="0"/>
                <w:lang w:val="en-US" w:eastAsia="zh-CN"/>
              </w:rPr>
            </w:pPr>
            <w:r>
              <w:rPr>
                <w:b w:val="0"/>
                <w:lang w:val="en-US" w:eastAsia="zh-CN"/>
              </w:rPr>
              <w:t>Eldemir 2023</w:t>
            </w:r>
          </w:p>
        </w:tc>
        <w:tc>
          <w:tcPr>
            <w:tcW w:w="511" w:type="pct"/>
            <w:tcBorders>
              <w:top w:val="nil"/>
              <w:left w:val="nil"/>
              <w:bottom w:val="nil"/>
              <w:right w:val="nil"/>
            </w:tcBorders>
            <w:shd w:val="clear" w:color="auto" w:fill="FFFFFF"/>
            <w:vAlign w:val="center"/>
          </w:tcPr>
          <w:p w14:paraId="2CD8406F">
            <w:pPr>
              <w:pStyle w:val="167"/>
              <w:bidi w:val="0"/>
              <w:jc w:val="center"/>
              <w:rPr>
                <w:b w:val="0"/>
                <w:lang w:val="en-US" w:eastAsia="zh-CN"/>
              </w:rPr>
            </w:pPr>
            <w:r>
              <w:rPr>
                <w:b w:val="0"/>
                <w:lang w:val="en-US" w:eastAsia="zh-CN"/>
              </w:rPr>
              <w:t>UPDRS III</w:t>
            </w:r>
          </w:p>
        </w:tc>
        <w:tc>
          <w:tcPr>
            <w:tcW w:w="503" w:type="pct"/>
            <w:tcBorders>
              <w:top w:val="nil"/>
              <w:left w:val="nil"/>
              <w:bottom w:val="nil"/>
              <w:right w:val="nil"/>
            </w:tcBorders>
            <w:shd w:val="clear" w:color="auto" w:fill="FFFFFF"/>
            <w:vAlign w:val="center"/>
          </w:tcPr>
          <w:p w14:paraId="3B7EA5D8">
            <w:pPr>
              <w:pStyle w:val="167"/>
              <w:bidi w:val="0"/>
              <w:jc w:val="center"/>
              <w:rPr>
                <w:b w:val="0"/>
                <w:lang w:val="en-US" w:eastAsia="zh-CN"/>
              </w:rPr>
            </w:pPr>
            <w:r>
              <w:rPr>
                <w:b w:val="0"/>
                <w:lang w:val="en-US" w:eastAsia="zh-CN"/>
              </w:rPr>
              <w:t>Post, 6 wk</w:t>
            </w:r>
          </w:p>
        </w:tc>
        <w:tc>
          <w:tcPr>
            <w:tcW w:w="619" w:type="pct"/>
            <w:tcBorders>
              <w:top w:val="nil"/>
              <w:left w:val="nil"/>
              <w:bottom w:val="nil"/>
              <w:right w:val="nil"/>
            </w:tcBorders>
            <w:shd w:val="clear" w:color="auto" w:fill="FFFFFF"/>
            <w:vAlign w:val="center"/>
          </w:tcPr>
          <w:p w14:paraId="5002E590">
            <w:pPr>
              <w:pStyle w:val="167"/>
              <w:bidi w:val="0"/>
              <w:jc w:val="center"/>
              <w:rPr>
                <w:b w:val="0"/>
                <w:lang w:val="en-US" w:eastAsia="zh-CN"/>
              </w:rPr>
            </w:pPr>
            <w:r>
              <w:rPr>
                <w:b w:val="0"/>
                <w:lang w:val="en-US" w:eastAsia="zh-CN"/>
              </w:rPr>
              <w:t>Ordinary home exercise/paper HEP</w:t>
            </w:r>
          </w:p>
        </w:tc>
        <w:tc>
          <w:tcPr>
            <w:tcW w:w="312" w:type="pct"/>
            <w:tcBorders>
              <w:top w:val="nil"/>
              <w:left w:val="nil"/>
              <w:bottom w:val="nil"/>
              <w:right w:val="nil"/>
            </w:tcBorders>
            <w:shd w:val="clear" w:color="auto" w:fill="FFFFFF"/>
            <w:vAlign w:val="center"/>
          </w:tcPr>
          <w:p w14:paraId="7C2F30BE">
            <w:pPr>
              <w:pStyle w:val="167"/>
              <w:bidi w:val="0"/>
              <w:jc w:val="center"/>
              <w:rPr>
                <w:b w:val="0"/>
                <w:lang w:val="en-US" w:eastAsia="zh-CN"/>
              </w:rPr>
            </w:pPr>
            <w:r>
              <w:rPr>
                <w:b w:val="0"/>
                <w:lang w:val="en-US" w:eastAsia="zh-CN"/>
              </w:rPr>
              <w:t>Y/N/N</w:t>
            </w:r>
          </w:p>
        </w:tc>
        <w:tc>
          <w:tcPr>
            <w:tcW w:w="602" w:type="pct"/>
            <w:tcBorders>
              <w:top w:val="nil"/>
              <w:left w:val="nil"/>
              <w:bottom w:val="nil"/>
              <w:right w:val="nil"/>
            </w:tcBorders>
            <w:shd w:val="clear" w:color="auto" w:fill="FFFFFF"/>
            <w:vAlign w:val="center"/>
          </w:tcPr>
          <w:p w14:paraId="69325D22">
            <w:pPr>
              <w:pStyle w:val="167"/>
              <w:bidi w:val="0"/>
              <w:jc w:val="center"/>
              <w:rPr>
                <w:b w:val="0"/>
                <w:lang w:val="en-US" w:eastAsia="zh-CN"/>
              </w:rPr>
            </w:pPr>
            <w:r>
              <w:rPr>
                <w:b w:val="0"/>
                <w:lang w:val="en-US" w:eastAsia="zh-CN"/>
              </w:rPr>
              <w:t>Y/Y/NI/NI/NI/Y/NA</w:t>
            </w:r>
          </w:p>
        </w:tc>
        <w:tc>
          <w:tcPr>
            <w:tcW w:w="414" w:type="pct"/>
            <w:tcBorders>
              <w:top w:val="nil"/>
              <w:left w:val="nil"/>
              <w:bottom w:val="nil"/>
              <w:right w:val="nil"/>
            </w:tcBorders>
            <w:shd w:val="clear" w:color="auto" w:fill="FFFFFF"/>
            <w:vAlign w:val="center"/>
          </w:tcPr>
          <w:p w14:paraId="053A3CAF">
            <w:pPr>
              <w:pStyle w:val="167"/>
              <w:bidi w:val="0"/>
              <w:jc w:val="center"/>
              <w:rPr>
                <w:b w:val="0"/>
                <w:lang w:val="en-US" w:eastAsia="zh-CN"/>
              </w:rPr>
            </w:pPr>
            <w:r>
              <w:rPr>
                <w:b w:val="0"/>
                <w:lang w:val="en-US" w:eastAsia="zh-CN"/>
              </w:rPr>
              <w:t>PY/Y/NA/NA</w:t>
            </w:r>
          </w:p>
        </w:tc>
        <w:tc>
          <w:tcPr>
            <w:tcW w:w="445" w:type="pct"/>
            <w:tcBorders>
              <w:top w:val="nil"/>
              <w:left w:val="nil"/>
              <w:bottom w:val="nil"/>
              <w:right w:val="nil"/>
            </w:tcBorders>
            <w:shd w:val="clear" w:color="auto" w:fill="FFFFFF"/>
            <w:vAlign w:val="center"/>
          </w:tcPr>
          <w:p w14:paraId="4A763496">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5C3F861A">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51F06421">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2B7A94B3">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0B37F4A9">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7BDFA01B">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350BA3C5">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35359D6E">
            <w:pPr>
              <w:pStyle w:val="167"/>
              <w:bidi w:val="0"/>
              <w:jc w:val="center"/>
              <w:rPr>
                <w:b w:val="0"/>
                <w:lang w:val="en-US" w:eastAsia="zh-CN"/>
              </w:rPr>
            </w:pPr>
            <w:r>
              <w:rPr>
                <w:b w:val="0"/>
                <w:lang w:val="en-US" w:eastAsia="zh-CN"/>
              </w:rPr>
              <w:t>SC</w:t>
            </w:r>
          </w:p>
        </w:tc>
      </w:tr>
      <w:tr w14:paraId="13C18788">
        <w:tc>
          <w:tcPr>
            <w:tcW w:w="281" w:type="pct"/>
            <w:tcBorders>
              <w:top w:val="nil"/>
              <w:left w:val="nil"/>
              <w:bottom w:val="nil"/>
              <w:right w:val="nil"/>
            </w:tcBorders>
            <w:shd w:val="clear" w:color="auto" w:fill="FFFFFF"/>
            <w:vAlign w:val="center"/>
          </w:tcPr>
          <w:p w14:paraId="319DC77A">
            <w:pPr>
              <w:pStyle w:val="167"/>
              <w:bidi w:val="0"/>
              <w:jc w:val="center"/>
              <w:rPr>
                <w:b w:val="0"/>
                <w:lang w:val="en-US" w:eastAsia="zh-CN"/>
              </w:rPr>
            </w:pPr>
            <w:r>
              <w:rPr>
                <w:b w:val="0"/>
                <w:lang w:val="en-US" w:eastAsia="zh-CN"/>
              </w:rPr>
              <w:t>Flynn 2021</w:t>
            </w:r>
          </w:p>
        </w:tc>
        <w:tc>
          <w:tcPr>
            <w:tcW w:w="511" w:type="pct"/>
            <w:tcBorders>
              <w:top w:val="nil"/>
              <w:left w:val="nil"/>
              <w:bottom w:val="nil"/>
              <w:right w:val="nil"/>
            </w:tcBorders>
            <w:shd w:val="clear" w:color="auto" w:fill="FFFFFF"/>
            <w:vAlign w:val="center"/>
          </w:tcPr>
          <w:p w14:paraId="71F2560B">
            <w:pPr>
              <w:pStyle w:val="167"/>
              <w:bidi w:val="0"/>
              <w:jc w:val="center"/>
              <w:rPr>
                <w:b w:val="0"/>
                <w:lang w:val="en-US" w:eastAsia="zh-CN"/>
              </w:rPr>
            </w:pPr>
            <w:r>
              <w:rPr>
                <w:b w:val="0"/>
                <w:lang w:val="en-US" w:eastAsia="zh-CN"/>
              </w:rPr>
              <w:t>Balance; MiniBESTest</w:t>
            </w:r>
          </w:p>
        </w:tc>
        <w:tc>
          <w:tcPr>
            <w:tcW w:w="503" w:type="pct"/>
            <w:tcBorders>
              <w:top w:val="nil"/>
              <w:left w:val="nil"/>
              <w:bottom w:val="nil"/>
              <w:right w:val="nil"/>
            </w:tcBorders>
            <w:shd w:val="clear" w:color="auto" w:fill="FFFFFF"/>
            <w:vAlign w:val="center"/>
          </w:tcPr>
          <w:p w14:paraId="0F616432">
            <w:pPr>
              <w:pStyle w:val="167"/>
              <w:bidi w:val="0"/>
              <w:jc w:val="center"/>
              <w:rPr>
                <w:b w:val="0"/>
                <w:lang w:val="en-US" w:eastAsia="zh-CN"/>
              </w:rPr>
            </w:pPr>
            <w:r>
              <w:rPr>
                <w:b w:val="0"/>
                <w:lang w:val="en-US" w:eastAsia="zh-CN"/>
              </w:rPr>
              <w:t>Post, 10 wk</w:t>
            </w:r>
          </w:p>
        </w:tc>
        <w:tc>
          <w:tcPr>
            <w:tcW w:w="619" w:type="pct"/>
            <w:tcBorders>
              <w:top w:val="nil"/>
              <w:left w:val="nil"/>
              <w:bottom w:val="nil"/>
              <w:right w:val="nil"/>
            </w:tcBorders>
            <w:shd w:val="clear" w:color="auto" w:fill="FFFFFF"/>
            <w:vAlign w:val="center"/>
          </w:tcPr>
          <w:p w14:paraId="5E60DC6F">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4E302DD2">
            <w:pPr>
              <w:pStyle w:val="167"/>
              <w:bidi w:val="0"/>
              <w:jc w:val="center"/>
              <w:rPr>
                <w:b w:val="0"/>
                <w:lang w:val="en-US" w:eastAsia="zh-CN"/>
              </w:rPr>
            </w:pPr>
            <w:r>
              <w:rPr>
                <w:b w:val="0"/>
                <w:lang w:val="en-US" w:eastAsia="zh-CN"/>
              </w:rPr>
              <w:t>Y/Y/N</w:t>
            </w:r>
          </w:p>
        </w:tc>
        <w:tc>
          <w:tcPr>
            <w:tcW w:w="602" w:type="pct"/>
            <w:tcBorders>
              <w:top w:val="nil"/>
              <w:left w:val="nil"/>
              <w:bottom w:val="nil"/>
              <w:right w:val="nil"/>
            </w:tcBorders>
            <w:shd w:val="clear" w:color="auto" w:fill="FFFFFF"/>
            <w:vAlign w:val="center"/>
          </w:tcPr>
          <w:p w14:paraId="7AB0A4DB">
            <w:pPr>
              <w:pStyle w:val="167"/>
              <w:bidi w:val="0"/>
              <w:jc w:val="center"/>
              <w:rPr>
                <w:b w:val="0"/>
                <w:lang w:val="en-US" w:eastAsia="zh-CN"/>
              </w:rPr>
            </w:pPr>
            <w:r>
              <w:rPr>
                <w:b w:val="0"/>
                <w:lang w:val="en-US" w:eastAsia="zh-CN"/>
              </w:rPr>
              <w:t>Y/Y/N/NA/NA/Y/NA</w:t>
            </w:r>
          </w:p>
        </w:tc>
        <w:tc>
          <w:tcPr>
            <w:tcW w:w="414" w:type="pct"/>
            <w:tcBorders>
              <w:top w:val="nil"/>
              <w:left w:val="nil"/>
              <w:bottom w:val="nil"/>
              <w:right w:val="nil"/>
            </w:tcBorders>
            <w:shd w:val="clear" w:color="auto" w:fill="FFFFFF"/>
            <w:vAlign w:val="center"/>
          </w:tcPr>
          <w:p w14:paraId="1DEF9687">
            <w:pPr>
              <w:pStyle w:val="167"/>
              <w:bidi w:val="0"/>
              <w:jc w:val="center"/>
              <w:rPr>
                <w:b w:val="0"/>
                <w:lang w:val="en-US" w:eastAsia="zh-CN"/>
              </w:rPr>
            </w:pPr>
            <w:r>
              <w:rPr>
                <w:b w:val="0"/>
                <w:lang w:val="en-US" w:eastAsia="zh-CN"/>
              </w:rPr>
              <w:t>Y/NA/NA/NA</w:t>
            </w:r>
          </w:p>
        </w:tc>
        <w:tc>
          <w:tcPr>
            <w:tcW w:w="445" w:type="pct"/>
            <w:tcBorders>
              <w:top w:val="nil"/>
              <w:left w:val="nil"/>
              <w:bottom w:val="nil"/>
              <w:right w:val="nil"/>
            </w:tcBorders>
            <w:shd w:val="clear" w:color="auto" w:fill="FFFFFF"/>
            <w:vAlign w:val="center"/>
          </w:tcPr>
          <w:p w14:paraId="6A235539">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1A2EE782">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69CD3897">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743BC30D">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082FC405">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6DDAC7EE">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5409D0B2">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151522FC">
            <w:pPr>
              <w:pStyle w:val="167"/>
              <w:bidi w:val="0"/>
              <w:jc w:val="center"/>
              <w:rPr>
                <w:b w:val="0"/>
                <w:lang w:val="en-US" w:eastAsia="zh-CN"/>
              </w:rPr>
            </w:pPr>
            <w:r>
              <w:rPr>
                <w:b w:val="0"/>
                <w:lang w:val="en-US" w:eastAsia="zh-CN"/>
              </w:rPr>
              <w:t>SC</w:t>
            </w:r>
          </w:p>
        </w:tc>
      </w:tr>
      <w:tr w14:paraId="2E23D339">
        <w:tc>
          <w:tcPr>
            <w:tcW w:w="281" w:type="pct"/>
            <w:tcBorders>
              <w:top w:val="nil"/>
              <w:left w:val="nil"/>
              <w:bottom w:val="nil"/>
              <w:right w:val="nil"/>
            </w:tcBorders>
            <w:shd w:val="clear" w:color="auto" w:fill="FFFFFF"/>
            <w:vAlign w:val="center"/>
          </w:tcPr>
          <w:p w14:paraId="73E7C71D">
            <w:pPr>
              <w:pStyle w:val="167"/>
              <w:bidi w:val="0"/>
              <w:jc w:val="center"/>
              <w:rPr>
                <w:b w:val="0"/>
                <w:lang w:val="en-US" w:eastAsia="zh-CN"/>
              </w:rPr>
            </w:pPr>
            <w:r>
              <w:rPr>
                <w:b w:val="0"/>
                <w:lang w:val="en-US" w:eastAsia="zh-CN"/>
              </w:rPr>
              <w:t>Flynn 2021</w:t>
            </w:r>
          </w:p>
        </w:tc>
        <w:tc>
          <w:tcPr>
            <w:tcW w:w="511" w:type="pct"/>
            <w:tcBorders>
              <w:top w:val="nil"/>
              <w:left w:val="nil"/>
              <w:bottom w:val="nil"/>
              <w:right w:val="nil"/>
            </w:tcBorders>
            <w:shd w:val="clear" w:color="auto" w:fill="FFFFFF"/>
            <w:vAlign w:val="center"/>
          </w:tcPr>
          <w:p w14:paraId="76327BC6">
            <w:pPr>
              <w:pStyle w:val="167"/>
              <w:bidi w:val="0"/>
              <w:jc w:val="center"/>
              <w:rPr>
                <w:b w:val="0"/>
                <w:lang w:val="en-US" w:eastAsia="zh-CN"/>
              </w:rPr>
            </w:pPr>
            <w:r>
              <w:rPr>
                <w:b w:val="0"/>
                <w:lang w:val="en-US" w:eastAsia="zh-CN"/>
              </w:rPr>
              <w:t>Gait; preferred 10MWT</w:t>
            </w:r>
          </w:p>
        </w:tc>
        <w:tc>
          <w:tcPr>
            <w:tcW w:w="503" w:type="pct"/>
            <w:tcBorders>
              <w:top w:val="nil"/>
              <w:left w:val="nil"/>
              <w:bottom w:val="nil"/>
              <w:right w:val="nil"/>
            </w:tcBorders>
            <w:shd w:val="clear" w:color="auto" w:fill="FFFFFF"/>
            <w:vAlign w:val="center"/>
          </w:tcPr>
          <w:p w14:paraId="2F81A9C7">
            <w:pPr>
              <w:pStyle w:val="167"/>
              <w:bidi w:val="0"/>
              <w:jc w:val="center"/>
              <w:rPr>
                <w:b w:val="0"/>
                <w:lang w:val="en-US" w:eastAsia="zh-CN"/>
              </w:rPr>
            </w:pPr>
            <w:r>
              <w:rPr>
                <w:b w:val="0"/>
                <w:lang w:val="en-US" w:eastAsia="zh-CN"/>
              </w:rPr>
              <w:t>Post, 10 wk</w:t>
            </w:r>
          </w:p>
        </w:tc>
        <w:tc>
          <w:tcPr>
            <w:tcW w:w="619" w:type="pct"/>
            <w:tcBorders>
              <w:top w:val="nil"/>
              <w:left w:val="nil"/>
              <w:bottom w:val="nil"/>
              <w:right w:val="nil"/>
            </w:tcBorders>
            <w:shd w:val="clear" w:color="auto" w:fill="FFFFFF"/>
            <w:vAlign w:val="center"/>
          </w:tcPr>
          <w:p w14:paraId="0A092BE0">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0D416927">
            <w:pPr>
              <w:pStyle w:val="167"/>
              <w:bidi w:val="0"/>
              <w:jc w:val="center"/>
              <w:rPr>
                <w:b w:val="0"/>
                <w:lang w:val="en-US" w:eastAsia="zh-CN"/>
              </w:rPr>
            </w:pPr>
            <w:r>
              <w:rPr>
                <w:b w:val="0"/>
                <w:lang w:val="en-US" w:eastAsia="zh-CN"/>
              </w:rPr>
              <w:t>Y/Y/N</w:t>
            </w:r>
          </w:p>
        </w:tc>
        <w:tc>
          <w:tcPr>
            <w:tcW w:w="602" w:type="pct"/>
            <w:tcBorders>
              <w:top w:val="nil"/>
              <w:left w:val="nil"/>
              <w:bottom w:val="nil"/>
              <w:right w:val="nil"/>
            </w:tcBorders>
            <w:shd w:val="clear" w:color="auto" w:fill="FFFFFF"/>
            <w:vAlign w:val="center"/>
          </w:tcPr>
          <w:p w14:paraId="57A8B80E">
            <w:pPr>
              <w:pStyle w:val="167"/>
              <w:bidi w:val="0"/>
              <w:jc w:val="center"/>
              <w:rPr>
                <w:b w:val="0"/>
                <w:lang w:val="en-US" w:eastAsia="zh-CN"/>
              </w:rPr>
            </w:pPr>
            <w:r>
              <w:rPr>
                <w:b w:val="0"/>
                <w:lang w:val="en-US" w:eastAsia="zh-CN"/>
              </w:rPr>
              <w:t>Y/Y/N/NA/NA/Y/NA</w:t>
            </w:r>
          </w:p>
        </w:tc>
        <w:tc>
          <w:tcPr>
            <w:tcW w:w="414" w:type="pct"/>
            <w:tcBorders>
              <w:top w:val="nil"/>
              <w:left w:val="nil"/>
              <w:bottom w:val="nil"/>
              <w:right w:val="nil"/>
            </w:tcBorders>
            <w:shd w:val="clear" w:color="auto" w:fill="FFFFFF"/>
            <w:vAlign w:val="center"/>
          </w:tcPr>
          <w:p w14:paraId="76E0F4AC">
            <w:pPr>
              <w:pStyle w:val="167"/>
              <w:bidi w:val="0"/>
              <w:jc w:val="center"/>
              <w:rPr>
                <w:b w:val="0"/>
                <w:lang w:val="en-US" w:eastAsia="zh-CN"/>
              </w:rPr>
            </w:pPr>
            <w:r>
              <w:rPr>
                <w:b w:val="0"/>
                <w:lang w:val="en-US" w:eastAsia="zh-CN"/>
              </w:rPr>
              <w:t>Y/NA/NA/NA</w:t>
            </w:r>
          </w:p>
        </w:tc>
        <w:tc>
          <w:tcPr>
            <w:tcW w:w="445" w:type="pct"/>
            <w:tcBorders>
              <w:top w:val="nil"/>
              <w:left w:val="nil"/>
              <w:bottom w:val="nil"/>
              <w:right w:val="nil"/>
            </w:tcBorders>
            <w:shd w:val="clear" w:color="auto" w:fill="FFFFFF"/>
            <w:vAlign w:val="center"/>
          </w:tcPr>
          <w:p w14:paraId="32E377C5">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305A5713">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29EE1977">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0577B8D5">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2DBB4401">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36B37A7D">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3A3AA923">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35AE23B2">
            <w:pPr>
              <w:pStyle w:val="167"/>
              <w:bidi w:val="0"/>
              <w:jc w:val="center"/>
              <w:rPr>
                <w:b w:val="0"/>
                <w:lang w:val="en-US" w:eastAsia="zh-CN"/>
              </w:rPr>
            </w:pPr>
            <w:r>
              <w:rPr>
                <w:b w:val="0"/>
                <w:lang w:val="en-US" w:eastAsia="zh-CN"/>
              </w:rPr>
              <w:t>SC</w:t>
            </w:r>
          </w:p>
        </w:tc>
      </w:tr>
      <w:tr w14:paraId="35DE690F">
        <w:tc>
          <w:tcPr>
            <w:tcW w:w="281" w:type="pct"/>
            <w:tcBorders>
              <w:top w:val="nil"/>
              <w:left w:val="nil"/>
              <w:bottom w:val="nil"/>
              <w:right w:val="nil"/>
            </w:tcBorders>
            <w:shd w:val="clear" w:color="auto" w:fill="FFFFFF"/>
            <w:vAlign w:val="center"/>
          </w:tcPr>
          <w:p w14:paraId="3473A0BA">
            <w:pPr>
              <w:pStyle w:val="167"/>
              <w:bidi w:val="0"/>
              <w:jc w:val="center"/>
              <w:rPr>
                <w:b w:val="0"/>
                <w:lang w:val="en-US" w:eastAsia="zh-CN"/>
              </w:rPr>
            </w:pPr>
            <w:r>
              <w:rPr>
                <w:b w:val="0"/>
                <w:lang w:val="en-US" w:eastAsia="zh-CN"/>
              </w:rPr>
              <w:t>Ge 2024</w:t>
            </w:r>
          </w:p>
        </w:tc>
        <w:tc>
          <w:tcPr>
            <w:tcW w:w="511" w:type="pct"/>
            <w:tcBorders>
              <w:top w:val="nil"/>
              <w:left w:val="nil"/>
              <w:bottom w:val="nil"/>
              <w:right w:val="nil"/>
            </w:tcBorders>
            <w:shd w:val="clear" w:color="auto" w:fill="FFFFFF"/>
            <w:vAlign w:val="center"/>
          </w:tcPr>
          <w:p w14:paraId="302B5BC0">
            <w:pPr>
              <w:pStyle w:val="167"/>
              <w:bidi w:val="0"/>
              <w:jc w:val="center"/>
              <w:rPr>
                <w:b w:val="0"/>
                <w:lang w:val="en-US" w:eastAsia="zh-CN"/>
              </w:rPr>
            </w:pPr>
            <w:r>
              <w:rPr>
                <w:b w:val="0"/>
                <w:lang w:val="en-US" w:eastAsia="zh-CN"/>
              </w:rPr>
              <w:t>UPDRS III</w:t>
            </w:r>
          </w:p>
        </w:tc>
        <w:tc>
          <w:tcPr>
            <w:tcW w:w="503" w:type="pct"/>
            <w:tcBorders>
              <w:top w:val="nil"/>
              <w:left w:val="nil"/>
              <w:bottom w:val="nil"/>
              <w:right w:val="nil"/>
            </w:tcBorders>
            <w:shd w:val="clear" w:color="auto" w:fill="FFFFFF"/>
            <w:vAlign w:val="center"/>
          </w:tcPr>
          <w:p w14:paraId="37EEDE51">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16137E07">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3B47B830">
            <w:pPr>
              <w:pStyle w:val="167"/>
              <w:bidi w:val="0"/>
              <w:jc w:val="center"/>
              <w:rPr>
                <w:b w:val="0"/>
                <w:lang w:val="en-US" w:eastAsia="zh-CN"/>
              </w:rPr>
            </w:pPr>
            <w:r>
              <w:rPr>
                <w:b w:val="0"/>
                <w:lang w:val="en-US" w:eastAsia="zh-CN"/>
              </w:rPr>
              <w:t>Y/NI/PY</w:t>
            </w:r>
          </w:p>
        </w:tc>
        <w:tc>
          <w:tcPr>
            <w:tcW w:w="602" w:type="pct"/>
            <w:tcBorders>
              <w:top w:val="nil"/>
              <w:left w:val="nil"/>
              <w:bottom w:val="nil"/>
              <w:right w:val="nil"/>
            </w:tcBorders>
            <w:shd w:val="clear" w:color="auto" w:fill="FFFFFF"/>
            <w:vAlign w:val="center"/>
          </w:tcPr>
          <w:p w14:paraId="326E3771">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2AD0993A">
            <w:pPr>
              <w:pStyle w:val="167"/>
              <w:bidi w:val="0"/>
              <w:jc w:val="center"/>
              <w:rPr>
                <w:b w:val="0"/>
                <w:lang w:val="en-US" w:eastAsia="zh-CN"/>
              </w:rPr>
            </w:pPr>
            <w:r>
              <w:rPr>
                <w:b w:val="0"/>
                <w:lang w:val="en-US" w:eastAsia="zh-CN"/>
              </w:rPr>
              <w:t>N/N/Y/PY</w:t>
            </w:r>
          </w:p>
        </w:tc>
        <w:tc>
          <w:tcPr>
            <w:tcW w:w="445" w:type="pct"/>
            <w:tcBorders>
              <w:top w:val="nil"/>
              <w:left w:val="nil"/>
              <w:bottom w:val="nil"/>
              <w:right w:val="nil"/>
            </w:tcBorders>
            <w:shd w:val="clear" w:color="auto" w:fill="FFFFFF"/>
            <w:vAlign w:val="center"/>
          </w:tcPr>
          <w:p w14:paraId="5480C87F">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4A4AD04B">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19AC5E33">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1DF58A42">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3D3455AB">
            <w:pPr>
              <w:pStyle w:val="167"/>
              <w:bidi w:val="0"/>
              <w:jc w:val="center"/>
              <w:rPr>
                <w:b w:val="0"/>
                <w:lang w:val="en-US" w:eastAsia="zh-CN"/>
              </w:rPr>
            </w:pPr>
            <w:r>
              <w:rPr>
                <w:b w:val="0"/>
                <w:lang w:val="en-US" w:eastAsia="zh-CN"/>
              </w:rPr>
              <w:t>H</w:t>
            </w:r>
          </w:p>
        </w:tc>
        <w:tc>
          <w:tcPr>
            <w:tcW w:w="148" w:type="pct"/>
            <w:tcBorders>
              <w:top w:val="nil"/>
              <w:left w:val="nil"/>
              <w:bottom w:val="nil"/>
              <w:right w:val="nil"/>
            </w:tcBorders>
            <w:shd w:val="clear" w:color="auto" w:fill="FFFFFF"/>
            <w:vAlign w:val="center"/>
          </w:tcPr>
          <w:p w14:paraId="40A01937">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088DA29D">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6C9AB248">
            <w:pPr>
              <w:pStyle w:val="167"/>
              <w:bidi w:val="0"/>
              <w:jc w:val="center"/>
              <w:rPr>
                <w:b w:val="0"/>
                <w:lang w:val="en-US" w:eastAsia="zh-CN"/>
              </w:rPr>
            </w:pPr>
            <w:r>
              <w:rPr>
                <w:b w:val="0"/>
                <w:lang w:val="en-US" w:eastAsia="zh-CN"/>
              </w:rPr>
              <w:t>H</w:t>
            </w:r>
          </w:p>
        </w:tc>
      </w:tr>
      <w:tr w14:paraId="035D99E6">
        <w:tc>
          <w:tcPr>
            <w:tcW w:w="281" w:type="pct"/>
            <w:tcBorders>
              <w:top w:val="nil"/>
              <w:left w:val="nil"/>
              <w:bottom w:val="nil"/>
              <w:right w:val="nil"/>
            </w:tcBorders>
            <w:shd w:val="clear" w:color="auto" w:fill="FFFFFF"/>
            <w:vAlign w:val="center"/>
          </w:tcPr>
          <w:p w14:paraId="383DBB65">
            <w:pPr>
              <w:pStyle w:val="167"/>
              <w:bidi w:val="0"/>
              <w:jc w:val="center"/>
              <w:rPr>
                <w:b w:val="0"/>
                <w:lang w:val="en-US" w:eastAsia="zh-CN"/>
              </w:rPr>
            </w:pPr>
            <w:r>
              <w:rPr>
                <w:b w:val="0"/>
                <w:lang w:val="en-US" w:eastAsia="zh-CN"/>
              </w:rPr>
              <w:t>Ge 2024</w:t>
            </w:r>
          </w:p>
        </w:tc>
        <w:tc>
          <w:tcPr>
            <w:tcW w:w="511" w:type="pct"/>
            <w:tcBorders>
              <w:top w:val="nil"/>
              <w:left w:val="nil"/>
              <w:bottom w:val="nil"/>
              <w:right w:val="nil"/>
            </w:tcBorders>
            <w:shd w:val="clear" w:color="auto" w:fill="FFFFFF"/>
            <w:vAlign w:val="center"/>
          </w:tcPr>
          <w:p w14:paraId="6EDED258">
            <w:pPr>
              <w:pStyle w:val="167"/>
              <w:bidi w:val="0"/>
              <w:jc w:val="center"/>
              <w:rPr>
                <w:b w:val="0"/>
                <w:lang w:val="en-US" w:eastAsia="zh-CN"/>
              </w:rPr>
            </w:pPr>
            <w:r>
              <w:rPr>
                <w:b w:val="0"/>
                <w:lang w:val="en-US" w:eastAsia="zh-CN"/>
              </w:rPr>
              <w:t>Functional mobility; TUG</w:t>
            </w:r>
          </w:p>
        </w:tc>
        <w:tc>
          <w:tcPr>
            <w:tcW w:w="503" w:type="pct"/>
            <w:tcBorders>
              <w:top w:val="nil"/>
              <w:left w:val="nil"/>
              <w:bottom w:val="nil"/>
              <w:right w:val="nil"/>
            </w:tcBorders>
            <w:shd w:val="clear" w:color="auto" w:fill="FFFFFF"/>
            <w:vAlign w:val="center"/>
          </w:tcPr>
          <w:p w14:paraId="40FC09AB">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016A1134">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61E7E72A">
            <w:pPr>
              <w:pStyle w:val="167"/>
              <w:bidi w:val="0"/>
              <w:jc w:val="center"/>
              <w:rPr>
                <w:b w:val="0"/>
                <w:lang w:val="en-US" w:eastAsia="zh-CN"/>
              </w:rPr>
            </w:pPr>
            <w:r>
              <w:rPr>
                <w:b w:val="0"/>
                <w:lang w:val="en-US" w:eastAsia="zh-CN"/>
              </w:rPr>
              <w:t>Y/NI/PY</w:t>
            </w:r>
          </w:p>
        </w:tc>
        <w:tc>
          <w:tcPr>
            <w:tcW w:w="602" w:type="pct"/>
            <w:tcBorders>
              <w:top w:val="nil"/>
              <w:left w:val="nil"/>
              <w:bottom w:val="nil"/>
              <w:right w:val="nil"/>
            </w:tcBorders>
            <w:shd w:val="clear" w:color="auto" w:fill="FFFFFF"/>
            <w:vAlign w:val="center"/>
          </w:tcPr>
          <w:p w14:paraId="146D24ED">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661C3305">
            <w:pPr>
              <w:pStyle w:val="167"/>
              <w:bidi w:val="0"/>
              <w:jc w:val="center"/>
              <w:rPr>
                <w:b w:val="0"/>
                <w:lang w:val="en-US" w:eastAsia="zh-CN"/>
              </w:rPr>
            </w:pPr>
            <w:r>
              <w:rPr>
                <w:b w:val="0"/>
                <w:lang w:val="en-US" w:eastAsia="zh-CN"/>
              </w:rPr>
              <w:t>N/N/Y/PY</w:t>
            </w:r>
          </w:p>
        </w:tc>
        <w:tc>
          <w:tcPr>
            <w:tcW w:w="445" w:type="pct"/>
            <w:tcBorders>
              <w:top w:val="nil"/>
              <w:left w:val="nil"/>
              <w:bottom w:val="nil"/>
              <w:right w:val="nil"/>
            </w:tcBorders>
            <w:shd w:val="clear" w:color="auto" w:fill="FFFFFF"/>
            <w:vAlign w:val="center"/>
          </w:tcPr>
          <w:p w14:paraId="26F4CA98">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06F1B829">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30CAE70C">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6BBE79C2">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3092AB62">
            <w:pPr>
              <w:pStyle w:val="167"/>
              <w:bidi w:val="0"/>
              <w:jc w:val="center"/>
              <w:rPr>
                <w:b w:val="0"/>
                <w:lang w:val="en-US" w:eastAsia="zh-CN"/>
              </w:rPr>
            </w:pPr>
            <w:r>
              <w:rPr>
                <w:b w:val="0"/>
                <w:lang w:val="en-US" w:eastAsia="zh-CN"/>
              </w:rPr>
              <w:t>H</w:t>
            </w:r>
          </w:p>
        </w:tc>
        <w:tc>
          <w:tcPr>
            <w:tcW w:w="148" w:type="pct"/>
            <w:tcBorders>
              <w:top w:val="nil"/>
              <w:left w:val="nil"/>
              <w:bottom w:val="nil"/>
              <w:right w:val="nil"/>
            </w:tcBorders>
            <w:shd w:val="clear" w:color="auto" w:fill="FFFFFF"/>
            <w:vAlign w:val="center"/>
          </w:tcPr>
          <w:p w14:paraId="2D7218C8">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3D66DDC1">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3DD0BD74">
            <w:pPr>
              <w:pStyle w:val="167"/>
              <w:bidi w:val="0"/>
              <w:jc w:val="center"/>
              <w:rPr>
                <w:b w:val="0"/>
                <w:lang w:val="en-US" w:eastAsia="zh-CN"/>
              </w:rPr>
            </w:pPr>
            <w:r>
              <w:rPr>
                <w:b w:val="0"/>
                <w:lang w:val="en-US" w:eastAsia="zh-CN"/>
              </w:rPr>
              <w:t>H</w:t>
            </w:r>
          </w:p>
        </w:tc>
      </w:tr>
      <w:tr w14:paraId="5B5A3E79">
        <w:tc>
          <w:tcPr>
            <w:tcW w:w="281" w:type="pct"/>
            <w:tcBorders>
              <w:top w:val="nil"/>
              <w:left w:val="nil"/>
              <w:bottom w:val="nil"/>
              <w:right w:val="nil"/>
            </w:tcBorders>
            <w:shd w:val="clear" w:color="auto" w:fill="FFFFFF"/>
            <w:vAlign w:val="center"/>
          </w:tcPr>
          <w:p w14:paraId="7FD862DC">
            <w:pPr>
              <w:pStyle w:val="167"/>
              <w:bidi w:val="0"/>
              <w:jc w:val="center"/>
              <w:rPr>
                <w:b w:val="0"/>
                <w:lang w:val="en-US" w:eastAsia="zh-CN"/>
              </w:rPr>
            </w:pPr>
            <w:r>
              <w:rPr>
                <w:b w:val="0"/>
                <w:lang w:val="en-US" w:eastAsia="zh-CN"/>
              </w:rPr>
              <w:t>Ge 2024</w:t>
            </w:r>
          </w:p>
        </w:tc>
        <w:tc>
          <w:tcPr>
            <w:tcW w:w="511" w:type="pct"/>
            <w:tcBorders>
              <w:top w:val="nil"/>
              <w:left w:val="nil"/>
              <w:bottom w:val="nil"/>
              <w:right w:val="nil"/>
            </w:tcBorders>
            <w:shd w:val="clear" w:color="auto" w:fill="FFFFFF"/>
            <w:vAlign w:val="center"/>
          </w:tcPr>
          <w:p w14:paraId="672FC4C2">
            <w:pPr>
              <w:pStyle w:val="167"/>
              <w:bidi w:val="0"/>
              <w:jc w:val="center"/>
              <w:rPr>
                <w:b w:val="0"/>
                <w:lang w:val="en-US" w:eastAsia="zh-CN"/>
              </w:rPr>
            </w:pPr>
            <w:r>
              <w:rPr>
                <w:b w:val="0"/>
                <w:lang w:val="en-US" w:eastAsia="zh-CN"/>
              </w:rPr>
              <w:t>Balance; BBS</w:t>
            </w:r>
          </w:p>
        </w:tc>
        <w:tc>
          <w:tcPr>
            <w:tcW w:w="503" w:type="pct"/>
            <w:tcBorders>
              <w:top w:val="nil"/>
              <w:left w:val="nil"/>
              <w:bottom w:val="nil"/>
              <w:right w:val="nil"/>
            </w:tcBorders>
            <w:shd w:val="clear" w:color="auto" w:fill="FFFFFF"/>
            <w:vAlign w:val="center"/>
          </w:tcPr>
          <w:p w14:paraId="06B28EE8">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5A352A4A">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2B874975">
            <w:pPr>
              <w:pStyle w:val="167"/>
              <w:bidi w:val="0"/>
              <w:jc w:val="center"/>
              <w:rPr>
                <w:b w:val="0"/>
                <w:lang w:val="en-US" w:eastAsia="zh-CN"/>
              </w:rPr>
            </w:pPr>
            <w:r>
              <w:rPr>
                <w:b w:val="0"/>
                <w:lang w:val="en-US" w:eastAsia="zh-CN"/>
              </w:rPr>
              <w:t>Y/NI/PY</w:t>
            </w:r>
          </w:p>
        </w:tc>
        <w:tc>
          <w:tcPr>
            <w:tcW w:w="602" w:type="pct"/>
            <w:tcBorders>
              <w:top w:val="nil"/>
              <w:left w:val="nil"/>
              <w:bottom w:val="nil"/>
              <w:right w:val="nil"/>
            </w:tcBorders>
            <w:shd w:val="clear" w:color="auto" w:fill="FFFFFF"/>
            <w:vAlign w:val="center"/>
          </w:tcPr>
          <w:p w14:paraId="7B020477">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30FEBCC0">
            <w:pPr>
              <w:pStyle w:val="167"/>
              <w:bidi w:val="0"/>
              <w:jc w:val="center"/>
              <w:rPr>
                <w:b w:val="0"/>
                <w:lang w:val="en-US" w:eastAsia="zh-CN"/>
              </w:rPr>
            </w:pPr>
            <w:r>
              <w:rPr>
                <w:b w:val="0"/>
                <w:lang w:val="en-US" w:eastAsia="zh-CN"/>
              </w:rPr>
              <w:t>N/N/Y/PY</w:t>
            </w:r>
          </w:p>
        </w:tc>
        <w:tc>
          <w:tcPr>
            <w:tcW w:w="445" w:type="pct"/>
            <w:tcBorders>
              <w:top w:val="nil"/>
              <w:left w:val="nil"/>
              <w:bottom w:val="nil"/>
              <w:right w:val="nil"/>
            </w:tcBorders>
            <w:shd w:val="clear" w:color="auto" w:fill="FFFFFF"/>
            <w:vAlign w:val="center"/>
          </w:tcPr>
          <w:p w14:paraId="32FAC685">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3990D5D0">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3E215819">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5DE778E8">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5FB1D3D3">
            <w:pPr>
              <w:pStyle w:val="167"/>
              <w:bidi w:val="0"/>
              <w:jc w:val="center"/>
              <w:rPr>
                <w:b w:val="0"/>
                <w:lang w:val="en-US" w:eastAsia="zh-CN"/>
              </w:rPr>
            </w:pPr>
            <w:r>
              <w:rPr>
                <w:b w:val="0"/>
                <w:lang w:val="en-US" w:eastAsia="zh-CN"/>
              </w:rPr>
              <w:t>H</w:t>
            </w:r>
          </w:p>
        </w:tc>
        <w:tc>
          <w:tcPr>
            <w:tcW w:w="148" w:type="pct"/>
            <w:tcBorders>
              <w:top w:val="nil"/>
              <w:left w:val="nil"/>
              <w:bottom w:val="nil"/>
              <w:right w:val="nil"/>
            </w:tcBorders>
            <w:shd w:val="clear" w:color="auto" w:fill="FFFFFF"/>
            <w:vAlign w:val="center"/>
          </w:tcPr>
          <w:p w14:paraId="19524B1F">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5A13B807">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40137E58">
            <w:pPr>
              <w:pStyle w:val="167"/>
              <w:bidi w:val="0"/>
              <w:jc w:val="center"/>
              <w:rPr>
                <w:b w:val="0"/>
                <w:lang w:val="en-US" w:eastAsia="zh-CN"/>
              </w:rPr>
            </w:pPr>
            <w:r>
              <w:rPr>
                <w:b w:val="0"/>
                <w:lang w:val="en-US" w:eastAsia="zh-CN"/>
              </w:rPr>
              <w:t>H</w:t>
            </w:r>
          </w:p>
        </w:tc>
      </w:tr>
      <w:tr w14:paraId="099A32FD">
        <w:tc>
          <w:tcPr>
            <w:tcW w:w="281" w:type="pct"/>
            <w:tcBorders>
              <w:top w:val="nil"/>
              <w:left w:val="nil"/>
              <w:bottom w:val="nil"/>
              <w:right w:val="nil"/>
            </w:tcBorders>
            <w:shd w:val="clear" w:color="auto" w:fill="FFFFFF"/>
            <w:vAlign w:val="center"/>
          </w:tcPr>
          <w:p w14:paraId="3B6B99BA">
            <w:pPr>
              <w:pStyle w:val="167"/>
              <w:bidi w:val="0"/>
              <w:jc w:val="center"/>
              <w:rPr>
                <w:b w:val="0"/>
                <w:lang w:val="en-US" w:eastAsia="zh-CN"/>
              </w:rPr>
            </w:pPr>
            <w:r>
              <w:rPr>
                <w:b w:val="0"/>
                <w:lang w:val="en-US" w:eastAsia="zh-CN"/>
              </w:rPr>
              <w:t>Ge 2024</w:t>
            </w:r>
          </w:p>
        </w:tc>
        <w:tc>
          <w:tcPr>
            <w:tcW w:w="511" w:type="pct"/>
            <w:tcBorders>
              <w:top w:val="nil"/>
              <w:left w:val="nil"/>
              <w:bottom w:val="nil"/>
              <w:right w:val="nil"/>
            </w:tcBorders>
            <w:shd w:val="clear" w:color="auto" w:fill="FFFFFF"/>
            <w:vAlign w:val="center"/>
          </w:tcPr>
          <w:p w14:paraId="3803336F">
            <w:pPr>
              <w:pStyle w:val="167"/>
              <w:bidi w:val="0"/>
              <w:jc w:val="center"/>
              <w:rPr>
                <w:b w:val="0"/>
                <w:lang w:val="en-US" w:eastAsia="zh-CN"/>
              </w:rPr>
            </w:pPr>
            <w:r>
              <w:rPr>
                <w:b w:val="0"/>
                <w:lang w:val="en-US" w:eastAsia="zh-CN"/>
              </w:rPr>
              <w:t>Gait; step velocity</w:t>
            </w:r>
          </w:p>
        </w:tc>
        <w:tc>
          <w:tcPr>
            <w:tcW w:w="503" w:type="pct"/>
            <w:tcBorders>
              <w:top w:val="nil"/>
              <w:left w:val="nil"/>
              <w:bottom w:val="nil"/>
              <w:right w:val="nil"/>
            </w:tcBorders>
            <w:shd w:val="clear" w:color="auto" w:fill="FFFFFF"/>
            <w:vAlign w:val="center"/>
          </w:tcPr>
          <w:p w14:paraId="5341EC06">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5FE6E321">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0E6BEBC1">
            <w:pPr>
              <w:pStyle w:val="167"/>
              <w:bidi w:val="0"/>
              <w:jc w:val="center"/>
              <w:rPr>
                <w:b w:val="0"/>
                <w:lang w:val="en-US" w:eastAsia="zh-CN"/>
              </w:rPr>
            </w:pPr>
            <w:r>
              <w:rPr>
                <w:b w:val="0"/>
                <w:lang w:val="en-US" w:eastAsia="zh-CN"/>
              </w:rPr>
              <w:t>Y/NI/PY</w:t>
            </w:r>
          </w:p>
        </w:tc>
        <w:tc>
          <w:tcPr>
            <w:tcW w:w="602" w:type="pct"/>
            <w:tcBorders>
              <w:top w:val="nil"/>
              <w:left w:val="nil"/>
              <w:bottom w:val="nil"/>
              <w:right w:val="nil"/>
            </w:tcBorders>
            <w:shd w:val="clear" w:color="auto" w:fill="FFFFFF"/>
            <w:vAlign w:val="center"/>
          </w:tcPr>
          <w:p w14:paraId="5CE94FD1">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56C47B23">
            <w:pPr>
              <w:pStyle w:val="167"/>
              <w:bidi w:val="0"/>
              <w:jc w:val="center"/>
              <w:rPr>
                <w:b w:val="0"/>
                <w:lang w:val="en-US" w:eastAsia="zh-CN"/>
              </w:rPr>
            </w:pPr>
            <w:r>
              <w:rPr>
                <w:b w:val="0"/>
                <w:lang w:val="en-US" w:eastAsia="zh-CN"/>
              </w:rPr>
              <w:t>N/N/Y/PY</w:t>
            </w:r>
          </w:p>
        </w:tc>
        <w:tc>
          <w:tcPr>
            <w:tcW w:w="445" w:type="pct"/>
            <w:tcBorders>
              <w:top w:val="nil"/>
              <w:left w:val="nil"/>
              <w:bottom w:val="nil"/>
              <w:right w:val="nil"/>
            </w:tcBorders>
            <w:shd w:val="clear" w:color="auto" w:fill="FFFFFF"/>
            <w:vAlign w:val="center"/>
          </w:tcPr>
          <w:p w14:paraId="0B9D41CB">
            <w:pPr>
              <w:pStyle w:val="167"/>
              <w:bidi w:val="0"/>
              <w:jc w:val="center"/>
              <w:rPr>
                <w:b w:val="0"/>
                <w:lang w:val="en-US" w:eastAsia="zh-CN"/>
              </w:rPr>
            </w:pPr>
            <w:r>
              <w:rPr>
                <w:b w:val="0"/>
                <w:lang w:val="en-US" w:eastAsia="zh-CN"/>
              </w:rPr>
              <w:t>N/N/N/NA/NA</w:t>
            </w:r>
          </w:p>
        </w:tc>
        <w:tc>
          <w:tcPr>
            <w:tcW w:w="312" w:type="pct"/>
            <w:tcBorders>
              <w:top w:val="nil"/>
              <w:left w:val="nil"/>
              <w:bottom w:val="nil"/>
              <w:right w:val="nil"/>
            </w:tcBorders>
            <w:shd w:val="clear" w:color="auto" w:fill="FFFFFF"/>
            <w:vAlign w:val="center"/>
          </w:tcPr>
          <w:p w14:paraId="09F1DDE4">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66CAEBBE">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5866CC95">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6DD873E8">
            <w:pPr>
              <w:pStyle w:val="167"/>
              <w:bidi w:val="0"/>
              <w:jc w:val="center"/>
              <w:rPr>
                <w:b w:val="0"/>
                <w:lang w:val="en-US" w:eastAsia="zh-CN"/>
              </w:rPr>
            </w:pPr>
            <w:r>
              <w:rPr>
                <w:b w:val="0"/>
                <w:lang w:val="en-US" w:eastAsia="zh-CN"/>
              </w:rPr>
              <w:t>H</w:t>
            </w:r>
          </w:p>
        </w:tc>
        <w:tc>
          <w:tcPr>
            <w:tcW w:w="148" w:type="pct"/>
            <w:tcBorders>
              <w:top w:val="nil"/>
              <w:left w:val="nil"/>
              <w:bottom w:val="nil"/>
              <w:right w:val="nil"/>
            </w:tcBorders>
            <w:shd w:val="clear" w:color="auto" w:fill="FFFFFF"/>
            <w:vAlign w:val="center"/>
          </w:tcPr>
          <w:p w14:paraId="5770B3FE">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4F11A243">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0B3BFD8C">
            <w:pPr>
              <w:pStyle w:val="167"/>
              <w:bidi w:val="0"/>
              <w:jc w:val="center"/>
              <w:rPr>
                <w:b w:val="0"/>
                <w:lang w:val="en-US" w:eastAsia="zh-CN"/>
              </w:rPr>
            </w:pPr>
            <w:r>
              <w:rPr>
                <w:b w:val="0"/>
                <w:lang w:val="en-US" w:eastAsia="zh-CN"/>
              </w:rPr>
              <w:t>H</w:t>
            </w:r>
          </w:p>
        </w:tc>
      </w:tr>
      <w:tr w14:paraId="74D81C37">
        <w:tc>
          <w:tcPr>
            <w:tcW w:w="281" w:type="pct"/>
            <w:tcBorders>
              <w:top w:val="nil"/>
              <w:left w:val="nil"/>
              <w:bottom w:val="nil"/>
              <w:right w:val="nil"/>
            </w:tcBorders>
            <w:shd w:val="clear" w:color="auto" w:fill="FFFFFF"/>
            <w:vAlign w:val="center"/>
          </w:tcPr>
          <w:p w14:paraId="7DE2BFFE">
            <w:pPr>
              <w:pStyle w:val="167"/>
              <w:bidi w:val="0"/>
              <w:jc w:val="center"/>
              <w:rPr>
                <w:b w:val="0"/>
                <w:lang w:val="en-US" w:eastAsia="zh-CN"/>
              </w:rPr>
            </w:pPr>
            <w:r>
              <w:rPr>
                <w:b w:val="0"/>
                <w:lang w:val="en-US" w:eastAsia="zh-CN"/>
              </w:rPr>
              <w:t>Ginis 2016</w:t>
            </w:r>
          </w:p>
        </w:tc>
        <w:tc>
          <w:tcPr>
            <w:tcW w:w="511" w:type="pct"/>
            <w:tcBorders>
              <w:top w:val="nil"/>
              <w:left w:val="nil"/>
              <w:bottom w:val="nil"/>
              <w:right w:val="nil"/>
            </w:tcBorders>
            <w:shd w:val="clear" w:color="auto" w:fill="FFFFFF"/>
            <w:vAlign w:val="center"/>
          </w:tcPr>
          <w:p w14:paraId="361A6265">
            <w:pPr>
              <w:pStyle w:val="167"/>
              <w:bidi w:val="0"/>
              <w:jc w:val="center"/>
              <w:rPr>
                <w:b w:val="0"/>
                <w:lang w:val="en-US" w:eastAsia="zh-CN"/>
              </w:rPr>
            </w:pPr>
            <w:r>
              <w:rPr>
                <w:b w:val="0"/>
                <w:lang w:val="en-US" w:eastAsia="zh-CN"/>
              </w:rPr>
              <w:t>UPDRS III</w:t>
            </w:r>
          </w:p>
        </w:tc>
        <w:tc>
          <w:tcPr>
            <w:tcW w:w="503" w:type="pct"/>
            <w:tcBorders>
              <w:top w:val="nil"/>
              <w:left w:val="nil"/>
              <w:bottom w:val="nil"/>
              <w:right w:val="nil"/>
            </w:tcBorders>
            <w:shd w:val="clear" w:color="auto" w:fill="FFFFFF"/>
            <w:vAlign w:val="center"/>
          </w:tcPr>
          <w:p w14:paraId="265AD845">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2DCA3511">
            <w:pPr>
              <w:pStyle w:val="167"/>
              <w:bidi w:val="0"/>
              <w:jc w:val="center"/>
              <w:rPr>
                <w:b w:val="0"/>
                <w:lang w:val="en-US" w:eastAsia="zh-CN"/>
              </w:rPr>
            </w:pPr>
            <w:r>
              <w:rPr>
                <w:b w:val="0"/>
                <w:lang w:val="en-US" w:eastAsia="zh-CN"/>
              </w:rPr>
              <w:t>Ordinary home exercise/paper HEP</w:t>
            </w:r>
          </w:p>
        </w:tc>
        <w:tc>
          <w:tcPr>
            <w:tcW w:w="312" w:type="pct"/>
            <w:tcBorders>
              <w:top w:val="nil"/>
              <w:left w:val="nil"/>
              <w:bottom w:val="nil"/>
              <w:right w:val="nil"/>
            </w:tcBorders>
            <w:shd w:val="clear" w:color="auto" w:fill="FFFFFF"/>
            <w:vAlign w:val="center"/>
          </w:tcPr>
          <w:p w14:paraId="2222E07C">
            <w:pPr>
              <w:pStyle w:val="167"/>
              <w:bidi w:val="0"/>
              <w:jc w:val="center"/>
              <w:rPr>
                <w:b w:val="0"/>
                <w:lang w:val="en-US" w:eastAsia="zh-CN"/>
              </w:rPr>
            </w:pPr>
            <w:r>
              <w:rPr>
                <w:b w:val="0"/>
                <w:lang w:val="en-US" w:eastAsia="zh-CN"/>
              </w:rPr>
              <w:t>Y/NI/N</w:t>
            </w:r>
          </w:p>
        </w:tc>
        <w:tc>
          <w:tcPr>
            <w:tcW w:w="602" w:type="pct"/>
            <w:tcBorders>
              <w:top w:val="nil"/>
              <w:left w:val="nil"/>
              <w:bottom w:val="nil"/>
              <w:right w:val="nil"/>
            </w:tcBorders>
            <w:shd w:val="clear" w:color="auto" w:fill="FFFFFF"/>
            <w:vAlign w:val="center"/>
          </w:tcPr>
          <w:p w14:paraId="143E9592">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7E692C27">
            <w:pPr>
              <w:pStyle w:val="167"/>
              <w:bidi w:val="0"/>
              <w:jc w:val="center"/>
              <w:rPr>
                <w:b w:val="0"/>
                <w:lang w:val="en-US" w:eastAsia="zh-CN"/>
              </w:rPr>
            </w:pPr>
            <w:r>
              <w:rPr>
                <w:b w:val="0"/>
                <w:lang w:val="en-US" w:eastAsia="zh-CN"/>
              </w:rPr>
              <w:t>N/NI/PY/NI</w:t>
            </w:r>
          </w:p>
        </w:tc>
        <w:tc>
          <w:tcPr>
            <w:tcW w:w="445" w:type="pct"/>
            <w:tcBorders>
              <w:top w:val="nil"/>
              <w:left w:val="nil"/>
              <w:bottom w:val="nil"/>
              <w:right w:val="nil"/>
            </w:tcBorders>
            <w:shd w:val="clear" w:color="auto" w:fill="FFFFFF"/>
            <w:vAlign w:val="center"/>
          </w:tcPr>
          <w:p w14:paraId="0456E6B9">
            <w:pPr>
              <w:pStyle w:val="167"/>
              <w:bidi w:val="0"/>
              <w:jc w:val="center"/>
              <w:rPr>
                <w:b w:val="0"/>
                <w:lang w:val="en-US" w:eastAsia="zh-CN"/>
              </w:rPr>
            </w:pPr>
            <w:r>
              <w:rPr>
                <w:b w:val="0"/>
                <w:lang w:val="en-US" w:eastAsia="zh-CN"/>
              </w:rPr>
              <w:t>N/N/Y/Y/PY</w:t>
            </w:r>
          </w:p>
        </w:tc>
        <w:tc>
          <w:tcPr>
            <w:tcW w:w="312" w:type="pct"/>
            <w:tcBorders>
              <w:top w:val="nil"/>
              <w:left w:val="nil"/>
              <w:bottom w:val="nil"/>
              <w:right w:val="nil"/>
            </w:tcBorders>
            <w:shd w:val="clear" w:color="auto" w:fill="FFFFFF"/>
            <w:vAlign w:val="center"/>
          </w:tcPr>
          <w:p w14:paraId="4F876B8E">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687A6128">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00BACC0E">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38061CE6">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2F72F97E">
            <w:pPr>
              <w:pStyle w:val="167"/>
              <w:bidi w:val="0"/>
              <w:jc w:val="center"/>
              <w:rPr>
                <w:b w:val="0"/>
                <w:lang w:val="en-US" w:eastAsia="zh-CN"/>
              </w:rPr>
            </w:pPr>
            <w:r>
              <w:rPr>
                <w:b w:val="0"/>
                <w:lang w:val="en-US" w:eastAsia="zh-CN"/>
              </w:rPr>
              <w:t>H</w:t>
            </w:r>
          </w:p>
        </w:tc>
        <w:tc>
          <w:tcPr>
            <w:tcW w:w="148" w:type="pct"/>
            <w:tcBorders>
              <w:top w:val="nil"/>
              <w:left w:val="nil"/>
              <w:bottom w:val="nil"/>
              <w:right w:val="nil"/>
            </w:tcBorders>
            <w:shd w:val="clear" w:color="auto" w:fill="FFFFFF"/>
            <w:vAlign w:val="center"/>
          </w:tcPr>
          <w:p w14:paraId="54703301">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6DB7DB9F">
            <w:pPr>
              <w:pStyle w:val="167"/>
              <w:bidi w:val="0"/>
              <w:jc w:val="center"/>
              <w:rPr>
                <w:b w:val="0"/>
                <w:lang w:val="en-US" w:eastAsia="zh-CN"/>
              </w:rPr>
            </w:pPr>
            <w:r>
              <w:rPr>
                <w:b w:val="0"/>
                <w:lang w:val="en-US" w:eastAsia="zh-CN"/>
              </w:rPr>
              <w:t>H</w:t>
            </w:r>
          </w:p>
        </w:tc>
      </w:tr>
      <w:tr w14:paraId="3D4858AA">
        <w:tc>
          <w:tcPr>
            <w:tcW w:w="281" w:type="pct"/>
            <w:tcBorders>
              <w:top w:val="nil"/>
              <w:left w:val="nil"/>
              <w:bottom w:val="nil"/>
              <w:right w:val="nil"/>
            </w:tcBorders>
            <w:shd w:val="clear" w:color="auto" w:fill="FFFFFF"/>
            <w:vAlign w:val="center"/>
          </w:tcPr>
          <w:p w14:paraId="02106A0F">
            <w:pPr>
              <w:pStyle w:val="167"/>
              <w:bidi w:val="0"/>
              <w:jc w:val="center"/>
              <w:rPr>
                <w:b w:val="0"/>
                <w:lang w:val="en-US" w:eastAsia="zh-CN"/>
              </w:rPr>
            </w:pPr>
            <w:r>
              <w:rPr>
                <w:b w:val="0"/>
                <w:lang w:val="en-US" w:eastAsia="zh-CN"/>
              </w:rPr>
              <w:t>Ginis 2016</w:t>
            </w:r>
          </w:p>
        </w:tc>
        <w:tc>
          <w:tcPr>
            <w:tcW w:w="511" w:type="pct"/>
            <w:tcBorders>
              <w:top w:val="nil"/>
              <w:left w:val="nil"/>
              <w:bottom w:val="nil"/>
              <w:right w:val="nil"/>
            </w:tcBorders>
            <w:shd w:val="clear" w:color="auto" w:fill="FFFFFF"/>
            <w:vAlign w:val="center"/>
          </w:tcPr>
          <w:p w14:paraId="500BB6FD">
            <w:pPr>
              <w:pStyle w:val="167"/>
              <w:bidi w:val="0"/>
              <w:jc w:val="center"/>
              <w:rPr>
                <w:b w:val="0"/>
                <w:lang w:val="en-US" w:eastAsia="zh-CN"/>
              </w:rPr>
            </w:pPr>
            <w:r>
              <w:rPr>
                <w:b w:val="0"/>
                <w:lang w:val="en-US" w:eastAsia="zh-CN"/>
              </w:rPr>
              <w:t>Balance; MiniBESTest</w:t>
            </w:r>
          </w:p>
        </w:tc>
        <w:tc>
          <w:tcPr>
            <w:tcW w:w="503" w:type="pct"/>
            <w:tcBorders>
              <w:top w:val="nil"/>
              <w:left w:val="nil"/>
              <w:bottom w:val="nil"/>
              <w:right w:val="nil"/>
            </w:tcBorders>
            <w:shd w:val="clear" w:color="auto" w:fill="FFFFFF"/>
            <w:vAlign w:val="center"/>
          </w:tcPr>
          <w:p w14:paraId="47427A8B">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2BD8668C">
            <w:pPr>
              <w:pStyle w:val="167"/>
              <w:bidi w:val="0"/>
              <w:jc w:val="center"/>
              <w:rPr>
                <w:b w:val="0"/>
                <w:lang w:val="en-US" w:eastAsia="zh-CN"/>
              </w:rPr>
            </w:pPr>
            <w:r>
              <w:rPr>
                <w:b w:val="0"/>
                <w:lang w:val="en-US" w:eastAsia="zh-CN"/>
              </w:rPr>
              <w:t>Ordinary home exercise/paper HEP</w:t>
            </w:r>
          </w:p>
        </w:tc>
        <w:tc>
          <w:tcPr>
            <w:tcW w:w="312" w:type="pct"/>
            <w:tcBorders>
              <w:top w:val="nil"/>
              <w:left w:val="nil"/>
              <w:bottom w:val="nil"/>
              <w:right w:val="nil"/>
            </w:tcBorders>
            <w:shd w:val="clear" w:color="auto" w:fill="FFFFFF"/>
            <w:vAlign w:val="center"/>
          </w:tcPr>
          <w:p w14:paraId="3CA95E86">
            <w:pPr>
              <w:pStyle w:val="167"/>
              <w:bidi w:val="0"/>
              <w:jc w:val="center"/>
              <w:rPr>
                <w:b w:val="0"/>
                <w:lang w:val="en-US" w:eastAsia="zh-CN"/>
              </w:rPr>
            </w:pPr>
            <w:r>
              <w:rPr>
                <w:b w:val="0"/>
                <w:lang w:val="en-US" w:eastAsia="zh-CN"/>
              </w:rPr>
              <w:t>Y/NI/N</w:t>
            </w:r>
          </w:p>
        </w:tc>
        <w:tc>
          <w:tcPr>
            <w:tcW w:w="602" w:type="pct"/>
            <w:tcBorders>
              <w:top w:val="nil"/>
              <w:left w:val="nil"/>
              <w:bottom w:val="nil"/>
              <w:right w:val="nil"/>
            </w:tcBorders>
            <w:shd w:val="clear" w:color="auto" w:fill="FFFFFF"/>
            <w:vAlign w:val="center"/>
          </w:tcPr>
          <w:p w14:paraId="6441F9DE">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3996FA03">
            <w:pPr>
              <w:pStyle w:val="167"/>
              <w:bidi w:val="0"/>
              <w:jc w:val="center"/>
              <w:rPr>
                <w:b w:val="0"/>
                <w:lang w:val="en-US" w:eastAsia="zh-CN"/>
              </w:rPr>
            </w:pPr>
            <w:r>
              <w:rPr>
                <w:b w:val="0"/>
                <w:lang w:val="en-US" w:eastAsia="zh-CN"/>
              </w:rPr>
              <w:t>N/NI/PY/NI</w:t>
            </w:r>
          </w:p>
        </w:tc>
        <w:tc>
          <w:tcPr>
            <w:tcW w:w="445" w:type="pct"/>
            <w:tcBorders>
              <w:top w:val="nil"/>
              <w:left w:val="nil"/>
              <w:bottom w:val="nil"/>
              <w:right w:val="nil"/>
            </w:tcBorders>
            <w:shd w:val="clear" w:color="auto" w:fill="FFFFFF"/>
            <w:vAlign w:val="center"/>
          </w:tcPr>
          <w:p w14:paraId="616B23E5">
            <w:pPr>
              <w:pStyle w:val="167"/>
              <w:bidi w:val="0"/>
              <w:jc w:val="center"/>
              <w:rPr>
                <w:b w:val="0"/>
                <w:lang w:val="en-US" w:eastAsia="zh-CN"/>
              </w:rPr>
            </w:pPr>
            <w:r>
              <w:rPr>
                <w:b w:val="0"/>
                <w:lang w:val="en-US" w:eastAsia="zh-CN"/>
              </w:rPr>
              <w:t>N/N/Y/Y/PY</w:t>
            </w:r>
          </w:p>
        </w:tc>
        <w:tc>
          <w:tcPr>
            <w:tcW w:w="312" w:type="pct"/>
            <w:tcBorders>
              <w:top w:val="nil"/>
              <w:left w:val="nil"/>
              <w:bottom w:val="nil"/>
              <w:right w:val="nil"/>
            </w:tcBorders>
            <w:shd w:val="clear" w:color="auto" w:fill="FFFFFF"/>
            <w:vAlign w:val="center"/>
          </w:tcPr>
          <w:p w14:paraId="734CB9AD">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70C965DF">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5B21A15A">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6113B6C5">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70B91994">
            <w:pPr>
              <w:pStyle w:val="167"/>
              <w:bidi w:val="0"/>
              <w:jc w:val="center"/>
              <w:rPr>
                <w:b w:val="0"/>
                <w:lang w:val="en-US" w:eastAsia="zh-CN"/>
              </w:rPr>
            </w:pPr>
            <w:r>
              <w:rPr>
                <w:b w:val="0"/>
                <w:lang w:val="en-US" w:eastAsia="zh-CN"/>
              </w:rPr>
              <w:t>H</w:t>
            </w:r>
          </w:p>
        </w:tc>
        <w:tc>
          <w:tcPr>
            <w:tcW w:w="148" w:type="pct"/>
            <w:tcBorders>
              <w:top w:val="nil"/>
              <w:left w:val="nil"/>
              <w:bottom w:val="nil"/>
              <w:right w:val="nil"/>
            </w:tcBorders>
            <w:shd w:val="clear" w:color="auto" w:fill="FFFFFF"/>
            <w:vAlign w:val="center"/>
          </w:tcPr>
          <w:p w14:paraId="404C9307">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63C53353">
            <w:pPr>
              <w:pStyle w:val="167"/>
              <w:bidi w:val="0"/>
              <w:jc w:val="center"/>
              <w:rPr>
                <w:b w:val="0"/>
                <w:lang w:val="en-US" w:eastAsia="zh-CN"/>
              </w:rPr>
            </w:pPr>
            <w:r>
              <w:rPr>
                <w:b w:val="0"/>
                <w:lang w:val="en-US" w:eastAsia="zh-CN"/>
              </w:rPr>
              <w:t>H</w:t>
            </w:r>
          </w:p>
        </w:tc>
      </w:tr>
      <w:tr w14:paraId="316F1074">
        <w:tc>
          <w:tcPr>
            <w:tcW w:w="281" w:type="pct"/>
            <w:tcBorders>
              <w:top w:val="nil"/>
              <w:left w:val="nil"/>
              <w:bottom w:val="nil"/>
              <w:right w:val="nil"/>
            </w:tcBorders>
            <w:shd w:val="clear" w:color="auto" w:fill="FFFFFF"/>
            <w:vAlign w:val="center"/>
          </w:tcPr>
          <w:p w14:paraId="7D31D64D">
            <w:pPr>
              <w:pStyle w:val="167"/>
              <w:bidi w:val="0"/>
              <w:jc w:val="center"/>
              <w:rPr>
                <w:b w:val="0"/>
                <w:lang w:val="en-US" w:eastAsia="zh-CN"/>
              </w:rPr>
            </w:pPr>
            <w:r>
              <w:rPr>
                <w:b w:val="0"/>
                <w:lang w:val="en-US" w:eastAsia="zh-CN"/>
              </w:rPr>
              <w:t>Ginis 2016</w:t>
            </w:r>
          </w:p>
        </w:tc>
        <w:tc>
          <w:tcPr>
            <w:tcW w:w="511" w:type="pct"/>
            <w:tcBorders>
              <w:top w:val="nil"/>
              <w:left w:val="nil"/>
              <w:bottom w:val="nil"/>
              <w:right w:val="nil"/>
            </w:tcBorders>
            <w:shd w:val="clear" w:color="auto" w:fill="FFFFFF"/>
            <w:vAlign w:val="center"/>
          </w:tcPr>
          <w:p w14:paraId="0B7CEAA0">
            <w:pPr>
              <w:pStyle w:val="167"/>
              <w:bidi w:val="0"/>
              <w:jc w:val="center"/>
              <w:rPr>
                <w:b w:val="0"/>
                <w:lang w:val="en-US" w:eastAsia="zh-CN"/>
              </w:rPr>
            </w:pPr>
            <w:r>
              <w:rPr>
                <w:b w:val="0"/>
                <w:lang w:val="en-US" w:eastAsia="zh-CN"/>
              </w:rPr>
              <w:t>Comfortable gait speed</w:t>
            </w:r>
          </w:p>
        </w:tc>
        <w:tc>
          <w:tcPr>
            <w:tcW w:w="503" w:type="pct"/>
            <w:tcBorders>
              <w:top w:val="nil"/>
              <w:left w:val="nil"/>
              <w:bottom w:val="nil"/>
              <w:right w:val="nil"/>
            </w:tcBorders>
            <w:shd w:val="clear" w:color="auto" w:fill="FFFFFF"/>
            <w:vAlign w:val="center"/>
          </w:tcPr>
          <w:p w14:paraId="2182FB5B">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6E497939">
            <w:pPr>
              <w:pStyle w:val="167"/>
              <w:bidi w:val="0"/>
              <w:jc w:val="center"/>
              <w:rPr>
                <w:b w:val="0"/>
                <w:lang w:val="en-US" w:eastAsia="zh-CN"/>
              </w:rPr>
            </w:pPr>
            <w:r>
              <w:rPr>
                <w:b w:val="0"/>
                <w:lang w:val="en-US" w:eastAsia="zh-CN"/>
              </w:rPr>
              <w:t>Ordinary home exercise/paper HEP</w:t>
            </w:r>
          </w:p>
        </w:tc>
        <w:tc>
          <w:tcPr>
            <w:tcW w:w="312" w:type="pct"/>
            <w:tcBorders>
              <w:top w:val="nil"/>
              <w:left w:val="nil"/>
              <w:bottom w:val="nil"/>
              <w:right w:val="nil"/>
            </w:tcBorders>
            <w:shd w:val="clear" w:color="auto" w:fill="FFFFFF"/>
            <w:vAlign w:val="center"/>
          </w:tcPr>
          <w:p w14:paraId="7FE60C59">
            <w:pPr>
              <w:pStyle w:val="167"/>
              <w:bidi w:val="0"/>
              <w:jc w:val="center"/>
              <w:rPr>
                <w:b w:val="0"/>
                <w:lang w:val="en-US" w:eastAsia="zh-CN"/>
              </w:rPr>
            </w:pPr>
            <w:r>
              <w:rPr>
                <w:b w:val="0"/>
                <w:lang w:val="en-US" w:eastAsia="zh-CN"/>
              </w:rPr>
              <w:t>Y/NI/N</w:t>
            </w:r>
          </w:p>
        </w:tc>
        <w:tc>
          <w:tcPr>
            <w:tcW w:w="602" w:type="pct"/>
            <w:tcBorders>
              <w:top w:val="nil"/>
              <w:left w:val="nil"/>
              <w:bottom w:val="nil"/>
              <w:right w:val="nil"/>
            </w:tcBorders>
            <w:shd w:val="clear" w:color="auto" w:fill="FFFFFF"/>
            <w:vAlign w:val="center"/>
          </w:tcPr>
          <w:p w14:paraId="45135B4C">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7615D37D">
            <w:pPr>
              <w:pStyle w:val="167"/>
              <w:bidi w:val="0"/>
              <w:jc w:val="center"/>
              <w:rPr>
                <w:b w:val="0"/>
                <w:lang w:val="en-US" w:eastAsia="zh-CN"/>
              </w:rPr>
            </w:pPr>
            <w:r>
              <w:rPr>
                <w:b w:val="0"/>
                <w:lang w:val="en-US" w:eastAsia="zh-CN"/>
              </w:rPr>
              <w:t>N/NI/PY/NI</w:t>
            </w:r>
          </w:p>
        </w:tc>
        <w:tc>
          <w:tcPr>
            <w:tcW w:w="445" w:type="pct"/>
            <w:tcBorders>
              <w:top w:val="nil"/>
              <w:left w:val="nil"/>
              <w:bottom w:val="nil"/>
              <w:right w:val="nil"/>
            </w:tcBorders>
            <w:shd w:val="clear" w:color="auto" w:fill="FFFFFF"/>
            <w:vAlign w:val="center"/>
          </w:tcPr>
          <w:p w14:paraId="59AD3906">
            <w:pPr>
              <w:pStyle w:val="167"/>
              <w:bidi w:val="0"/>
              <w:jc w:val="center"/>
              <w:rPr>
                <w:b w:val="0"/>
                <w:lang w:val="en-US" w:eastAsia="zh-CN"/>
              </w:rPr>
            </w:pPr>
            <w:r>
              <w:rPr>
                <w:b w:val="0"/>
                <w:lang w:val="en-US" w:eastAsia="zh-CN"/>
              </w:rPr>
              <w:t>N/N/NI/PY/PN</w:t>
            </w:r>
          </w:p>
        </w:tc>
        <w:tc>
          <w:tcPr>
            <w:tcW w:w="312" w:type="pct"/>
            <w:tcBorders>
              <w:top w:val="nil"/>
              <w:left w:val="nil"/>
              <w:bottom w:val="nil"/>
              <w:right w:val="nil"/>
            </w:tcBorders>
            <w:shd w:val="clear" w:color="auto" w:fill="FFFFFF"/>
            <w:vAlign w:val="center"/>
          </w:tcPr>
          <w:p w14:paraId="7A96E207">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758EA8A5">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3F7EA8C7">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7F6292A1">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6608FA24">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2BF6FCAA">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1423BF10">
            <w:pPr>
              <w:pStyle w:val="167"/>
              <w:bidi w:val="0"/>
              <w:jc w:val="center"/>
              <w:rPr>
                <w:b w:val="0"/>
                <w:lang w:val="en-US" w:eastAsia="zh-CN"/>
              </w:rPr>
            </w:pPr>
            <w:r>
              <w:rPr>
                <w:b w:val="0"/>
                <w:lang w:val="en-US" w:eastAsia="zh-CN"/>
              </w:rPr>
              <w:t>SC</w:t>
            </w:r>
          </w:p>
        </w:tc>
      </w:tr>
      <w:tr w14:paraId="031BDBD7">
        <w:tc>
          <w:tcPr>
            <w:tcW w:w="281" w:type="pct"/>
            <w:tcBorders>
              <w:top w:val="nil"/>
              <w:left w:val="nil"/>
              <w:bottom w:val="nil"/>
              <w:right w:val="nil"/>
            </w:tcBorders>
            <w:shd w:val="clear" w:color="auto" w:fill="FFFFFF"/>
            <w:vAlign w:val="center"/>
          </w:tcPr>
          <w:p w14:paraId="3FFB8F23">
            <w:pPr>
              <w:pStyle w:val="167"/>
              <w:bidi w:val="0"/>
              <w:jc w:val="center"/>
              <w:rPr>
                <w:b w:val="0"/>
                <w:lang w:val="en-US" w:eastAsia="zh-CN"/>
              </w:rPr>
            </w:pPr>
            <w:r>
              <w:rPr>
                <w:b w:val="0"/>
                <w:lang w:val="en-US" w:eastAsia="zh-CN"/>
              </w:rPr>
              <w:t>Johnson 2024</w:t>
            </w:r>
          </w:p>
        </w:tc>
        <w:tc>
          <w:tcPr>
            <w:tcW w:w="511" w:type="pct"/>
            <w:tcBorders>
              <w:top w:val="nil"/>
              <w:left w:val="nil"/>
              <w:bottom w:val="nil"/>
              <w:right w:val="nil"/>
            </w:tcBorders>
            <w:shd w:val="clear" w:color="auto" w:fill="FFFFFF"/>
            <w:vAlign w:val="center"/>
          </w:tcPr>
          <w:p w14:paraId="28C1D3F3">
            <w:pPr>
              <w:pStyle w:val="167"/>
              <w:bidi w:val="0"/>
              <w:jc w:val="center"/>
              <w:rPr>
                <w:b w:val="0"/>
                <w:lang w:val="en-US" w:eastAsia="zh-CN"/>
              </w:rPr>
            </w:pPr>
            <w:r>
              <w:rPr>
                <w:b w:val="0"/>
                <w:lang w:val="en-US" w:eastAsia="zh-CN"/>
              </w:rPr>
              <w:t>Functional mobility; TUG</w:t>
            </w:r>
          </w:p>
        </w:tc>
        <w:tc>
          <w:tcPr>
            <w:tcW w:w="503" w:type="pct"/>
            <w:tcBorders>
              <w:top w:val="nil"/>
              <w:left w:val="nil"/>
              <w:bottom w:val="nil"/>
              <w:right w:val="nil"/>
            </w:tcBorders>
            <w:shd w:val="clear" w:color="auto" w:fill="FFFFFF"/>
            <w:vAlign w:val="center"/>
          </w:tcPr>
          <w:p w14:paraId="5978901E">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401259B1">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2B176C9F">
            <w:pPr>
              <w:pStyle w:val="167"/>
              <w:bidi w:val="0"/>
              <w:jc w:val="center"/>
              <w:rPr>
                <w:b w:val="0"/>
                <w:lang w:val="en-US" w:eastAsia="zh-CN"/>
              </w:rPr>
            </w:pPr>
            <w:r>
              <w:rPr>
                <w:b w:val="0"/>
                <w:lang w:val="en-US" w:eastAsia="zh-CN"/>
              </w:rPr>
              <w:t>Y/PY/N</w:t>
            </w:r>
          </w:p>
        </w:tc>
        <w:tc>
          <w:tcPr>
            <w:tcW w:w="602" w:type="pct"/>
            <w:tcBorders>
              <w:top w:val="nil"/>
              <w:left w:val="nil"/>
              <w:bottom w:val="nil"/>
              <w:right w:val="nil"/>
            </w:tcBorders>
            <w:shd w:val="clear" w:color="auto" w:fill="FFFFFF"/>
            <w:vAlign w:val="center"/>
          </w:tcPr>
          <w:p w14:paraId="71EC5FE3">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456BCE36">
            <w:pPr>
              <w:pStyle w:val="167"/>
              <w:bidi w:val="0"/>
              <w:jc w:val="center"/>
              <w:rPr>
                <w:b w:val="0"/>
                <w:lang w:val="en-US" w:eastAsia="zh-CN"/>
              </w:rPr>
            </w:pPr>
            <w:r>
              <w:rPr>
                <w:b w:val="0"/>
                <w:lang w:val="en-US" w:eastAsia="zh-CN"/>
              </w:rPr>
              <w:t>PY/Y/NA/NA</w:t>
            </w:r>
          </w:p>
        </w:tc>
        <w:tc>
          <w:tcPr>
            <w:tcW w:w="445" w:type="pct"/>
            <w:tcBorders>
              <w:top w:val="nil"/>
              <w:left w:val="nil"/>
              <w:bottom w:val="nil"/>
              <w:right w:val="nil"/>
            </w:tcBorders>
            <w:shd w:val="clear" w:color="auto" w:fill="FFFFFF"/>
            <w:vAlign w:val="center"/>
          </w:tcPr>
          <w:p w14:paraId="03936988">
            <w:pPr>
              <w:pStyle w:val="167"/>
              <w:bidi w:val="0"/>
              <w:jc w:val="center"/>
              <w:rPr>
                <w:b w:val="0"/>
                <w:lang w:val="en-US" w:eastAsia="zh-CN"/>
              </w:rPr>
            </w:pPr>
            <w:r>
              <w:rPr>
                <w:b w:val="0"/>
                <w:lang w:val="en-US" w:eastAsia="zh-CN"/>
              </w:rPr>
              <w:t>N/N/NI/PY/PN</w:t>
            </w:r>
          </w:p>
        </w:tc>
        <w:tc>
          <w:tcPr>
            <w:tcW w:w="312" w:type="pct"/>
            <w:tcBorders>
              <w:top w:val="nil"/>
              <w:left w:val="nil"/>
              <w:bottom w:val="nil"/>
              <w:right w:val="nil"/>
            </w:tcBorders>
            <w:shd w:val="clear" w:color="auto" w:fill="FFFFFF"/>
            <w:vAlign w:val="center"/>
          </w:tcPr>
          <w:p w14:paraId="002ACF4E">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2F55891A">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7ED6828E">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2C4001D4">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74C7F423">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2B688247">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67712DD8">
            <w:pPr>
              <w:pStyle w:val="167"/>
              <w:bidi w:val="0"/>
              <w:jc w:val="center"/>
              <w:rPr>
                <w:b w:val="0"/>
                <w:lang w:val="en-US" w:eastAsia="zh-CN"/>
              </w:rPr>
            </w:pPr>
            <w:r>
              <w:rPr>
                <w:b w:val="0"/>
                <w:lang w:val="en-US" w:eastAsia="zh-CN"/>
              </w:rPr>
              <w:t>SC</w:t>
            </w:r>
          </w:p>
        </w:tc>
      </w:tr>
      <w:tr w14:paraId="64C95BFE">
        <w:tc>
          <w:tcPr>
            <w:tcW w:w="281" w:type="pct"/>
            <w:tcBorders>
              <w:top w:val="nil"/>
              <w:left w:val="nil"/>
              <w:bottom w:val="nil"/>
              <w:right w:val="nil"/>
            </w:tcBorders>
            <w:shd w:val="clear" w:color="auto" w:fill="FFFFFF"/>
            <w:vAlign w:val="center"/>
          </w:tcPr>
          <w:p w14:paraId="61118253">
            <w:pPr>
              <w:pStyle w:val="167"/>
              <w:bidi w:val="0"/>
              <w:jc w:val="center"/>
              <w:rPr>
                <w:b w:val="0"/>
                <w:lang w:val="en-US" w:eastAsia="zh-CN"/>
              </w:rPr>
            </w:pPr>
            <w:r>
              <w:rPr>
                <w:b w:val="0"/>
                <w:lang w:val="en-US" w:eastAsia="zh-CN"/>
              </w:rPr>
              <w:t>Johnson 2024</w:t>
            </w:r>
          </w:p>
        </w:tc>
        <w:tc>
          <w:tcPr>
            <w:tcW w:w="511" w:type="pct"/>
            <w:tcBorders>
              <w:top w:val="nil"/>
              <w:left w:val="nil"/>
              <w:bottom w:val="nil"/>
              <w:right w:val="nil"/>
            </w:tcBorders>
            <w:shd w:val="clear" w:color="auto" w:fill="FFFFFF"/>
            <w:vAlign w:val="center"/>
          </w:tcPr>
          <w:p w14:paraId="06D49C0A">
            <w:pPr>
              <w:pStyle w:val="167"/>
              <w:bidi w:val="0"/>
              <w:jc w:val="center"/>
              <w:rPr>
                <w:b w:val="0"/>
                <w:lang w:val="en-US" w:eastAsia="zh-CN"/>
              </w:rPr>
            </w:pPr>
            <w:r>
              <w:rPr>
                <w:b w:val="0"/>
                <w:lang w:val="en-US" w:eastAsia="zh-CN"/>
              </w:rPr>
              <w:t>Balance; Mini-BESTest</w:t>
            </w:r>
          </w:p>
        </w:tc>
        <w:tc>
          <w:tcPr>
            <w:tcW w:w="503" w:type="pct"/>
            <w:tcBorders>
              <w:top w:val="nil"/>
              <w:left w:val="nil"/>
              <w:bottom w:val="nil"/>
              <w:right w:val="nil"/>
            </w:tcBorders>
            <w:shd w:val="clear" w:color="auto" w:fill="FFFFFF"/>
            <w:vAlign w:val="center"/>
          </w:tcPr>
          <w:p w14:paraId="280C05AE">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2C2C6DF3">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32385578">
            <w:pPr>
              <w:pStyle w:val="167"/>
              <w:bidi w:val="0"/>
              <w:jc w:val="center"/>
              <w:rPr>
                <w:b w:val="0"/>
                <w:lang w:val="en-US" w:eastAsia="zh-CN"/>
              </w:rPr>
            </w:pPr>
            <w:r>
              <w:rPr>
                <w:b w:val="0"/>
                <w:lang w:val="en-US" w:eastAsia="zh-CN"/>
              </w:rPr>
              <w:t>Y/PY/N</w:t>
            </w:r>
          </w:p>
        </w:tc>
        <w:tc>
          <w:tcPr>
            <w:tcW w:w="602" w:type="pct"/>
            <w:tcBorders>
              <w:top w:val="nil"/>
              <w:left w:val="nil"/>
              <w:bottom w:val="nil"/>
              <w:right w:val="nil"/>
            </w:tcBorders>
            <w:shd w:val="clear" w:color="auto" w:fill="FFFFFF"/>
            <w:vAlign w:val="center"/>
          </w:tcPr>
          <w:p w14:paraId="2C0073C3">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6E1F54FF">
            <w:pPr>
              <w:pStyle w:val="167"/>
              <w:bidi w:val="0"/>
              <w:jc w:val="center"/>
              <w:rPr>
                <w:b w:val="0"/>
                <w:lang w:val="en-US" w:eastAsia="zh-CN"/>
              </w:rPr>
            </w:pPr>
            <w:r>
              <w:rPr>
                <w:b w:val="0"/>
                <w:lang w:val="en-US" w:eastAsia="zh-CN"/>
              </w:rPr>
              <w:t>PY/Y/NA/NA</w:t>
            </w:r>
          </w:p>
        </w:tc>
        <w:tc>
          <w:tcPr>
            <w:tcW w:w="445" w:type="pct"/>
            <w:tcBorders>
              <w:top w:val="nil"/>
              <w:left w:val="nil"/>
              <w:bottom w:val="nil"/>
              <w:right w:val="nil"/>
            </w:tcBorders>
            <w:shd w:val="clear" w:color="auto" w:fill="FFFFFF"/>
            <w:vAlign w:val="center"/>
          </w:tcPr>
          <w:p w14:paraId="556F837F">
            <w:pPr>
              <w:pStyle w:val="167"/>
              <w:bidi w:val="0"/>
              <w:jc w:val="center"/>
              <w:rPr>
                <w:b w:val="0"/>
                <w:lang w:val="en-US" w:eastAsia="zh-CN"/>
              </w:rPr>
            </w:pPr>
            <w:r>
              <w:rPr>
                <w:b w:val="0"/>
                <w:lang w:val="en-US" w:eastAsia="zh-CN"/>
              </w:rPr>
              <w:t>N/N/Y/Y/PY</w:t>
            </w:r>
          </w:p>
        </w:tc>
        <w:tc>
          <w:tcPr>
            <w:tcW w:w="312" w:type="pct"/>
            <w:tcBorders>
              <w:top w:val="nil"/>
              <w:left w:val="nil"/>
              <w:bottom w:val="nil"/>
              <w:right w:val="nil"/>
            </w:tcBorders>
            <w:shd w:val="clear" w:color="auto" w:fill="FFFFFF"/>
            <w:vAlign w:val="center"/>
          </w:tcPr>
          <w:p w14:paraId="531E5C3B">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51C7EE11">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2E5B2F82">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7F471317">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2EB080A5">
            <w:pPr>
              <w:pStyle w:val="167"/>
              <w:bidi w:val="0"/>
              <w:jc w:val="center"/>
              <w:rPr>
                <w:b w:val="0"/>
                <w:lang w:val="en-US" w:eastAsia="zh-CN"/>
              </w:rPr>
            </w:pPr>
            <w:r>
              <w:rPr>
                <w:b w:val="0"/>
                <w:lang w:val="en-US" w:eastAsia="zh-CN"/>
              </w:rPr>
              <w:t>H</w:t>
            </w:r>
          </w:p>
        </w:tc>
        <w:tc>
          <w:tcPr>
            <w:tcW w:w="148" w:type="pct"/>
            <w:tcBorders>
              <w:top w:val="nil"/>
              <w:left w:val="nil"/>
              <w:bottom w:val="nil"/>
              <w:right w:val="nil"/>
            </w:tcBorders>
            <w:shd w:val="clear" w:color="auto" w:fill="FFFFFF"/>
            <w:vAlign w:val="center"/>
          </w:tcPr>
          <w:p w14:paraId="0ED1FBC4">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2FD11221">
            <w:pPr>
              <w:pStyle w:val="167"/>
              <w:bidi w:val="0"/>
              <w:jc w:val="center"/>
              <w:rPr>
                <w:b w:val="0"/>
                <w:lang w:val="en-US" w:eastAsia="zh-CN"/>
              </w:rPr>
            </w:pPr>
            <w:r>
              <w:rPr>
                <w:b w:val="0"/>
                <w:lang w:val="en-US" w:eastAsia="zh-CN"/>
              </w:rPr>
              <w:t>H</w:t>
            </w:r>
          </w:p>
        </w:tc>
      </w:tr>
      <w:tr w14:paraId="0DF997EF">
        <w:tc>
          <w:tcPr>
            <w:tcW w:w="281" w:type="pct"/>
            <w:tcBorders>
              <w:top w:val="nil"/>
              <w:left w:val="nil"/>
              <w:bottom w:val="nil"/>
              <w:right w:val="nil"/>
            </w:tcBorders>
            <w:shd w:val="clear" w:color="auto" w:fill="FFFFFF"/>
            <w:vAlign w:val="center"/>
          </w:tcPr>
          <w:p w14:paraId="2856B593">
            <w:pPr>
              <w:pStyle w:val="167"/>
              <w:bidi w:val="0"/>
              <w:jc w:val="center"/>
              <w:rPr>
                <w:b w:val="0"/>
                <w:lang w:val="en-US" w:eastAsia="zh-CN"/>
              </w:rPr>
            </w:pPr>
            <w:r>
              <w:rPr>
                <w:b w:val="0"/>
                <w:lang w:val="en-US" w:eastAsia="zh-CN"/>
              </w:rPr>
              <w:t>Johnson 2024</w:t>
            </w:r>
          </w:p>
        </w:tc>
        <w:tc>
          <w:tcPr>
            <w:tcW w:w="511" w:type="pct"/>
            <w:tcBorders>
              <w:top w:val="nil"/>
              <w:left w:val="nil"/>
              <w:bottom w:val="nil"/>
              <w:right w:val="nil"/>
            </w:tcBorders>
            <w:shd w:val="clear" w:color="auto" w:fill="FFFFFF"/>
            <w:vAlign w:val="center"/>
          </w:tcPr>
          <w:p w14:paraId="12E6039A">
            <w:pPr>
              <w:pStyle w:val="167"/>
              <w:bidi w:val="0"/>
              <w:jc w:val="center"/>
              <w:rPr>
                <w:b w:val="0"/>
                <w:lang w:val="en-US" w:eastAsia="zh-CN"/>
              </w:rPr>
            </w:pPr>
            <w:r>
              <w:rPr>
                <w:b w:val="0"/>
                <w:lang w:val="en-US" w:eastAsia="zh-CN"/>
              </w:rPr>
              <w:t>Gait; 10-metre walk test</w:t>
            </w:r>
          </w:p>
        </w:tc>
        <w:tc>
          <w:tcPr>
            <w:tcW w:w="503" w:type="pct"/>
            <w:tcBorders>
              <w:top w:val="nil"/>
              <w:left w:val="nil"/>
              <w:bottom w:val="nil"/>
              <w:right w:val="nil"/>
            </w:tcBorders>
            <w:shd w:val="clear" w:color="auto" w:fill="FFFFFF"/>
            <w:vAlign w:val="center"/>
          </w:tcPr>
          <w:p w14:paraId="477B0630">
            <w:pPr>
              <w:pStyle w:val="167"/>
              <w:bidi w:val="0"/>
              <w:jc w:val="center"/>
              <w:rPr>
                <w:b w:val="0"/>
                <w:lang w:val="en-US" w:eastAsia="zh-CN"/>
              </w:rPr>
            </w:pPr>
            <w:r>
              <w:rPr>
                <w:b w:val="0"/>
                <w:lang w:val="en-US" w:eastAsia="zh-CN"/>
              </w:rPr>
              <w:t>Post-intervention</w:t>
            </w:r>
          </w:p>
        </w:tc>
        <w:tc>
          <w:tcPr>
            <w:tcW w:w="619" w:type="pct"/>
            <w:tcBorders>
              <w:top w:val="nil"/>
              <w:left w:val="nil"/>
              <w:bottom w:val="nil"/>
              <w:right w:val="nil"/>
            </w:tcBorders>
            <w:shd w:val="clear" w:color="auto" w:fill="FFFFFF"/>
            <w:vAlign w:val="center"/>
          </w:tcPr>
          <w:p w14:paraId="47D6FAB1">
            <w:pPr>
              <w:pStyle w:val="167"/>
              <w:bidi w:val="0"/>
              <w:jc w:val="center"/>
              <w:rPr>
                <w:b w:val="0"/>
                <w:lang w:val="en-US" w:eastAsia="zh-CN"/>
              </w:rPr>
            </w:pPr>
            <w:r>
              <w:rPr>
                <w:b w:val="0"/>
                <w:lang w:val="en-US" w:eastAsia="zh-CN"/>
              </w:rPr>
              <w:t>Active therapist-led rehabilitation</w:t>
            </w:r>
          </w:p>
        </w:tc>
        <w:tc>
          <w:tcPr>
            <w:tcW w:w="312" w:type="pct"/>
            <w:tcBorders>
              <w:top w:val="nil"/>
              <w:left w:val="nil"/>
              <w:bottom w:val="nil"/>
              <w:right w:val="nil"/>
            </w:tcBorders>
            <w:shd w:val="clear" w:color="auto" w:fill="FFFFFF"/>
            <w:vAlign w:val="center"/>
          </w:tcPr>
          <w:p w14:paraId="3125C9ED">
            <w:pPr>
              <w:pStyle w:val="167"/>
              <w:bidi w:val="0"/>
              <w:jc w:val="center"/>
              <w:rPr>
                <w:b w:val="0"/>
                <w:lang w:val="en-US" w:eastAsia="zh-CN"/>
              </w:rPr>
            </w:pPr>
            <w:r>
              <w:rPr>
                <w:b w:val="0"/>
                <w:lang w:val="en-US" w:eastAsia="zh-CN"/>
              </w:rPr>
              <w:t>Y/PY/N</w:t>
            </w:r>
          </w:p>
        </w:tc>
        <w:tc>
          <w:tcPr>
            <w:tcW w:w="602" w:type="pct"/>
            <w:tcBorders>
              <w:top w:val="nil"/>
              <w:left w:val="nil"/>
              <w:bottom w:val="nil"/>
              <w:right w:val="nil"/>
            </w:tcBorders>
            <w:shd w:val="clear" w:color="auto" w:fill="FFFFFF"/>
            <w:vAlign w:val="center"/>
          </w:tcPr>
          <w:p w14:paraId="60B95794">
            <w:pPr>
              <w:pStyle w:val="167"/>
              <w:bidi w:val="0"/>
              <w:jc w:val="center"/>
              <w:rPr>
                <w:b w:val="0"/>
                <w:lang w:val="en-US" w:eastAsia="zh-CN"/>
              </w:rPr>
            </w:pPr>
            <w:r>
              <w:rPr>
                <w:b w:val="0"/>
                <w:lang w:val="en-US" w:eastAsia="zh-CN"/>
              </w:rPr>
              <w:t>Y/Y/NI/NI/NI/PY/NA</w:t>
            </w:r>
          </w:p>
        </w:tc>
        <w:tc>
          <w:tcPr>
            <w:tcW w:w="414" w:type="pct"/>
            <w:tcBorders>
              <w:top w:val="nil"/>
              <w:left w:val="nil"/>
              <w:bottom w:val="nil"/>
              <w:right w:val="nil"/>
            </w:tcBorders>
            <w:shd w:val="clear" w:color="auto" w:fill="FFFFFF"/>
            <w:vAlign w:val="center"/>
          </w:tcPr>
          <w:p w14:paraId="5EC85FDE">
            <w:pPr>
              <w:pStyle w:val="167"/>
              <w:bidi w:val="0"/>
              <w:jc w:val="center"/>
              <w:rPr>
                <w:b w:val="0"/>
                <w:lang w:val="en-US" w:eastAsia="zh-CN"/>
              </w:rPr>
            </w:pPr>
            <w:r>
              <w:rPr>
                <w:b w:val="0"/>
                <w:lang w:val="en-US" w:eastAsia="zh-CN"/>
              </w:rPr>
              <w:t>PY/Y/NA/NA</w:t>
            </w:r>
          </w:p>
        </w:tc>
        <w:tc>
          <w:tcPr>
            <w:tcW w:w="445" w:type="pct"/>
            <w:tcBorders>
              <w:top w:val="nil"/>
              <w:left w:val="nil"/>
              <w:bottom w:val="nil"/>
              <w:right w:val="nil"/>
            </w:tcBorders>
            <w:shd w:val="clear" w:color="auto" w:fill="FFFFFF"/>
            <w:vAlign w:val="center"/>
          </w:tcPr>
          <w:p w14:paraId="2671C21B">
            <w:pPr>
              <w:pStyle w:val="167"/>
              <w:bidi w:val="0"/>
              <w:jc w:val="center"/>
              <w:rPr>
                <w:b w:val="0"/>
                <w:lang w:val="en-US" w:eastAsia="zh-CN"/>
              </w:rPr>
            </w:pPr>
            <w:r>
              <w:rPr>
                <w:b w:val="0"/>
                <w:lang w:val="en-US" w:eastAsia="zh-CN"/>
              </w:rPr>
              <w:t>N/N/NI/PY/PN</w:t>
            </w:r>
          </w:p>
        </w:tc>
        <w:tc>
          <w:tcPr>
            <w:tcW w:w="312" w:type="pct"/>
            <w:tcBorders>
              <w:top w:val="nil"/>
              <w:left w:val="nil"/>
              <w:bottom w:val="nil"/>
              <w:right w:val="nil"/>
            </w:tcBorders>
            <w:shd w:val="clear" w:color="auto" w:fill="FFFFFF"/>
            <w:vAlign w:val="center"/>
          </w:tcPr>
          <w:p w14:paraId="6B89F7E8">
            <w:pPr>
              <w:pStyle w:val="167"/>
              <w:bidi w:val="0"/>
              <w:jc w:val="center"/>
              <w:rPr>
                <w:b w:val="0"/>
                <w:lang w:val="en-US" w:eastAsia="zh-CN"/>
              </w:rPr>
            </w:pPr>
            <w:r>
              <w:rPr>
                <w:b w:val="0"/>
                <w:lang w:val="en-US" w:eastAsia="zh-CN"/>
              </w:rPr>
              <w:t>NI/PN/NI</w:t>
            </w:r>
          </w:p>
        </w:tc>
        <w:tc>
          <w:tcPr>
            <w:tcW w:w="148" w:type="pct"/>
            <w:tcBorders>
              <w:top w:val="nil"/>
              <w:left w:val="nil"/>
              <w:bottom w:val="nil"/>
              <w:right w:val="nil"/>
            </w:tcBorders>
            <w:shd w:val="clear" w:color="auto" w:fill="FFFFFF"/>
            <w:vAlign w:val="center"/>
          </w:tcPr>
          <w:p w14:paraId="14A94E19">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330E917B">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6A5B9A26">
            <w:pPr>
              <w:pStyle w:val="167"/>
              <w:bidi w:val="0"/>
              <w:jc w:val="center"/>
              <w:rPr>
                <w:b w:val="0"/>
                <w:lang w:val="en-US" w:eastAsia="zh-CN"/>
              </w:rPr>
            </w:pPr>
            <w:r>
              <w:rPr>
                <w:b w:val="0"/>
                <w:lang w:val="en-US" w:eastAsia="zh-CN"/>
              </w:rPr>
              <w:t>L</w:t>
            </w:r>
          </w:p>
        </w:tc>
        <w:tc>
          <w:tcPr>
            <w:tcW w:w="148" w:type="pct"/>
            <w:tcBorders>
              <w:top w:val="nil"/>
              <w:left w:val="nil"/>
              <w:bottom w:val="nil"/>
              <w:right w:val="nil"/>
            </w:tcBorders>
            <w:shd w:val="clear" w:color="auto" w:fill="FFFFFF"/>
            <w:vAlign w:val="center"/>
          </w:tcPr>
          <w:p w14:paraId="3E58AC3D">
            <w:pPr>
              <w:pStyle w:val="167"/>
              <w:bidi w:val="0"/>
              <w:jc w:val="center"/>
              <w:rPr>
                <w:b w:val="0"/>
                <w:lang w:val="en-US" w:eastAsia="zh-CN"/>
              </w:rPr>
            </w:pPr>
            <w:r>
              <w:rPr>
                <w:b w:val="0"/>
                <w:lang w:val="en-US" w:eastAsia="zh-CN"/>
              </w:rPr>
              <w:t>SC</w:t>
            </w:r>
          </w:p>
        </w:tc>
        <w:tc>
          <w:tcPr>
            <w:tcW w:w="148" w:type="pct"/>
            <w:tcBorders>
              <w:top w:val="nil"/>
              <w:left w:val="nil"/>
              <w:bottom w:val="nil"/>
              <w:right w:val="nil"/>
            </w:tcBorders>
            <w:shd w:val="clear" w:color="auto" w:fill="FFFFFF"/>
            <w:vAlign w:val="center"/>
          </w:tcPr>
          <w:p w14:paraId="69073E0B">
            <w:pPr>
              <w:pStyle w:val="167"/>
              <w:bidi w:val="0"/>
              <w:jc w:val="center"/>
              <w:rPr>
                <w:b w:val="0"/>
                <w:lang w:val="en-US" w:eastAsia="zh-CN"/>
              </w:rPr>
            </w:pPr>
            <w:r>
              <w:rPr>
                <w:b w:val="0"/>
                <w:lang w:val="en-US" w:eastAsia="zh-CN"/>
              </w:rPr>
              <w:t>SC</w:t>
            </w:r>
          </w:p>
        </w:tc>
        <w:tc>
          <w:tcPr>
            <w:tcW w:w="254" w:type="pct"/>
            <w:tcBorders>
              <w:top w:val="nil"/>
              <w:left w:val="nil"/>
              <w:bottom w:val="nil"/>
              <w:right w:val="nil"/>
            </w:tcBorders>
            <w:shd w:val="clear" w:color="auto" w:fill="FFFFFF"/>
            <w:vAlign w:val="center"/>
          </w:tcPr>
          <w:p w14:paraId="057A1A82">
            <w:pPr>
              <w:pStyle w:val="167"/>
              <w:bidi w:val="0"/>
              <w:jc w:val="center"/>
              <w:rPr>
                <w:b w:val="0"/>
                <w:lang w:val="en-US" w:eastAsia="zh-CN"/>
              </w:rPr>
            </w:pPr>
            <w:r>
              <w:rPr>
                <w:b w:val="0"/>
                <w:lang w:val="en-US" w:eastAsia="zh-CN"/>
              </w:rPr>
              <w:t>SC</w:t>
            </w:r>
          </w:p>
        </w:tc>
      </w:tr>
      <w:tr w14:paraId="72896C71">
        <w:tc>
          <w:tcPr>
            <w:tcW w:w="281" w:type="pct"/>
            <w:tcBorders>
              <w:top w:val="nil"/>
              <w:left w:val="nil"/>
              <w:bottom w:val="single" w:color="000000" w:sz="12" w:space="0"/>
              <w:right w:val="nil"/>
            </w:tcBorders>
            <w:shd w:val="clear" w:color="auto" w:fill="FFFFFF"/>
            <w:vAlign w:val="center"/>
          </w:tcPr>
          <w:p w14:paraId="1C8A8046">
            <w:pPr>
              <w:pStyle w:val="167"/>
              <w:bidi w:val="0"/>
              <w:jc w:val="center"/>
              <w:rPr>
                <w:b w:val="0"/>
                <w:lang w:val="en-US" w:eastAsia="zh-CN"/>
              </w:rPr>
            </w:pPr>
            <w:r>
              <w:rPr>
                <w:b w:val="0"/>
                <w:lang w:val="en-US" w:eastAsia="zh-CN"/>
              </w:rPr>
              <w:t>Jones 2025</w:t>
            </w:r>
          </w:p>
        </w:tc>
        <w:tc>
          <w:tcPr>
            <w:tcW w:w="511" w:type="pct"/>
            <w:tcBorders>
              <w:top w:val="nil"/>
              <w:left w:val="nil"/>
              <w:bottom w:val="single" w:color="000000" w:sz="12" w:space="0"/>
              <w:right w:val="nil"/>
            </w:tcBorders>
            <w:shd w:val="clear" w:color="auto" w:fill="FFFFFF"/>
            <w:vAlign w:val="center"/>
          </w:tcPr>
          <w:p w14:paraId="12862111">
            <w:pPr>
              <w:pStyle w:val="167"/>
              <w:bidi w:val="0"/>
              <w:jc w:val="center"/>
              <w:rPr>
                <w:b w:val="0"/>
                <w:lang w:val="en-US" w:eastAsia="zh-CN"/>
              </w:rPr>
            </w:pPr>
            <w:r>
              <w:rPr>
                <w:b w:val="0"/>
                <w:lang w:val="en-US" w:eastAsia="zh-CN"/>
              </w:rPr>
              <w:t>UPDRS III</w:t>
            </w:r>
          </w:p>
        </w:tc>
        <w:tc>
          <w:tcPr>
            <w:tcW w:w="503" w:type="pct"/>
            <w:tcBorders>
              <w:top w:val="nil"/>
              <w:left w:val="nil"/>
              <w:bottom w:val="single" w:color="000000" w:sz="12" w:space="0"/>
              <w:right w:val="nil"/>
            </w:tcBorders>
            <w:shd w:val="clear" w:color="auto" w:fill="FFFFFF"/>
            <w:vAlign w:val="center"/>
          </w:tcPr>
          <w:p w14:paraId="2510BD19">
            <w:pPr>
              <w:pStyle w:val="167"/>
              <w:bidi w:val="0"/>
              <w:jc w:val="center"/>
              <w:rPr>
                <w:b w:val="0"/>
                <w:lang w:val="en-US" w:eastAsia="zh-CN"/>
              </w:rPr>
            </w:pPr>
            <w:r>
              <w:rPr>
                <w:b w:val="0"/>
                <w:lang w:val="en-US" w:eastAsia="zh-CN"/>
              </w:rPr>
              <w:t>Post-intervention</w:t>
            </w:r>
          </w:p>
        </w:tc>
        <w:tc>
          <w:tcPr>
            <w:tcW w:w="619" w:type="pct"/>
            <w:tcBorders>
              <w:top w:val="nil"/>
              <w:left w:val="nil"/>
              <w:bottom w:val="single" w:color="000000" w:sz="12" w:space="0"/>
              <w:right w:val="nil"/>
            </w:tcBorders>
            <w:shd w:val="clear" w:color="auto" w:fill="FFFFFF"/>
            <w:vAlign w:val="center"/>
          </w:tcPr>
          <w:p w14:paraId="31F7BB06">
            <w:pPr>
              <w:pStyle w:val="167"/>
              <w:bidi w:val="0"/>
              <w:jc w:val="center"/>
              <w:rPr>
                <w:b w:val="0"/>
                <w:lang w:val="en-US" w:eastAsia="zh-CN"/>
              </w:rPr>
            </w:pPr>
            <w:r>
              <w:rPr>
                <w:b w:val="0"/>
                <w:lang w:val="en-US" w:eastAsia="zh-CN"/>
              </w:rPr>
              <w:t>Relevant comparator</w:t>
            </w:r>
          </w:p>
        </w:tc>
        <w:tc>
          <w:tcPr>
            <w:tcW w:w="312" w:type="pct"/>
            <w:tcBorders>
              <w:top w:val="nil"/>
              <w:left w:val="nil"/>
              <w:bottom w:val="single" w:color="000000" w:sz="12" w:space="0"/>
              <w:right w:val="nil"/>
            </w:tcBorders>
            <w:shd w:val="clear" w:color="auto" w:fill="FFFFFF"/>
            <w:vAlign w:val="center"/>
          </w:tcPr>
          <w:p w14:paraId="3C9C8877">
            <w:pPr>
              <w:pStyle w:val="167"/>
              <w:bidi w:val="0"/>
              <w:jc w:val="center"/>
              <w:rPr>
                <w:b w:val="0"/>
                <w:lang w:val="en-US" w:eastAsia="zh-CN"/>
              </w:rPr>
            </w:pPr>
            <w:r>
              <w:rPr>
                <w:b w:val="0"/>
                <w:lang w:val="en-US" w:eastAsia="zh-CN"/>
              </w:rPr>
              <w:t>PY/PY/N</w:t>
            </w:r>
          </w:p>
        </w:tc>
        <w:tc>
          <w:tcPr>
            <w:tcW w:w="602" w:type="pct"/>
            <w:tcBorders>
              <w:top w:val="nil"/>
              <w:left w:val="nil"/>
              <w:bottom w:val="single" w:color="000000" w:sz="12" w:space="0"/>
              <w:right w:val="nil"/>
            </w:tcBorders>
            <w:shd w:val="clear" w:color="auto" w:fill="FFFFFF"/>
            <w:vAlign w:val="center"/>
          </w:tcPr>
          <w:p w14:paraId="4A9A12CE">
            <w:pPr>
              <w:pStyle w:val="167"/>
              <w:bidi w:val="0"/>
              <w:jc w:val="center"/>
              <w:rPr>
                <w:b w:val="0"/>
                <w:lang w:val="en-US" w:eastAsia="zh-CN"/>
              </w:rPr>
            </w:pPr>
            <w:r>
              <w:rPr>
                <w:b w:val="0"/>
                <w:lang w:val="en-US" w:eastAsia="zh-CN"/>
              </w:rPr>
              <w:t>Y/Y/NI/NI/NI/PY/NA</w:t>
            </w:r>
          </w:p>
        </w:tc>
        <w:tc>
          <w:tcPr>
            <w:tcW w:w="414" w:type="pct"/>
            <w:tcBorders>
              <w:top w:val="nil"/>
              <w:left w:val="nil"/>
              <w:bottom w:val="single" w:color="000000" w:sz="12" w:space="0"/>
              <w:right w:val="nil"/>
            </w:tcBorders>
            <w:shd w:val="clear" w:color="auto" w:fill="FFFFFF"/>
            <w:vAlign w:val="center"/>
          </w:tcPr>
          <w:p w14:paraId="51858719">
            <w:pPr>
              <w:pStyle w:val="167"/>
              <w:bidi w:val="0"/>
              <w:jc w:val="center"/>
              <w:rPr>
                <w:b w:val="0"/>
                <w:lang w:val="en-US" w:eastAsia="zh-CN"/>
              </w:rPr>
            </w:pPr>
            <w:r>
              <w:rPr>
                <w:b w:val="0"/>
                <w:lang w:val="en-US" w:eastAsia="zh-CN"/>
              </w:rPr>
              <w:t>N/NI/PY/NI</w:t>
            </w:r>
          </w:p>
        </w:tc>
        <w:tc>
          <w:tcPr>
            <w:tcW w:w="445" w:type="pct"/>
            <w:tcBorders>
              <w:top w:val="nil"/>
              <w:left w:val="nil"/>
              <w:bottom w:val="single" w:color="000000" w:sz="12" w:space="0"/>
              <w:right w:val="nil"/>
            </w:tcBorders>
            <w:shd w:val="clear" w:color="auto" w:fill="FFFFFF"/>
            <w:vAlign w:val="center"/>
          </w:tcPr>
          <w:p w14:paraId="04B23441">
            <w:pPr>
              <w:pStyle w:val="167"/>
              <w:bidi w:val="0"/>
              <w:jc w:val="center"/>
              <w:rPr>
                <w:b w:val="0"/>
                <w:lang w:val="en-US" w:eastAsia="zh-CN"/>
              </w:rPr>
            </w:pPr>
            <w:r>
              <w:rPr>
                <w:b w:val="0"/>
                <w:lang w:val="en-US" w:eastAsia="zh-CN"/>
              </w:rPr>
              <w:t>N/N/N/NA/NA</w:t>
            </w:r>
          </w:p>
        </w:tc>
        <w:tc>
          <w:tcPr>
            <w:tcW w:w="312" w:type="pct"/>
            <w:tcBorders>
              <w:top w:val="nil"/>
              <w:left w:val="nil"/>
              <w:bottom w:val="single" w:color="000000" w:sz="12" w:space="0"/>
              <w:right w:val="nil"/>
            </w:tcBorders>
            <w:shd w:val="clear" w:color="auto" w:fill="FFFFFF"/>
            <w:vAlign w:val="center"/>
          </w:tcPr>
          <w:p w14:paraId="436B8B39">
            <w:pPr>
              <w:pStyle w:val="167"/>
              <w:bidi w:val="0"/>
              <w:jc w:val="center"/>
              <w:rPr>
                <w:b w:val="0"/>
                <w:lang w:val="en-US" w:eastAsia="zh-CN"/>
              </w:rPr>
            </w:pPr>
            <w:r>
              <w:rPr>
                <w:b w:val="0"/>
                <w:lang w:val="en-US" w:eastAsia="zh-CN"/>
              </w:rPr>
              <w:t>Y/N/N</w:t>
            </w:r>
          </w:p>
        </w:tc>
        <w:tc>
          <w:tcPr>
            <w:tcW w:w="148" w:type="pct"/>
            <w:tcBorders>
              <w:top w:val="nil"/>
              <w:left w:val="nil"/>
              <w:bottom w:val="single" w:color="000000" w:sz="12" w:space="0"/>
              <w:right w:val="nil"/>
            </w:tcBorders>
            <w:shd w:val="clear" w:color="auto" w:fill="FFFFFF"/>
            <w:vAlign w:val="center"/>
          </w:tcPr>
          <w:p w14:paraId="28BA5DBA">
            <w:pPr>
              <w:pStyle w:val="167"/>
              <w:bidi w:val="0"/>
              <w:jc w:val="center"/>
              <w:rPr>
                <w:b w:val="0"/>
                <w:lang w:val="en-US" w:eastAsia="zh-CN"/>
              </w:rPr>
            </w:pPr>
            <w:r>
              <w:rPr>
                <w:b w:val="0"/>
                <w:lang w:val="en-US" w:eastAsia="zh-CN"/>
              </w:rPr>
              <w:t>SC</w:t>
            </w:r>
          </w:p>
        </w:tc>
        <w:tc>
          <w:tcPr>
            <w:tcW w:w="148" w:type="pct"/>
            <w:tcBorders>
              <w:top w:val="nil"/>
              <w:left w:val="nil"/>
              <w:bottom w:val="single" w:color="000000" w:sz="12" w:space="0"/>
              <w:right w:val="nil"/>
            </w:tcBorders>
            <w:shd w:val="clear" w:color="auto" w:fill="FFFFFF"/>
            <w:vAlign w:val="center"/>
          </w:tcPr>
          <w:p w14:paraId="3D65E671">
            <w:pPr>
              <w:pStyle w:val="167"/>
              <w:bidi w:val="0"/>
              <w:jc w:val="center"/>
              <w:rPr>
                <w:b w:val="0"/>
                <w:lang w:val="en-US" w:eastAsia="zh-CN"/>
              </w:rPr>
            </w:pPr>
            <w:r>
              <w:rPr>
                <w:b w:val="0"/>
                <w:lang w:val="en-US" w:eastAsia="zh-CN"/>
              </w:rPr>
              <w:t>SC</w:t>
            </w:r>
          </w:p>
        </w:tc>
        <w:tc>
          <w:tcPr>
            <w:tcW w:w="148" w:type="pct"/>
            <w:tcBorders>
              <w:top w:val="nil"/>
              <w:left w:val="nil"/>
              <w:bottom w:val="single" w:color="000000" w:sz="12" w:space="0"/>
              <w:right w:val="nil"/>
            </w:tcBorders>
            <w:shd w:val="clear" w:color="auto" w:fill="FFFFFF"/>
            <w:vAlign w:val="center"/>
          </w:tcPr>
          <w:p w14:paraId="1589A256">
            <w:pPr>
              <w:pStyle w:val="167"/>
              <w:bidi w:val="0"/>
              <w:jc w:val="center"/>
              <w:rPr>
                <w:b w:val="0"/>
                <w:lang w:val="en-US" w:eastAsia="zh-CN"/>
              </w:rPr>
            </w:pPr>
            <w:r>
              <w:rPr>
                <w:b w:val="0"/>
                <w:lang w:val="en-US" w:eastAsia="zh-CN"/>
              </w:rPr>
              <w:t>SC</w:t>
            </w:r>
          </w:p>
        </w:tc>
        <w:tc>
          <w:tcPr>
            <w:tcW w:w="148" w:type="pct"/>
            <w:tcBorders>
              <w:top w:val="nil"/>
              <w:left w:val="nil"/>
              <w:bottom w:val="single" w:color="000000" w:sz="12" w:space="0"/>
              <w:right w:val="nil"/>
            </w:tcBorders>
            <w:shd w:val="clear" w:color="auto" w:fill="FFFFFF"/>
            <w:vAlign w:val="center"/>
          </w:tcPr>
          <w:p w14:paraId="662C060E">
            <w:pPr>
              <w:pStyle w:val="167"/>
              <w:bidi w:val="0"/>
              <w:jc w:val="center"/>
              <w:rPr>
                <w:b w:val="0"/>
                <w:lang w:val="en-US" w:eastAsia="zh-CN"/>
              </w:rPr>
            </w:pPr>
            <w:r>
              <w:rPr>
                <w:b w:val="0"/>
                <w:lang w:val="en-US" w:eastAsia="zh-CN"/>
              </w:rPr>
              <w:t>L</w:t>
            </w:r>
          </w:p>
        </w:tc>
        <w:tc>
          <w:tcPr>
            <w:tcW w:w="148" w:type="pct"/>
            <w:tcBorders>
              <w:top w:val="nil"/>
              <w:left w:val="nil"/>
              <w:bottom w:val="single" w:color="000000" w:sz="12" w:space="0"/>
              <w:right w:val="nil"/>
            </w:tcBorders>
            <w:shd w:val="clear" w:color="auto" w:fill="FFFFFF"/>
            <w:vAlign w:val="center"/>
          </w:tcPr>
          <w:p w14:paraId="60771EB4">
            <w:pPr>
              <w:pStyle w:val="167"/>
              <w:bidi w:val="0"/>
              <w:jc w:val="center"/>
              <w:rPr>
                <w:b w:val="0"/>
                <w:lang w:val="en-US" w:eastAsia="zh-CN"/>
              </w:rPr>
            </w:pPr>
            <w:r>
              <w:rPr>
                <w:b w:val="0"/>
                <w:lang w:val="en-US" w:eastAsia="zh-CN"/>
              </w:rPr>
              <w:t>L</w:t>
            </w:r>
          </w:p>
        </w:tc>
        <w:tc>
          <w:tcPr>
            <w:tcW w:w="254" w:type="pct"/>
            <w:tcBorders>
              <w:top w:val="nil"/>
              <w:left w:val="nil"/>
              <w:bottom w:val="single" w:color="000000" w:sz="12" w:space="0"/>
              <w:right w:val="nil"/>
            </w:tcBorders>
            <w:shd w:val="clear" w:color="auto" w:fill="FFFFFF"/>
            <w:vAlign w:val="center"/>
          </w:tcPr>
          <w:p w14:paraId="1FF2D6D8">
            <w:pPr>
              <w:pStyle w:val="167"/>
              <w:bidi w:val="0"/>
              <w:jc w:val="center"/>
              <w:rPr>
                <w:b w:val="0"/>
                <w:lang w:val="en-US" w:eastAsia="zh-CN"/>
              </w:rPr>
            </w:pPr>
            <w:r>
              <w:rPr>
                <w:b w:val="0"/>
                <w:lang w:val="en-US" w:eastAsia="zh-CN"/>
              </w:rPr>
              <w:t>SC</w:t>
            </w:r>
          </w:p>
        </w:tc>
      </w:tr>
    </w:tbl>
    <w:p w14:paraId="35D4A599">
      <w:pPr>
        <w:pStyle w:val="5"/>
        <w:bidi w:val="0"/>
        <w:rPr>
          <w:lang w:val="en-US" w:eastAsia="zh-CN"/>
        </w:rPr>
      </w:pPr>
      <w:r>
        <w:rPr>
          <w:lang w:val="en-US" w:eastAsia="zh-CN"/>
        </w:rPr>
        <w:t>Table S4d-4. Domain-level rationales</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4"/>
        <w:gridCol w:w="1758"/>
        <w:gridCol w:w="1758"/>
        <w:gridCol w:w="4505"/>
        <w:gridCol w:w="4379"/>
      </w:tblGrid>
      <w:tr w14:paraId="00C3146E">
        <w:trPr>
          <w:trHeight w:val="398" w:hRule="atLeast"/>
        </w:trPr>
        <w:tc>
          <w:tcPr>
            <w:tcW w:w="1774" w:type="dxa"/>
            <w:tcBorders>
              <w:top w:val="single" w:color="000000" w:sz="12" w:space="0"/>
              <w:left w:val="nil"/>
              <w:bottom w:val="single" w:color="000000" w:sz="4" w:space="0"/>
              <w:right w:val="nil"/>
              <w:tl2br w:val="nil"/>
            </w:tcBorders>
            <w:shd w:val="clear" w:color="auto" w:fill="FFFFFF"/>
            <w:vAlign w:val="center"/>
          </w:tcPr>
          <w:p w14:paraId="1ED17969">
            <w:pPr>
              <w:pStyle w:val="167"/>
              <w:bidi w:val="0"/>
              <w:jc w:val="center"/>
              <w:rPr>
                <w:b w:val="0"/>
                <w:lang w:val="en-US" w:eastAsia="zh-CN"/>
              </w:rPr>
            </w:pPr>
            <w:r>
              <w:rPr>
                <w:b w:val="0"/>
                <w:lang w:val="en-US" w:eastAsia="zh-CN"/>
              </w:rPr>
              <w:t>Study–outcome</w:t>
            </w:r>
          </w:p>
        </w:tc>
        <w:tc>
          <w:tcPr>
            <w:tcW w:w="1758" w:type="dxa"/>
            <w:tcBorders>
              <w:top w:val="single" w:color="000000" w:sz="12" w:space="0"/>
              <w:left w:val="nil"/>
              <w:bottom w:val="single" w:color="000000" w:sz="4" w:space="0"/>
              <w:right w:val="nil"/>
            </w:tcBorders>
            <w:shd w:val="clear" w:color="auto" w:fill="FFFFFF"/>
            <w:vAlign w:val="center"/>
          </w:tcPr>
          <w:p w14:paraId="6842B156">
            <w:pPr>
              <w:pStyle w:val="167"/>
              <w:bidi w:val="0"/>
              <w:jc w:val="center"/>
              <w:rPr>
                <w:b w:val="0"/>
                <w:lang w:val="en-US" w:eastAsia="zh-CN"/>
              </w:rPr>
            </w:pPr>
            <w:r>
              <w:rPr>
                <w:b w:val="0"/>
                <w:lang w:val="en-US" w:eastAsia="zh-CN"/>
              </w:rPr>
              <w:t>Domain</w:t>
            </w:r>
          </w:p>
        </w:tc>
        <w:tc>
          <w:tcPr>
            <w:tcW w:w="1758" w:type="dxa"/>
            <w:tcBorders>
              <w:top w:val="single" w:color="000000" w:sz="12" w:space="0"/>
              <w:left w:val="nil"/>
              <w:bottom w:val="single" w:color="000000" w:sz="4" w:space="0"/>
              <w:right w:val="nil"/>
            </w:tcBorders>
            <w:shd w:val="clear" w:color="auto" w:fill="FFFFFF"/>
            <w:vAlign w:val="center"/>
          </w:tcPr>
          <w:p w14:paraId="37D37D42">
            <w:pPr>
              <w:pStyle w:val="167"/>
              <w:bidi w:val="0"/>
              <w:jc w:val="center"/>
              <w:rPr>
                <w:b w:val="0"/>
                <w:lang w:val="en-US" w:eastAsia="zh-CN"/>
              </w:rPr>
            </w:pPr>
            <w:r>
              <w:rPr>
                <w:b w:val="0"/>
                <w:lang w:val="en-US" w:eastAsia="zh-CN"/>
              </w:rPr>
              <w:t>Judgement</w:t>
            </w:r>
          </w:p>
        </w:tc>
        <w:tc>
          <w:tcPr>
            <w:tcW w:w="4505" w:type="dxa"/>
            <w:tcBorders>
              <w:top w:val="single" w:color="000000" w:sz="12" w:space="0"/>
              <w:left w:val="nil"/>
              <w:bottom w:val="single" w:color="000000" w:sz="4" w:space="0"/>
              <w:right w:val="nil"/>
            </w:tcBorders>
            <w:shd w:val="clear" w:color="auto" w:fill="FFFFFF"/>
            <w:vAlign w:val="center"/>
          </w:tcPr>
          <w:p w14:paraId="34CA91B2">
            <w:pPr>
              <w:pStyle w:val="167"/>
              <w:bidi w:val="0"/>
              <w:jc w:val="center"/>
              <w:rPr>
                <w:b w:val="0"/>
                <w:lang w:val="en-US" w:eastAsia="zh-CN"/>
              </w:rPr>
            </w:pPr>
            <w:r>
              <w:rPr>
                <w:b w:val="0"/>
                <w:lang w:val="en-US" w:eastAsia="zh-CN"/>
              </w:rPr>
              <w:t>Concise rationale</w:t>
            </w:r>
          </w:p>
        </w:tc>
        <w:tc>
          <w:tcPr>
            <w:tcW w:w="4379" w:type="dxa"/>
            <w:tcBorders>
              <w:top w:val="single" w:color="000000" w:sz="12" w:space="0"/>
              <w:left w:val="nil"/>
              <w:bottom w:val="single" w:color="000000" w:sz="4" w:space="0"/>
              <w:right w:val="nil"/>
            </w:tcBorders>
            <w:shd w:val="clear" w:color="auto" w:fill="FFFFFF"/>
            <w:vAlign w:val="center"/>
          </w:tcPr>
          <w:p w14:paraId="23FEFB42">
            <w:pPr>
              <w:pStyle w:val="167"/>
              <w:bidi w:val="0"/>
              <w:jc w:val="center"/>
              <w:rPr>
                <w:b w:val="0"/>
                <w:lang w:val="en-US" w:eastAsia="zh-CN"/>
              </w:rPr>
            </w:pPr>
            <w:r>
              <w:rPr>
                <w:b w:val="0"/>
                <w:lang w:val="en-US" w:eastAsia="zh-CN"/>
              </w:rPr>
              <w:t>Evidence source</w:t>
            </w:r>
          </w:p>
        </w:tc>
      </w:tr>
      <w:tr w14:paraId="63846EF2">
        <w:tc>
          <w:tcPr>
            <w:tcW w:w="1774" w:type="dxa"/>
            <w:tcBorders>
              <w:top w:val="single" w:color="000000" w:sz="4" w:space="0"/>
              <w:left w:val="nil"/>
              <w:bottom w:val="nil"/>
              <w:right w:val="nil"/>
            </w:tcBorders>
            <w:shd w:val="clear" w:color="auto" w:fill="FFFFFF"/>
            <w:vAlign w:val="center"/>
          </w:tcPr>
          <w:p w14:paraId="37C5F5FB">
            <w:pPr>
              <w:pStyle w:val="167"/>
              <w:bidi w:val="0"/>
              <w:jc w:val="center"/>
              <w:rPr>
                <w:b w:val="0"/>
                <w:lang w:val="en-US" w:eastAsia="zh-CN"/>
              </w:rPr>
            </w:pPr>
            <w:r>
              <w:rPr>
                <w:b w:val="0"/>
                <w:lang w:val="en-US" w:eastAsia="zh-CN"/>
              </w:rPr>
              <w:t>Bove 2025—mean gait speed</w:t>
            </w:r>
          </w:p>
        </w:tc>
        <w:tc>
          <w:tcPr>
            <w:tcW w:w="1758" w:type="dxa"/>
            <w:tcBorders>
              <w:top w:val="single" w:color="000000" w:sz="4" w:space="0"/>
              <w:left w:val="nil"/>
              <w:bottom w:val="nil"/>
              <w:right w:val="nil"/>
            </w:tcBorders>
            <w:shd w:val="clear" w:color="auto" w:fill="FFFFFF"/>
            <w:vAlign w:val="center"/>
          </w:tcPr>
          <w:p w14:paraId="71409FA9">
            <w:pPr>
              <w:pStyle w:val="167"/>
              <w:bidi w:val="0"/>
              <w:jc w:val="center"/>
              <w:rPr>
                <w:b w:val="0"/>
                <w:lang w:val="en-US" w:eastAsia="zh-CN"/>
              </w:rPr>
            </w:pPr>
            <w:r>
              <w:rPr>
                <w:b w:val="0"/>
                <w:lang w:val="en-US" w:eastAsia="zh-CN"/>
              </w:rPr>
              <w:t>D1</w:t>
            </w:r>
          </w:p>
        </w:tc>
        <w:tc>
          <w:tcPr>
            <w:tcW w:w="1758" w:type="dxa"/>
            <w:tcBorders>
              <w:top w:val="single" w:color="000000" w:sz="4" w:space="0"/>
              <w:left w:val="nil"/>
              <w:bottom w:val="nil"/>
              <w:right w:val="nil"/>
            </w:tcBorders>
            <w:shd w:val="clear" w:color="auto" w:fill="FFFFFF"/>
            <w:vAlign w:val="center"/>
          </w:tcPr>
          <w:p w14:paraId="1FA6658D">
            <w:pPr>
              <w:pStyle w:val="167"/>
              <w:bidi w:val="0"/>
              <w:jc w:val="center"/>
              <w:rPr>
                <w:b w:val="0"/>
                <w:lang w:val="en-US" w:eastAsia="zh-CN"/>
              </w:rPr>
            </w:pPr>
            <w:r>
              <w:rPr>
                <w:b w:val="0"/>
                <w:lang w:val="en-US" w:eastAsia="zh-CN"/>
              </w:rPr>
              <w:t>SC</w:t>
            </w:r>
          </w:p>
        </w:tc>
        <w:tc>
          <w:tcPr>
            <w:tcW w:w="4505" w:type="dxa"/>
            <w:tcBorders>
              <w:top w:val="single" w:color="000000" w:sz="4" w:space="0"/>
              <w:left w:val="nil"/>
              <w:bottom w:val="nil"/>
              <w:right w:val="nil"/>
            </w:tcBorders>
            <w:shd w:val="clear" w:color="auto" w:fill="FFFFFF"/>
            <w:vAlign w:val="center"/>
          </w:tcPr>
          <w:p w14:paraId="66831189">
            <w:pPr>
              <w:pStyle w:val="167"/>
              <w:bidi w:val="0"/>
              <w:jc w:val="center"/>
              <w:rPr>
                <w:b w:val="0"/>
                <w:lang w:val="en-US" w:eastAsia="zh-CN"/>
              </w:rPr>
            </w:pPr>
            <w:r>
              <w:rPr>
                <w:b w:val="0"/>
                <w:lang w:val="en-US" w:eastAsia="zh-CN"/>
              </w:rPr>
              <w:t>Random allocation was reported, but sequence generation and allocation concealment were insufficiently described.</w:t>
            </w:r>
          </w:p>
        </w:tc>
        <w:tc>
          <w:tcPr>
            <w:tcW w:w="4379" w:type="dxa"/>
            <w:tcBorders>
              <w:top w:val="single" w:color="000000" w:sz="4" w:space="0"/>
              <w:left w:val="nil"/>
              <w:bottom w:val="nil"/>
              <w:right w:val="nil"/>
            </w:tcBorders>
            <w:shd w:val="clear" w:color="auto" w:fill="FFFFFF"/>
            <w:vAlign w:val="center"/>
          </w:tcPr>
          <w:p w14:paraId="11C83DE6">
            <w:pPr>
              <w:pStyle w:val="167"/>
              <w:bidi w:val="0"/>
              <w:jc w:val="center"/>
              <w:rPr>
                <w:b w:val="0"/>
                <w:lang w:val="en-US" w:eastAsia="zh-CN"/>
              </w:rPr>
            </w:pPr>
            <w:r>
              <w:rPr>
                <w:b w:val="0"/>
                <w:lang w:val="en-US" w:eastAsia="zh-CN"/>
              </w:rPr>
              <w:t>Trial report</w:t>
            </w:r>
          </w:p>
        </w:tc>
      </w:tr>
      <w:tr w14:paraId="43A4FF2A">
        <w:tc>
          <w:tcPr>
            <w:tcW w:w="1774" w:type="dxa"/>
            <w:tcBorders>
              <w:top w:val="nil"/>
              <w:left w:val="nil"/>
              <w:bottom w:val="nil"/>
              <w:right w:val="nil"/>
            </w:tcBorders>
            <w:shd w:val="clear" w:color="auto" w:fill="FFFFFF"/>
            <w:vAlign w:val="center"/>
          </w:tcPr>
          <w:p w14:paraId="253F6998">
            <w:pPr>
              <w:pStyle w:val="167"/>
              <w:bidi w:val="0"/>
              <w:jc w:val="center"/>
              <w:rPr>
                <w:b w:val="0"/>
                <w:lang w:val="en-US" w:eastAsia="zh-CN"/>
              </w:rPr>
            </w:pPr>
            <w:r>
              <w:rPr>
                <w:b w:val="0"/>
                <w:lang w:val="en-US" w:eastAsia="zh-CN"/>
              </w:rPr>
              <w:t>Bove 2025—mean gait speed</w:t>
            </w:r>
          </w:p>
        </w:tc>
        <w:tc>
          <w:tcPr>
            <w:tcW w:w="1758" w:type="dxa"/>
            <w:tcBorders>
              <w:top w:val="nil"/>
              <w:left w:val="nil"/>
              <w:bottom w:val="nil"/>
              <w:right w:val="nil"/>
            </w:tcBorders>
            <w:shd w:val="clear" w:color="auto" w:fill="FFFFFF"/>
            <w:vAlign w:val="center"/>
          </w:tcPr>
          <w:p w14:paraId="4909D1FF">
            <w:pPr>
              <w:pStyle w:val="167"/>
              <w:bidi w:val="0"/>
              <w:jc w:val="center"/>
              <w:rPr>
                <w:b w:val="0"/>
                <w:lang w:val="en-US" w:eastAsia="zh-CN"/>
              </w:rPr>
            </w:pPr>
            <w:r>
              <w:rPr>
                <w:b w:val="0"/>
                <w:lang w:val="en-US" w:eastAsia="zh-CN"/>
              </w:rPr>
              <w:t>D2</w:t>
            </w:r>
          </w:p>
        </w:tc>
        <w:tc>
          <w:tcPr>
            <w:tcW w:w="1758" w:type="dxa"/>
            <w:tcBorders>
              <w:top w:val="nil"/>
              <w:left w:val="nil"/>
              <w:bottom w:val="nil"/>
              <w:right w:val="nil"/>
            </w:tcBorders>
            <w:shd w:val="clear" w:color="auto" w:fill="FFFFFF"/>
            <w:vAlign w:val="center"/>
          </w:tcPr>
          <w:p w14:paraId="6FA1ED9F">
            <w:pPr>
              <w:pStyle w:val="167"/>
              <w:bidi w:val="0"/>
              <w:jc w:val="center"/>
              <w:rPr>
                <w:b w:val="0"/>
                <w:lang w:val="en-US" w:eastAsia="zh-CN"/>
              </w:rPr>
            </w:pPr>
            <w:r>
              <w:rPr>
                <w:b w:val="0"/>
                <w:lang w:val="en-US" w:eastAsia="zh-CN"/>
              </w:rPr>
              <w:t>SC</w:t>
            </w:r>
          </w:p>
        </w:tc>
        <w:tc>
          <w:tcPr>
            <w:tcW w:w="4505" w:type="dxa"/>
            <w:tcBorders>
              <w:top w:val="nil"/>
              <w:left w:val="nil"/>
              <w:bottom w:val="nil"/>
              <w:right w:val="nil"/>
            </w:tcBorders>
            <w:shd w:val="clear" w:color="auto" w:fill="FFFFFF"/>
            <w:vAlign w:val="center"/>
          </w:tcPr>
          <w:p w14:paraId="3B80D873">
            <w:pPr>
              <w:pStyle w:val="167"/>
              <w:bidi w:val="0"/>
              <w:jc w:val="center"/>
              <w:rPr>
                <w:b w:val="0"/>
                <w:lang w:val="en-US" w:eastAsia="zh-CN"/>
              </w:rPr>
            </w:pPr>
            <w:r>
              <w:rPr>
                <w:b w:val="0"/>
                <w:lang w:val="en-US" w:eastAsia="zh-CN"/>
              </w:rPr>
              <w:t>The comparison was open label, and trial-context deviations could not be excluded.</w:t>
            </w:r>
          </w:p>
        </w:tc>
        <w:tc>
          <w:tcPr>
            <w:tcW w:w="4379" w:type="dxa"/>
            <w:tcBorders>
              <w:top w:val="nil"/>
              <w:left w:val="nil"/>
              <w:bottom w:val="nil"/>
              <w:right w:val="nil"/>
            </w:tcBorders>
            <w:shd w:val="clear" w:color="auto" w:fill="FFFFFF"/>
            <w:vAlign w:val="center"/>
          </w:tcPr>
          <w:p w14:paraId="4370698D">
            <w:pPr>
              <w:pStyle w:val="167"/>
              <w:bidi w:val="0"/>
              <w:jc w:val="center"/>
              <w:rPr>
                <w:b w:val="0"/>
                <w:lang w:val="en-US" w:eastAsia="zh-CN"/>
              </w:rPr>
            </w:pPr>
            <w:r>
              <w:rPr>
                <w:b w:val="0"/>
                <w:lang w:val="en-US" w:eastAsia="zh-CN"/>
              </w:rPr>
              <w:t>Trial report</w:t>
            </w:r>
          </w:p>
        </w:tc>
      </w:tr>
      <w:tr w14:paraId="07282BD7">
        <w:tc>
          <w:tcPr>
            <w:tcW w:w="1774" w:type="dxa"/>
            <w:tcBorders>
              <w:top w:val="nil"/>
              <w:left w:val="nil"/>
              <w:bottom w:val="nil"/>
              <w:right w:val="nil"/>
            </w:tcBorders>
            <w:shd w:val="clear" w:color="auto" w:fill="FFFFFF"/>
            <w:vAlign w:val="center"/>
          </w:tcPr>
          <w:p w14:paraId="03F62F76">
            <w:pPr>
              <w:pStyle w:val="167"/>
              <w:bidi w:val="0"/>
              <w:jc w:val="center"/>
              <w:rPr>
                <w:b w:val="0"/>
                <w:lang w:val="en-US" w:eastAsia="zh-CN"/>
              </w:rPr>
            </w:pPr>
            <w:r>
              <w:rPr>
                <w:b w:val="0"/>
                <w:lang w:val="en-US" w:eastAsia="zh-CN"/>
              </w:rPr>
              <w:t>Bove 2025—mean gait speed</w:t>
            </w:r>
          </w:p>
        </w:tc>
        <w:tc>
          <w:tcPr>
            <w:tcW w:w="1758" w:type="dxa"/>
            <w:tcBorders>
              <w:top w:val="nil"/>
              <w:left w:val="nil"/>
              <w:bottom w:val="nil"/>
              <w:right w:val="nil"/>
            </w:tcBorders>
            <w:shd w:val="clear" w:color="auto" w:fill="FFFFFF"/>
            <w:vAlign w:val="center"/>
          </w:tcPr>
          <w:p w14:paraId="33711E9B">
            <w:pPr>
              <w:pStyle w:val="167"/>
              <w:bidi w:val="0"/>
              <w:jc w:val="center"/>
              <w:rPr>
                <w:b w:val="0"/>
                <w:lang w:val="en-US" w:eastAsia="zh-CN"/>
              </w:rPr>
            </w:pPr>
            <w:r>
              <w:rPr>
                <w:b w:val="0"/>
                <w:lang w:val="en-US" w:eastAsia="zh-CN"/>
              </w:rPr>
              <w:t>D3</w:t>
            </w:r>
          </w:p>
        </w:tc>
        <w:tc>
          <w:tcPr>
            <w:tcW w:w="1758" w:type="dxa"/>
            <w:tcBorders>
              <w:top w:val="nil"/>
              <w:left w:val="nil"/>
              <w:bottom w:val="nil"/>
              <w:right w:val="nil"/>
            </w:tcBorders>
            <w:shd w:val="clear" w:color="auto" w:fill="FFFFFF"/>
            <w:vAlign w:val="center"/>
          </w:tcPr>
          <w:p w14:paraId="2F1DEF5F">
            <w:pPr>
              <w:pStyle w:val="167"/>
              <w:bidi w:val="0"/>
              <w:jc w:val="center"/>
              <w:rPr>
                <w:b w:val="0"/>
                <w:lang w:val="en-US" w:eastAsia="zh-CN"/>
              </w:rPr>
            </w:pPr>
            <w:r>
              <w:rPr>
                <w:b w:val="0"/>
                <w:lang w:val="en-US" w:eastAsia="zh-CN"/>
              </w:rPr>
              <w:t>SC</w:t>
            </w:r>
          </w:p>
        </w:tc>
        <w:tc>
          <w:tcPr>
            <w:tcW w:w="4505" w:type="dxa"/>
            <w:tcBorders>
              <w:top w:val="nil"/>
              <w:left w:val="nil"/>
              <w:bottom w:val="nil"/>
              <w:right w:val="nil"/>
            </w:tcBorders>
            <w:shd w:val="clear" w:color="auto" w:fill="FFFFFF"/>
            <w:vAlign w:val="center"/>
          </w:tcPr>
          <w:p w14:paraId="2677CB7A">
            <w:pPr>
              <w:pStyle w:val="167"/>
              <w:bidi w:val="0"/>
              <w:jc w:val="center"/>
              <w:rPr>
                <w:b w:val="0"/>
                <w:lang w:val="en-US" w:eastAsia="zh-CN"/>
              </w:rPr>
            </w:pPr>
            <w:r>
              <w:rPr>
                <w:b w:val="0"/>
                <w:lang w:val="en-US" w:eastAsia="zh-CN"/>
              </w:rPr>
              <w:t>The small PD subgroup had attrition in both groups, with greater missingness in the paper-HEP group.</w:t>
            </w:r>
          </w:p>
        </w:tc>
        <w:tc>
          <w:tcPr>
            <w:tcW w:w="4379" w:type="dxa"/>
            <w:tcBorders>
              <w:top w:val="nil"/>
              <w:left w:val="nil"/>
              <w:bottom w:val="nil"/>
              <w:right w:val="nil"/>
            </w:tcBorders>
            <w:shd w:val="clear" w:color="auto" w:fill="FFFFFF"/>
            <w:vAlign w:val="center"/>
          </w:tcPr>
          <w:p w14:paraId="78B071E3">
            <w:pPr>
              <w:pStyle w:val="167"/>
              <w:bidi w:val="0"/>
              <w:jc w:val="center"/>
              <w:rPr>
                <w:b w:val="0"/>
                <w:lang w:val="en-US" w:eastAsia="zh-CN"/>
              </w:rPr>
            </w:pPr>
            <w:r>
              <w:rPr>
                <w:b w:val="0"/>
                <w:lang w:val="en-US" w:eastAsia="zh-CN"/>
              </w:rPr>
              <w:t>Trial report</w:t>
            </w:r>
          </w:p>
        </w:tc>
      </w:tr>
      <w:tr w14:paraId="797D1346">
        <w:tc>
          <w:tcPr>
            <w:tcW w:w="1774" w:type="dxa"/>
            <w:tcBorders>
              <w:top w:val="nil"/>
              <w:left w:val="nil"/>
              <w:bottom w:val="nil"/>
              <w:right w:val="nil"/>
            </w:tcBorders>
            <w:shd w:val="clear" w:color="auto" w:fill="FFFFFF"/>
            <w:vAlign w:val="center"/>
          </w:tcPr>
          <w:p w14:paraId="4C02AFAD">
            <w:pPr>
              <w:pStyle w:val="167"/>
              <w:bidi w:val="0"/>
              <w:jc w:val="center"/>
              <w:rPr>
                <w:b w:val="0"/>
                <w:lang w:val="en-US" w:eastAsia="zh-CN"/>
              </w:rPr>
            </w:pPr>
            <w:r>
              <w:rPr>
                <w:b w:val="0"/>
                <w:lang w:val="en-US" w:eastAsia="zh-CN"/>
              </w:rPr>
              <w:t>Bove 2025—mean gait speed</w:t>
            </w:r>
          </w:p>
        </w:tc>
        <w:tc>
          <w:tcPr>
            <w:tcW w:w="1758" w:type="dxa"/>
            <w:tcBorders>
              <w:top w:val="nil"/>
              <w:left w:val="nil"/>
              <w:bottom w:val="nil"/>
              <w:right w:val="nil"/>
            </w:tcBorders>
            <w:shd w:val="clear" w:color="auto" w:fill="FFFFFF"/>
            <w:vAlign w:val="center"/>
          </w:tcPr>
          <w:p w14:paraId="41C9B946">
            <w:pPr>
              <w:pStyle w:val="167"/>
              <w:bidi w:val="0"/>
              <w:jc w:val="center"/>
              <w:rPr>
                <w:b w:val="0"/>
                <w:lang w:val="en-US" w:eastAsia="zh-CN"/>
              </w:rPr>
            </w:pPr>
            <w:r>
              <w:rPr>
                <w:b w:val="0"/>
                <w:lang w:val="en-US" w:eastAsia="zh-CN"/>
              </w:rPr>
              <w:t>D4</w:t>
            </w:r>
          </w:p>
        </w:tc>
        <w:tc>
          <w:tcPr>
            <w:tcW w:w="1758" w:type="dxa"/>
            <w:tcBorders>
              <w:top w:val="nil"/>
              <w:left w:val="nil"/>
              <w:bottom w:val="nil"/>
              <w:right w:val="nil"/>
            </w:tcBorders>
            <w:shd w:val="clear" w:color="auto" w:fill="FFFFFF"/>
            <w:vAlign w:val="center"/>
          </w:tcPr>
          <w:p w14:paraId="55C58D50">
            <w:pPr>
              <w:pStyle w:val="167"/>
              <w:bidi w:val="0"/>
              <w:jc w:val="center"/>
              <w:rPr>
                <w:b w:val="0"/>
                <w:lang w:val="en-US" w:eastAsia="zh-CN"/>
              </w:rPr>
            </w:pPr>
            <w:r>
              <w:rPr>
                <w:b w:val="0"/>
                <w:lang w:val="en-US" w:eastAsia="zh-CN"/>
              </w:rPr>
              <w:t>L</w:t>
            </w:r>
          </w:p>
        </w:tc>
        <w:tc>
          <w:tcPr>
            <w:tcW w:w="4505" w:type="dxa"/>
            <w:tcBorders>
              <w:top w:val="nil"/>
              <w:left w:val="nil"/>
              <w:bottom w:val="nil"/>
              <w:right w:val="nil"/>
            </w:tcBorders>
            <w:shd w:val="clear" w:color="auto" w:fill="FFFFFF"/>
            <w:vAlign w:val="center"/>
          </w:tcPr>
          <w:p w14:paraId="6BCEDE22">
            <w:pPr>
              <w:pStyle w:val="167"/>
              <w:bidi w:val="0"/>
              <w:jc w:val="center"/>
              <w:rPr>
                <w:b w:val="0"/>
                <w:lang w:val="en-US" w:eastAsia="zh-CN"/>
              </w:rPr>
            </w:pPr>
            <w:r>
              <w:rPr>
                <w:b w:val="0"/>
                <w:lang w:val="en-US" w:eastAsia="zh-CN"/>
              </w:rPr>
              <w:t>Gait speed was instrumentally measured using the same method in both groups.</w:t>
            </w:r>
          </w:p>
        </w:tc>
        <w:tc>
          <w:tcPr>
            <w:tcW w:w="4379" w:type="dxa"/>
            <w:tcBorders>
              <w:top w:val="nil"/>
              <w:left w:val="nil"/>
              <w:bottom w:val="nil"/>
              <w:right w:val="nil"/>
            </w:tcBorders>
            <w:shd w:val="clear" w:color="auto" w:fill="FFFFFF"/>
            <w:vAlign w:val="center"/>
          </w:tcPr>
          <w:p w14:paraId="1979C7BC">
            <w:pPr>
              <w:pStyle w:val="167"/>
              <w:bidi w:val="0"/>
              <w:jc w:val="center"/>
              <w:rPr>
                <w:b w:val="0"/>
                <w:lang w:val="en-US" w:eastAsia="zh-CN"/>
              </w:rPr>
            </w:pPr>
            <w:r>
              <w:rPr>
                <w:b w:val="0"/>
                <w:lang w:val="en-US" w:eastAsia="zh-CN"/>
              </w:rPr>
              <w:t>Trial report</w:t>
            </w:r>
          </w:p>
        </w:tc>
      </w:tr>
      <w:tr w14:paraId="76B1B1B4">
        <w:tc>
          <w:tcPr>
            <w:tcW w:w="1774" w:type="dxa"/>
            <w:tcBorders>
              <w:top w:val="nil"/>
              <w:left w:val="nil"/>
              <w:bottom w:val="single" w:color="000000" w:sz="12" w:space="0"/>
              <w:right w:val="nil"/>
            </w:tcBorders>
            <w:shd w:val="clear" w:color="auto" w:fill="FFFFFF"/>
            <w:vAlign w:val="center"/>
          </w:tcPr>
          <w:p w14:paraId="360709C1">
            <w:pPr>
              <w:pStyle w:val="167"/>
              <w:bidi w:val="0"/>
              <w:jc w:val="center"/>
              <w:rPr>
                <w:b w:val="0"/>
                <w:lang w:val="en-US" w:eastAsia="zh-CN"/>
              </w:rPr>
            </w:pPr>
            <w:r>
              <w:rPr>
                <w:b w:val="0"/>
                <w:lang w:val="en-US" w:eastAsia="zh-CN"/>
              </w:rPr>
              <w:t>Bove 2025—mean gait speed</w:t>
            </w:r>
          </w:p>
        </w:tc>
        <w:tc>
          <w:tcPr>
            <w:tcW w:w="1758" w:type="dxa"/>
            <w:tcBorders>
              <w:top w:val="nil"/>
              <w:left w:val="nil"/>
              <w:bottom w:val="single" w:color="000000" w:sz="12" w:space="0"/>
              <w:right w:val="nil"/>
            </w:tcBorders>
            <w:shd w:val="clear" w:color="auto" w:fill="FFFFFF"/>
            <w:vAlign w:val="center"/>
          </w:tcPr>
          <w:p w14:paraId="36BE8C79">
            <w:pPr>
              <w:pStyle w:val="167"/>
              <w:bidi w:val="0"/>
              <w:jc w:val="center"/>
              <w:rPr>
                <w:b w:val="0"/>
                <w:lang w:val="en-US" w:eastAsia="zh-CN"/>
              </w:rPr>
            </w:pPr>
            <w:r>
              <w:rPr>
                <w:b w:val="0"/>
                <w:lang w:val="en-US" w:eastAsia="zh-CN"/>
              </w:rPr>
              <w:t>D5</w:t>
            </w:r>
          </w:p>
        </w:tc>
        <w:tc>
          <w:tcPr>
            <w:tcW w:w="1758" w:type="dxa"/>
            <w:tcBorders>
              <w:top w:val="nil"/>
              <w:left w:val="nil"/>
              <w:bottom w:val="single" w:color="000000" w:sz="12" w:space="0"/>
              <w:right w:val="nil"/>
            </w:tcBorders>
            <w:shd w:val="clear" w:color="auto" w:fill="FFFFFF"/>
            <w:vAlign w:val="center"/>
          </w:tcPr>
          <w:p w14:paraId="6D7B495D">
            <w:pPr>
              <w:pStyle w:val="167"/>
              <w:bidi w:val="0"/>
              <w:jc w:val="center"/>
              <w:rPr>
                <w:b w:val="0"/>
                <w:lang w:val="en-US" w:eastAsia="zh-CN"/>
              </w:rPr>
            </w:pPr>
            <w:r>
              <w:rPr>
                <w:b w:val="0"/>
                <w:lang w:val="en-US" w:eastAsia="zh-CN"/>
              </w:rPr>
              <w:t>SC</w:t>
            </w:r>
          </w:p>
        </w:tc>
        <w:tc>
          <w:tcPr>
            <w:tcW w:w="4505" w:type="dxa"/>
            <w:tcBorders>
              <w:top w:val="nil"/>
              <w:left w:val="nil"/>
              <w:bottom w:val="single" w:color="000000" w:sz="12" w:space="0"/>
              <w:right w:val="nil"/>
            </w:tcBorders>
            <w:shd w:val="clear" w:color="auto" w:fill="FFFFFF"/>
            <w:vAlign w:val="center"/>
          </w:tcPr>
          <w:p w14:paraId="77849DD6">
            <w:pPr>
              <w:pStyle w:val="167"/>
              <w:bidi w:val="0"/>
              <w:jc w:val="center"/>
              <w:rPr>
                <w:b w:val="0"/>
                <w:lang w:val="en-US" w:eastAsia="zh-CN"/>
              </w:rPr>
            </w:pPr>
            <w:r>
              <w:rPr>
                <w:b w:val="0"/>
                <w:lang w:val="en-US" w:eastAsia="zh-CN"/>
              </w:rPr>
              <w:t>No prospective SAP fixing the selected PD-subgroup gait analysis was identified.</w:t>
            </w:r>
          </w:p>
        </w:tc>
        <w:tc>
          <w:tcPr>
            <w:tcW w:w="4379" w:type="dxa"/>
            <w:tcBorders>
              <w:top w:val="nil"/>
              <w:left w:val="nil"/>
              <w:bottom w:val="single" w:color="000000" w:sz="12" w:space="0"/>
              <w:right w:val="nil"/>
            </w:tcBorders>
            <w:shd w:val="clear" w:color="auto" w:fill="FFFFFF"/>
            <w:vAlign w:val="center"/>
          </w:tcPr>
          <w:p w14:paraId="3FE3D717">
            <w:pPr>
              <w:pStyle w:val="167"/>
              <w:bidi w:val="0"/>
              <w:jc w:val="center"/>
              <w:rPr>
                <w:b w:val="0"/>
                <w:lang w:val="en-US" w:eastAsia="zh-CN"/>
              </w:rPr>
            </w:pPr>
            <w:r>
              <w:rPr>
                <w:b w:val="0"/>
                <w:lang w:val="en-US" w:eastAsia="zh-CN"/>
              </w:rPr>
              <w:t>Report/registry search</w:t>
            </w:r>
          </w:p>
        </w:tc>
      </w:tr>
    </w:tbl>
    <w:p w14:paraId="6BA72D21">
      <w:pPr>
        <w:rPr>
          <w:lang w:val="en-US" w:eastAsia="zh-CN"/>
        </w:rPr>
      </w:pPr>
    </w:p>
    <w:p w14:paraId="4122CF1D">
      <w:pPr>
        <w:pStyle w:val="4"/>
        <w:bidi w:val="0"/>
        <w:rPr>
          <w:lang w:val="en-US" w:eastAsia="zh-CN"/>
        </w:rPr>
      </w:pPr>
      <w:r>
        <w:rPr>
          <w:lang w:val="en-US" w:eastAsia="zh-CN"/>
        </w:rPr>
        <w:t>Supplementary Figure S</w:t>
      </w:r>
      <w:r>
        <w:rPr>
          <w:rFonts w:hint="default"/>
          <w:lang w:val="en-US" w:eastAsia="zh-CN"/>
        </w:rPr>
        <w:t>1</w:t>
      </w:r>
      <w:r>
        <w:rPr>
          <w:lang w:val="en-US" w:eastAsia="zh-CN"/>
        </w:rPr>
        <w:t>. RoB 2 traffic-light plot</w:t>
      </w:r>
    </w:p>
    <w:p w14:paraId="188B2D48">
      <w:pPr>
        <w:bidi w:val="0"/>
        <w:rPr>
          <w:rFonts w:hint="eastAsia"/>
        </w:rPr>
      </w:pPr>
    </w:p>
    <w:p w14:paraId="2F193A36">
      <w:r>
        <w:drawing>
          <wp:inline distT="0" distB="0" distL="114300" distR="114300">
            <wp:extent cx="2820670" cy="5218430"/>
            <wp:effectExtent l="0" t="0" r="24130" b="13970"/>
            <wp:docPr id="1" name="图片 1" descr="/Users/estrella/Library/Containers/com.kingsoft.wpsoffice.mac/Data/tmp/picturecompress_2026081022202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estrella/Library/Containers/com.kingsoft.wpsoffice.mac/Data/tmp/picturecompress_20260810222029/output_1.jpgoutput_1"/>
                    <pic:cNvPicPr>
                      <a:picLocks noChangeAspect="1"/>
                    </pic:cNvPicPr>
                  </pic:nvPicPr>
                  <pic:blipFill>
                    <a:blip r:embed="rId6"/>
                    <a:stretch>
                      <a:fillRect/>
                    </a:stretch>
                  </pic:blipFill>
                  <pic:spPr>
                    <a:xfrm>
                      <a:off x="0" y="0"/>
                      <a:ext cx="2820670" cy="5218430"/>
                    </a:xfrm>
                    <a:prstGeom prst="rect">
                      <a:avLst/>
                    </a:prstGeom>
                  </pic:spPr>
                </pic:pic>
              </a:graphicData>
            </a:graphic>
          </wp:inline>
        </w:drawing>
      </w:r>
    </w:p>
    <w:p w14:paraId="58FC2BD6">
      <w:pPr>
        <w:pStyle w:val="3"/>
        <w:bidi w:val="0"/>
        <w:rPr>
          <w:lang w:val="en-US" w:eastAsia="zh-CN"/>
        </w:rPr>
      </w:pPr>
      <w:r>
        <w:rPr>
          <w:lang w:val="en-US" w:eastAsia="zh-CN"/>
        </w:rPr>
        <w:t>Supplementary Table S5. GRADE evidence profile for comparator-specific primary outcomes</w:t>
      </w:r>
      <w:bookmarkStart w:id="0" w:name="_GoBack"/>
      <w:bookmarkEnd w:id="0"/>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495"/>
        <w:gridCol w:w="1712"/>
        <w:gridCol w:w="1076"/>
        <w:gridCol w:w="1212"/>
        <w:gridCol w:w="970"/>
        <w:gridCol w:w="1434"/>
        <w:gridCol w:w="1152"/>
        <w:gridCol w:w="1212"/>
        <w:gridCol w:w="1525"/>
        <w:gridCol w:w="998"/>
      </w:tblGrid>
      <w:tr w14:paraId="7247AA92">
        <w:trPr>
          <w:cantSplit/>
        </w:trPr>
        <w:tc>
          <w:tcPr>
            <w:tcW w:w="1369" w:type="dxa"/>
            <w:tcBorders>
              <w:top w:val="single" w:color="000000" w:sz="12" w:space="0"/>
              <w:left w:val="nil"/>
              <w:bottom w:val="single" w:color="000000" w:sz="4" w:space="0"/>
              <w:right w:val="nil"/>
              <w:tl2br w:val="nil"/>
            </w:tcBorders>
            <w:shd w:val="clear" w:color="auto" w:fill="FFFFFF"/>
            <w:vAlign w:val="center"/>
          </w:tcPr>
          <w:p w14:paraId="491B36F0">
            <w:pPr>
              <w:pStyle w:val="167"/>
              <w:bidi w:val="0"/>
              <w:rPr>
                <w:lang w:val="en-US" w:eastAsia="zh-CN"/>
              </w:rPr>
            </w:pPr>
            <w:r>
              <w:rPr>
                <w:lang w:val="en-US" w:eastAsia="zh-CN"/>
              </w:rPr>
              <w:t>Comparator</w:t>
            </w:r>
          </w:p>
        </w:tc>
        <w:tc>
          <w:tcPr>
            <w:tcW w:w="1495" w:type="dxa"/>
            <w:tcBorders>
              <w:top w:val="single" w:color="000000" w:sz="12" w:space="0"/>
              <w:left w:val="nil"/>
              <w:bottom w:val="single" w:color="000000" w:sz="4" w:space="0"/>
              <w:right w:val="nil"/>
            </w:tcBorders>
            <w:shd w:val="clear" w:color="auto" w:fill="FFFFFF"/>
            <w:vAlign w:val="center"/>
          </w:tcPr>
          <w:p w14:paraId="2AC520CD">
            <w:pPr>
              <w:pStyle w:val="167"/>
              <w:bidi w:val="0"/>
              <w:rPr>
                <w:lang w:val="en-US" w:eastAsia="zh-CN"/>
              </w:rPr>
            </w:pPr>
            <w:r>
              <w:rPr>
                <w:lang w:val="en-US" w:eastAsia="zh-CN"/>
              </w:rPr>
              <w:t>Outcome</w:t>
            </w:r>
          </w:p>
        </w:tc>
        <w:tc>
          <w:tcPr>
            <w:tcW w:w="1712" w:type="dxa"/>
            <w:tcBorders>
              <w:top w:val="single" w:color="000000" w:sz="12" w:space="0"/>
              <w:left w:val="nil"/>
              <w:bottom w:val="single" w:color="000000" w:sz="4" w:space="0"/>
              <w:right w:val="nil"/>
            </w:tcBorders>
            <w:shd w:val="clear" w:color="auto" w:fill="FFFFFF"/>
            <w:vAlign w:val="center"/>
          </w:tcPr>
          <w:p w14:paraId="4D2E109D">
            <w:pPr>
              <w:pStyle w:val="167"/>
              <w:bidi w:val="0"/>
              <w:rPr>
                <w:lang w:val="en-US" w:eastAsia="zh-CN"/>
              </w:rPr>
            </w:pPr>
            <w:r>
              <w:rPr>
                <w:lang w:val="en-US" w:eastAsia="zh-CN"/>
              </w:rPr>
              <w:t>Studies/participants</w:t>
            </w:r>
          </w:p>
        </w:tc>
        <w:tc>
          <w:tcPr>
            <w:tcW w:w="1076" w:type="dxa"/>
            <w:tcBorders>
              <w:top w:val="single" w:color="000000" w:sz="12" w:space="0"/>
              <w:left w:val="nil"/>
              <w:bottom w:val="single" w:color="000000" w:sz="4" w:space="0"/>
              <w:right w:val="nil"/>
            </w:tcBorders>
            <w:shd w:val="clear" w:color="auto" w:fill="FFFFFF"/>
            <w:vAlign w:val="center"/>
          </w:tcPr>
          <w:p w14:paraId="2F535A6C">
            <w:pPr>
              <w:pStyle w:val="167"/>
              <w:bidi w:val="0"/>
              <w:rPr>
                <w:lang w:val="en-US" w:eastAsia="zh-CN"/>
              </w:rPr>
            </w:pPr>
            <w:r>
              <w:rPr>
                <w:lang w:val="en-US" w:eastAsia="zh-CN"/>
              </w:rPr>
              <w:t>Effect estimate</w:t>
            </w:r>
          </w:p>
        </w:tc>
        <w:tc>
          <w:tcPr>
            <w:tcW w:w="1212" w:type="dxa"/>
            <w:tcBorders>
              <w:top w:val="single" w:color="000000" w:sz="12" w:space="0"/>
              <w:left w:val="nil"/>
              <w:bottom w:val="single" w:color="000000" w:sz="4" w:space="0"/>
              <w:right w:val="nil"/>
            </w:tcBorders>
            <w:shd w:val="clear" w:color="auto" w:fill="FFFFFF"/>
            <w:vAlign w:val="center"/>
          </w:tcPr>
          <w:p w14:paraId="49E35CEA">
            <w:pPr>
              <w:pStyle w:val="167"/>
              <w:bidi w:val="0"/>
              <w:rPr>
                <w:lang w:val="en-US" w:eastAsia="zh-CN"/>
              </w:rPr>
            </w:pPr>
            <w:r>
              <w:rPr>
                <w:lang w:val="en-US" w:eastAsia="zh-CN"/>
              </w:rPr>
              <w:t>Heterogeneity</w:t>
            </w:r>
          </w:p>
        </w:tc>
        <w:tc>
          <w:tcPr>
            <w:tcW w:w="970" w:type="dxa"/>
            <w:tcBorders>
              <w:top w:val="single" w:color="000000" w:sz="12" w:space="0"/>
              <w:left w:val="nil"/>
              <w:bottom w:val="single" w:color="000000" w:sz="4" w:space="0"/>
              <w:right w:val="nil"/>
            </w:tcBorders>
            <w:shd w:val="clear" w:color="auto" w:fill="FFFFFF"/>
            <w:vAlign w:val="center"/>
          </w:tcPr>
          <w:p w14:paraId="6B708987">
            <w:pPr>
              <w:pStyle w:val="167"/>
              <w:bidi w:val="0"/>
              <w:rPr>
                <w:lang w:val="en-US" w:eastAsia="zh-CN"/>
              </w:rPr>
            </w:pPr>
            <w:r>
              <w:rPr>
                <w:lang w:val="en-US" w:eastAsia="zh-CN"/>
              </w:rPr>
              <w:t>Risk of bias</w:t>
            </w:r>
          </w:p>
        </w:tc>
        <w:tc>
          <w:tcPr>
            <w:tcW w:w="1434" w:type="dxa"/>
            <w:tcBorders>
              <w:top w:val="single" w:color="000000" w:sz="12" w:space="0"/>
              <w:left w:val="nil"/>
              <w:bottom w:val="single" w:color="000000" w:sz="4" w:space="0"/>
              <w:right w:val="nil"/>
            </w:tcBorders>
            <w:shd w:val="clear" w:color="auto" w:fill="FFFFFF"/>
            <w:vAlign w:val="center"/>
          </w:tcPr>
          <w:p w14:paraId="463039AE">
            <w:pPr>
              <w:pStyle w:val="167"/>
              <w:bidi w:val="0"/>
              <w:rPr>
                <w:lang w:val="en-US" w:eastAsia="zh-CN"/>
              </w:rPr>
            </w:pPr>
            <w:r>
              <w:rPr>
                <w:lang w:val="en-US" w:eastAsia="zh-CN"/>
              </w:rPr>
              <w:t>Inconsistency</w:t>
            </w:r>
          </w:p>
        </w:tc>
        <w:tc>
          <w:tcPr>
            <w:tcW w:w="1152" w:type="dxa"/>
            <w:tcBorders>
              <w:top w:val="single" w:color="000000" w:sz="12" w:space="0"/>
              <w:left w:val="nil"/>
              <w:bottom w:val="single" w:color="000000" w:sz="4" w:space="0"/>
              <w:right w:val="nil"/>
            </w:tcBorders>
            <w:shd w:val="clear" w:color="auto" w:fill="FFFFFF"/>
            <w:vAlign w:val="center"/>
          </w:tcPr>
          <w:p w14:paraId="6DA8A504">
            <w:pPr>
              <w:pStyle w:val="167"/>
              <w:bidi w:val="0"/>
              <w:rPr>
                <w:lang w:val="en-US" w:eastAsia="zh-CN"/>
              </w:rPr>
            </w:pPr>
            <w:r>
              <w:rPr>
                <w:lang w:val="en-US" w:eastAsia="zh-CN"/>
              </w:rPr>
              <w:t>Indirectness</w:t>
            </w:r>
          </w:p>
        </w:tc>
        <w:tc>
          <w:tcPr>
            <w:tcW w:w="1212" w:type="dxa"/>
            <w:tcBorders>
              <w:top w:val="single" w:color="000000" w:sz="12" w:space="0"/>
              <w:left w:val="nil"/>
              <w:bottom w:val="single" w:color="000000" w:sz="4" w:space="0"/>
              <w:right w:val="nil"/>
            </w:tcBorders>
            <w:shd w:val="clear" w:color="auto" w:fill="FFFFFF"/>
            <w:vAlign w:val="center"/>
          </w:tcPr>
          <w:p w14:paraId="02188A72">
            <w:pPr>
              <w:pStyle w:val="167"/>
              <w:bidi w:val="0"/>
              <w:rPr>
                <w:lang w:val="en-US" w:eastAsia="zh-CN"/>
              </w:rPr>
            </w:pPr>
            <w:r>
              <w:rPr>
                <w:lang w:val="en-US" w:eastAsia="zh-CN"/>
              </w:rPr>
              <w:t>Imprecision</w:t>
            </w:r>
          </w:p>
        </w:tc>
        <w:tc>
          <w:tcPr>
            <w:tcW w:w="1525" w:type="dxa"/>
            <w:tcBorders>
              <w:top w:val="single" w:color="000000" w:sz="12" w:space="0"/>
              <w:left w:val="nil"/>
              <w:bottom w:val="single" w:color="000000" w:sz="4" w:space="0"/>
              <w:right w:val="nil"/>
            </w:tcBorders>
            <w:shd w:val="clear" w:color="auto" w:fill="FFFFFF"/>
            <w:vAlign w:val="center"/>
          </w:tcPr>
          <w:p w14:paraId="007D93AC">
            <w:pPr>
              <w:pStyle w:val="167"/>
              <w:bidi w:val="0"/>
              <w:rPr>
                <w:lang w:val="en-US" w:eastAsia="zh-CN"/>
              </w:rPr>
            </w:pPr>
            <w:r>
              <w:rPr>
                <w:lang w:val="en-US" w:eastAsia="zh-CN"/>
              </w:rPr>
              <w:t>Publication bias</w:t>
            </w:r>
          </w:p>
        </w:tc>
        <w:tc>
          <w:tcPr>
            <w:tcW w:w="998" w:type="dxa"/>
            <w:tcBorders>
              <w:top w:val="single" w:color="000000" w:sz="12" w:space="0"/>
              <w:left w:val="nil"/>
              <w:bottom w:val="single" w:color="000000" w:sz="4" w:space="0"/>
              <w:right w:val="nil"/>
            </w:tcBorders>
            <w:shd w:val="clear" w:color="auto" w:fill="FFFFFF"/>
            <w:vAlign w:val="center"/>
          </w:tcPr>
          <w:p w14:paraId="6555E73F">
            <w:pPr>
              <w:pStyle w:val="167"/>
              <w:bidi w:val="0"/>
              <w:rPr>
                <w:lang w:val="en-US" w:eastAsia="zh-CN"/>
              </w:rPr>
            </w:pPr>
            <w:r>
              <w:rPr>
                <w:lang w:val="en-US" w:eastAsia="zh-CN"/>
              </w:rPr>
              <w:t>Certainty</w:t>
            </w:r>
          </w:p>
        </w:tc>
      </w:tr>
      <w:tr w14:paraId="1FE0179E">
        <w:trPr>
          <w:cantSplit/>
        </w:trPr>
        <w:tc>
          <w:tcPr>
            <w:tcW w:w="1369" w:type="dxa"/>
            <w:tcBorders>
              <w:top w:val="single" w:color="000000" w:sz="4" w:space="0"/>
              <w:left w:val="nil"/>
              <w:bottom w:val="nil"/>
              <w:right w:val="nil"/>
            </w:tcBorders>
            <w:shd w:val="clear" w:color="auto" w:fill="FFFFFF"/>
            <w:vAlign w:val="center"/>
          </w:tcPr>
          <w:p w14:paraId="358F48F4">
            <w:pPr>
              <w:pStyle w:val="167"/>
              <w:bidi w:val="0"/>
              <w:rPr>
                <w:lang w:val="en-US" w:eastAsia="zh-CN"/>
              </w:rPr>
            </w:pPr>
            <w:r>
              <w:rPr>
                <w:lang w:val="en-US" w:eastAsia="zh-CN"/>
              </w:rPr>
              <w:t>Passive/minimal control</w:t>
            </w:r>
          </w:p>
        </w:tc>
        <w:tc>
          <w:tcPr>
            <w:tcW w:w="1495" w:type="dxa"/>
            <w:tcBorders>
              <w:top w:val="single" w:color="000000" w:sz="4" w:space="0"/>
              <w:left w:val="nil"/>
              <w:bottom w:val="nil"/>
              <w:right w:val="nil"/>
            </w:tcBorders>
            <w:shd w:val="clear" w:color="auto" w:fill="FFFFFF"/>
            <w:vAlign w:val="center"/>
          </w:tcPr>
          <w:p w14:paraId="6A34D8F6">
            <w:pPr>
              <w:pStyle w:val="167"/>
              <w:bidi w:val="0"/>
              <w:rPr>
                <w:lang w:val="en-US" w:eastAsia="zh-CN"/>
              </w:rPr>
            </w:pPr>
            <w:r>
              <w:rPr>
                <w:lang w:val="en-US" w:eastAsia="zh-CN"/>
              </w:rPr>
              <w:t>MDS-UPDRS III/UPDRS III</w:t>
            </w:r>
          </w:p>
        </w:tc>
        <w:tc>
          <w:tcPr>
            <w:tcW w:w="1712" w:type="dxa"/>
            <w:tcBorders>
              <w:top w:val="single" w:color="000000" w:sz="4" w:space="0"/>
              <w:left w:val="nil"/>
              <w:bottom w:val="nil"/>
              <w:right w:val="nil"/>
            </w:tcBorders>
            <w:shd w:val="clear" w:color="auto" w:fill="FFFFFF"/>
            <w:vAlign w:val="center"/>
          </w:tcPr>
          <w:p w14:paraId="6C32C15F">
            <w:pPr>
              <w:pStyle w:val="167"/>
              <w:bidi w:val="0"/>
              <w:rPr>
                <w:lang w:val="en-US" w:eastAsia="zh-CN"/>
              </w:rPr>
            </w:pPr>
            <w:r>
              <w:rPr>
                <w:lang w:val="en-US" w:eastAsia="zh-CN"/>
              </w:rPr>
              <w:t>2 RCTs/31</w:t>
            </w:r>
          </w:p>
        </w:tc>
        <w:tc>
          <w:tcPr>
            <w:tcW w:w="1076" w:type="dxa"/>
            <w:tcBorders>
              <w:top w:val="single" w:color="000000" w:sz="4" w:space="0"/>
              <w:left w:val="nil"/>
              <w:bottom w:val="nil"/>
              <w:right w:val="nil"/>
            </w:tcBorders>
            <w:shd w:val="clear" w:color="auto" w:fill="FFFFFF"/>
            <w:vAlign w:val="center"/>
          </w:tcPr>
          <w:p w14:paraId="7058BFAD">
            <w:pPr>
              <w:pStyle w:val="167"/>
              <w:bidi w:val="0"/>
              <w:rPr>
                <w:lang w:val="en-US" w:eastAsia="zh-CN"/>
              </w:rPr>
            </w:pPr>
            <w:r>
              <w:rPr>
                <w:lang w:val="en-US" w:eastAsia="zh-CN"/>
              </w:rPr>
              <w:t>g=0.31 (95% CI −4.31 to 4.93)</w:t>
            </w:r>
          </w:p>
        </w:tc>
        <w:tc>
          <w:tcPr>
            <w:tcW w:w="1212" w:type="dxa"/>
            <w:tcBorders>
              <w:top w:val="single" w:color="000000" w:sz="4" w:space="0"/>
              <w:left w:val="nil"/>
              <w:bottom w:val="nil"/>
              <w:right w:val="nil"/>
            </w:tcBorders>
            <w:shd w:val="clear" w:color="auto" w:fill="FFFFFF"/>
            <w:vAlign w:val="center"/>
          </w:tcPr>
          <w:p w14:paraId="49E36E86">
            <w:pPr>
              <w:pStyle w:val="167"/>
              <w:bidi w:val="0"/>
              <w:rPr>
                <w:lang w:val="en-US" w:eastAsia="zh-CN"/>
              </w:rPr>
            </w:pPr>
            <w:r>
              <w:rPr>
                <w:lang w:val="en-US" w:eastAsia="zh-CN"/>
              </w:rPr>
              <w:t>I²=0.0%; τ²=0.000</w:t>
            </w:r>
          </w:p>
        </w:tc>
        <w:tc>
          <w:tcPr>
            <w:tcW w:w="970" w:type="dxa"/>
            <w:tcBorders>
              <w:top w:val="single" w:color="000000" w:sz="4" w:space="0"/>
              <w:left w:val="nil"/>
              <w:bottom w:val="nil"/>
              <w:right w:val="nil"/>
            </w:tcBorders>
            <w:shd w:val="clear" w:color="auto" w:fill="FFFFFF"/>
            <w:vAlign w:val="center"/>
          </w:tcPr>
          <w:p w14:paraId="331E7D51">
            <w:pPr>
              <w:pStyle w:val="167"/>
              <w:bidi w:val="0"/>
              <w:rPr>
                <w:lang w:val="en-US" w:eastAsia="zh-CN"/>
              </w:rPr>
            </w:pPr>
            <w:r>
              <w:rPr>
                <w:lang w:val="en-US" w:eastAsia="zh-CN"/>
              </w:rPr>
              <w:t>Serious (−1)</w:t>
            </w:r>
          </w:p>
        </w:tc>
        <w:tc>
          <w:tcPr>
            <w:tcW w:w="1434" w:type="dxa"/>
            <w:tcBorders>
              <w:top w:val="single" w:color="000000" w:sz="4" w:space="0"/>
              <w:left w:val="nil"/>
              <w:bottom w:val="nil"/>
              <w:right w:val="nil"/>
            </w:tcBorders>
            <w:shd w:val="clear" w:color="auto" w:fill="FFFFFF"/>
            <w:vAlign w:val="center"/>
          </w:tcPr>
          <w:p w14:paraId="0C9AF275">
            <w:pPr>
              <w:pStyle w:val="167"/>
              <w:bidi w:val="0"/>
              <w:rPr>
                <w:lang w:val="en-US" w:eastAsia="zh-CN"/>
              </w:rPr>
            </w:pPr>
            <w:r>
              <w:rPr>
                <w:lang w:val="en-US" w:eastAsia="zh-CN"/>
              </w:rPr>
              <w:t>Not serious</w:t>
            </w:r>
          </w:p>
        </w:tc>
        <w:tc>
          <w:tcPr>
            <w:tcW w:w="1152" w:type="dxa"/>
            <w:tcBorders>
              <w:top w:val="single" w:color="000000" w:sz="4" w:space="0"/>
              <w:left w:val="nil"/>
              <w:bottom w:val="nil"/>
              <w:right w:val="nil"/>
            </w:tcBorders>
            <w:shd w:val="clear" w:color="auto" w:fill="FFFFFF"/>
            <w:vAlign w:val="center"/>
          </w:tcPr>
          <w:p w14:paraId="03BD1B1A">
            <w:pPr>
              <w:pStyle w:val="167"/>
              <w:bidi w:val="0"/>
              <w:rPr>
                <w:lang w:val="en-US" w:eastAsia="zh-CN"/>
              </w:rPr>
            </w:pPr>
            <w:r>
              <w:rPr>
                <w:lang w:val="en-US" w:eastAsia="zh-CN"/>
              </w:rPr>
              <w:t>Not serious</w:t>
            </w:r>
          </w:p>
        </w:tc>
        <w:tc>
          <w:tcPr>
            <w:tcW w:w="1212" w:type="dxa"/>
            <w:tcBorders>
              <w:top w:val="single" w:color="000000" w:sz="4" w:space="0"/>
              <w:left w:val="nil"/>
              <w:bottom w:val="nil"/>
              <w:right w:val="nil"/>
            </w:tcBorders>
            <w:shd w:val="clear" w:color="auto" w:fill="FFFFFF"/>
            <w:vAlign w:val="center"/>
          </w:tcPr>
          <w:p w14:paraId="50749494">
            <w:pPr>
              <w:pStyle w:val="167"/>
              <w:bidi w:val="0"/>
              <w:rPr>
                <w:lang w:val="en-US" w:eastAsia="zh-CN"/>
              </w:rPr>
            </w:pPr>
            <w:r>
              <w:rPr>
                <w:lang w:val="en-US" w:eastAsia="zh-CN"/>
              </w:rPr>
              <w:t>Very serious (−2)</w:t>
            </w:r>
          </w:p>
        </w:tc>
        <w:tc>
          <w:tcPr>
            <w:tcW w:w="1525" w:type="dxa"/>
            <w:tcBorders>
              <w:top w:val="single" w:color="000000" w:sz="4" w:space="0"/>
              <w:left w:val="nil"/>
              <w:bottom w:val="nil"/>
              <w:right w:val="nil"/>
            </w:tcBorders>
            <w:shd w:val="clear" w:color="auto" w:fill="FFFFFF"/>
            <w:vAlign w:val="center"/>
          </w:tcPr>
          <w:p w14:paraId="54AF3CB9">
            <w:pPr>
              <w:pStyle w:val="167"/>
              <w:bidi w:val="0"/>
              <w:rPr>
                <w:lang w:val="en-US" w:eastAsia="zh-CN"/>
              </w:rPr>
            </w:pPr>
            <w:r>
              <w:rPr>
                <w:lang w:val="en-US" w:eastAsia="zh-CN"/>
              </w:rPr>
              <w:t>Not formally assessed; not downgraded</w:t>
            </w:r>
          </w:p>
        </w:tc>
        <w:tc>
          <w:tcPr>
            <w:tcW w:w="998" w:type="dxa"/>
            <w:tcBorders>
              <w:top w:val="single" w:color="000000" w:sz="4" w:space="0"/>
              <w:left w:val="nil"/>
              <w:bottom w:val="nil"/>
              <w:right w:val="nil"/>
            </w:tcBorders>
            <w:shd w:val="clear" w:color="auto" w:fill="FFFFFF"/>
            <w:vAlign w:val="center"/>
          </w:tcPr>
          <w:p w14:paraId="0166B0A9">
            <w:pPr>
              <w:pStyle w:val="167"/>
              <w:bidi w:val="0"/>
              <w:rPr>
                <w:lang w:val="en-US" w:eastAsia="zh-CN"/>
              </w:rPr>
            </w:pPr>
            <w:r>
              <w:rPr>
                <w:lang w:val="en-US" w:eastAsia="zh-CN"/>
              </w:rPr>
              <w:t>⊕◯◯◯ Very low</w:t>
            </w:r>
          </w:p>
        </w:tc>
      </w:tr>
      <w:tr w14:paraId="11352580">
        <w:trPr>
          <w:cantSplit/>
        </w:trPr>
        <w:tc>
          <w:tcPr>
            <w:tcW w:w="1369" w:type="dxa"/>
            <w:tcBorders>
              <w:top w:val="nil"/>
              <w:left w:val="nil"/>
              <w:bottom w:val="nil"/>
              <w:right w:val="nil"/>
            </w:tcBorders>
            <w:shd w:val="clear" w:color="auto" w:fill="FFFFFF"/>
            <w:vAlign w:val="center"/>
          </w:tcPr>
          <w:p w14:paraId="457EE0E6">
            <w:pPr>
              <w:pStyle w:val="167"/>
              <w:bidi w:val="0"/>
              <w:rPr>
                <w:lang w:val="en-US" w:eastAsia="zh-CN"/>
              </w:rPr>
            </w:pPr>
            <w:r>
              <w:rPr>
                <w:lang w:val="en-US" w:eastAsia="zh-CN"/>
              </w:rPr>
              <w:t>Ordinary home exercise</w:t>
            </w:r>
          </w:p>
        </w:tc>
        <w:tc>
          <w:tcPr>
            <w:tcW w:w="1495" w:type="dxa"/>
            <w:tcBorders>
              <w:top w:val="nil"/>
              <w:left w:val="nil"/>
              <w:bottom w:val="nil"/>
              <w:right w:val="nil"/>
            </w:tcBorders>
            <w:shd w:val="clear" w:color="auto" w:fill="FFFFFF"/>
            <w:vAlign w:val="center"/>
          </w:tcPr>
          <w:p w14:paraId="35DF1090">
            <w:pPr>
              <w:pStyle w:val="167"/>
              <w:bidi w:val="0"/>
              <w:rPr>
                <w:lang w:val="en-US" w:eastAsia="zh-CN"/>
              </w:rPr>
            </w:pPr>
            <w:r>
              <w:rPr>
                <w:lang w:val="en-US" w:eastAsia="zh-CN"/>
              </w:rPr>
              <w:t>MDS-UPDRS III/UPDRS III</w:t>
            </w:r>
          </w:p>
        </w:tc>
        <w:tc>
          <w:tcPr>
            <w:tcW w:w="1712" w:type="dxa"/>
            <w:tcBorders>
              <w:top w:val="nil"/>
              <w:left w:val="nil"/>
              <w:bottom w:val="nil"/>
              <w:right w:val="nil"/>
            </w:tcBorders>
            <w:shd w:val="clear" w:color="auto" w:fill="FFFFFF"/>
            <w:vAlign w:val="center"/>
          </w:tcPr>
          <w:p w14:paraId="6EFE4B03">
            <w:pPr>
              <w:pStyle w:val="167"/>
              <w:bidi w:val="0"/>
              <w:rPr>
                <w:lang w:val="en-US" w:eastAsia="zh-CN"/>
              </w:rPr>
            </w:pPr>
            <w:r>
              <w:rPr>
                <w:lang w:val="en-US" w:eastAsia="zh-CN"/>
              </w:rPr>
              <w:t>3 RCTs/165</w:t>
            </w:r>
          </w:p>
        </w:tc>
        <w:tc>
          <w:tcPr>
            <w:tcW w:w="1076" w:type="dxa"/>
            <w:tcBorders>
              <w:top w:val="nil"/>
              <w:left w:val="nil"/>
              <w:bottom w:val="nil"/>
              <w:right w:val="nil"/>
            </w:tcBorders>
            <w:shd w:val="clear" w:color="auto" w:fill="FFFFFF"/>
            <w:vAlign w:val="center"/>
          </w:tcPr>
          <w:p w14:paraId="4AF53C1C">
            <w:pPr>
              <w:pStyle w:val="167"/>
              <w:bidi w:val="0"/>
              <w:rPr>
                <w:lang w:val="en-US" w:eastAsia="zh-CN"/>
              </w:rPr>
            </w:pPr>
            <w:r>
              <w:rPr>
                <w:lang w:val="en-US" w:eastAsia="zh-CN"/>
              </w:rPr>
              <w:t>g=0.41 (95% CI −0.27 to 1.09)</w:t>
            </w:r>
          </w:p>
        </w:tc>
        <w:tc>
          <w:tcPr>
            <w:tcW w:w="1212" w:type="dxa"/>
            <w:tcBorders>
              <w:top w:val="nil"/>
              <w:left w:val="nil"/>
              <w:bottom w:val="nil"/>
              <w:right w:val="nil"/>
            </w:tcBorders>
            <w:shd w:val="clear" w:color="auto" w:fill="FFFFFF"/>
            <w:vAlign w:val="center"/>
          </w:tcPr>
          <w:p w14:paraId="7CD05948">
            <w:pPr>
              <w:pStyle w:val="167"/>
              <w:bidi w:val="0"/>
              <w:rPr>
                <w:lang w:val="en-US" w:eastAsia="zh-CN"/>
              </w:rPr>
            </w:pPr>
            <w:r>
              <w:rPr>
                <w:lang w:val="en-US" w:eastAsia="zh-CN"/>
              </w:rPr>
              <w:t>I²=0.0%; τ²=0.000</w:t>
            </w:r>
          </w:p>
        </w:tc>
        <w:tc>
          <w:tcPr>
            <w:tcW w:w="970" w:type="dxa"/>
            <w:tcBorders>
              <w:top w:val="nil"/>
              <w:left w:val="nil"/>
              <w:bottom w:val="nil"/>
              <w:right w:val="nil"/>
            </w:tcBorders>
            <w:shd w:val="clear" w:color="auto" w:fill="FFFFFF"/>
            <w:vAlign w:val="center"/>
          </w:tcPr>
          <w:p w14:paraId="2119B80E">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595FFE90">
            <w:pPr>
              <w:pStyle w:val="167"/>
              <w:bidi w:val="0"/>
              <w:rPr>
                <w:lang w:val="en-US" w:eastAsia="zh-CN"/>
              </w:rPr>
            </w:pPr>
            <w:r>
              <w:rPr>
                <w:lang w:val="en-US" w:eastAsia="zh-CN"/>
              </w:rPr>
              <w:t>Not serious</w:t>
            </w:r>
          </w:p>
        </w:tc>
        <w:tc>
          <w:tcPr>
            <w:tcW w:w="1152" w:type="dxa"/>
            <w:tcBorders>
              <w:top w:val="nil"/>
              <w:left w:val="nil"/>
              <w:bottom w:val="nil"/>
              <w:right w:val="nil"/>
            </w:tcBorders>
            <w:shd w:val="clear" w:color="auto" w:fill="FFFFFF"/>
            <w:vAlign w:val="center"/>
          </w:tcPr>
          <w:p w14:paraId="10612D45">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7AE1CCF9">
            <w:pPr>
              <w:pStyle w:val="167"/>
              <w:bidi w:val="0"/>
              <w:rPr>
                <w:lang w:val="en-US" w:eastAsia="zh-CN"/>
              </w:rPr>
            </w:pPr>
            <w:r>
              <w:rPr>
                <w:lang w:val="en-US" w:eastAsia="zh-CN"/>
              </w:rPr>
              <w:t>Very serious (−2)</w:t>
            </w:r>
          </w:p>
        </w:tc>
        <w:tc>
          <w:tcPr>
            <w:tcW w:w="1525" w:type="dxa"/>
            <w:tcBorders>
              <w:top w:val="nil"/>
              <w:left w:val="nil"/>
              <w:bottom w:val="nil"/>
              <w:right w:val="nil"/>
            </w:tcBorders>
            <w:shd w:val="clear" w:color="auto" w:fill="FFFFFF"/>
            <w:vAlign w:val="center"/>
          </w:tcPr>
          <w:p w14:paraId="61FB82AE">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4F02F763">
            <w:pPr>
              <w:pStyle w:val="167"/>
              <w:bidi w:val="0"/>
              <w:rPr>
                <w:lang w:val="en-US" w:eastAsia="zh-CN"/>
              </w:rPr>
            </w:pPr>
            <w:r>
              <w:rPr>
                <w:lang w:val="en-US" w:eastAsia="zh-CN"/>
              </w:rPr>
              <w:t>⊕◯◯◯ Very low</w:t>
            </w:r>
          </w:p>
        </w:tc>
      </w:tr>
      <w:tr w14:paraId="76338ED2">
        <w:trPr>
          <w:cantSplit/>
        </w:trPr>
        <w:tc>
          <w:tcPr>
            <w:tcW w:w="1369" w:type="dxa"/>
            <w:tcBorders>
              <w:top w:val="nil"/>
              <w:left w:val="nil"/>
              <w:bottom w:val="nil"/>
              <w:right w:val="nil"/>
            </w:tcBorders>
            <w:shd w:val="clear" w:color="auto" w:fill="FFFFFF"/>
            <w:vAlign w:val="center"/>
          </w:tcPr>
          <w:p w14:paraId="1F3ED48B">
            <w:pPr>
              <w:pStyle w:val="167"/>
              <w:bidi w:val="0"/>
              <w:rPr>
                <w:lang w:val="en-US" w:eastAsia="zh-CN"/>
              </w:rPr>
            </w:pPr>
            <w:r>
              <w:rPr>
                <w:lang w:val="en-US" w:eastAsia="zh-CN"/>
              </w:rPr>
              <w:t>Active therapist-led rehabilitation</w:t>
            </w:r>
          </w:p>
        </w:tc>
        <w:tc>
          <w:tcPr>
            <w:tcW w:w="1495" w:type="dxa"/>
            <w:tcBorders>
              <w:top w:val="nil"/>
              <w:left w:val="nil"/>
              <w:bottom w:val="nil"/>
              <w:right w:val="nil"/>
            </w:tcBorders>
            <w:shd w:val="clear" w:color="auto" w:fill="FFFFFF"/>
            <w:vAlign w:val="center"/>
          </w:tcPr>
          <w:p w14:paraId="75B71C46">
            <w:pPr>
              <w:pStyle w:val="167"/>
              <w:bidi w:val="0"/>
              <w:rPr>
                <w:lang w:val="en-US" w:eastAsia="zh-CN"/>
              </w:rPr>
            </w:pPr>
            <w:r>
              <w:rPr>
                <w:lang w:val="en-US" w:eastAsia="zh-CN"/>
              </w:rPr>
              <w:t>MDS-UPDRS III/UPDRS III</w:t>
            </w:r>
          </w:p>
        </w:tc>
        <w:tc>
          <w:tcPr>
            <w:tcW w:w="1712" w:type="dxa"/>
            <w:tcBorders>
              <w:top w:val="nil"/>
              <w:left w:val="nil"/>
              <w:bottom w:val="nil"/>
              <w:right w:val="nil"/>
            </w:tcBorders>
            <w:shd w:val="clear" w:color="auto" w:fill="FFFFFF"/>
            <w:vAlign w:val="center"/>
          </w:tcPr>
          <w:p w14:paraId="449EAEB2">
            <w:pPr>
              <w:pStyle w:val="167"/>
              <w:bidi w:val="0"/>
              <w:rPr>
                <w:lang w:val="en-US" w:eastAsia="zh-CN"/>
              </w:rPr>
            </w:pPr>
            <w:r>
              <w:rPr>
                <w:lang w:val="en-US" w:eastAsia="zh-CN"/>
              </w:rPr>
              <w:t>3 RCTs/276</w:t>
            </w:r>
          </w:p>
        </w:tc>
        <w:tc>
          <w:tcPr>
            <w:tcW w:w="1076" w:type="dxa"/>
            <w:tcBorders>
              <w:top w:val="nil"/>
              <w:left w:val="nil"/>
              <w:bottom w:val="nil"/>
              <w:right w:val="nil"/>
            </w:tcBorders>
            <w:shd w:val="clear" w:color="auto" w:fill="FFFFFF"/>
            <w:vAlign w:val="center"/>
          </w:tcPr>
          <w:p w14:paraId="64850236">
            <w:pPr>
              <w:pStyle w:val="167"/>
              <w:bidi w:val="0"/>
              <w:rPr>
                <w:lang w:val="en-US" w:eastAsia="zh-CN"/>
              </w:rPr>
            </w:pPr>
            <w:r>
              <w:rPr>
                <w:lang w:val="en-US" w:eastAsia="zh-CN"/>
              </w:rPr>
              <w:t>g=0.30 (95% CI −0.25 to 0.85)</w:t>
            </w:r>
          </w:p>
        </w:tc>
        <w:tc>
          <w:tcPr>
            <w:tcW w:w="1212" w:type="dxa"/>
            <w:tcBorders>
              <w:top w:val="nil"/>
              <w:left w:val="nil"/>
              <w:bottom w:val="nil"/>
              <w:right w:val="nil"/>
            </w:tcBorders>
            <w:shd w:val="clear" w:color="auto" w:fill="FFFFFF"/>
            <w:vAlign w:val="center"/>
          </w:tcPr>
          <w:p w14:paraId="761743E7">
            <w:pPr>
              <w:pStyle w:val="167"/>
              <w:bidi w:val="0"/>
              <w:rPr>
                <w:lang w:val="en-US" w:eastAsia="zh-CN"/>
              </w:rPr>
            </w:pPr>
            <w:r>
              <w:rPr>
                <w:lang w:val="en-US" w:eastAsia="zh-CN"/>
              </w:rPr>
              <w:t>I²=9.4%; τ²=0.000</w:t>
            </w:r>
          </w:p>
        </w:tc>
        <w:tc>
          <w:tcPr>
            <w:tcW w:w="970" w:type="dxa"/>
            <w:tcBorders>
              <w:top w:val="nil"/>
              <w:left w:val="nil"/>
              <w:bottom w:val="nil"/>
              <w:right w:val="nil"/>
            </w:tcBorders>
            <w:shd w:val="clear" w:color="auto" w:fill="FFFFFF"/>
            <w:vAlign w:val="center"/>
          </w:tcPr>
          <w:p w14:paraId="76A86F16">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0D5D1693">
            <w:pPr>
              <w:pStyle w:val="167"/>
              <w:bidi w:val="0"/>
              <w:rPr>
                <w:lang w:val="en-US" w:eastAsia="zh-CN"/>
              </w:rPr>
            </w:pPr>
            <w:r>
              <w:rPr>
                <w:lang w:val="en-US" w:eastAsia="zh-CN"/>
              </w:rPr>
              <w:t>Not serious</w:t>
            </w:r>
          </w:p>
        </w:tc>
        <w:tc>
          <w:tcPr>
            <w:tcW w:w="1152" w:type="dxa"/>
            <w:tcBorders>
              <w:top w:val="nil"/>
              <w:left w:val="nil"/>
              <w:bottom w:val="nil"/>
              <w:right w:val="nil"/>
            </w:tcBorders>
            <w:shd w:val="clear" w:color="auto" w:fill="FFFFFF"/>
            <w:vAlign w:val="center"/>
          </w:tcPr>
          <w:p w14:paraId="1A60975A">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56E83F57">
            <w:pPr>
              <w:pStyle w:val="167"/>
              <w:bidi w:val="0"/>
              <w:rPr>
                <w:lang w:val="en-US" w:eastAsia="zh-CN"/>
              </w:rPr>
            </w:pPr>
            <w:r>
              <w:rPr>
                <w:lang w:val="en-US" w:eastAsia="zh-CN"/>
              </w:rPr>
              <w:t>Very serious (−2)</w:t>
            </w:r>
          </w:p>
        </w:tc>
        <w:tc>
          <w:tcPr>
            <w:tcW w:w="1525" w:type="dxa"/>
            <w:tcBorders>
              <w:top w:val="nil"/>
              <w:left w:val="nil"/>
              <w:bottom w:val="nil"/>
              <w:right w:val="nil"/>
            </w:tcBorders>
            <w:shd w:val="clear" w:color="auto" w:fill="FFFFFF"/>
            <w:vAlign w:val="center"/>
          </w:tcPr>
          <w:p w14:paraId="13795575">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684010F1">
            <w:pPr>
              <w:pStyle w:val="167"/>
              <w:bidi w:val="0"/>
              <w:rPr>
                <w:lang w:val="en-US" w:eastAsia="zh-CN"/>
              </w:rPr>
            </w:pPr>
            <w:r>
              <w:rPr>
                <w:lang w:val="en-US" w:eastAsia="zh-CN"/>
              </w:rPr>
              <w:t>⊕◯◯◯ Very low</w:t>
            </w:r>
          </w:p>
        </w:tc>
      </w:tr>
      <w:tr w14:paraId="2162845F">
        <w:trPr>
          <w:cantSplit/>
        </w:trPr>
        <w:tc>
          <w:tcPr>
            <w:tcW w:w="1369" w:type="dxa"/>
            <w:tcBorders>
              <w:top w:val="nil"/>
              <w:left w:val="nil"/>
              <w:bottom w:val="nil"/>
              <w:right w:val="nil"/>
            </w:tcBorders>
            <w:shd w:val="clear" w:color="auto" w:fill="FFFFFF"/>
            <w:vAlign w:val="center"/>
          </w:tcPr>
          <w:p w14:paraId="0FF053B5">
            <w:pPr>
              <w:pStyle w:val="167"/>
              <w:bidi w:val="0"/>
              <w:rPr>
                <w:lang w:val="en-US" w:eastAsia="zh-CN"/>
              </w:rPr>
            </w:pPr>
            <w:r>
              <w:rPr>
                <w:lang w:val="en-US" w:eastAsia="zh-CN"/>
              </w:rPr>
              <w:t>Ordinary home exercise</w:t>
            </w:r>
          </w:p>
        </w:tc>
        <w:tc>
          <w:tcPr>
            <w:tcW w:w="1495" w:type="dxa"/>
            <w:tcBorders>
              <w:top w:val="nil"/>
              <w:left w:val="nil"/>
              <w:bottom w:val="nil"/>
              <w:right w:val="nil"/>
            </w:tcBorders>
            <w:shd w:val="clear" w:color="auto" w:fill="FFFFFF"/>
            <w:vAlign w:val="center"/>
          </w:tcPr>
          <w:p w14:paraId="53F653D1">
            <w:pPr>
              <w:pStyle w:val="167"/>
              <w:bidi w:val="0"/>
              <w:rPr>
                <w:lang w:val="en-US" w:eastAsia="zh-CN"/>
              </w:rPr>
            </w:pPr>
            <w:r>
              <w:rPr>
                <w:lang w:val="en-US" w:eastAsia="zh-CN"/>
              </w:rPr>
              <w:t>Balance function</w:t>
            </w:r>
          </w:p>
        </w:tc>
        <w:tc>
          <w:tcPr>
            <w:tcW w:w="1712" w:type="dxa"/>
            <w:tcBorders>
              <w:top w:val="nil"/>
              <w:left w:val="nil"/>
              <w:bottom w:val="nil"/>
              <w:right w:val="nil"/>
            </w:tcBorders>
            <w:shd w:val="clear" w:color="auto" w:fill="FFFFFF"/>
            <w:vAlign w:val="center"/>
          </w:tcPr>
          <w:p w14:paraId="4A145871">
            <w:pPr>
              <w:pStyle w:val="167"/>
              <w:bidi w:val="0"/>
              <w:rPr>
                <w:lang w:val="en-US" w:eastAsia="zh-CN"/>
              </w:rPr>
            </w:pPr>
            <w:r>
              <w:rPr>
                <w:lang w:val="en-US" w:eastAsia="zh-CN"/>
              </w:rPr>
              <w:t>2 RCTs/135</w:t>
            </w:r>
          </w:p>
        </w:tc>
        <w:tc>
          <w:tcPr>
            <w:tcW w:w="1076" w:type="dxa"/>
            <w:tcBorders>
              <w:top w:val="nil"/>
              <w:left w:val="nil"/>
              <w:bottom w:val="nil"/>
              <w:right w:val="nil"/>
            </w:tcBorders>
            <w:shd w:val="clear" w:color="auto" w:fill="FFFFFF"/>
            <w:vAlign w:val="center"/>
          </w:tcPr>
          <w:p w14:paraId="59896444">
            <w:pPr>
              <w:pStyle w:val="167"/>
              <w:bidi w:val="0"/>
              <w:rPr>
                <w:lang w:val="en-US" w:eastAsia="zh-CN"/>
              </w:rPr>
            </w:pPr>
            <w:r>
              <w:rPr>
                <w:lang w:val="en-US" w:eastAsia="zh-CN"/>
              </w:rPr>
              <w:t>g=0.30 (95% CI −1.90 to 2.50)</w:t>
            </w:r>
          </w:p>
        </w:tc>
        <w:tc>
          <w:tcPr>
            <w:tcW w:w="1212" w:type="dxa"/>
            <w:tcBorders>
              <w:top w:val="nil"/>
              <w:left w:val="nil"/>
              <w:bottom w:val="nil"/>
              <w:right w:val="nil"/>
            </w:tcBorders>
            <w:shd w:val="clear" w:color="auto" w:fill="FFFFFF"/>
            <w:vAlign w:val="center"/>
          </w:tcPr>
          <w:p w14:paraId="4F4EB6F5">
            <w:pPr>
              <w:pStyle w:val="167"/>
              <w:bidi w:val="0"/>
              <w:rPr>
                <w:lang w:val="en-US" w:eastAsia="zh-CN"/>
              </w:rPr>
            </w:pPr>
            <w:r>
              <w:rPr>
                <w:lang w:val="en-US" w:eastAsia="zh-CN"/>
              </w:rPr>
              <w:t>I²=0.0%; τ²=0.000</w:t>
            </w:r>
          </w:p>
        </w:tc>
        <w:tc>
          <w:tcPr>
            <w:tcW w:w="970" w:type="dxa"/>
            <w:tcBorders>
              <w:top w:val="nil"/>
              <w:left w:val="nil"/>
              <w:bottom w:val="nil"/>
              <w:right w:val="nil"/>
            </w:tcBorders>
            <w:shd w:val="clear" w:color="auto" w:fill="FFFFFF"/>
            <w:vAlign w:val="center"/>
          </w:tcPr>
          <w:p w14:paraId="1F71F96F">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734A6FD4">
            <w:pPr>
              <w:pStyle w:val="167"/>
              <w:bidi w:val="0"/>
              <w:rPr>
                <w:lang w:val="en-US" w:eastAsia="zh-CN"/>
              </w:rPr>
            </w:pPr>
            <w:r>
              <w:rPr>
                <w:lang w:val="en-US" w:eastAsia="zh-CN"/>
              </w:rPr>
              <w:t>Not serious</w:t>
            </w:r>
          </w:p>
        </w:tc>
        <w:tc>
          <w:tcPr>
            <w:tcW w:w="1152" w:type="dxa"/>
            <w:tcBorders>
              <w:top w:val="nil"/>
              <w:left w:val="nil"/>
              <w:bottom w:val="nil"/>
              <w:right w:val="nil"/>
            </w:tcBorders>
            <w:shd w:val="clear" w:color="auto" w:fill="FFFFFF"/>
            <w:vAlign w:val="center"/>
          </w:tcPr>
          <w:p w14:paraId="35E4A9F5">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6A13793A">
            <w:pPr>
              <w:pStyle w:val="167"/>
              <w:bidi w:val="0"/>
              <w:rPr>
                <w:lang w:val="en-US" w:eastAsia="zh-CN"/>
              </w:rPr>
            </w:pPr>
            <w:r>
              <w:rPr>
                <w:lang w:val="en-US" w:eastAsia="zh-CN"/>
              </w:rPr>
              <w:t>Very serious (−2)</w:t>
            </w:r>
          </w:p>
        </w:tc>
        <w:tc>
          <w:tcPr>
            <w:tcW w:w="1525" w:type="dxa"/>
            <w:tcBorders>
              <w:top w:val="nil"/>
              <w:left w:val="nil"/>
              <w:bottom w:val="nil"/>
              <w:right w:val="nil"/>
            </w:tcBorders>
            <w:shd w:val="clear" w:color="auto" w:fill="FFFFFF"/>
            <w:vAlign w:val="center"/>
          </w:tcPr>
          <w:p w14:paraId="7B6B450F">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1F22ACFB">
            <w:pPr>
              <w:pStyle w:val="167"/>
              <w:bidi w:val="0"/>
              <w:rPr>
                <w:lang w:val="en-US" w:eastAsia="zh-CN"/>
              </w:rPr>
            </w:pPr>
            <w:r>
              <w:rPr>
                <w:lang w:val="en-US" w:eastAsia="zh-CN"/>
              </w:rPr>
              <w:t>⊕◯◯◯ Very low</w:t>
            </w:r>
          </w:p>
        </w:tc>
      </w:tr>
      <w:tr w14:paraId="44A1D592">
        <w:trPr>
          <w:cantSplit/>
        </w:trPr>
        <w:tc>
          <w:tcPr>
            <w:tcW w:w="1369" w:type="dxa"/>
            <w:tcBorders>
              <w:top w:val="nil"/>
              <w:left w:val="nil"/>
              <w:bottom w:val="nil"/>
              <w:right w:val="nil"/>
            </w:tcBorders>
            <w:shd w:val="clear" w:color="auto" w:fill="FFFFFF"/>
            <w:vAlign w:val="center"/>
          </w:tcPr>
          <w:p w14:paraId="4E6E790A">
            <w:pPr>
              <w:pStyle w:val="167"/>
              <w:bidi w:val="0"/>
              <w:rPr>
                <w:lang w:val="en-US" w:eastAsia="zh-CN"/>
              </w:rPr>
            </w:pPr>
            <w:r>
              <w:rPr>
                <w:lang w:val="en-US" w:eastAsia="zh-CN"/>
              </w:rPr>
              <w:t>Active therapist-led rehabilitation</w:t>
            </w:r>
          </w:p>
        </w:tc>
        <w:tc>
          <w:tcPr>
            <w:tcW w:w="1495" w:type="dxa"/>
            <w:tcBorders>
              <w:top w:val="nil"/>
              <w:left w:val="nil"/>
              <w:bottom w:val="nil"/>
              <w:right w:val="nil"/>
            </w:tcBorders>
            <w:shd w:val="clear" w:color="auto" w:fill="FFFFFF"/>
            <w:vAlign w:val="center"/>
          </w:tcPr>
          <w:p w14:paraId="427B60B1">
            <w:pPr>
              <w:pStyle w:val="167"/>
              <w:bidi w:val="0"/>
              <w:rPr>
                <w:lang w:val="en-US" w:eastAsia="zh-CN"/>
              </w:rPr>
            </w:pPr>
            <w:r>
              <w:rPr>
                <w:lang w:val="en-US" w:eastAsia="zh-CN"/>
              </w:rPr>
              <w:t>Balance function</w:t>
            </w:r>
          </w:p>
        </w:tc>
        <w:tc>
          <w:tcPr>
            <w:tcW w:w="1712" w:type="dxa"/>
            <w:tcBorders>
              <w:top w:val="nil"/>
              <w:left w:val="nil"/>
              <w:bottom w:val="nil"/>
              <w:right w:val="nil"/>
            </w:tcBorders>
            <w:shd w:val="clear" w:color="auto" w:fill="FFFFFF"/>
            <w:vAlign w:val="center"/>
          </w:tcPr>
          <w:p w14:paraId="1A226DB7">
            <w:pPr>
              <w:pStyle w:val="167"/>
              <w:bidi w:val="0"/>
              <w:rPr>
                <w:lang w:val="en-US" w:eastAsia="zh-CN"/>
              </w:rPr>
            </w:pPr>
            <w:r>
              <w:rPr>
                <w:lang w:val="en-US" w:eastAsia="zh-CN"/>
              </w:rPr>
              <w:t>5 RCTs/381</w:t>
            </w:r>
          </w:p>
        </w:tc>
        <w:tc>
          <w:tcPr>
            <w:tcW w:w="1076" w:type="dxa"/>
            <w:tcBorders>
              <w:top w:val="nil"/>
              <w:left w:val="nil"/>
              <w:bottom w:val="nil"/>
              <w:right w:val="nil"/>
            </w:tcBorders>
            <w:shd w:val="clear" w:color="auto" w:fill="FFFFFF"/>
            <w:vAlign w:val="center"/>
          </w:tcPr>
          <w:p w14:paraId="4EF301EB">
            <w:pPr>
              <w:pStyle w:val="167"/>
              <w:bidi w:val="0"/>
              <w:rPr>
                <w:lang w:val="en-US" w:eastAsia="zh-CN"/>
              </w:rPr>
            </w:pPr>
            <w:r>
              <w:rPr>
                <w:lang w:val="en-US" w:eastAsia="zh-CN"/>
              </w:rPr>
              <w:t>g=0.26 (95% CI −0.12 to 0.65)</w:t>
            </w:r>
          </w:p>
        </w:tc>
        <w:tc>
          <w:tcPr>
            <w:tcW w:w="1212" w:type="dxa"/>
            <w:tcBorders>
              <w:top w:val="nil"/>
              <w:left w:val="nil"/>
              <w:bottom w:val="nil"/>
              <w:right w:val="nil"/>
            </w:tcBorders>
            <w:shd w:val="clear" w:color="auto" w:fill="FFFFFF"/>
            <w:vAlign w:val="center"/>
          </w:tcPr>
          <w:p w14:paraId="08CA7B93">
            <w:pPr>
              <w:pStyle w:val="167"/>
              <w:bidi w:val="0"/>
              <w:rPr>
                <w:lang w:val="en-US" w:eastAsia="zh-CN"/>
              </w:rPr>
            </w:pPr>
            <w:r>
              <w:rPr>
                <w:lang w:val="en-US" w:eastAsia="zh-CN"/>
              </w:rPr>
              <w:t>I²=31.2%; τ²=0.020; PI −0.29 to 0.81</w:t>
            </w:r>
          </w:p>
        </w:tc>
        <w:tc>
          <w:tcPr>
            <w:tcW w:w="970" w:type="dxa"/>
            <w:tcBorders>
              <w:top w:val="nil"/>
              <w:left w:val="nil"/>
              <w:bottom w:val="nil"/>
              <w:right w:val="nil"/>
            </w:tcBorders>
            <w:shd w:val="clear" w:color="auto" w:fill="FFFFFF"/>
            <w:vAlign w:val="center"/>
          </w:tcPr>
          <w:p w14:paraId="58637789">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4E7D4CC5">
            <w:pPr>
              <w:pStyle w:val="167"/>
              <w:bidi w:val="0"/>
              <w:rPr>
                <w:lang w:val="en-US" w:eastAsia="zh-CN"/>
              </w:rPr>
            </w:pPr>
            <w:r>
              <w:rPr>
                <w:lang w:val="en-US" w:eastAsia="zh-CN"/>
              </w:rPr>
              <w:t>Not serious</w:t>
            </w:r>
          </w:p>
        </w:tc>
        <w:tc>
          <w:tcPr>
            <w:tcW w:w="1152" w:type="dxa"/>
            <w:tcBorders>
              <w:top w:val="nil"/>
              <w:left w:val="nil"/>
              <w:bottom w:val="nil"/>
              <w:right w:val="nil"/>
            </w:tcBorders>
            <w:shd w:val="clear" w:color="auto" w:fill="FFFFFF"/>
            <w:vAlign w:val="center"/>
          </w:tcPr>
          <w:p w14:paraId="44D9AE90">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6938AE93">
            <w:pPr>
              <w:pStyle w:val="167"/>
              <w:bidi w:val="0"/>
              <w:rPr>
                <w:lang w:val="en-US" w:eastAsia="zh-CN"/>
              </w:rPr>
            </w:pPr>
            <w:r>
              <w:rPr>
                <w:lang w:val="en-US" w:eastAsia="zh-CN"/>
              </w:rPr>
              <w:t>Serious (−1)</w:t>
            </w:r>
          </w:p>
        </w:tc>
        <w:tc>
          <w:tcPr>
            <w:tcW w:w="1525" w:type="dxa"/>
            <w:tcBorders>
              <w:top w:val="nil"/>
              <w:left w:val="nil"/>
              <w:bottom w:val="nil"/>
              <w:right w:val="nil"/>
            </w:tcBorders>
            <w:shd w:val="clear" w:color="auto" w:fill="FFFFFF"/>
            <w:vAlign w:val="center"/>
          </w:tcPr>
          <w:p w14:paraId="2EF2DE09">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440C8D1E">
            <w:pPr>
              <w:pStyle w:val="167"/>
              <w:bidi w:val="0"/>
              <w:rPr>
                <w:lang w:val="en-US" w:eastAsia="zh-CN"/>
              </w:rPr>
            </w:pPr>
            <w:r>
              <w:rPr>
                <w:lang w:val="en-US" w:eastAsia="zh-CN"/>
              </w:rPr>
              <w:t>⊕⊕◯◯ Low</w:t>
            </w:r>
          </w:p>
        </w:tc>
      </w:tr>
      <w:tr w14:paraId="29D90699">
        <w:trPr>
          <w:cantSplit/>
        </w:trPr>
        <w:tc>
          <w:tcPr>
            <w:tcW w:w="1369" w:type="dxa"/>
            <w:tcBorders>
              <w:top w:val="nil"/>
              <w:left w:val="nil"/>
              <w:bottom w:val="nil"/>
              <w:right w:val="nil"/>
            </w:tcBorders>
            <w:shd w:val="clear" w:color="auto" w:fill="FFFFFF"/>
            <w:vAlign w:val="center"/>
          </w:tcPr>
          <w:p w14:paraId="3815B23D">
            <w:pPr>
              <w:pStyle w:val="167"/>
              <w:bidi w:val="0"/>
              <w:rPr>
                <w:lang w:val="en-US" w:eastAsia="zh-CN"/>
              </w:rPr>
            </w:pPr>
            <w:r>
              <w:rPr>
                <w:lang w:val="en-US" w:eastAsia="zh-CN"/>
              </w:rPr>
              <w:t>Passive/minimal control</w:t>
            </w:r>
          </w:p>
        </w:tc>
        <w:tc>
          <w:tcPr>
            <w:tcW w:w="1495" w:type="dxa"/>
            <w:tcBorders>
              <w:top w:val="nil"/>
              <w:left w:val="nil"/>
              <w:bottom w:val="nil"/>
              <w:right w:val="nil"/>
            </w:tcBorders>
            <w:shd w:val="clear" w:color="auto" w:fill="FFFFFF"/>
            <w:vAlign w:val="center"/>
          </w:tcPr>
          <w:p w14:paraId="312B99BB">
            <w:pPr>
              <w:pStyle w:val="167"/>
              <w:bidi w:val="0"/>
              <w:rPr>
                <w:lang w:val="en-US" w:eastAsia="zh-CN"/>
              </w:rPr>
            </w:pPr>
            <w:r>
              <w:rPr>
                <w:lang w:val="en-US" w:eastAsia="zh-CN"/>
              </w:rPr>
              <w:t>Functional mobility (TUG)</w:t>
            </w:r>
          </w:p>
        </w:tc>
        <w:tc>
          <w:tcPr>
            <w:tcW w:w="1712" w:type="dxa"/>
            <w:tcBorders>
              <w:top w:val="nil"/>
              <w:left w:val="nil"/>
              <w:bottom w:val="nil"/>
              <w:right w:val="nil"/>
            </w:tcBorders>
            <w:shd w:val="clear" w:color="auto" w:fill="FFFFFF"/>
            <w:vAlign w:val="center"/>
          </w:tcPr>
          <w:p w14:paraId="5841197B">
            <w:pPr>
              <w:pStyle w:val="167"/>
              <w:bidi w:val="0"/>
              <w:rPr>
                <w:lang w:val="en-US" w:eastAsia="zh-CN"/>
              </w:rPr>
            </w:pPr>
            <w:r>
              <w:rPr>
                <w:lang w:val="en-US" w:eastAsia="zh-CN"/>
              </w:rPr>
              <w:t>1 RCT/53</w:t>
            </w:r>
          </w:p>
        </w:tc>
        <w:tc>
          <w:tcPr>
            <w:tcW w:w="1076" w:type="dxa"/>
            <w:tcBorders>
              <w:top w:val="nil"/>
              <w:left w:val="nil"/>
              <w:bottom w:val="nil"/>
              <w:right w:val="nil"/>
            </w:tcBorders>
            <w:shd w:val="clear" w:color="auto" w:fill="FFFFFF"/>
            <w:vAlign w:val="center"/>
          </w:tcPr>
          <w:p w14:paraId="30F39F07">
            <w:pPr>
              <w:pStyle w:val="167"/>
              <w:bidi w:val="0"/>
              <w:rPr>
                <w:lang w:val="en-US" w:eastAsia="zh-CN"/>
              </w:rPr>
            </w:pPr>
            <w:r>
              <w:rPr>
                <w:lang w:val="en-US" w:eastAsia="zh-CN"/>
              </w:rPr>
              <w:t>g=−0.35 (95% CI −0.90 to 0.19)</w:t>
            </w:r>
          </w:p>
        </w:tc>
        <w:tc>
          <w:tcPr>
            <w:tcW w:w="1212" w:type="dxa"/>
            <w:tcBorders>
              <w:top w:val="nil"/>
              <w:left w:val="nil"/>
              <w:bottom w:val="nil"/>
              <w:right w:val="nil"/>
            </w:tcBorders>
            <w:shd w:val="clear" w:color="auto" w:fill="FFFFFF"/>
            <w:vAlign w:val="center"/>
          </w:tcPr>
          <w:p w14:paraId="097B2DA5">
            <w:pPr>
              <w:pStyle w:val="167"/>
              <w:bidi w:val="0"/>
              <w:rPr>
                <w:lang w:val="en-US" w:eastAsia="zh-CN"/>
              </w:rPr>
            </w:pPr>
            <w:r>
              <w:rPr>
                <w:lang w:val="en-US" w:eastAsia="zh-CN"/>
              </w:rPr>
              <w:t>Single study; not applicable</w:t>
            </w:r>
          </w:p>
        </w:tc>
        <w:tc>
          <w:tcPr>
            <w:tcW w:w="970" w:type="dxa"/>
            <w:tcBorders>
              <w:top w:val="nil"/>
              <w:left w:val="nil"/>
              <w:bottom w:val="nil"/>
              <w:right w:val="nil"/>
            </w:tcBorders>
            <w:shd w:val="clear" w:color="auto" w:fill="FFFFFF"/>
            <w:vAlign w:val="center"/>
          </w:tcPr>
          <w:p w14:paraId="168D42B0">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02CBE72C">
            <w:pPr>
              <w:pStyle w:val="167"/>
              <w:bidi w:val="0"/>
              <w:rPr>
                <w:lang w:val="en-US" w:eastAsia="zh-CN"/>
              </w:rPr>
            </w:pPr>
            <w:r>
              <w:rPr>
                <w:lang w:val="en-US" w:eastAsia="zh-CN"/>
              </w:rPr>
              <w:t>Not applicable</w:t>
            </w:r>
          </w:p>
        </w:tc>
        <w:tc>
          <w:tcPr>
            <w:tcW w:w="1152" w:type="dxa"/>
            <w:tcBorders>
              <w:top w:val="nil"/>
              <w:left w:val="nil"/>
              <w:bottom w:val="nil"/>
              <w:right w:val="nil"/>
            </w:tcBorders>
            <w:shd w:val="clear" w:color="auto" w:fill="FFFFFF"/>
            <w:vAlign w:val="center"/>
          </w:tcPr>
          <w:p w14:paraId="79C5A8CA">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654A4275">
            <w:pPr>
              <w:pStyle w:val="167"/>
              <w:bidi w:val="0"/>
              <w:rPr>
                <w:lang w:val="en-US" w:eastAsia="zh-CN"/>
              </w:rPr>
            </w:pPr>
            <w:r>
              <w:rPr>
                <w:lang w:val="en-US" w:eastAsia="zh-CN"/>
              </w:rPr>
              <w:t>Serious (−1)</w:t>
            </w:r>
          </w:p>
        </w:tc>
        <w:tc>
          <w:tcPr>
            <w:tcW w:w="1525" w:type="dxa"/>
            <w:tcBorders>
              <w:top w:val="nil"/>
              <w:left w:val="nil"/>
              <w:bottom w:val="nil"/>
              <w:right w:val="nil"/>
            </w:tcBorders>
            <w:shd w:val="clear" w:color="auto" w:fill="FFFFFF"/>
            <w:vAlign w:val="center"/>
          </w:tcPr>
          <w:p w14:paraId="338686B6">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5AA2F7F9">
            <w:pPr>
              <w:pStyle w:val="167"/>
              <w:bidi w:val="0"/>
              <w:rPr>
                <w:lang w:val="en-US" w:eastAsia="zh-CN"/>
              </w:rPr>
            </w:pPr>
            <w:r>
              <w:rPr>
                <w:lang w:val="en-US" w:eastAsia="zh-CN"/>
              </w:rPr>
              <w:t>⊕⊕◯◯ Low</w:t>
            </w:r>
          </w:p>
        </w:tc>
      </w:tr>
      <w:tr w14:paraId="24BFDDEA">
        <w:trPr>
          <w:cantSplit/>
        </w:trPr>
        <w:tc>
          <w:tcPr>
            <w:tcW w:w="1369" w:type="dxa"/>
            <w:tcBorders>
              <w:top w:val="nil"/>
              <w:left w:val="nil"/>
              <w:bottom w:val="nil"/>
              <w:right w:val="nil"/>
            </w:tcBorders>
            <w:shd w:val="clear" w:color="auto" w:fill="FFFFFF"/>
            <w:vAlign w:val="center"/>
          </w:tcPr>
          <w:p w14:paraId="565DB0AE">
            <w:pPr>
              <w:pStyle w:val="167"/>
              <w:bidi w:val="0"/>
              <w:rPr>
                <w:lang w:val="en-US" w:eastAsia="zh-CN"/>
              </w:rPr>
            </w:pPr>
            <w:r>
              <w:rPr>
                <w:lang w:val="en-US" w:eastAsia="zh-CN"/>
              </w:rPr>
              <w:t>Ordinary home exercise</w:t>
            </w:r>
          </w:p>
        </w:tc>
        <w:tc>
          <w:tcPr>
            <w:tcW w:w="1495" w:type="dxa"/>
            <w:tcBorders>
              <w:top w:val="nil"/>
              <w:left w:val="nil"/>
              <w:bottom w:val="nil"/>
              <w:right w:val="nil"/>
            </w:tcBorders>
            <w:shd w:val="clear" w:color="auto" w:fill="FFFFFF"/>
            <w:vAlign w:val="center"/>
          </w:tcPr>
          <w:p w14:paraId="275BC236">
            <w:pPr>
              <w:pStyle w:val="167"/>
              <w:bidi w:val="0"/>
              <w:rPr>
                <w:lang w:val="en-US" w:eastAsia="zh-CN"/>
              </w:rPr>
            </w:pPr>
            <w:r>
              <w:rPr>
                <w:lang w:val="en-US" w:eastAsia="zh-CN"/>
              </w:rPr>
              <w:t>Functional mobility (TUG)</w:t>
            </w:r>
          </w:p>
        </w:tc>
        <w:tc>
          <w:tcPr>
            <w:tcW w:w="1712" w:type="dxa"/>
            <w:tcBorders>
              <w:top w:val="nil"/>
              <w:left w:val="nil"/>
              <w:bottom w:val="nil"/>
              <w:right w:val="nil"/>
            </w:tcBorders>
            <w:shd w:val="clear" w:color="auto" w:fill="FFFFFF"/>
            <w:vAlign w:val="center"/>
          </w:tcPr>
          <w:p w14:paraId="55897242">
            <w:pPr>
              <w:pStyle w:val="167"/>
              <w:bidi w:val="0"/>
              <w:rPr>
                <w:lang w:val="en-US" w:eastAsia="zh-CN"/>
              </w:rPr>
            </w:pPr>
            <w:r>
              <w:rPr>
                <w:lang w:val="en-US" w:eastAsia="zh-CN"/>
              </w:rPr>
              <w:t>1 RCT/97</w:t>
            </w:r>
          </w:p>
        </w:tc>
        <w:tc>
          <w:tcPr>
            <w:tcW w:w="1076" w:type="dxa"/>
            <w:tcBorders>
              <w:top w:val="nil"/>
              <w:left w:val="nil"/>
              <w:bottom w:val="nil"/>
              <w:right w:val="nil"/>
            </w:tcBorders>
            <w:shd w:val="clear" w:color="auto" w:fill="FFFFFF"/>
            <w:vAlign w:val="center"/>
          </w:tcPr>
          <w:p w14:paraId="34859DDD">
            <w:pPr>
              <w:pStyle w:val="167"/>
              <w:bidi w:val="0"/>
              <w:rPr>
                <w:lang w:val="en-US" w:eastAsia="zh-CN"/>
              </w:rPr>
            </w:pPr>
            <w:r>
              <w:rPr>
                <w:lang w:val="en-US" w:eastAsia="zh-CN"/>
              </w:rPr>
              <w:t>g=0.14 (95% CI −0.26 to 0.54)</w:t>
            </w:r>
          </w:p>
        </w:tc>
        <w:tc>
          <w:tcPr>
            <w:tcW w:w="1212" w:type="dxa"/>
            <w:tcBorders>
              <w:top w:val="nil"/>
              <w:left w:val="nil"/>
              <w:bottom w:val="nil"/>
              <w:right w:val="nil"/>
            </w:tcBorders>
            <w:shd w:val="clear" w:color="auto" w:fill="FFFFFF"/>
            <w:vAlign w:val="center"/>
          </w:tcPr>
          <w:p w14:paraId="7028F203">
            <w:pPr>
              <w:pStyle w:val="167"/>
              <w:bidi w:val="0"/>
              <w:rPr>
                <w:lang w:val="en-US" w:eastAsia="zh-CN"/>
              </w:rPr>
            </w:pPr>
            <w:r>
              <w:rPr>
                <w:lang w:val="en-US" w:eastAsia="zh-CN"/>
              </w:rPr>
              <w:t>Single study; not applicable</w:t>
            </w:r>
          </w:p>
        </w:tc>
        <w:tc>
          <w:tcPr>
            <w:tcW w:w="970" w:type="dxa"/>
            <w:tcBorders>
              <w:top w:val="nil"/>
              <w:left w:val="nil"/>
              <w:bottom w:val="nil"/>
              <w:right w:val="nil"/>
            </w:tcBorders>
            <w:shd w:val="clear" w:color="auto" w:fill="FFFFFF"/>
            <w:vAlign w:val="center"/>
          </w:tcPr>
          <w:p w14:paraId="11315B89">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4E529B6A">
            <w:pPr>
              <w:pStyle w:val="167"/>
              <w:bidi w:val="0"/>
              <w:rPr>
                <w:lang w:val="en-US" w:eastAsia="zh-CN"/>
              </w:rPr>
            </w:pPr>
            <w:r>
              <w:rPr>
                <w:lang w:val="en-US" w:eastAsia="zh-CN"/>
              </w:rPr>
              <w:t>Not applicable</w:t>
            </w:r>
          </w:p>
        </w:tc>
        <w:tc>
          <w:tcPr>
            <w:tcW w:w="1152" w:type="dxa"/>
            <w:tcBorders>
              <w:top w:val="nil"/>
              <w:left w:val="nil"/>
              <w:bottom w:val="nil"/>
              <w:right w:val="nil"/>
            </w:tcBorders>
            <w:shd w:val="clear" w:color="auto" w:fill="FFFFFF"/>
            <w:vAlign w:val="center"/>
          </w:tcPr>
          <w:p w14:paraId="2EA7F984">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3305926E">
            <w:pPr>
              <w:pStyle w:val="167"/>
              <w:bidi w:val="0"/>
              <w:rPr>
                <w:lang w:val="en-US" w:eastAsia="zh-CN"/>
              </w:rPr>
            </w:pPr>
            <w:r>
              <w:rPr>
                <w:lang w:val="en-US" w:eastAsia="zh-CN"/>
              </w:rPr>
              <w:t>Very serious (−2)</w:t>
            </w:r>
          </w:p>
        </w:tc>
        <w:tc>
          <w:tcPr>
            <w:tcW w:w="1525" w:type="dxa"/>
            <w:tcBorders>
              <w:top w:val="nil"/>
              <w:left w:val="nil"/>
              <w:bottom w:val="nil"/>
              <w:right w:val="nil"/>
            </w:tcBorders>
            <w:shd w:val="clear" w:color="auto" w:fill="FFFFFF"/>
            <w:vAlign w:val="center"/>
          </w:tcPr>
          <w:p w14:paraId="66603066">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639B5279">
            <w:pPr>
              <w:pStyle w:val="167"/>
              <w:bidi w:val="0"/>
              <w:rPr>
                <w:lang w:val="en-US" w:eastAsia="zh-CN"/>
              </w:rPr>
            </w:pPr>
            <w:r>
              <w:rPr>
                <w:lang w:val="en-US" w:eastAsia="zh-CN"/>
              </w:rPr>
              <w:t>⊕◯◯◯ Very low</w:t>
            </w:r>
          </w:p>
        </w:tc>
      </w:tr>
      <w:tr w14:paraId="659571E6">
        <w:trPr>
          <w:cantSplit/>
        </w:trPr>
        <w:tc>
          <w:tcPr>
            <w:tcW w:w="1369" w:type="dxa"/>
            <w:tcBorders>
              <w:top w:val="nil"/>
              <w:left w:val="nil"/>
              <w:bottom w:val="nil"/>
              <w:right w:val="nil"/>
            </w:tcBorders>
            <w:shd w:val="clear" w:color="auto" w:fill="FFFFFF"/>
            <w:vAlign w:val="center"/>
          </w:tcPr>
          <w:p w14:paraId="61175B53">
            <w:pPr>
              <w:pStyle w:val="167"/>
              <w:bidi w:val="0"/>
              <w:rPr>
                <w:lang w:val="en-US" w:eastAsia="zh-CN"/>
              </w:rPr>
            </w:pPr>
            <w:r>
              <w:rPr>
                <w:lang w:val="en-US" w:eastAsia="zh-CN"/>
              </w:rPr>
              <w:t>Active therapist-led rehabilitation</w:t>
            </w:r>
          </w:p>
        </w:tc>
        <w:tc>
          <w:tcPr>
            <w:tcW w:w="1495" w:type="dxa"/>
            <w:tcBorders>
              <w:top w:val="nil"/>
              <w:left w:val="nil"/>
              <w:bottom w:val="nil"/>
              <w:right w:val="nil"/>
            </w:tcBorders>
            <w:shd w:val="clear" w:color="auto" w:fill="FFFFFF"/>
            <w:vAlign w:val="center"/>
          </w:tcPr>
          <w:p w14:paraId="61371DD0">
            <w:pPr>
              <w:pStyle w:val="167"/>
              <w:bidi w:val="0"/>
              <w:rPr>
                <w:lang w:val="en-US" w:eastAsia="zh-CN"/>
              </w:rPr>
            </w:pPr>
            <w:r>
              <w:rPr>
                <w:lang w:val="en-US" w:eastAsia="zh-CN"/>
              </w:rPr>
              <w:t>Functional mobility (TUG)</w:t>
            </w:r>
          </w:p>
        </w:tc>
        <w:tc>
          <w:tcPr>
            <w:tcW w:w="1712" w:type="dxa"/>
            <w:tcBorders>
              <w:top w:val="nil"/>
              <w:left w:val="nil"/>
              <w:bottom w:val="nil"/>
              <w:right w:val="nil"/>
            </w:tcBorders>
            <w:shd w:val="clear" w:color="auto" w:fill="FFFFFF"/>
            <w:vAlign w:val="center"/>
          </w:tcPr>
          <w:p w14:paraId="382240B3">
            <w:pPr>
              <w:pStyle w:val="167"/>
              <w:bidi w:val="0"/>
              <w:rPr>
                <w:lang w:val="en-US" w:eastAsia="zh-CN"/>
              </w:rPr>
            </w:pPr>
            <w:r>
              <w:rPr>
                <w:lang w:val="en-US" w:eastAsia="zh-CN"/>
              </w:rPr>
              <w:t>2 RCTs/209</w:t>
            </w:r>
          </w:p>
        </w:tc>
        <w:tc>
          <w:tcPr>
            <w:tcW w:w="1076" w:type="dxa"/>
            <w:tcBorders>
              <w:top w:val="nil"/>
              <w:left w:val="nil"/>
              <w:bottom w:val="nil"/>
              <w:right w:val="nil"/>
            </w:tcBorders>
            <w:shd w:val="clear" w:color="auto" w:fill="FFFFFF"/>
            <w:vAlign w:val="center"/>
          </w:tcPr>
          <w:p w14:paraId="3CE1A921">
            <w:pPr>
              <w:pStyle w:val="167"/>
              <w:bidi w:val="0"/>
              <w:rPr>
                <w:lang w:val="en-US" w:eastAsia="zh-CN"/>
              </w:rPr>
            </w:pPr>
            <w:r>
              <w:rPr>
                <w:lang w:val="en-US" w:eastAsia="zh-CN"/>
              </w:rPr>
              <w:t>g=0.11 (95% CI −1.65 to 1.87)</w:t>
            </w:r>
          </w:p>
        </w:tc>
        <w:tc>
          <w:tcPr>
            <w:tcW w:w="1212" w:type="dxa"/>
            <w:tcBorders>
              <w:top w:val="nil"/>
              <w:left w:val="nil"/>
              <w:bottom w:val="nil"/>
              <w:right w:val="nil"/>
            </w:tcBorders>
            <w:shd w:val="clear" w:color="auto" w:fill="FFFFFF"/>
            <w:vAlign w:val="center"/>
          </w:tcPr>
          <w:p w14:paraId="6113775A">
            <w:pPr>
              <w:pStyle w:val="167"/>
              <w:bidi w:val="0"/>
              <w:rPr>
                <w:lang w:val="en-US" w:eastAsia="zh-CN"/>
              </w:rPr>
            </w:pPr>
            <w:r>
              <w:rPr>
                <w:lang w:val="en-US" w:eastAsia="zh-CN"/>
              </w:rPr>
              <w:t>I²=0.0%; τ²=0.000</w:t>
            </w:r>
          </w:p>
        </w:tc>
        <w:tc>
          <w:tcPr>
            <w:tcW w:w="970" w:type="dxa"/>
            <w:tcBorders>
              <w:top w:val="nil"/>
              <w:left w:val="nil"/>
              <w:bottom w:val="nil"/>
              <w:right w:val="nil"/>
            </w:tcBorders>
            <w:shd w:val="clear" w:color="auto" w:fill="FFFFFF"/>
            <w:vAlign w:val="center"/>
          </w:tcPr>
          <w:p w14:paraId="4C3697C5">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4DA3BC0B">
            <w:pPr>
              <w:pStyle w:val="167"/>
              <w:bidi w:val="0"/>
              <w:rPr>
                <w:lang w:val="en-US" w:eastAsia="zh-CN"/>
              </w:rPr>
            </w:pPr>
            <w:r>
              <w:rPr>
                <w:lang w:val="en-US" w:eastAsia="zh-CN"/>
              </w:rPr>
              <w:t>Not serious</w:t>
            </w:r>
          </w:p>
        </w:tc>
        <w:tc>
          <w:tcPr>
            <w:tcW w:w="1152" w:type="dxa"/>
            <w:tcBorders>
              <w:top w:val="nil"/>
              <w:left w:val="nil"/>
              <w:bottom w:val="nil"/>
              <w:right w:val="nil"/>
            </w:tcBorders>
            <w:shd w:val="clear" w:color="auto" w:fill="FFFFFF"/>
            <w:vAlign w:val="center"/>
          </w:tcPr>
          <w:p w14:paraId="68287EAA">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49F8DB84">
            <w:pPr>
              <w:pStyle w:val="167"/>
              <w:bidi w:val="0"/>
              <w:rPr>
                <w:lang w:val="en-US" w:eastAsia="zh-CN"/>
              </w:rPr>
            </w:pPr>
            <w:r>
              <w:rPr>
                <w:lang w:val="en-US" w:eastAsia="zh-CN"/>
              </w:rPr>
              <w:t>Very serious (−2)</w:t>
            </w:r>
          </w:p>
        </w:tc>
        <w:tc>
          <w:tcPr>
            <w:tcW w:w="1525" w:type="dxa"/>
            <w:tcBorders>
              <w:top w:val="nil"/>
              <w:left w:val="nil"/>
              <w:bottom w:val="nil"/>
              <w:right w:val="nil"/>
            </w:tcBorders>
            <w:shd w:val="clear" w:color="auto" w:fill="FFFFFF"/>
            <w:vAlign w:val="center"/>
          </w:tcPr>
          <w:p w14:paraId="3D01EE5F">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77DD0E43">
            <w:pPr>
              <w:pStyle w:val="167"/>
              <w:bidi w:val="0"/>
              <w:rPr>
                <w:lang w:val="en-US" w:eastAsia="zh-CN"/>
              </w:rPr>
            </w:pPr>
            <w:r>
              <w:rPr>
                <w:lang w:val="en-US" w:eastAsia="zh-CN"/>
              </w:rPr>
              <w:t>⊕◯◯◯ Very low</w:t>
            </w:r>
          </w:p>
        </w:tc>
      </w:tr>
      <w:tr w14:paraId="09809470">
        <w:trPr>
          <w:cantSplit/>
        </w:trPr>
        <w:tc>
          <w:tcPr>
            <w:tcW w:w="1369" w:type="dxa"/>
            <w:tcBorders>
              <w:top w:val="nil"/>
              <w:left w:val="nil"/>
              <w:bottom w:val="nil"/>
              <w:right w:val="nil"/>
            </w:tcBorders>
            <w:shd w:val="clear" w:color="auto" w:fill="FFFFFF"/>
            <w:vAlign w:val="center"/>
          </w:tcPr>
          <w:p w14:paraId="58C5175F">
            <w:pPr>
              <w:pStyle w:val="167"/>
              <w:bidi w:val="0"/>
              <w:rPr>
                <w:lang w:val="en-US" w:eastAsia="zh-CN"/>
              </w:rPr>
            </w:pPr>
            <w:r>
              <w:rPr>
                <w:lang w:val="en-US" w:eastAsia="zh-CN"/>
              </w:rPr>
              <w:t>Passive/minimal control</w:t>
            </w:r>
          </w:p>
        </w:tc>
        <w:tc>
          <w:tcPr>
            <w:tcW w:w="1495" w:type="dxa"/>
            <w:tcBorders>
              <w:top w:val="nil"/>
              <w:left w:val="nil"/>
              <w:bottom w:val="nil"/>
              <w:right w:val="nil"/>
            </w:tcBorders>
            <w:shd w:val="clear" w:color="auto" w:fill="FFFFFF"/>
            <w:vAlign w:val="center"/>
          </w:tcPr>
          <w:p w14:paraId="2C3D77FE">
            <w:pPr>
              <w:pStyle w:val="167"/>
              <w:bidi w:val="0"/>
              <w:rPr>
                <w:lang w:val="en-US" w:eastAsia="zh-CN"/>
              </w:rPr>
            </w:pPr>
            <w:r>
              <w:rPr>
                <w:lang w:val="en-US" w:eastAsia="zh-CN"/>
              </w:rPr>
              <w:t>Gait/walking function</w:t>
            </w:r>
          </w:p>
        </w:tc>
        <w:tc>
          <w:tcPr>
            <w:tcW w:w="1712" w:type="dxa"/>
            <w:tcBorders>
              <w:top w:val="nil"/>
              <w:left w:val="nil"/>
              <w:bottom w:val="nil"/>
              <w:right w:val="nil"/>
            </w:tcBorders>
            <w:shd w:val="clear" w:color="auto" w:fill="FFFFFF"/>
            <w:vAlign w:val="center"/>
          </w:tcPr>
          <w:p w14:paraId="3EF9FDF2">
            <w:pPr>
              <w:pStyle w:val="167"/>
              <w:bidi w:val="0"/>
              <w:rPr>
                <w:lang w:val="en-US" w:eastAsia="zh-CN"/>
              </w:rPr>
            </w:pPr>
            <w:r>
              <w:rPr>
                <w:lang w:val="en-US" w:eastAsia="zh-CN"/>
              </w:rPr>
              <w:t>1 RCT/53</w:t>
            </w:r>
          </w:p>
        </w:tc>
        <w:tc>
          <w:tcPr>
            <w:tcW w:w="1076" w:type="dxa"/>
            <w:tcBorders>
              <w:top w:val="nil"/>
              <w:left w:val="nil"/>
              <w:bottom w:val="nil"/>
              <w:right w:val="nil"/>
            </w:tcBorders>
            <w:shd w:val="clear" w:color="auto" w:fill="FFFFFF"/>
            <w:vAlign w:val="center"/>
          </w:tcPr>
          <w:p w14:paraId="7481764B">
            <w:pPr>
              <w:pStyle w:val="167"/>
              <w:bidi w:val="0"/>
              <w:rPr>
                <w:lang w:val="en-US" w:eastAsia="zh-CN"/>
              </w:rPr>
            </w:pPr>
            <w:r>
              <w:rPr>
                <w:lang w:val="en-US" w:eastAsia="zh-CN"/>
              </w:rPr>
              <w:t>g=0.21 (95% CI −0.33 to 0.75)</w:t>
            </w:r>
          </w:p>
        </w:tc>
        <w:tc>
          <w:tcPr>
            <w:tcW w:w="1212" w:type="dxa"/>
            <w:tcBorders>
              <w:top w:val="nil"/>
              <w:left w:val="nil"/>
              <w:bottom w:val="nil"/>
              <w:right w:val="nil"/>
            </w:tcBorders>
            <w:shd w:val="clear" w:color="auto" w:fill="FFFFFF"/>
            <w:vAlign w:val="center"/>
          </w:tcPr>
          <w:p w14:paraId="26BE69D4">
            <w:pPr>
              <w:pStyle w:val="167"/>
              <w:bidi w:val="0"/>
              <w:rPr>
                <w:lang w:val="en-US" w:eastAsia="zh-CN"/>
              </w:rPr>
            </w:pPr>
            <w:r>
              <w:rPr>
                <w:lang w:val="en-US" w:eastAsia="zh-CN"/>
              </w:rPr>
              <w:t>Single study; not applicable</w:t>
            </w:r>
          </w:p>
        </w:tc>
        <w:tc>
          <w:tcPr>
            <w:tcW w:w="970" w:type="dxa"/>
            <w:tcBorders>
              <w:top w:val="nil"/>
              <w:left w:val="nil"/>
              <w:bottom w:val="nil"/>
              <w:right w:val="nil"/>
            </w:tcBorders>
            <w:shd w:val="clear" w:color="auto" w:fill="FFFFFF"/>
            <w:vAlign w:val="center"/>
          </w:tcPr>
          <w:p w14:paraId="6C2694EA">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14AB5327">
            <w:pPr>
              <w:pStyle w:val="167"/>
              <w:bidi w:val="0"/>
              <w:rPr>
                <w:lang w:val="en-US" w:eastAsia="zh-CN"/>
              </w:rPr>
            </w:pPr>
            <w:r>
              <w:rPr>
                <w:lang w:val="en-US" w:eastAsia="zh-CN"/>
              </w:rPr>
              <w:t>Not applicable</w:t>
            </w:r>
          </w:p>
        </w:tc>
        <w:tc>
          <w:tcPr>
            <w:tcW w:w="1152" w:type="dxa"/>
            <w:tcBorders>
              <w:top w:val="nil"/>
              <w:left w:val="nil"/>
              <w:bottom w:val="nil"/>
              <w:right w:val="nil"/>
            </w:tcBorders>
            <w:shd w:val="clear" w:color="auto" w:fill="FFFFFF"/>
            <w:vAlign w:val="center"/>
          </w:tcPr>
          <w:p w14:paraId="492C5190">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331F1235">
            <w:pPr>
              <w:pStyle w:val="167"/>
              <w:bidi w:val="0"/>
              <w:rPr>
                <w:lang w:val="en-US" w:eastAsia="zh-CN"/>
              </w:rPr>
            </w:pPr>
            <w:r>
              <w:rPr>
                <w:lang w:val="en-US" w:eastAsia="zh-CN"/>
              </w:rPr>
              <w:t>Very serious (−2)</w:t>
            </w:r>
          </w:p>
        </w:tc>
        <w:tc>
          <w:tcPr>
            <w:tcW w:w="1525" w:type="dxa"/>
            <w:tcBorders>
              <w:top w:val="nil"/>
              <w:left w:val="nil"/>
              <w:bottom w:val="nil"/>
              <w:right w:val="nil"/>
            </w:tcBorders>
            <w:shd w:val="clear" w:color="auto" w:fill="FFFFFF"/>
            <w:vAlign w:val="center"/>
          </w:tcPr>
          <w:p w14:paraId="438CF21E">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30B9742C">
            <w:pPr>
              <w:pStyle w:val="167"/>
              <w:bidi w:val="0"/>
              <w:rPr>
                <w:lang w:val="en-US" w:eastAsia="zh-CN"/>
              </w:rPr>
            </w:pPr>
            <w:r>
              <w:rPr>
                <w:lang w:val="en-US" w:eastAsia="zh-CN"/>
              </w:rPr>
              <w:t>⊕◯◯◯ Very low</w:t>
            </w:r>
          </w:p>
        </w:tc>
      </w:tr>
      <w:tr w14:paraId="68171A8E">
        <w:trPr>
          <w:cantSplit/>
        </w:trPr>
        <w:tc>
          <w:tcPr>
            <w:tcW w:w="1369" w:type="dxa"/>
            <w:tcBorders>
              <w:top w:val="nil"/>
              <w:left w:val="nil"/>
              <w:bottom w:val="nil"/>
              <w:right w:val="nil"/>
            </w:tcBorders>
            <w:shd w:val="clear" w:color="auto" w:fill="FFFFFF"/>
            <w:vAlign w:val="center"/>
          </w:tcPr>
          <w:p w14:paraId="4C3FEF2A">
            <w:pPr>
              <w:pStyle w:val="167"/>
              <w:bidi w:val="0"/>
              <w:rPr>
                <w:lang w:val="en-US" w:eastAsia="zh-CN"/>
              </w:rPr>
            </w:pPr>
            <w:r>
              <w:rPr>
                <w:lang w:val="en-US" w:eastAsia="zh-CN"/>
              </w:rPr>
              <w:t>Ordinary home exercise</w:t>
            </w:r>
          </w:p>
        </w:tc>
        <w:tc>
          <w:tcPr>
            <w:tcW w:w="1495" w:type="dxa"/>
            <w:tcBorders>
              <w:top w:val="nil"/>
              <w:left w:val="nil"/>
              <w:bottom w:val="nil"/>
              <w:right w:val="nil"/>
            </w:tcBorders>
            <w:shd w:val="clear" w:color="auto" w:fill="FFFFFF"/>
            <w:vAlign w:val="center"/>
          </w:tcPr>
          <w:p w14:paraId="5154ED18">
            <w:pPr>
              <w:pStyle w:val="167"/>
              <w:bidi w:val="0"/>
              <w:rPr>
                <w:lang w:val="en-US" w:eastAsia="zh-CN"/>
              </w:rPr>
            </w:pPr>
            <w:r>
              <w:rPr>
                <w:lang w:val="en-US" w:eastAsia="zh-CN"/>
              </w:rPr>
              <w:t>Gait/walking function</w:t>
            </w:r>
          </w:p>
        </w:tc>
        <w:tc>
          <w:tcPr>
            <w:tcW w:w="1712" w:type="dxa"/>
            <w:tcBorders>
              <w:top w:val="nil"/>
              <w:left w:val="nil"/>
              <w:bottom w:val="nil"/>
              <w:right w:val="nil"/>
            </w:tcBorders>
            <w:shd w:val="clear" w:color="auto" w:fill="FFFFFF"/>
            <w:vAlign w:val="center"/>
          </w:tcPr>
          <w:p w14:paraId="36C2491D">
            <w:pPr>
              <w:pStyle w:val="167"/>
              <w:bidi w:val="0"/>
              <w:rPr>
                <w:lang w:val="en-US" w:eastAsia="zh-CN"/>
              </w:rPr>
            </w:pPr>
            <w:r>
              <w:rPr>
                <w:lang w:val="en-US" w:eastAsia="zh-CN"/>
              </w:rPr>
              <w:t>2 RCTs/64</w:t>
            </w:r>
          </w:p>
        </w:tc>
        <w:tc>
          <w:tcPr>
            <w:tcW w:w="1076" w:type="dxa"/>
            <w:tcBorders>
              <w:top w:val="nil"/>
              <w:left w:val="nil"/>
              <w:bottom w:val="nil"/>
              <w:right w:val="nil"/>
            </w:tcBorders>
            <w:shd w:val="clear" w:color="auto" w:fill="FFFFFF"/>
            <w:vAlign w:val="center"/>
          </w:tcPr>
          <w:p w14:paraId="4F01C6F0">
            <w:pPr>
              <w:pStyle w:val="167"/>
              <w:bidi w:val="0"/>
              <w:rPr>
                <w:lang w:val="en-US" w:eastAsia="zh-CN"/>
              </w:rPr>
            </w:pPr>
            <w:r>
              <w:rPr>
                <w:lang w:val="en-US" w:eastAsia="zh-CN"/>
              </w:rPr>
              <w:t>g=−0.01 (95% CI −3.19 to 3.18)</w:t>
            </w:r>
          </w:p>
        </w:tc>
        <w:tc>
          <w:tcPr>
            <w:tcW w:w="1212" w:type="dxa"/>
            <w:tcBorders>
              <w:top w:val="nil"/>
              <w:left w:val="nil"/>
              <w:bottom w:val="nil"/>
              <w:right w:val="nil"/>
            </w:tcBorders>
            <w:shd w:val="clear" w:color="auto" w:fill="FFFFFF"/>
            <w:vAlign w:val="center"/>
          </w:tcPr>
          <w:p w14:paraId="45D2F788">
            <w:pPr>
              <w:pStyle w:val="167"/>
              <w:bidi w:val="0"/>
              <w:rPr>
                <w:lang w:val="en-US" w:eastAsia="zh-CN"/>
              </w:rPr>
            </w:pPr>
            <w:r>
              <w:rPr>
                <w:lang w:val="en-US" w:eastAsia="zh-CN"/>
              </w:rPr>
              <w:t>I²=0.0%; τ²=0.000</w:t>
            </w:r>
          </w:p>
        </w:tc>
        <w:tc>
          <w:tcPr>
            <w:tcW w:w="970" w:type="dxa"/>
            <w:tcBorders>
              <w:top w:val="nil"/>
              <w:left w:val="nil"/>
              <w:bottom w:val="nil"/>
              <w:right w:val="nil"/>
            </w:tcBorders>
            <w:shd w:val="clear" w:color="auto" w:fill="FFFFFF"/>
            <w:vAlign w:val="center"/>
          </w:tcPr>
          <w:p w14:paraId="3F09058A">
            <w:pPr>
              <w:pStyle w:val="167"/>
              <w:bidi w:val="0"/>
              <w:rPr>
                <w:lang w:val="en-US" w:eastAsia="zh-CN"/>
              </w:rPr>
            </w:pPr>
            <w:r>
              <w:rPr>
                <w:lang w:val="en-US" w:eastAsia="zh-CN"/>
              </w:rPr>
              <w:t>Serious (−1)</w:t>
            </w:r>
          </w:p>
        </w:tc>
        <w:tc>
          <w:tcPr>
            <w:tcW w:w="1434" w:type="dxa"/>
            <w:tcBorders>
              <w:top w:val="nil"/>
              <w:left w:val="nil"/>
              <w:bottom w:val="nil"/>
              <w:right w:val="nil"/>
            </w:tcBorders>
            <w:shd w:val="clear" w:color="auto" w:fill="FFFFFF"/>
            <w:vAlign w:val="center"/>
          </w:tcPr>
          <w:p w14:paraId="5CA0C1DF">
            <w:pPr>
              <w:pStyle w:val="167"/>
              <w:bidi w:val="0"/>
              <w:rPr>
                <w:lang w:val="en-US" w:eastAsia="zh-CN"/>
              </w:rPr>
            </w:pPr>
            <w:r>
              <w:rPr>
                <w:lang w:val="en-US" w:eastAsia="zh-CN"/>
              </w:rPr>
              <w:t>Not serious</w:t>
            </w:r>
          </w:p>
        </w:tc>
        <w:tc>
          <w:tcPr>
            <w:tcW w:w="1152" w:type="dxa"/>
            <w:tcBorders>
              <w:top w:val="nil"/>
              <w:left w:val="nil"/>
              <w:bottom w:val="nil"/>
              <w:right w:val="nil"/>
            </w:tcBorders>
            <w:shd w:val="clear" w:color="auto" w:fill="FFFFFF"/>
            <w:vAlign w:val="center"/>
          </w:tcPr>
          <w:p w14:paraId="0D7ED9FB">
            <w:pPr>
              <w:pStyle w:val="167"/>
              <w:bidi w:val="0"/>
              <w:rPr>
                <w:lang w:val="en-US" w:eastAsia="zh-CN"/>
              </w:rPr>
            </w:pPr>
            <w:r>
              <w:rPr>
                <w:lang w:val="en-US" w:eastAsia="zh-CN"/>
              </w:rPr>
              <w:t>Not serious</w:t>
            </w:r>
          </w:p>
        </w:tc>
        <w:tc>
          <w:tcPr>
            <w:tcW w:w="1212" w:type="dxa"/>
            <w:tcBorders>
              <w:top w:val="nil"/>
              <w:left w:val="nil"/>
              <w:bottom w:val="nil"/>
              <w:right w:val="nil"/>
            </w:tcBorders>
            <w:shd w:val="clear" w:color="auto" w:fill="FFFFFF"/>
            <w:vAlign w:val="center"/>
          </w:tcPr>
          <w:p w14:paraId="78A9EB2B">
            <w:pPr>
              <w:pStyle w:val="167"/>
              <w:bidi w:val="0"/>
              <w:rPr>
                <w:lang w:val="en-US" w:eastAsia="zh-CN"/>
              </w:rPr>
            </w:pPr>
            <w:r>
              <w:rPr>
                <w:lang w:val="en-US" w:eastAsia="zh-CN"/>
              </w:rPr>
              <w:t>Very serious (−2)</w:t>
            </w:r>
          </w:p>
        </w:tc>
        <w:tc>
          <w:tcPr>
            <w:tcW w:w="1525" w:type="dxa"/>
            <w:tcBorders>
              <w:top w:val="nil"/>
              <w:left w:val="nil"/>
              <w:bottom w:val="nil"/>
              <w:right w:val="nil"/>
            </w:tcBorders>
            <w:shd w:val="clear" w:color="auto" w:fill="FFFFFF"/>
            <w:vAlign w:val="center"/>
          </w:tcPr>
          <w:p w14:paraId="04B0F107">
            <w:pPr>
              <w:pStyle w:val="167"/>
              <w:bidi w:val="0"/>
              <w:rPr>
                <w:lang w:val="en-US" w:eastAsia="zh-CN"/>
              </w:rPr>
            </w:pPr>
            <w:r>
              <w:rPr>
                <w:lang w:val="en-US" w:eastAsia="zh-CN"/>
              </w:rPr>
              <w:t>Not formally assessed; not downgraded</w:t>
            </w:r>
          </w:p>
        </w:tc>
        <w:tc>
          <w:tcPr>
            <w:tcW w:w="998" w:type="dxa"/>
            <w:tcBorders>
              <w:top w:val="nil"/>
              <w:left w:val="nil"/>
              <w:bottom w:val="nil"/>
              <w:right w:val="nil"/>
            </w:tcBorders>
            <w:shd w:val="clear" w:color="auto" w:fill="FFFFFF"/>
            <w:vAlign w:val="center"/>
          </w:tcPr>
          <w:p w14:paraId="39C84C8C">
            <w:pPr>
              <w:pStyle w:val="167"/>
              <w:bidi w:val="0"/>
              <w:rPr>
                <w:lang w:val="en-US" w:eastAsia="zh-CN"/>
              </w:rPr>
            </w:pPr>
            <w:r>
              <w:rPr>
                <w:lang w:val="en-US" w:eastAsia="zh-CN"/>
              </w:rPr>
              <w:t>⊕◯◯◯ Very low</w:t>
            </w:r>
          </w:p>
        </w:tc>
      </w:tr>
      <w:tr w14:paraId="3A256871">
        <w:trPr>
          <w:cantSplit/>
        </w:trPr>
        <w:tc>
          <w:tcPr>
            <w:tcW w:w="1369" w:type="dxa"/>
            <w:tcBorders>
              <w:top w:val="nil"/>
              <w:left w:val="nil"/>
              <w:bottom w:val="single" w:color="000000" w:sz="12" w:space="0"/>
              <w:right w:val="nil"/>
            </w:tcBorders>
            <w:shd w:val="clear" w:color="auto" w:fill="FFFFFF"/>
            <w:vAlign w:val="center"/>
          </w:tcPr>
          <w:p w14:paraId="4FACD412">
            <w:pPr>
              <w:pStyle w:val="167"/>
              <w:bidi w:val="0"/>
              <w:rPr>
                <w:lang w:val="en-US" w:eastAsia="zh-CN"/>
              </w:rPr>
            </w:pPr>
            <w:r>
              <w:rPr>
                <w:lang w:val="en-US" w:eastAsia="zh-CN"/>
              </w:rPr>
              <w:t>Active therapist-led rehabilitation</w:t>
            </w:r>
          </w:p>
        </w:tc>
        <w:tc>
          <w:tcPr>
            <w:tcW w:w="1495" w:type="dxa"/>
            <w:tcBorders>
              <w:top w:val="nil"/>
              <w:left w:val="nil"/>
              <w:bottom w:val="single" w:color="000000" w:sz="12" w:space="0"/>
              <w:right w:val="nil"/>
            </w:tcBorders>
            <w:shd w:val="clear" w:color="auto" w:fill="FFFFFF"/>
            <w:vAlign w:val="center"/>
          </w:tcPr>
          <w:p w14:paraId="74937A86">
            <w:pPr>
              <w:pStyle w:val="167"/>
              <w:bidi w:val="0"/>
              <w:rPr>
                <w:lang w:val="en-US" w:eastAsia="zh-CN"/>
              </w:rPr>
            </w:pPr>
            <w:r>
              <w:rPr>
                <w:lang w:val="en-US" w:eastAsia="zh-CN"/>
              </w:rPr>
              <w:t>Gait/walking function</w:t>
            </w:r>
          </w:p>
        </w:tc>
        <w:tc>
          <w:tcPr>
            <w:tcW w:w="1712" w:type="dxa"/>
            <w:tcBorders>
              <w:top w:val="nil"/>
              <w:left w:val="nil"/>
              <w:bottom w:val="single" w:color="000000" w:sz="12" w:space="0"/>
              <w:right w:val="nil"/>
            </w:tcBorders>
            <w:shd w:val="clear" w:color="auto" w:fill="FFFFFF"/>
            <w:vAlign w:val="center"/>
          </w:tcPr>
          <w:p w14:paraId="3DF2AE19">
            <w:pPr>
              <w:pStyle w:val="167"/>
              <w:bidi w:val="0"/>
              <w:rPr>
                <w:lang w:val="en-US" w:eastAsia="zh-CN"/>
              </w:rPr>
            </w:pPr>
            <w:r>
              <w:rPr>
                <w:lang w:val="en-US" w:eastAsia="zh-CN"/>
              </w:rPr>
              <w:t>4 RCTs/318</w:t>
            </w:r>
          </w:p>
        </w:tc>
        <w:tc>
          <w:tcPr>
            <w:tcW w:w="1076" w:type="dxa"/>
            <w:tcBorders>
              <w:top w:val="nil"/>
              <w:left w:val="nil"/>
              <w:bottom w:val="single" w:color="000000" w:sz="12" w:space="0"/>
              <w:right w:val="nil"/>
            </w:tcBorders>
            <w:shd w:val="clear" w:color="auto" w:fill="FFFFFF"/>
            <w:vAlign w:val="center"/>
          </w:tcPr>
          <w:p w14:paraId="2E475E9D">
            <w:pPr>
              <w:pStyle w:val="167"/>
              <w:bidi w:val="0"/>
              <w:rPr>
                <w:lang w:val="en-US" w:eastAsia="zh-CN"/>
              </w:rPr>
            </w:pPr>
            <w:r>
              <w:rPr>
                <w:lang w:val="en-US" w:eastAsia="zh-CN"/>
              </w:rPr>
              <w:t>g=0.03 (95% CI −0.67 to 0.73)</w:t>
            </w:r>
          </w:p>
        </w:tc>
        <w:tc>
          <w:tcPr>
            <w:tcW w:w="1212" w:type="dxa"/>
            <w:tcBorders>
              <w:top w:val="nil"/>
              <w:left w:val="nil"/>
              <w:bottom w:val="single" w:color="000000" w:sz="12" w:space="0"/>
              <w:right w:val="nil"/>
            </w:tcBorders>
            <w:shd w:val="clear" w:color="auto" w:fill="FFFFFF"/>
            <w:vAlign w:val="center"/>
          </w:tcPr>
          <w:p w14:paraId="2241866B">
            <w:pPr>
              <w:pStyle w:val="167"/>
              <w:bidi w:val="0"/>
              <w:rPr>
                <w:lang w:val="en-US" w:eastAsia="zh-CN"/>
              </w:rPr>
            </w:pPr>
            <w:r>
              <w:rPr>
                <w:lang w:val="en-US" w:eastAsia="zh-CN"/>
              </w:rPr>
              <w:t>I²=63.1%; τ²=0.111</w:t>
            </w:r>
          </w:p>
        </w:tc>
        <w:tc>
          <w:tcPr>
            <w:tcW w:w="970" w:type="dxa"/>
            <w:tcBorders>
              <w:top w:val="nil"/>
              <w:left w:val="nil"/>
              <w:bottom w:val="single" w:color="000000" w:sz="12" w:space="0"/>
              <w:right w:val="nil"/>
            </w:tcBorders>
            <w:shd w:val="clear" w:color="auto" w:fill="FFFFFF"/>
            <w:vAlign w:val="center"/>
          </w:tcPr>
          <w:p w14:paraId="7BB70559">
            <w:pPr>
              <w:pStyle w:val="167"/>
              <w:bidi w:val="0"/>
              <w:rPr>
                <w:lang w:val="en-US" w:eastAsia="zh-CN"/>
              </w:rPr>
            </w:pPr>
            <w:r>
              <w:rPr>
                <w:lang w:val="en-US" w:eastAsia="zh-CN"/>
              </w:rPr>
              <w:t>Serious (−1)</w:t>
            </w:r>
          </w:p>
        </w:tc>
        <w:tc>
          <w:tcPr>
            <w:tcW w:w="1434" w:type="dxa"/>
            <w:tcBorders>
              <w:top w:val="nil"/>
              <w:left w:val="nil"/>
              <w:bottom w:val="single" w:color="000000" w:sz="12" w:space="0"/>
              <w:right w:val="nil"/>
            </w:tcBorders>
            <w:shd w:val="clear" w:color="auto" w:fill="FFFFFF"/>
            <w:vAlign w:val="center"/>
          </w:tcPr>
          <w:p w14:paraId="63DF64C2">
            <w:pPr>
              <w:pStyle w:val="167"/>
              <w:bidi w:val="0"/>
              <w:rPr>
                <w:lang w:val="en-US" w:eastAsia="zh-CN"/>
              </w:rPr>
            </w:pPr>
            <w:r>
              <w:rPr>
                <w:lang w:val="en-US" w:eastAsia="zh-CN"/>
              </w:rPr>
              <w:t>Serious (−1)</w:t>
            </w:r>
          </w:p>
        </w:tc>
        <w:tc>
          <w:tcPr>
            <w:tcW w:w="1152" w:type="dxa"/>
            <w:tcBorders>
              <w:top w:val="nil"/>
              <w:left w:val="nil"/>
              <w:bottom w:val="single" w:color="000000" w:sz="12" w:space="0"/>
              <w:right w:val="nil"/>
            </w:tcBorders>
            <w:shd w:val="clear" w:color="auto" w:fill="FFFFFF"/>
            <w:vAlign w:val="center"/>
          </w:tcPr>
          <w:p w14:paraId="5D11845E">
            <w:pPr>
              <w:pStyle w:val="167"/>
              <w:bidi w:val="0"/>
              <w:rPr>
                <w:lang w:val="en-US" w:eastAsia="zh-CN"/>
              </w:rPr>
            </w:pPr>
            <w:r>
              <w:rPr>
                <w:lang w:val="en-US" w:eastAsia="zh-CN"/>
              </w:rPr>
              <w:t>Not serious</w:t>
            </w:r>
          </w:p>
        </w:tc>
        <w:tc>
          <w:tcPr>
            <w:tcW w:w="1212" w:type="dxa"/>
            <w:tcBorders>
              <w:top w:val="nil"/>
              <w:left w:val="nil"/>
              <w:bottom w:val="single" w:color="000000" w:sz="12" w:space="0"/>
              <w:right w:val="nil"/>
            </w:tcBorders>
            <w:shd w:val="clear" w:color="auto" w:fill="FFFFFF"/>
            <w:vAlign w:val="center"/>
          </w:tcPr>
          <w:p w14:paraId="50604A49">
            <w:pPr>
              <w:pStyle w:val="167"/>
              <w:bidi w:val="0"/>
              <w:rPr>
                <w:lang w:val="en-US" w:eastAsia="zh-CN"/>
              </w:rPr>
            </w:pPr>
            <w:r>
              <w:rPr>
                <w:lang w:val="en-US" w:eastAsia="zh-CN"/>
              </w:rPr>
              <w:t>Serious (−1)</w:t>
            </w:r>
          </w:p>
        </w:tc>
        <w:tc>
          <w:tcPr>
            <w:tcW w:w="1525" w:type="dxa"/>
            <w:tcBorders>
              <w:top w:val="nil"/>
              <w:left w:val="nil"/>
              <w:bottom w:val="single" w:color="000000" w:sz="12" w:space="0"/>
              <w:right w:val="nil"/>
            </w:tcBorders>
            <w:shd w:val="clear" w:color="auto" w:fill="FFFFFF"/>
            <w:vAlign w:val="center"/>
          </w:tcPr>
          <w:p w14:paraId="0ACBBD64">
            <w:pPr>
              <w:pStyle w:val="167"/>
              <w:bidi w:val="0"/>
              <w:rPr>
                <w:lang w:val="en-US" w:eastAsia="zh-CN"/>
              </w:rPr>
            </w:pPr>
            <w:r>
              <w:rPr>
                <w:lang w:val="en-US" w:eastAsia="zh-CN"/>
              </w:rPr>
              <w:t>Not formally assessed; not downgraded</w:t>
            </w:r>
          </w:p>
        </w:tc>
        <w:tc>
          <w:tcPr>
            <w:tcW w:w="998" w:type="dxa"/>
            <w:tcBorders>
              <w:top w:val="nil"/>
              <w:left w:val="nil"/>
              <w:bottom w:val="single" w:color="000000" w:sz="12" w:space="0"/>
              <w:right w:val="nil"/>
            </w:tcBorders>
            <w:shd w:val="clear" w:color="auto" w:fill="FFFFFF"/>
            <w:vAlign w:val="center"/>
          </w:tcPr>
          <w:p w14:paraId="6477A26A">
            <w:pPr>
              <w:pStyle w:val="167"/>
              <w:bidi w:val="0"/>
              <w:rPr>
                <w:lang w:val="en-US" w:eastAsia="zh-CN"/>
              </w:rPr>
            </w:pPr>
            <w:r>
              <w:rPr>
                <w:lang w:val="en-US" w:eastAsia="zh-CN"/>
              </w:rPr>
              <w:t>⊕◯◯◯ Very low</w:t>
            </w:r>
          </w:p>
        </w:tc>
      </w:tr>
    </w:tbl>
    <w:p w14:paraId="4FAD4069">
      <w:pPr>
        <w:pStyle w:val="4"/>
        <w:bidi w:val="0"/>
      </w:pPr>
      <w:r>
        <w:rPr>
          <w:lang w:val="en-US" w:eastAsia="zh-CN"/>
        </w:rPr>
        <w:t>Downgrade rationales for Table S5</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2817"/>
        <w:gridCol w:w="3283"/>
        <w:gridCol w:w="3293"/>
        <w:gridCol w:w="2663"/>
      </w:tblGrid>
      <w:tr w14:paraId="1CD7E655">
        <w:trPr>
          <w:cantSplit/>
        </w:trPr>
        <w:tc>
          <w:tcPr>
            <w:tcW w:w="0" w:type="auto"/>
            <w:tcBorders>
              <w:top w:val="single" w:color="000000" w:sz="12" w:space="0"/>
              <w:left w:val="nil"/>
              <w:bottom w:val="single" w:color="000000" w:sz="4" w:space="0"/>
              <w:right w:val="nil"/>
              <w:tl2br w:val="nil"/>
            </w:tcBorders>
            <w:shd w:val="clear" w:color="auto" w:fill="FFFFFF"/>
            <w:vAlign w:val="center"/>
          </w:tcPr>
          <w:p w14:paraId="5BCF9AB9">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Evidence body</w:t>
            </w:r>
          </w:p>
        </w:tc>
        <w:tc>
          <w:tcPr>
            <w:tcW w:w="0" w:type="auto"/>
            <w:tcBorders>
              <w:top w:val="single" w:color="000000" w:sz="12" w:space="0"/>
              <w:left w:val="nil"/>
              <w:bottom w:val="single" w:color="000000" w:sz="4" w:space="0"/>
              <w:right w:val="nil"/>
            </w:tcBorders>
            <w:shd w:val="clear" w:color="auto" w:fill="FFFFFF"/>
            <w:vAlign w:val="center"/>
          </w:tcPr>
          <w:p w14:paraId="53AE511F">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Risk-of-bias rationale</w:t>
            </w:r>
          </w:p>
        </w:tc>
        <w:tc>
          <w:tcPr>
            <w:tcW w:w="3283" w:type="dxa"/>
            <w:tcBorders>
              <w:top w:val="single" w:color="000000" w:sz="12" w:space="0"/>
              <w:left w:val="nil"/>
              <w:bottom w:val="single" w:color="000000" w:sz="4" w:space="0"/>
              <w:right w:val="nil"/>
            </w:tcBorders>
            <w:shd w:val="clear" w:color="auto" w:fill="FFFFFF"/>
            <w:vAlign w:val="center"/>
          </w:tcPr>
          <w:p w14:paraId="3411D900">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Inconsistency rationale</w:t>
            </w:r>
          </w:p>
        </w:tc>
        <w:tc>
          <w:tcPr>
            <w:tcW w:w="3293" w:type="dxa"/>
            <w:tcBorders>
              <w:top w:val="single" w:color="000000" w:sz="12" w:space="0"/>
              <w:left w:val="nil"/>
              <w:bottom w:val="single" w:color="000000" w:sz="4" w:space="0"/>
              <w:right w:val="nil"/>
            </w:tcBorders>
            <w:shd w:val="clear" w:color="auto" w:fill="FFFFFF"/>
            <w:vAlign w:val="center"/>
          </w:tcPr>
          <w:p w14:paraId="60849D01">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Imprecision rationale</w:t>
            </w:r>
          </w:p>
        </w:tc>
        <w:tc>
          <w:tcPr>
            <w:tcW w:w="2663" w:type="dxa"/>
            <w:tcBorders>
              <w:top w:val="single" w:color="000000" w:sz="12" w:space="0"/>
              <w:left w:val="nil"/>
              <w:bottom w:val="single" w:color="000000" w:sz="4" w:space="0"/>
              <w:right w:val="nil"/>
            </w:tcBorders>
            <w:shd w:val="clear" w:color="auto" w:fill="FFFFFF"/>
            <w:vAlign w:val="center"/>
          </w:tcPr>
          <w:p w14:paraId="27A861D2">
            <w:pPr>
              <w:pStyle w:val="167"/>
              <w:bidi w:val="0"/>
              <w:jc w:val="center"/>
              <w:rPr>
                <w:rFonts w:hint="default" w:ascii="Times New Roman Bold" w:hAnsi="Times New Roman Bold" w:cs="Times New Roman Bold"/>
                <w:b w:val="0"/>
                <w:bCs/>
                <w:lang w:val="en-US" w:eastAsia="zh-CN"/>
              </w:rPr>
            </w:pPr>
            <w:r>
              <w:rPr>
                <w:rFonts w:hint="default" w:ascii="Times New Roman Bold" w:hAnsi="Times New Roman Bold" w:cs="Times New Roman Bold"/>
                <w:b w:val="0"/>
                <w:bCs/>
                <w:lang w:val="en-US" w:eastAsia="zh-CN"/>
              </w:rPr>
              <w:t>S09 robustness information</w:t>
            </w:r>
          </w:p>
        </w:tc>
      </w:tr>
      <w:tr w14:paraId="414D6C08">
        <w:trPr>
          <w:cantSplit/>
        </w:trPr>
        <w:tc>
          <w:tcPr>
            <w:tcW w:w="0" w:type="auto"/>
            <w:tcBorders>
              <w:top w:val="single" w:color="000000" w:sz="4" w:space="0"/>
              <w:left w:val="nil"/>
              <w:bottom w:val="nil"/>
              <w:right w:val="nil"/>
            </w:tcBorders>
            <w:shd w:val="clear" w:color="auto" w:fill="FFFFFF"/>
            <w:vAlign w:val="center"/>
          </w:tcPr>
          <w:p w14:paraId="44FBB538">
            <w:pPr>
              <w:pStyle w:val="167"/>
              <w:bidi w:val="0"/>
              <w:jc w:val="center"/>
              <w:rPr>
                <w:b w:val="0"/>
                <w:lang w:val="en-US" w:eastAsia="zh-CN"/>
              </w:rPr>
            </w:pPr>
            <w:r>
              <w:rPr>
                <w:b w:val="0"/>
                <w:lang w:val="en-US" w:eastAsia="zh-CN"/>
              </w:rPr>
              <w:t>MDS-UPDRS III/UPDRS III vs passive/minimal control</w:t>
            </w:r>
          </w:p>
        </w:tc>
        <w:tc>
          <w:tcPr>
            <w:tcW w:w="0" w:type="auto"/>
            <w:tcBorders>
              <w:top w:val="single" w:color="000000" w:sz="4" w:space="0"/>
              <w:left w:val="nil"/>
              <w:bottom w:val="nil"/>
              <w:right w:val="nil"/>
            </w:tcBorders>
            <w:shd w:val="clear" w:color="auto" w:fill="FFFFFF"/>
            <w:vAlign w:val="center"/>
          </w:tcPr>
          <w:p w14:paraId="77F16A78">
            <w:pPr>
              <w:pStyle w:val="167"/>
              <w:bidi w:val="0"/>
              <w:jc w:val="center"/>
              <w:rPr>
                <w:b w:val="0"/>
                <w:lang w:val="en-US" w:eastAsia="zh-CN"/>
              </w:rPr>
            </w:pPr>
            <w:r>
              <w:rPr>
                <w:b w:val="0"/>
                <w:lang w:val="en-US" w:eastAsia="zh-CN"/>
              </w:rPr>
              <w:t>Del Pino 2025 was judged overall high risk; approximately 57.4% of the random-effects weight came from high-risk results.</w:t>
            </w:r>
          </w:p>
        </w:tc>
        <w:tc>
          <w:tcPr>
            <w:tcW w:w="3283" w:type="dxa"/>
            <w:tcBorders>
              <w:top w:val="single" w:color="000000" w:sz="4" w:space="0"/>
              <w:left w:val="nil"/>
              <w:bottom w:val="nil"/>
              <w:right w:val="nil"/>
            </w:tcBorders>
            <w:shd w:val="clear" w:color="auto" w:fill="FFFFFF"/>
            <w:vAlign w:val="center"/>
          </w:tcPr>
          <w:p w14:paraId="3B4A177D">
            <w:pPr>
              <w:pStyle w:val="167"/>
              <w:bidi w:val="0"/>
              <w:jc w:val="center"/>
              <w:rPr>
                <w:b w:val="0"/>
                <w:lang w:val="en-US" w:eastAsia="zh-CN"/>
              </w:rPr>
            </w:pPr>
            <w:r>
              <w:rPr>
                <w:b w:val="0"/>
                <w:lang w:val="en-US" w:eastAsia="zh-CN"/>
              </w:rPr>
              <w:t>Observed heterogeneity was low (I²=0.0%).</w:t>
            </w:r>
          </w:p>
        </w:tc>
        <w:tc>
          <w:tcPr>
            <w:tcW w:w="3293" w:type="dxa"/>
            <w:tcBorders>
              <w:top w:val="single" w:color="000000" w:sz="4" w:space="0"/>
              <w:left w:val="nil"/>
              <w:bottom w:val="nil"/>
              <w:right w:val="nil"/>
            </w:tcBorders>
            <w:shd w:val="clear" w:color="auto" w:fill="FFFFFF"/>
            <w:vAlign w:val="center"/>
          </w:tcPr>
          <w:p w14:paraId="58E8FAD4">
            <w:pPr>
              <w:pStyle w:val="167"/>
              <w:bidi w:val="0"/>
              <w:jc w:val="center"/>
              <w:rPr>
                <w:b w:val="0"/>
                <w:lang w:val="en-US" w:eastAsia="zh-CN"/>
              </w:rPr>
            </w:pPr>
            <w:r>
              <w:rPr>
                <w:b w:val="0"/>
                <w:lang w:val="en-US" w:eastAsia="zh-CN"/>
              </w:rPr>
              <w:t>The CI crossed both −0.20 and +0.20 decision thresholds, and the total information was substantially below the approximate OIS of 784 participants.</w:t>
            </w:r>
          </w:p>
        </w:tc>
        <w:tc>
          <w:tcPr>
            <w:tcW w:w="2663" w:type="dxa"/>
            <w:tcBorders>
              <w:top w:val="single" w:color="000000" w:sz="4" w:space="0"/>
              <w:left w:val="nil"/>
              <w:bottom w:val="nil"/>
              <w:right w:val="nil"/>
            </w:tcBorders>
            <w:shd w:val="clear" w:color="auto" w:fill="FFFFFF"/>
            <w:vAlign w:val="center"/>
          </w:tcPr>
          <w:p w14:paraId="2C1EA813">
            <w:pPr>
              <w:pStyle w:val="167"/>
              <w:bidi w:val="0"/>
              <w:jc w:val="center"/>
              <w:rPr>
                <w:b w:val="0"/>
                <w:lang w:val="en-US" w:eastAsia="zh-CN"/>
              </w:rPr>
            </w:pPr>
            <w:r>
              <w:rPr>
                <w:b w:val="0"/>
                <w:lang w:val="en-US" w:eastAsia="zh-CN"/>
              </w:rPr>
              <w:t>After excluding high-risk results: k=1, N=13, g=0.16 (95% CI −0.93 to 1.26); CI-null interpretation unchanged.</w:t>
            </w:r>
          </w:p>
        </w:tc>
      </w:tr>
      <w:tr w14:paraId="1BB3DA2E">
        <w:trPr>
          <w:cantSplit/>
        </w:trPr>
        <w:tc>
          <w:tcPr>
            <w:tcW w:w="0" w:type="auto"/>
            <w:tcBorders>
              <w:top w:val="nil"/>
              <w:left w:val="nil"/>
              <w:bottom w:val="nil"/>
              <w:right w:val="nil"/>
            </w:tcBorders>
            <w:shd w:val="clear" w:color="auto" w:fill="FFFFFF"/>
            <w:vAlign w:val="center"/>
          </w:tcPr>
          <w:p w14:paraId="4D47B037">
            <w:pPr>
              <w:pStyle w:val="167"/>
              <w:bidi w:val="0"/>
              <w:jc w:val="center"/>
              <w:rPr>
                <w:b w:val="0"/>
                <w:lang w:val="en-US" w:eastAsia="zh-CN"/>
              </w:rPr>
            </w:pPr>
            <w:r>
              <w:rPr>
                <w:b w:val="0"/>
                <w:lang w:val="en-US" w:eastAsia="zh-CN"/>
              </w:rPr>
              <w:t>MDS-UPDRS III/UPDRS III vs ordinary home exercise</w:t>
            </w:r>
          </w:p>
        </w:tc>
        <w:tc>
          <w:tcPr>
            <w:tcW w:w="0" w:type="auto"/>
            <w:tcBorders>
              <w:top w:val="nil"/>
              <w:left w:val="nil"/>
              <w:bottom w:val="nil"/>
              <w:right w:val="nil"/>
            </w:tcBorders>
            <w:shd w:val="clear" w:color="auto" w:fill="FFFFFF"/>
            <w:vAlign w:val="center"/>
          </w:tcPr>
          <w:p w14:paraId="5ACB9D79">
            <w:pPr>
              <w:pStyle w:val="167"/>
              <w:bidi w:val="0"/>
              <w:jc w:val="center"/>
              <w:rPr>
                <w:b w:val="0"/>
                <w:lang w:val="en-US" w:eastAsia="zh-CN"/>
              </w:rPr>
            </w:pPr>
            <w:r>
              <w:rPr>
                <w:b w:val="0"/>
                <w:lang w:val="en-US" w:eastAsia="zh-CN"/>
              </w:rPr>
              <w:t>Ginis 2016 was judged overall high risk; approximately 23.5% of the random-effects weight came from high-risk results.</w:t>
            </w:r>
          </w:p>
        </w:tc>
        <w:tc>
          <w:tcPr>
            <w:tcW w:w="3283" w:type="dxa"/>
            <w:tcBorders>
              <w:top w:val="nil"/>
              <w:left w:val="nil"/>
              <w:bottom w:val="nil"/>
              <w:right w:val="nil"/>
            </w:tcBorders>
            <w:shd w:val="clear" w:color="auto" w:fill="FFFFFF"/>
            <w:vAlign w:val="center"/>
          </w:tcPr>
          <w:p w14:paraId="749DFD35">
            <w:pPr>
              <w:pStyle w:val="167"/>
              <w:bidi w:val="0"/>
              <w:jc w:val="center"/>
              <w:rPr>
                <w:b w:val="0"/>
                <w:lang w:val="en-US" w:eastAsia="zh-CN"/>
              </w:rPr>
            </w:pPr>
            <w:r>
              <w:rPr>
                <w:b w:val="0"/>
                <w:lang w:val="en-US" w:eastAsia="zh-CN"/>
              </w:rPr>
              <w:t>Observed heterogeneity was low (I²=0.0%).</w:t>
            </w:r>
          </w:p>
        </w:tc>
        <w:tc>
          <w:tcPr>
            <w:tcW w:w="3293" w:type="dxa"/>
            <w:tcBorders>
              <w:top w:val="nil"/>
              <w:left w:val="nil"/>
              <w:bottom w:val="nil"/>
              <w:right w:val="nil"/>
            </w:tcBorders>
            <w:shd w:val="clear" w:color="auto" w:fill="FFFFFF"/>
            <w:vAlign w:val="center"/>
          </w:tcPr>
          <w:p w14:paraId="610ED271">
            <w:pPr>
              <w:pStyle w:val="167"/>
              <w:bidi w:val="0"/>
              <w:jc w:val="center"/>
              <w:rPr>
                <w:b w:val="0"/>
                <w:lang w:val="en-US" w:eastAsia="zh-CN"/>
              </w:rPr>
            </w:pPr>
            <w:r>
              <w:rPr>
                <w:b w:val="0"/>
                <w:lang w:val="en-US" w:eastAsia="zh-CN"/>
              </w:rPr>
              <w:t>The CI crossed both decision thresholds, and the total information was substantially below the OIS.</w:t>
            </w:r>
          </w:p>
        </w:tc>
        <w:tc>
          <w:tcPr>
            <w:tcW w:w="2663" w:type="dxa"/>
            <w:tcBorders>
              <w:top w:val="nil"/>
              <w:left w:val="nil"/>
              <w:bottom w:val="nil"/>
              <w:right w:val="nil"/>
            </w:tcBorders>
            <w:shd w:val="clear" w:color="auto" w:fill="FFFFFF"/>
            <w:vAlign w:val="center"/>
          </w:tcPr>
          <w:p w14:paraId="5BFADE70">
            <w:pPr>
              <w:pStyle w:val="167"/>
              <w:bidi w:val="0"/>
              <w:jc w:val="center"/>
              <w:rPr>
                <w:b w:val="0"/>
                <w:lang w:val="en-US" w:eastAsia="zh-CN"/>
              </w:rPr>
            </w:pPr>
            <w:r>
              <w:rPr>
                <w:b w:val="0"/>
                <w:lang w:val="en-US" w:eastAsia="zh-CN"/>
              </w:rPr>
              <w:t>k=2, N=127, g=0.48 (95% CI −1.81 to 2.77); CI-null interpretation unchanged.</w:t>
            </w:r>
          </w:p>
        </w:tc>
      </w:tr>
      <w:tr w14:paraId="78FA92BD">
        <w:trPr>
          <w:cantSplit/>
        </w:trPr>
        <w:tc>
          <w:tcPr>
            <w:tcW w:w="0" w:type="auto"/>
            <w:tcBorders>
              <w:top w:val="nil"/>
              <w:left w:val="nil"/>
              <w:bottom w:val="nil"/>
              <w:right w:val="nil"/>
            </w:tcBorders>
            <w:shd w:val="clear" w:color="auto" w:fill="FFFFFF"/>
            <w:vAlign w:val="center"/>
          </w:tcPr>
          <w:p w14:paraId="54FD11B9">
            <w:pPr>
              <w:pStyle w:val="167"/>
              <w:bidi w:val="0"/>
              <w:jc w:val="center"/>
              <w:rPr>
                <w:b w:val="0"/>
                <w:lang w:val="en-US" w:eastAsia="zh-CN"/>
              </w:rPr>
            </w:pPr>
            <w:r>
              <w:rPr>
                <w:b w:val="0"/>
                <w:lang w:val="en-US" w:eastAsia="zh-CN"/>
              </w:rPr>
              <w:t>MDS-UPDRS III/UPDRS III vs active therapist-led rehabilitation</w:t>
            </w:r>
          </w:p>
        </w:tc>
        <w:tc>
          <w:tcPr>
            <w:tcW w:w="0" w:type="auto"/>
            <w:tcBorders>
              <w:top w:val="nil"/>
              <w:left w:val="nil"/>
              <w:bottom w:val="nil"/>
              <w:right w:val="nil"/>
            </w:tcBorders>
            <w:shd w:val="clear" w:color="auto" w:fill="FFFFFF"/>
            <w:vAlign w:val="center"/>
          </w:tcPr>
          <w:p w14:paraId="799BB8A2">
            <w:pPr>
              <w:pStyle w:val="167"/>
              <w:bidi w:val="0"/>
              <w:jc w:val="center"/>
              <w:rPr>
                <w:b w:val="0"/>
                <w:lang w:val="en-US" w:eastAsia="zh-CN"/>
              </w:rPr>
            </w:pPr>
            <w:r>
              <w:rPr>
                <w:b w:val="0"/>
                <w:lang w:val="en-US" w:eastAsia="zh-CN"/>
              </w:rPr>
              <w:t>Ge 2024 was judged overall high risk; approximately 69.3% of the random-effects weight came from high-risk results.</w:t>
            </w:r>
          </w:p>
        </w:tc>
        <w:tc>
          <w:tcPr>
            <w:tcW w:w="3283" w:type="dxa"/>
            <w:tcBorders>
              <w:top w:val="nil"/>
              <w:left w:val="nil"/>
              <w:bottom w:val="nil"/>
              <w:right w:val="nil"/>
            </w:tcBorders>
            <w:shd w:val="clear" w:color="auto" w:fill="FFFFFF"/>
            <w:vAlign w:val="center"/>
          </w:tcPr>
          <w:p w14:paraId="44E52D97">
            <w:pPr>
              <w:pStyle w:val="167"/>
              <w:bidi w:val="0"/>
              <w:jc w:val="center"/>
              <w:rPr>
                <w:b w:val="0"/>
                <w:lang w:val="en-US" w:eastAsia="zh-CN"/>
              </w:rPr>
            </w:pPr>
            <w:r>
              <w:rPr>
                <w:b w:val="0"/>
                <w:lang w:val="en-US" w:eastAsia="zh-CN"/>
              </w:rPr>
              <w:t>Observed heterogeneity was low (I²=9.4%).</w:t>
            </w:r>
          </w:p>
        </w:tc>
        <w:tc>
          <w:tcPr>
            <w:tcW w:w="3293" w:type="dxa"/>
            <w:tcBorders>
              <w:top w:val="nil"/>
              <w:left w:val="nil"/>
              <w:bottom w:val="nil"/>
              <w:right w:val="nil"/>
            </w:tcBorders>
            <w:shd w:val="clear" w:color="auto" w:fill="FFFFFF"/>
            <w:vAlign w:val="center"/>
          </w:tcPr>
          <w:p w14:paraId="6420569E">
            <w:pPr>
              <w:pStyle w:val="167"/>
              <w:bidi w:val="0"/>
              <w:jc w:val="center"/>
              <w:rPr>
                <w:b w:val="0"/>
                <w:lang w:val="en-US" w:eastAsia="zh-CN"/>
              </w:rPr>
            </w:pPr>
            <w:r>
              <w:rPr>
                <w:b w:val="0"/>
                <w:lang w:val="en-US" w:eastAsia="zh-CN"/>
              </w:rPr>
              <w:t>The CI crossed both decision thresholds, and the total information was substantially below the OIS.</w:t>
            </w:r>
          </w:p>
        </w:tc>
        <w:tc>
          <w:tcPr>
            <w:tcW w:w="2663" w:type="dxa"/>
            <w:tcBorders>
              <w:top w:val="nil"/>
              <w:left w:val="nil"/>
              <w:bottom w:val="nil"/>
              <w:right w:val="nil"/>
            </w:tcBorders>
            <w:shd w:val="clear" w:color="auto" w:fill="FFFFFF"/>
            <w:vAlign w:val="center"/>
          </w:tcPr>
          <w:p w14:paraId="7FFED335">
            <w:pPr>
              <w:pStyle w:val="167"/>
              <w:bidi w:val="0"/>
              <w:jc w:val="center"/>
              <w:rPr>
                <w:b w:val="0"/>
                <w:lang w:val="en-US" w:eastAsia="zh-CN"/>
              </w:rPr>
            </w:pPr>
            <w:r>
              <w:rPr>
                <w:b w:val="0"/>
                <w:lang w:val="en-US" w:eastAsia="zh-CN"/>
              </w:rPr>
              <w:t>k=2, N=86, g=0.40 (95% CI −4.26 to 5.05); CI-null interpretation unchanged; I² increased to 54.7%.</w:t>
            </w:r>
          </w:p>
        </w:tc>
      </w:tr>
      <w:tr w14:paraId="1970F69B">
        <w:trPr>
          <w:cantSplit/>
        </w:trPr>
        <w:tc>
          <w:tcPr>
            <w:tcW w:w="0" w:type="auto"/>
            <w:tcBorders>
              <w:top w:val="nil"/>
              <w:left w:val="nil"/>
              <w:bottom w:val="nil"/>
              <w:right w:val="nil"/>
            </w:tcBorders>
            <w:shd w:val="clear" w:color="auto" w:fill="FFFFFF"/>
            <w:vAlign w:val="center"/>
          </w:tcPr>
          <w:p w14:paraId="14A5D801">
            <w:pPr>
              <w:pStyle w:val="167"/>
              <w:bidi w:val="0"/>
              <w:jc w:val="center"/>
              <w:rPr>
                <w:b w:val="0"/>
                <w:lang w:val="en-US" w:eastAsia="zh-CN"/>
              </w:rPr>
            </w:pPr>
            <w:r>
              <w:rPr>
                <w:b w:val="0"/>
                <w:lang w:val="en-US" w:eastAsia="zh-CN"/>
              </w:rPr>
              <w:t>Balance vs ordinary home exercise</w:t>
            </w:r>
          </w:p>
        </w:tc>
        <w:tc>
          <w:tcPr>
            <w:tcW w:w="0" w:type="auto"/>
            <w:tcBorders>
              <w:top w:val="nil"/>
              <w:left w:val="nil"/>
              <w:bottom w:val="nil"/>
              <w:right w:val="nil"/>
            </w:tcBorders>
            <w:shd w:val="clear" w:color="auto" w:fill="FFFFFF"/>
            <w:vAlign w:val="center"/>
          </w:tcPr>
          <w:p w14:paraId="4FDFDF68">
            <w:pPr>
              <w:pStyle w:val="167"/>
              <w:bidi w:val="0"/>
              <w:jc w:val="center"/>
              <w:rPr>
                <w:b w:val="0"/>
                <w:lang w:val="en-US" w:eastAsia="zh-CN"/>
              </w:rPr>
            </w:pPr>
            <w:r>
              <w:rPr>
                <w:b w:val="0"/>
                <w:lang w:val="en-US" w:eastAsia="zh-CN"/>
              </w:rPr>
              <w:t>Ginis 2016 was judged overall high risk; approximately 28.0% of the random-effects weight came from high-risk results.</w:t>
            </w:r>
          </w:p>
        </w:tc>
        <w:tc>
          <w:tcPr>
            <w:tcW w:w="3283" w:type="dxa"/>
            <w:tcBorders>
              <w:top w:val="nil"/>
              <w:left w:val="nil"/>
              <w:bottom w:val="nil"/>
              <w:right w:val="nil"/>
            </w:tcBorders>
            <w:shd w:val="clear" w:color="auto" w:fill="FFFFFF"/>
            <w:vAlign w:val="center"/>
          </w:tcPr>
          <w:p w14:paraId="511832B5">
            <w:pPr>
              <w:pStyle w:val="167"/>
              <w:bidi w:val="0"/>
              <w:jc w:val="center"/>
              <w:rPr>
                <w:b w:val="0"/>
                <w:lang w:val="en-US" w:eastAsia="zh-CN"/>
              </w:rPr>
            </w:pPr>
            <w:r>
              <w:rPr>
                <w:b w:val="0"/>
                <w:lang w:val="en-US" w:eastAsia="zh-CN"/>
              </w:rPr>
              <w:t>Observed heterogeneity was low (I²=0.0%).</w:t>
            </w:r>
          </w:p>
        </w:tc>
        <w:tc>
          <w:tcPr>
            <w:tcW w:w="3293" w:type="dxa"/>
            <w:tcBorders>
              <w:top w:val="nil"/>
              <w:left w:val="nil"/>
              <w:bottom w:val="nil"/>
              <w:right w:val="nil"/>
            </w:tcBorders>
            <w:shd w:val="clear" w:color="auto" w:fill="FFFFFF"/>
            <w:vAlign w:val="center"/>
          </w:tcPr>
          <w:p w14:paraId="09EDF865">
            <w:pPr>
              <w:pStyle w:val="167"/>
              <w:bidi w:val="0"/>
              <w:jc w:val="center"/>
              <w:rPr>
                <w:b w:val="0"/>
                <w:lang w:val="en-US" w:eastAsia="zh-CN"/>
              </w:rPr>
            </w:pPr>
            <w:r>
              <w:rPr>
                <w:b w:val="0"/>
                <w:lang w:val="en-US" w:eastAsia="zh-CN"/>
              </w:rPr>
              <w:t>The CI crossed both decision thresholds, and the total information was substantially below the OIS.</w:t>
            </w:r>
          </w:p>
        </w:tc>
        <w:tc>
          <w:tcPr>
            <w:tcW w:w="2663" w:type="dxa"/>
            <w:tcBorders>
              <w:top w:val="nil"/>
              <w:left w:val="nil"/>
              <w:bottom w:val="nil"/>
              <w:right w:val="nil"/>
            </w:tcBorders>
            <w:shd w:val="clear" w:color="auto" w:fill="FFFFFF"/>
            <w:vAlign w:val="center"/>
          </w:tcPr>
          <w:p w14:paraId="6CBEEC8F">
            <w:pPr>
              <w:pStyle w:val="167"/>
              <w:bidi w:val="0"/>
              <w:jc w:val="center"/>
              <w:rPr>
                <w:b w:val="0"/>
                <w:lang w:val="en-US" w:eastAsia="zh-CN"/>
              </w:rPr>
            </w:pPr>
            <w:r>
              <w:rPr>
                <w:b w:val="0"/>
                <w:lang w:val="en-US" w:eastAsia="zh-CN"/>
              </w:rPr>
              <w:t>k=1, N=97, g=0.29 (95% CI −0.11 to 0.69); CI-null interpretation unchanged.</w:t>
            </w:r>
          </w:p>
        </w:tc>
      </w:tr>
      <w:tr w14:paraId="3C517568">
        <w:trPr>
          <w:cantSplit/>
        </w:trPr>
        <w:tc>
          <w:tcPr>
            <w:tcW w:w="0" w:type="auto"/>
            <w:tcBorders>
              <w:top w:val="nil"/>
              <w:left w:val="nil"/>
              <w:bottom w:val="nil"/>
              <w:right w:val="nil"/>
            </w:tcBorders>
            <w:shd w:val="clear" w:color="auto" w:fill="FFFFFF"/>
            <w:vAlign w:val="center"/>
          </w:tcPr>
          <w:p w14:paraId="626CB2B1">
            <w:pPr>
              <w:pStyle w:val="167"/>
              <w:bidi w:val="0"/>
              <w:jc w:val="center"/>
              <w:rPr>
                <w:b w:val="0"/>
                <w:lang w:val="en-US" w:eastAsia="zh-CN"/>
              </w:rPr>
            </w:pPr>
            <w:r>
              <w:rPr>
                <w:b w:val="0"/>
                <w:lang w:val="en-US" w:eastAsia="zh-CN"/>
              </w:rPr>
              <w:t>Balance vs active therapist-led rehabilitation</w:t>
            </w:r>
          </w:p>
        </w:tc>
        <w:tc>
          <w:tcPr>
            <w:tcW w:w="0" w:type="auto"/>
            <w:tcBorders>
              <w:top w:val="nil"/>
              <w:left w:val="nil"/>
              <w:bottom w:val="nil"/>
              <w:right w:val="nil"/>
            </w:tcBorders>
            <w:shd w:val="clear" w:color="auto" w:fill="FFFFFF"/>
            <w:vAlign w:val="center"/>
          </w:tcPr>
          <w:p w14:paraId="46D423F3">
            <w:pPr>
              <w:pStyle w:val="167"/>
              <w:bidi w:val="0"/>
              <w:jc w:val="center"/>
              <w:rPr>
                <w:b w:val="0"/>
                <w:lang w:val="en-US" w:eastAsia="zh-CN"/>
              </w:rPr>
            </w:pPr>
            <w:r>
              <w:rPr>
                <w:b w:val="0"/>
                <w:lang w:val="en-US" w:eastAsia="zh-CN"/>
              </w:rPr>
              <w:t>Ge 2024 and Johnson 2024 were judged overall high risk; approximately 46.6% of the random-effects weight came from high-risk results.</w:t>
            </w:r>
          </w:p>
        </w:tc>
        <w:tc>
          <w:tcPr>
            <w:tcW w:w="3283" w:type="dxa"/>
            <w:tcBorders>
              <w:top w:val="nil"/>
              <w:left w:val="nil"/>
              <w:bottom w:val="nil"/>
              <w:right w:val="nil"/>
            </w:tcBorders>
            <w:shd w:val="clear" w:color="auto" w:fill="FFFFFF"/>
            <w:vAlign w:val="center"/>
          </w:tcPr>
          <w:p w14:paraId="4808AFF5">
            <w:pPr>
              <w:pStyle w:val="167"/>
              <w:bidi w:val="0"/>
              <w:jc w:val="center"/>
              <w:rPr>
                <w:b w:val="0"/>
                <w:lang w:val="en-US" w:eastAsia="zh-CN"/>
              </w:rPr>
            </w:pPr>
            <w:r>
              <w:rPr>
                <w:b w:val="0"/>
                <w:lang w:val="en-US" w:eastAsia="zh-CN"/>
              </w:rPr>
              <w:t>No separate downgrade was applied. Although I² was 31.2% and study estimates were mixed, this variability was incorporated into the random-effects CI; an additional downgrade would risk double-counting uncertainty.</w:t>
            </w:r>
          </w:p>
        </w:tc>
        <w:tc>
          <w:tcPr>
            <w:tcW w:w="3293" w:type="dxa"/>
            <w:tcBorders>
              <w:top w:val="nil"/>
              <w:left w:val="nil"/>
              <w:bottom w:val="nil"/>
              <w:right w:val="nil"/>
            </w:tcBorders>
            <w:shd w:val="clear" w:color="auto" w:fill="FFFFFF"/>
            <w:vAlign w:val="center"/>
          </w:tcPr>
          <w:p w14:paraId="37FF4A0F">
            <w:pPr>
              <w:pStyle w:val="167"/>
              <w:bidi w:val="0"/>
              <w:jc w:val="center"/>
              <w:rPr>
                <w:b w:val="0"/>
                <w:lang w:val="en-US" w:eastAsia="zh-CN"/>
              </w:rPr>
            </w:pPr>
            <w:r>
              <w:rPr>
                <w:b w:val="0"/>
                <w:lang w:val="en-US" w:eastAsia="zh-CN"/>
              </w:rPr>
              <w:t>The CI crossed one decision threshold, and the total information was below the OIS.</w:t>
            </w:r>
          </w:p>
        </w:tc>
        <w:tc>
          <w:tcPr>
            <w:tcW w:w="2663" w:type="dxa"/>
            <w:tcBorders>
              <w:top w:val="nil"/>
              <w:left w:val="nil"/>
              <w:bottom w:val="nil"/>
              <w:right w:val="nil"/>
            </w:tcBorders>
            <w:shd w:val="clear" w:color="auto" w:fill="FFFFFF"/>
            <w:vAlign w:val="center"/>
          </w:tcPr>
          <w:p w14:paraId="0ED27505">
            <w:pPr>
              <w:pStyle w:val="167"/>
              <w:bidi w:val="0"/>
              <w:jc w:val="center"/>
              <w:rPr>
                <w:b w:val="0"/>
                <w:lang w:val="en-US" w:eastAsia="zh-CN"/>
              </w:rPr>
            </w:pPr>
            <w:r>
              <w:rPr>
                <w:b w:val="0"/>
                <w:lang w:val="en-US" w:eastAsia="zh-CN"/>
              </w:rPr>
              <w:t>k=3, N=172, g=0.20 (95% CI −0.89 to 1.29); CI-null interpretation unchanged; I² increased to 58.5%.</w:t>
            </w:r>
          </w:p>
        </w:tc>
      </w:tr>
      <w:tr w14:paraId="7615FED5">
        <w:trPr>
          <w:cantSplit/>
        </w:trPr>
        <w:tc>
          <w:tcPr>
            <w:tcW w:w="0" w:type="auto"/>
            <w:tcBorders>
              <w:top w:val="nil"/>
              <w:left w:val="nil"/>
              <w:bottom w:val="nil"/>
              <w:right w:val="nil"/>
            </w:tcBorders>
            <w:shd w:val="clear" w:color="auto" w:fill="FFFFFF"/>
            <w:vAlign w:val="center"/>
          </w:tcPr>
          <w:p w14:paraId="1B4E3157">
            <w:pPr>
              <w:pStyle w:val="167"/>
              <w:bidi w:val="0"/>
              <w:jc w:val="center"/>
              <w:rPr>
                <w:b w:val="0"/>
                <w:lang w:val="en-US" w:eastAsia="zh-CN"/>
              </w:rPr>
            </w:pPr>
            <w:r>
              <w:rPr>
                <w:b w:val="0"/>
                <w:lang w:val="en-US" w:eastAsia="zh-CN"/>
              </w:rPr>
              <w:t>Functional mobility vs passive/minimal control</w:t>
            </w:r>
          </w:p>
        </w:tc>
        <w:tc>
          <w:tcPr>
            <w:tcW w:w="0" w:type="auto"/>
            <w:tcBorders>
              <w:top w:val="nil"/>
              <w:left w:val="nil"/>
              <w:bottom w:val="nil"/>
              <w:right w:val="nil"/>
            </w:tcBorders>
            <w:shd w:val="clear" w:color="auto" w:fill="FFFFFF"/>
            <w:vAlign w:val="center"/>
          </w:tcPr>
          <w:p w14:paraId="0AF5D58C">
            <w:pPr>
              <w:pStyle w:val="167"/>
              <w:bidi w:val="0"/>
              <w:jc w:val="center"/>
              <w:rPr>
                <w:b w:val="0"/>
                <w:lang w:val="en-US" w:eastAsia="zh-CN"/>
              </w:rPr>
            </w:pPr>
            <w:r>
              <w:rPr>
                <w:b w:val="0"/>
                <w:lang w:val="en-US" w:eastAsia="zh-CN"/>
              </w:rPr>
              <w:t>The contributing result was judged as having some concerns across multiple RoB 2 domains; no contributing result was at overall low risk.</w:t>
            </w:r>
          </w:p>
        </w:tc>
        <w:tc>
          <w:tcPr>
            <w:tcW w:w="3283" w:type="dxa"/>
            <w:tcBorders>
              <w:top w:val="nil"/>
              <w:left w:val="nil"/>
              <w:bottom w:val="nil"/>
              <w:right w:val="nil"/>
            </w:tcBorders>
            <w:shd w:val="clear" w:color="auto" w:fill="FFFFFF"/>
            <w:vAlign w:val="center"/>
          </w:tcPr>
          <w:p w14:paraId="1F0FBBE3">
            <w:pPr>
              <w:pStyle w:val="167"/>
              <w:bidi w:val="0"/>
              <w:jc w:val="center"/>
              <w:rPr>
                <w:b w:val="0"/>
                <w:lang w:val="en-US" w:eastAsia="zh-CN"/>
              </w:rPr>
            </w:pPr>
            <w:r>
              <w:rPr>
                <w:b w:val="0"/>
                <w:lang w:val="en-US" w:eastAsia="zh-CN"/>
              </w:rPr>
              <w:t>Inconsistency was not applicable because only one study contributed.</w:t>
            </w:r>
          </w:p>
        </w:tc>
        <w:tc>
          <w:tcPr>
            <w:tcW w:w="3293" w:type="dxa"/>
            <w:tcBorders>
              <w:top w:val="nil"/>
              <w:left w:val="nil"/>
              <w:bottom w:val="nil"/>
              <w:right w:val="nil"/>
            </w:tcBorders>
            <w:shd w:val="clear" w:color="auto" w:fill="FFFFFF"/>
            <w:vAlign w:val="center"/>
          </w:tcPr>
          <w:p w14:paraId="05FEF8CA">
            <w:pPr>
              <w:pStyle w:val="167"/>
              <w:bidi w:val="0"/>
              <w:jc w:val="center"/>
              <w:rPr>
                <w:b w:val="0"/>
                <w:lang w:val="en-US" w:eastAsia="zh-CN"/>
              </w:rPr>
            </w:pPr>
            <w:r>
              <w:rPr>
                <w:b w:val="0"/>
                <w:lang w:val="en-US" w:eastAsia="zh-CN"/>
              </w:rPr>
              <w:t>The CI crossed one decision threshold, and the total information was below the OIS.</w:t>
            </w:r>
          </w:p>
        </w:tc>
        <w:tc>
          <w:tcPr>
            <w:tcW w:w="2663" w:type="dxa"/>
            <w:tcBorders>
              <w:top w:val="nil"/>
              <w:left w:val="nil"/>
              <w:bottom w:val="nil"/>
              <w:right w:val="nil"/>
            </w:tcBorders>
            <w:shd w:val="clear" w:color="auto" w:fill="FFFFFF"/>
            <w:vAlign w:val="center"/>
          </w:tcPr>
          <w:p w14:paraId="5133B92F">
            <w:pPr>
              <w:pStyle w:val="167"/>
              <w:bidi w:val="0"/>
              <w:jc w:val="center"/>
              <w:rPr>
                <w:b w:val="0"/>
                <w:lang w:val="en-US" w:eastAsia="zh-CN"/>
              </w:rPr>
            </w:pPr>
            <w:r>
              <w:rPr>
                <w:b w:val="0"/>
                <w:lang w:val="en-US" w:eastAsia="zh-CN"/>
              </w:rPr>
              <w:t>Unchanged; no overall high-risk result contributed.</w:t>
            </w:r>
          </w:p>
        </w:tc>
      </w:tr>
      <w:tr w14:paraId="38DD0146">
        <w:trPr>
          <w:cantSplit/>
        </w:trPr>
        <w:tc>
          <w:tcPr>
            <w:tcW w:w="0" w:type="auto"/>
            <w:tcBorders>
              <w:top w:val="nil"/>
              <w:left w:val="nil"/>
              <w:bottom w:val="nil"/>
              <w:right w:val="nil"/>
            </w:tcBorders>
            <w:shd w:val="clear" w:color="auto" w:fill="FFFFFF"/>
            <w:vAlign w:val="center"/>
          </w:tcPr>
          <w:p w14:paraId="653A6C85">
            <w:pPr>
              <w:pStyle w:val="167"/>
              <w:bidi w:val="0"/>
              <w:jc w:val="center"/>
              <w:rPr>
                <w:b w:val="0"/>
                <w:lang w:val="en-US" w:eastAsia="zh-CN"/>
              </w:rPr>
            </w:pPr>
            <w:r>
              <w:rPr>
                <w:b w:val="0"/>
                <w:lang w:val="en-US" w:eastAsia="zh-CN"/>
              </w:rPr>
              <w:t>Functional mobility vs ordinary home exercise</w:t>
            </w:r>
          </w:p>
        </w:tc>
        <w:tc>
          <w:tcPr>
            <w:tcW w:w="0" w:type="auto"/>
            <w:tcBorders>
              <w:top w:val="nil"/>
              <w:left w:val="nil"/>
              <w:bottom w:val="nil"/>
              <w:right w:val="nil"/>
            </w:tcBorders>
            <w:shd w:val="clear" w:color="auto" w:fill="FFFFFF"/>
            <w:vAlign w:val="center"/>
          </w:tcPr>
          <w:p w14:paraId="0A1F4D78">
            <w:pPr>
              <w:pStyle w:val="167"/>
              <w:bidi w:val="0"/>
              <w:jc w:val="center"/>
              <w:rPr>
                <w:b w:val="0"/>
                <w:lang w:val="en-US" w:eastAsia="zh-CN"/>
              </w:rPr>
            </w:pPr>
            <w:r>
              <w:rPr>
                <w:b w:val="0"/>
                <w:lang w:val="en-US" w:eastAsia="zh-CN"/>
              </w:rPr>
              <w:t>The contributing result was judged as having some concerns across multiple RoB 2 domains; no contributing result was at overall low risk.</w:t>
            </w:r>
          </w:p>
        </w:tc>
        <w:tc>
          <w:tcPr>
            <w:tcW w:w="3283" w:type="dxa"/>
            <w:tcBorders>
              <w:top w:val="nil"/>
              <w:left w:val="nil"/>
              <w:bottom w:val="nil"/>
              <w:right w:val="nil"/>
            </w:tcBorders>
            <w:shd w:val="clear" w:color="auto" w:fill="FFFFFF"/>
            <w:vAlign w:val="center"/>
          </w:tcPr>
          <w:p w14:paraId="568F1789">
            <w:pPr>
              <w:pStyle w:val="167"/>
              <w:bidi w:val="0"/>
              <w:jc w:val="center"/>
              <w:rPr>
                <w:b w:val="0"/>
                <w:lang w:val="en-US" w:eastAsia="zh-CN"/>
              </w:rPr>
            </w:pPr>
            <w:r>
              <w:rPr>
                <w:b w:val="0"/>
                <w:lang w:val="en-US" w:eastAsia="zh-CN"/>
              </w:rPr>
              <w:t>Inconsistency was not applicable because only one study contributed.</w:t>
            </w:r>
          </w:p>
        </w:tc>
        <w:tc>
          <w:tcPr>
            <w:tcW w:w="3293" w:type="dxa"/>
            <w:tcBorders>
              <w:top w:val="nil"/>
              <w:left w:val="nil"/>
              <w:bottom w:val="nil"/>
              <w:right w:val="nil"/>
            </w:tcBorders>
            <w:shd w:val="clear" w:color="auto" w:fill="FFFFFF"/>
            <w:vAlign w:val="center"/>
          </w:tcPr>
          <w:p w14:paraId="72976A4C">
            <w:pPr>
              <w:pStyle w:val="167"/>
              <w:bidi w:val="0"/>
              <w:jc w:val="center"/>
              <w:rPr>
                <w:b w:val="0"/>
                <w:lang w:val="en-US" w:eastAsia="zh-CN"/>
              </w:rPr>
            </w:pPr>
            <w:r>
              <w:rPr>
                <w:b w:val="0"/>
                <w:lang w:val="en-US" w:eastAsia="zh-CN"/>
              </w:rPr>
              <w:t>The CI crossed both decision thresholds, and the total information was substantially below the OIS.</w:t>
            </w:r>
          </w:p>
        </w:tc>
        <w:tc>
          <w:tcPr>
            <w:tcW w:w="2663" w:type="dxa"/>
            <w:tcBorders>
              <w:top w:val="nil"/>
              <w:left w:val="nil"/>
              <w:bottom w:val="nil"/>
              <w:right w:val="nil"/>
            </w:tcBorders>
            <w:shd w:val="clear" w:color="auto" w:fill="FFFFFF"/>
            <w:vAlign w:val="center"/>
          </w:tcPr>
          <w:p w14:paraId="11E36F80">
            <w:pPr>
              <w:pStyle w:val="167"/>
              <w:bidi w:val="0"/>
              <w:jc w:val="center"/>
              <w:rPr>
                <w:b w:val="0"/>
                <w:lang w:val="en-US" w:eastAsia="zh-CN"/>
              </w:rPr>
            </w:pPr>
            <w:r>
              <w:rPr>
                <w:b w:val="0"/>
                <w:lang w:val="en-US" w:eastAsia="zh-CN"/>
              </w:rPr>
              <w:t>Unchanged; no overall high-risk result contributed.</w:t>
            </w:r>
          </w:p>
        </w:tc>
      </w:tr>
      <w:tr w14:paraId="423B242D">
        <w:trPr>
          <w:cantSplit/>
        </w:trPr>
        <w:tc>
          <w:tcPr>
            <w:tcW w:w="0" w:type="auto"/>
            <w:tcBorders>
              <w:top w:val="nil"/>
              <w:left w:val="nil"/>
              <w:bottom w:val="nil"/>
              <w:right w:val="nil"/>
            </w:tcBorders>
            <w:shd w:val="clear" w:color="auto" w:fill="FFFFFF"/>
            <w:vAlign w:val="center"/>
          </w:tcPr>
          <w:p w14:paraId="3B5E7948">
            <w:pPr>
              <w:pStyle w:val="167"/>
              <w:bidi w:val="0"/>
              <w:jc w:val="center"/>
              <w:rPr>
                <w:b w:val="0"/>
                <w:lang w:val="en-US" w:eastAsia="zh-CN"/>
              </w:rPr>
            </w:pPr>
            <w:r>
              <w:rPr>
                <w:b w:val="0"/>
                <w:lang w:val="en-US" w:eastAsia="zh-CN"/>
              </w:rPr>
              <w:t>Functional mobility vs active therapist-led rehabilitation</w:t>
            </w:r>
          </w:p>
        </w:tc>
        <w:tc>
          <w:tcPr>
            <w:tcW w:w="0" w:type="auto"/>
            <w:tcBorders>
              <w:top w:val="nil"/>
              <w:left w:val="nil"/>
              <w:bottom w:val="nil"/>
              <w:right w:val="nil"/>
            </w:tcBorders>
            <w:shd w:val="clear" w:color="auto" w:fill="FFFFFF"/>
            <w:vAlign w:val="center"/>
          </w:tcPr>
          <w:p w14:paraId="689066B7">
            <w:pPr>
              <w:pStyle w:val="167"/>
              <w:bidi w:val="0"/>
              <w:jc w:val="center"/>
              <w:rPr>
                <w:b w:val="0"/>
                <w:lang w:val="en-US" w:eastAsia="zh-CN"/>
              </w:rPr>
            </w:pPr>
            <w:r>
              <w:rPr>
                <w:b w:val="0"/>
                <w:lang w:val="en-US" w:eastAsia="zh-CN"/>
              </w:rPr>
              <w:t>Ge 2024 was judged overall high risk; approximately 91.1% of the random-effects weight came from high-risk results.</w:t>
            </w:r>
          </w:p>
        </w:tc>
        <w:tc>
          <w:tcPr>
            <w:tcW w:w="3283" w:type="dxa"/>
            <w:tcBorders>
              <w:top w:val="nil"/>
              <w:left w:val="nil"/>
              <w:bottom w:val="nil"/>
              <w:right w:val="nil"/>
            </w:tcBorders>
            <w:shd w:val="clear" w:color="auto" w:fill="FFFFFF"/>
            <w:vAlign w:val="center"/>
          </w:tcPr>
          <w:p w14:paraId="01BCE67D">
            <w:pPr>
              <w:pStyle w:val="167"/>
              <w:bidi w:val="0"/>
              <w:jc w:val="center"/>
              <w:rPr>
                <w:b w:val="0"/>
                <w:lang w:val="en-US" w:eastAsia="zh-CN"/>
              </w:rPr>
            </w:pPr>
            <w:r>
              <w:rPr>
                <w:b w:val="0"/>
                <w:lang w:val="en-US" w:eastAsia="zh-CN"/>
              </w:rPr>
              <w:t>Observed heterogeneity was low (I²=0.0%).</w:t>
            </w:r>
          </w:p>
        </w:tc>
        <w:tc>
          <w:tcPr>
            <w:tcW w:w="3293" w:type="dxa"/>
            <w:tcBorders>
              <w:top w:val="nil"/>
              <w:left w:val="nil"/>
              <w:bottom w:val="nil"/>
              <w:right w:val="nil"/>
            </w:tcBorders>
            <w:shd w:val="clear" w:color="auto" w:fill="FFFFFF"/>
            <w:vAlign w:val="center"/>
          </w:tcPr>
          <w:p w14:paraId="7265BD05">
            <w:pPr>
              <w:pStyle w:val="167"/>
              <w:bidi w:val="0"/>
              <w:jc w:val="center"/>
              <w:rPr>
                <w:b w:val="0"/>
                <w:lang w:val="en-US" w:eastAsia="zh-CN"/>
              </w:rPr>
            </w:pPr>
            <w:r>
              <w:rPr>
                <w:b w:val="0"/>
                <w:lang w:val="en-US" w:eastAsia="zh-CN"/>
              </w:rPr>
              <w:t>The CI crossed both decision thresholds, and the total information was substantially below the OIS.</w:t>
            </w:r>
          </w:p>
        </w:tc>
        <w:tc>
          <w:tcPr>
            <w:tcW w:w="2663" w:type="dxa"/>
            <w:tcBorders>
              <w:top w:val="nil"/>
              <w:left w:val="nil"/>
              <w:bottom w:val="nil"/>
              <w:right w:val="nil"/>
            </w:tcBorders>
            <w:shd w:val="clear" w:color="auto" w:fill="FFFFFF"/>
            <w:vAlign w:val="center"/>
          </w:tcPr>
          <w:p w14:paraId="64ED2E54">
            <w:pPr>
              <w:pStyle w:val="167"/>
              <w:bidi w:val="0"/>
              <w:jc w:val="center"/>
              <w:rPr>
                <w:b w:val="0"/>
                <w:lang w:val="en-US" w:eastAsia="zh-CN"/>
              </w:rPr>
            </w:pPr>
            <w:r>
              <w:rPr>
                <w:b w:val="0"/>
                <w:lang w:val="en-US" w:eastAsia="zh-CN"/>
              </w:rPr>
              <w:t>k=1, N=19, g=−0.18 (95% CI −1.09 to 0.73); point-estimate direction changed, but CI-null interpretation was unchanged.</w:t>
            </w:r>
          </w:p>
        </w:tc>
      </w:tr>
      <w:tr w14:paraId="15E48194">
        <w:trPr>
          <w:cantSplit/>
        </w:trPr>
        <w:tc>
          <w:tcPr>
            <w:tcW w:w="0" w:type="auto"/>
            <w:tcBorders>
              <w:top w:val="nil"/>
              <w:left w:val="nil"/>
              <w:bottom w:val="nil"/>
              <w:right w:val="nil"/>
            </w:tcBorders>
            <w:shd w:val="clear" w:color="auto" w:fill="FFFFFF"/>
            <w:vAlign w:val="center"/>
          </w:tcPr>
          <w:p w14:paraId="27EC2D11">
            <w:pPr>
              <w:pStyle w:val="167"/>
              <w:bidi w:val="0"/>
              <w:jc w:val="center"/>
              <w:rPr>
                <w:b w:val="0"/>
                <w:lang w:val="en-US" w:eastAsia="zh-CN"/>
              </w:rPr>
            </w:pPr>
            <w:r>
              <w:rPr>
                <w:b w:val="0"/>
                <w:lang w:val="en-US" w:eastAsia="zh-CN"/>
              </w:rPr>
              <w:t>Gait/walking vs passive/minimal control</w:t>
            </w:r>
          </w:p>
        </w:tc>
        <w:tc>
          <w:tcPr>
            <w:tcW w:w="0" w:type="auto"/>
            <w:tcBorders>
              <w:top w:val="nil"/>
              <w:left w:val="nil"/>
              <w:bottom w:val="nil"/>
              <w:right w:val="nil"/>
            </w:tcBorders>
            <w:shd w:val="clear" w:color="auto" w:fill="FFFFFF"/>
            <w:vAlign w:val="center"/>
          </w:tcPr>
          <w:p w14:paraId="6338E166">
            <w:pPr>
              <w:pStyle w:val="167"/>
              <w:bidi w:val="0"/>
              <w:jc w:val="center"/>
              <w:rPr>
                <w:b w:val="0"/>
                <w:lang w:val="en-US" w:eastAsia="zh-CN"/>
              </w:rPr>
            </w:pPr>
            <w:r>
              <w:rPr>
                <w:b w:val="0"/>
                <w:lang w:val="en-US" w:eastAsia="zh-CN"/>
              </w:rPr>
              <w:t>The contributing result was judged as having some concerns across multiple RoB 2 domains; no contributing result was at overall low risk.</w:t>
            </w:r>
          </w:p>
        </w:tc>
        <w:tc>
          <w:tcPr>
            <w:tcW w:w="3283" w:type="dxa"/>
            <w:tcBorders>
              <w:top w:val="nil"/>
              <w:left w:val="nil"/>
              <w:bottom w:val="nil"/>
              <w:right w:val="nil"/>
            </w:tcBorders>
            <w:shd w:val="clear" w:color="auto" w:fill="FFFFFF"/>
            <w:vAlign w:val="center"/>
          </w:tcPr>
          <w:p w14:paraId="611B53AE">
            <w:pPr>
              <w:pStyle w:val="167"/>
              <w:bidi w:val="0"/>
              <w:jc w:val="center"/>
              <w:rPr>
                <w:b w:val="0"/>
                <w:lang w:val="en-US" w:eastAsia="zh-CN"/>
              </w:rPr>
            </w:pPr>
            <w:r>
              <w:rPr>
                <w:b w:val="0"/>
                <w:lang w:val="en-US" w:eastAsia="zh-CN"/>
              </w:rPr>
              <w:t>Inconsistency was not applicable because only one study contributed.</w:t>
            </w:r>
          </w:p>
        </w:tc>
        <w:tc>
          <w:tcPr>
            <w:tcW w:w="3293" w:type="dxa"/>
            <w:tcBorders>
              <w:top w:val="nil"/>
              <w:left w:val="nil"/>
              <w:bottom w:val="nil"/>
              <w:right w:val="nil"/>
            </w:tcBorders>
            <w:shd w:val="clear" w:color="auto" w:fill="FFFFFF"/>
            <w:vAlign w:val="center"/>
          </w:tcPr>
          <w:p w14:paraId="3A3A71BE">
            <w:pPr>
              <w:pStyle w:val="167"/>
              <w:bidi w:val="0"/>
              <w:jc w:val="center"/>
              <w:rPr>
                <w:b w:val="0"/>
                <w:lang w:val="en-US" w:eastAsia="zh-CN"/>
              </w:rPr>
            </w:pPr>
            <w:r>
              <w:rPr>
                <w:b w:val="0"/>
                <w:lang w:val="en-US" w:eastAsia="zh-CN"/>
              </w:rPr>
              <w:t>The CI crossed both decision thresholds, and the total information was substantially below the OIS.</w:t>
            </w:r>
          </w:p>
        </w:tc>
        <w:tc>
          <w:tcPr>
            <w:tcW w:w="2663" w:type="dxa"/>
            <w:tcBorders>
              <w:top w:val="nil"/>
              <w:left w:val="nil"/>
              <w:bottom w:val="nil"/>
              <w:right w:val="nil"/>
            </w:tcBorders>
            <w:shd w:val="clear" w:color="auto" w:fill="FFFFFF"/>
            <w:vAlign w:val="center"/>
          </w:tcPr>
          <w:p w14:paraId="24AFF0CC">
            <w:pPr>
              <w:pStyle w:val="167"/>
              <w:bidi w:val="0"/>
              <w:jc w:val="center"/>
              <w:rPr>
                <w:b w:val="0"/>
                <w:lang w:val="en-US" w:eastAsia="zh-CN"/>
              </w:rPr>
            </w:pPr>
            <w:r>
              <w:rPr>
                <w:b w:val="0"/>
                <w:lang w:val="en-US" w:eastAsia="zh-CN"/>
              </w:rPr>
              <w:t>Unchanged; no overall high-risk result contributed.</w:t>
            </w:r>
          </w:p>
        </w:tc>
      </w:tr>
      <w:tr w14:paraId="3AE9A513">
        <w:trPr>
          <w:cantSplit/>
        </w:trPr>
        <w:tc>
          <w:tcPr>
            <w:tcW w:w="0" w:type="auto"/>
            <w:tcBorders>
              <w:top w:val="nil"/>
              <w:left w:val="nil"/>
              <w:bottom w:val="nil"/>
              <w:right w:val="nil"/>
            </w:tcBorders>
            <w:shd w:val="clear" w:color="auto" w:fill="FFFFFF"/>
            <w:vAlign w:val="center"/>
          </w:tcPr>
          <w:p w14:paraId="1D96D5D6">
            <w:pPr>
              <w:pStyle w:val="167"/>
              <w:bidi w:val="0"/>
              <w:jc w:val="center"/>
              <w:rPr>
                <w:b w:val="0"/>
                <w:lang w:val="en-US" w:eastAsia="zh-CN"/>
              </w:rPr>
            </w:pPr>
            <w:r>
              <w:rPr>
                <w:b w:val="0"/>
                <w:lang w:val="en-US" w:eastAsia="zh-CN"/>
              </w:rPr>
              <w:t>Gait/walking vs ordinary home exercise</w:t>
            </w:r>
          </w:p>
        </w:tc>
        <w:tc>
          <w:tcPr>
            <w:tcW w:w="0" w:type="auto"/>
            <w:tcBorders>
              <w:top w:val="nil"/>
              <w:left w:val="nil"/>
              <w:bottom w:val="nil"/>
              <w:right w:val="nil"/>
            </w:tcBorders>
            <w:shd w:val="clear" w:color="auto" w:fill="FFFFFF"/>
            <w:vAlign w:val="center"/>
          </w:tcPr>
          <w:p w14:paraId="0F1B13B3">
            <w:pPr>
              <w:pStyle w:val="167"/>
              <w:bidi w:val="0"/>
              <w:jc w:val="center"/>
              <w:rPr>
                <w:b w:val="0"/>
                <w:lang w:val="en-US" w:eastAsia="zh-CN"/>
              </w:rPr>
            </w:pPr>
            <w:r>
              <w:rPr>
                <w:b w:val="0"/>
                <w:lang w:val="en-US" w:eastAsia="zh-CN"/>
              </w:rPr>
              <w:t>All contributing results were judged as having some concerns across multiple RoB 2 domains; no contributing result was at overall low risk.</w:t>
            </w:r>
          </w:p>
        </w:tc>
        <w:tc>
          <w:tcPr>
            <w:tcW w:w="3283" w:type="dxa"/>
            <w:tcBorders>
              <w:top w:val="nil"/>
              <w:left w:val="nil"/>
              <w:bottom w:val="nil"/>
              <w:right w:val="nil"/>
            </w:tcBorders>
            <w:shd w:val="clear" w:color="auto" w:fill="FFFFFF"/>
            <w:vAlign w:val="center"/>
          </w:tcPr>
          <w:p w14:paraId="7CA13CC7">
            <w:pPr>
              <w:pStyle w:val="167"/>
              <w:bidi w:val="0"/>
              <w:jc w:val="center"/>
              <w:rPr>
                <w:b w:val="0"/>
                <w:lang w:val="en-US" w:eastAsia="zh-CN"/>
              </w:rPr>
            </w:pPr>
            <w:r>
              <w:rPr>
                <w:b w:val="0"/>
                <w:lang w:val="en-US" w:eastAsia="zh-CN"/>
              </w:rPr>
              <w:t>Observed heterogeneity was low (I²=0.0%).</w:t>
            </w:r>
          </w:p>
        </w:tc>
        <w:tc>
          <w:tcPr>
            <w:tcW w:w="3293" w:type="dxa"/>
            <w:tcBorders>
              <w:top w:val="nil"/>
              <w:left w:val="nil"/>
              <w:bottom w:val="nil"/>
              <w:right w:val="nil"/>
            </w:tcBorders>
            <w:shd w:val="clear" w:color="auto" w:fill="FFFFFF"/>
            <w:vAlign w:val="center"/>
          </w:tcPr>
          <w:p w14:paraId="4E604685">
            <w:pPr>
              <w:pStyle w:val="167"/>
              <w:bidi w:val="0"/>
              <w:jc w:val="center"/>
              <w:rPr>
                <w:b w:val="0"/>
                <w:lang w:val="en-US" w:eastAsia="zh-CN"/>
              </w:rPr>
            </w:pPr>
            <w:r>
              <w:rPr>
                <w:b w:val="0"/>
                <w:lang w:val="en-US" w:eastAsia="zh-CN"/>
              </w:rPr>
              <w:t>The CI crossed both decision thresholds, and the total information was substantially below the OIS.</w:t>
            </w:r>
          </w:p>
        </w:tc>
        <w:tc>
          <w:tcPr>
            <w:tcW w:w="2663" w:type="dxa"/>
            <w:tcBorders>
              <w:top w:val="nil"/>
              <w:left w:val="nil"/>
              <w:bottom w:val="nil"/>
              <w:right w:val="nil"/>
            </w:tcBorders>
            <w:shd w:val="clear" w:color="auto" w:fill="FFFFFF"/>
            <w:vAlign w:val="center"/>
          </w:tcPr>
          <w:p w14:paraId="71E2662A">
            <w:pPr>
              <w:pStyle w:val="167"/>
              <w:bidi w:val="0"/>
              <w:jc w:val="center"/>
              <w:rPr>
                <w:b w:val="0"/>
                <w:lang w:val="en-US" w:eastAsia="zh-CN"/>
              </w:rPr>
            </w:pPr>
            <w:r>
              <w:rPr>
                <w:b w:val="0"/>
                <w:lang w:val="en-US" w:eastAsia="zh-CN"/>
              </w:rPr>
              <w:t>Unchanged; no overall high-risk result contributed.</w:t>
            </w:r>
          </w:p>
        </w:tc>
      </w:tr>
      <w:tr w14:paraId="209CA6EF">
        <w:trPr>
          <w:cantSplit/>
        </w:trPr>
        <w:tc>
          <w:tcPr>
            <w:tcW w:w="0" w:type="auto"/>
            <w:tcBorders>
              <w:top w:val="nil"/>
              <w:left w:val="nil"/>
              <w:bottom w:val="single" w:color="000000" w:sz="12" w:space="0"/>
              <w:right w:val="nil"/>
            </w:tcBorders>
            <w:shd w:val="clear" w:color="auto" w:fill="FFFFFF"/>
            <w:vAlign w:val="center"/>
          </w:tcPr>
          <w:p w14:paraId="2582133A">
            <w:pPr>
              <w:pStyle w:val="167"/>
              <w:bidi w:val="0"/>
              <w:jc w:val="center"/>
              <w:rPr>
                <w:b w:val="0"/>
                <w:lang w:val="en-US" w:eastAsia="zh-CN"/>
              </w:rPr>
            </w:pPr>
            <w:r>
              <w:rPr>
                <w:b w:val="0"/>
                <w:lang w:val="en-US" w:eastAsia="zh-CN"/>
              </w:rPr>
              <w:t>Gait/walking vs active therapist-led rehabilitation</w:t>
            </w:r>
          </w:p>
        </w:tc>
        <w:tc>
          <w:tcPr>
            <w:tcW w:w="0" w:type="auto"/>
            <w:tcBorders>
              <w:top w:val="nil"/>
              <w:left w:val="nil"/>
              <w:bottom w:val="single" w:color="000000" w:sz="12" w:space="0"/>
              <w:right w:val="nil"/>
            </w:tcBorders>
            <w:shd w:val="clear" w:color="auto" w:fill="FFFFFF"/>
            <w:vAlign w:val="center"/>
          </w:tcPr>
          <w:p w14:paraId="0C8878C1">
            <w:pPr>
              <w:pStyle w:val="167"/>
              <w:bidi w:val="0"/>
              <w:jc w:val="center"/>
              <w:rPr>
                <w:b w:val="0"/>
                <w:lang w:val="en-US" w:eastAsia="zh-CN"/>
              </w:rPr>
            </w:pPr>
            <w:r>
              <w:rPr>
                <w:b w:val="0"/>
                <w:lang w:val="en-US" w:eastAsia="zh-CN"/>
              </w:rPr>
              <w:t>Ge 2024 was judged overall high risk; approximately 35.8% of the random-effects weight came from high-risk results.</w:t>
            </w:r>
          </w:p>
        </w:tc>
        <w:tc>
          <w:tcPr>
            <w:tcW w:w="3283" w:type="dxa"/>
            <w:tcBorders>
              <w:top w:val="nil"/>
              <w:left w:val="nil"/>
              <w:bottom w:val="single" w:color="000000" w:sz="12" w:space="0"/>
              <w:right w:val="nil"/>
            </w:tcBorders>
            <w:shd w:val="clear" w:color="auto" w:fill="FFFFFF"/>
            <w:vAlign w:val="center"/>
          </w:tcPr>
          <w:p w14:paraId="7C8C39CA">
            <w:pPr>
              <w:pStyle w:val="167"/>
              <w:bidi w:val="0"/>
              <w:jc w:val="center"/>
              <w:rPr>
                <w:b w:val="0"/>
                <w:lang w:val="en-US" w:eastAsia="zh-CN"/>
              </w:rPr>
            </w:pPr>
            <w:r>
              <w:rPr>
                <w:b w:val="0"/>
                <w:lang w:val="en-US" w:eastAsia="zh-CN"/>
              </w:rPr>
              <w:t>I² was 63.1%; individual estimates spanned harm, trivial effect, and benefit. Ge 2024 was influential, and its exclusion reduced I² to 0%.</w:t>
            </w:r>
          </w:p>
        </w:tc>
        <w:tc>
          <w:tcPr>
            <w:tcW w:w="3293" w:type="dxa"/>
            <w:tcBorders>
              <w:top w:val="nil"/>
              <w:left w:val="nil"/>
              <w:bottom w:val="single" w:color="000000" w:sz="12" w:space="0"/>
              <w:right w:val="nil"/>
            </w:tcBorders>
            <w:shd w:val="clear" w:color="auto" w:fill="FFFFFF"/>
            <w:vAlign w:val="center"/>
          </w:tcPr>
          <w:p w14:paraId="4FCDFA11">
            <w:pPr>
              <w:pStyle w:val="167"/>
              <w:bidi w:val="0"/>
              <w:jc w:val="center"/>
              <w:rPr>
                <w:b w:val="0"/>
                <w:lang w:val="en-US" w:eastAsia="zh-CN"/>
              </w:rPr>
            </w:pPr>
            <w:r>
              <w:rPr>
                <w:b w:val="0"/>
                <w:lang w:val="en-US" w:eastAsia="zh-CN"/>
              </w:rPr>
              <w:t>The CI crossed one decision threshold, and the total information was below the OIS.</w:t>
            </w:r>
          </w:p>
        </w:tc>
        <w:tc>
          <w:tcPr>
            <w:tcW w:w="2663" w:type="dxa"/>
            <w:tcBorders>
              <w:top w:val="nil"/>
              <w:left w:val="nil"/>
              <w:bottom w:val="single" w:color="000000" w:sz="12" w:space="0"/>
              <w:right w:val="nil"/>
            </w:tcBorders>
            <w:shd w:val="clear" w:color="auto" w:fill="FFFFFF"/>
            <w:vAlign w:val="center"/>
          </w:tcPr>
          <w:p w14:paraId="1318AB3B">
            <w:pPr>
              <w:pStyle w:val="167"/>
              <w:bidi w:val="0"/>
              <w:jc w:val="center"/>
              <w:rPr>
                <w:b w:val="0"/>
                <w:lang w:val="en-US" w:eastAsia="zh-CN"/>
              </w:rPr>
            </w:pPr>
            <w:r>
              <w:rPr>
                <w:b w:val="0"/>
                <w:lang w:val="en-US" w:eastAsia="zh-CN"/>
              </w:rPr>
              <w:t>k=3, N=128, g=−0.13 (95% CI −0.90 to 0.63); point-estimate direction changed and I² fell to 0%, but CI-null interpretation was unchanged.</w:t>
            </w:r>
          </w:p>
        </w:tc>
      </w:tr>
    </w:tbl>
    <w:p w14:paraId="30D54B16">
      <w:pPr>
        <w:bidi w:val="0"/>
        <w:rPr>
          <w:lang w:val="en-US" w:eastAsia="zh-CN"/>
        </w:rPr>
      </w:pPr>
      <w:r>
        <w:rPr>
          <w:lang w:val="en-US" w:eastAsia="zh-CN"/>
        </w:rPr>
        <w:t>Note: Randomised evidence started at high certainty. Risk of bias was downgraded by one level because no contributing result was judged overall low risk and/or because high-risk results contributed materially. Imprecision was assessed against decision thresholds of Hedges’ g=−0.20 and +0.20 and an approximate optimal information size of 784 participants for detecting an SMD of 0.20. Crossing both thresholds supported a two-level downgrade; crossing one threshold supported a one-level downgrade. Publication bias was not formally assessed because every comparator-specific evidence body contained fewer than ten studies; no downgrade was applied. Positive Hedges’ g values favour remote monitoring-supported home-based exercise. CI, confidence interval; OIS, optimal information size; PI, prediction interval; RCT, randomised controlled trial; TUG, Timed Up and Go Test.</w:t>
      </w:r>
    </w:p>
    <w:p w14:paraId="22FAE2B3">
      <w:pPr>
        <w:pStyle w:val="3"/>
        <w:bidi w:val="0"/>
      </w:pPr>
      <w:r>
        <w:t>Supplementary Table S</w:t>
      </w:r>
      <w:r>
        <w:rPr>
          <w:rFonts w:hint="default"/>
          <w:lang w:val="en-US"/>
        </w:rPr>
        <w:t>6</w:t>
      </w:r>
      <w:r>
        <w:t>. Meta-analysis model outputs and sensitivity analyses</w:t>
      </w:r>
    </w:p>
    <w:p w14:paraId="2FC3B3A3">
      <w:pPr>
        <w:pStyle w:val="4"/>
        <w:bidi w:val="0"/>
      </w:pPr>
      <w:r>
        <w:rPr>
          <w:rFonts w:hint="default"/>
          <w:lang w:val="en-US" w:eastAsia="zh-CN"/>
        </w:rPr>
        <w:t xml:space="preserve">Supplementary </w:t>
      </w:r>
      <w:r>
        <w:rPr>
          <w:lang w:val="en-US" w:eastAsia="zh-CN"/>
        </w:rPr>
        <w:t>Table S6A. Comparator-specific primary models</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8"/>
        <w:gridCol w:w="2649"/>
        <w:gridCol w:w="1091"/>
        <w:gridCol w:w="2356"/>
        <w:gridCol w:w="689"/>
        <w:gridCol w:w="759"/>
        <w:gridCol w:w="1389"/>
        <w:gridCol w:w="2287"/>
      </w:tblGrid>
      <w:tr w14:paraId="0BB14FCF">
        <w:trPr>
          <w:cantSplit/>
        </w:trPr>
        <w:tc>
          <w:tcPr>
            <w:tcW w:w="0" w:type="auto"/>
            <w:tcBorders>
              <w:top w:val="single" w:color="000000" w:sz="12" w:space="0"/>
              <w:left w:val="nil"/>
              <w:bottom w:val="single" w:color="000000" w:sz="4" w:space="0"/>
              <w:right w:val="nil"/>
              <w:tl2br w:val="nil"/>
            </w:tcBorders>
            <w:shd w:val="clear" w:color="auto" w:fill="FFFFFF"/>
            <w:vAlign w:val="center"/>
          </w:tcPr>
          <w:p w14:paraId="17AF2B2E">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Outcome</w:t>
            </w:r>
          </w:p>
        </w:tc>
        <w:tc>
          <w:tcPr>
            <w:tcW w:w="2649" w:type="dxa"/>
            <w:tcBorders>
              <w:top w:val="single" w:color="000000" w:sz="12" w:space="0"/>
              <w:left w:val="nil"/>
              <w:bottom w:val="single" w:color="000000" w:sz="4" w:space="0"/>
              <w:right w:val="nil"/>
            </w:tcBorders>
            <w:shd w:val="clear" w:color="auto" w:fill="FFFFFF"/>
            <w:vAlign w:val="center"/>
          </w:tcPr>
          <w:p w14:paraId="1426FC20">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Comparator</w:t>
            </w:r>
          </w:p>
        </w:tc>
        <w:tc>
          <w:tcPr>
            <w:tcW w:w="1091" w:type="dxa"/>
            <w:tcBorders>
              <w:top w:val="single" w:color="000000" w:sz="12" w:space="0"/>
              <w:left w:val="nil"/>
              <w:bottom w:val="single" w:color="000000" w:sz="4" w:space="0"/>
              <w:right w:val="nil"/>
            </w:tcBorders>
            <w:shd w:val="clear" w:color="auto" w:fill="FFFFFF"/>
            <w:vAlign w:val="center"/>
          </w:tcPr>
          <w:p w14:paraId="26CF84ED">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k/N</w:t>
            </w:r>
          </w:p>
        </w:tc>
        <w:tc>
          <w:tcPr>
            <w:tcW w:w="2356" w:type="dxa"/>
            <w:tcBorders>
              <w:top w:val="single" w:color="000000" w:sz="12" w:space="0"/>
              <w:left w:val="nil"/>
              <w:bottom w:val="single" w:color="000000" w:sz="4" w:space="0"/>
              <w:right w:val="nil"/>
            </w:tcBorders>
            <w:shd w:val="clear" w:color="auto" w:fill="FFFFFF"/>
            <w:vAlign w:val="center"/>
          </w:tcPr>
          <w:p w14:paraId="6E9B9FA6">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Hedges’ g (95% CI)</w:t>
            </w:r>
          </w:p>
        </w:tc>
        <w:tc>
          <w:tcPr>
            <w:tcW w:w="0" w:type="auto"/>
            <w:tcBorders>
              <w:top w:val="single" w:color="000000" w:sz="12" w:space="0"/>
              <w:left w:val="nil"/>
              <w:bottom w:val="single" w:color="000000" w:sz="4" w:space="0"/>
              <w:right w:val="nil"/>
            </w:tcBorders>
            <w:shd w:val="clear" w:color="auto" w:fill="FFFFFF"/>
            <w:vAlign w:val="center"/>
          </w:tcPr>
          <w:p w14:paraId="1A2FC4C7">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τ²</w:t>
            </w:r>
          </w:p>
        </w:tc>
        <w:tc>
          <w:tcPr>
            <w:tcW w:w="0" w:type="auto"/>
            <w:tcBorders>
              <w:top w:val="single" w:color="000000" w:sz="12" w:space="0"/>
              <w:left w:val="nil"/>
              <w:bottom w:val="single" w:color="000000" w:sz="4" w:space="0"/>
              <w:right w:val="nil"/>
            </w:tcBorders>
            <w:shd w:val="clear" w:color="auto" w:fill="FFFFFF"/>
            <w:vAlign w:val="center"/>
          </w:tcPr>
          <w:p w14:paraId="2A820865">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I²</w:t>
            </w:r>
          </w:p>
        </w:tc>
        <w:tc>
          <w:tcPr>
            <w:tcW w:w="0" w:type="auto"/>
            <w:tcBorders>
              <w:top w:val="single" w:color="000000" w:sz="12" w:space="0"/>
              <w:left w:val="nil"/>
              <w:bottom w:val="single" w:color="000000" w:sz="4" w:space="0"/>
              <w:right w:val="nil"/>
            </w:tcBorders>
            <w:shd w:val="clear" w:color="auto" w:fill="FFFFFF"/>
            <w:vAlign w:val="center"/>
          </w:tcPr>
          <w:p w14:paraId="151C9001">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95% PI</w:t>
            </w:r>
          </w:p>
        </w:tc>
        <w:tc>
          <w:tcPr>
            <w:tcW w:w="0" w:type="auto"/>
            <w:tcBorders>
              <w:top w:val="single" w:color="000000" w:sz="12" w:space="0"/>
              <w:left w:val="nil"/>
              <w:bottom w:val="single" w:color="000000" w:sz="4" w:space="0"/>
              <w:right w:val="nil"/>
            </w:tcBorders>
            <w:shd w:val="clear" w:color="auto" w:fill="FFFFFF"/>
            <w:vAlign w:val="center"/>
          </w:tcPr>
          <w:p w14:paraId="65E7F9DB">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Primary interpretation</w:t>
            </w:r>
          </w:p>
        </w:tc>
      </w:tr>
      <w:tr w14:paraId="2CD06CE5">
        <w:trPr>
          <w:cantSplit/>
        </w:trPr>
        <w:tc>
          <w:tcPr>
            <w:tcW w:w="0" w:type="auto"/>
            <w:tcBorders>
              <w:top w:val="single" w:color="000000" w:sz="4" w:space="0"/>
              <w:left w:val="nil"/>
              <w:bottom w:val="nil"/>
              <w:right w:val="nil"/>
            </w:tcBorders>
            <w:shd w:val="clear" w:color="auto" w:fill="FFFFFF"/>
            <w:vAlign w:val="center"/>
          </w:tcPr>
          <w:p w14:paraId="1CD03213">
            <w:pPr>
              <w:pStyle w:val="167"/>
              <w:bidi w:val="0"/>
              <w:rPr>
                <w:lang w:val="en-US" w:eastAsia="zh-CN"/>
              </w:rPr>
            </w:pPr>
            <w:r>
              <w:rPr>
                <w:lang w:val="en-US" w:eastAsia="zh-CN"/>
              </w:rPr>
              <w:t>MDS-UPDRS III/UPDRS III</w:t>
            </w:r>
          </w:p>
        </w:tc>
        <w:tc>
          <w:tcPr>
            <w:tcW w:w="2649" w:type="dxa"/>
            <w:tcBorders>
              <w:top w:val="single" w:color="000000" w:sz="4" w:space="0"/>
              <w:left w:val="nil"/>
              <w:bottom w:val="nil"/>
              <w:right w:val="nil"/>
            </w:tcBorders>
            <w:shd w:val="clear" w:color="auto" w:fill="FFFFFF"/>
            <w:vAlign w:val="center"/>
          </w:tcPr>
          <w:p w14:paraId="593CD65C">
            <w:pPr>
              <w:pStyle w:val="167"/>
              <w:bidi w:val="0"/>
              <w:rPr>
                <w:lang w:val="en-US" w:eastAsia="zh-CN"/>
              </w:rPr>
            </w:pPr>
            <w:r>
              <w:rPr>
                <w:lang w:val="en-US" w:eastAsia="zh-CN"/>
              </w:rPr>
              <w:t>Passive/minimal control</w:t>
            </w:r>
          </w:p>
        </w:tc>
        <w:tc>
          <w:tcPr>
            <w:tcW w:w="1091" w:type="dxa"/>
            <w:tcBorders>
              <w:top w:val="single" w:color="000000" w:sz="4" w:space="0"/>
              <w:left w:val="nil"/>
              <w:bottom w:val="nil"/>
              <w:right w:val="nil"/>
            </w:tcBorders>
            <w:shd w:val="clear" w:color="auto" w:fill="FFFFFF"/>
            <w:vAlign w:val="center"/>
          </w:tcPr>
          <w:p w14:paraId="57FC951E">
            <w:pPr>
              <w:pStyle w:val="167"/>
              <w:bidi w:val="0"/>
              <w:rPr>
                <w:lang w:val="en-US" w:eastAsia="zh-CN"/>
              </w:rPr>
            </w:pPr>
            <w:r>
              <w:rPr>
                <w:lang w:val="en-US" w:eastAsia="zh-CN"/>
              </w:rPr>
              <w:t>2/31</w:t>
            </w:r>
          </w:p>
        </w:tc>
        <w:tc>
          <w:tcPr>
            <w:tcW w:w="2356" w:type="dxa"/>
            <w:tcBorders>
              <w:top w:val="single" w:color="000000" w:sz="4" w:space="0"/>
              <w:left w:val="nil"/>
              <w:bottom w:val="nil"/>
              <w:right w:val="nil"/>
            </w:tcBorders>
            <w:shd w:val="clear" w:color="auto" w:fill="FFFFFF"/>
            <w:vAlign w:val="center"/>
          </w:tcPr>
          <w:p w14:paraId="55E5FB31">
            <w:pPr>
              <w:pStyle w:val="167"/>
              <w:bidi w:val="0"/>
              <w:rPr>
                <w:lang w:val="en-US" w:eastAsia="zh-CN"/>
              </w:rPr>
            </w:pPr>
            <w:r>
              <w:rPr>
                <w:lang w:val="en-US" w:eastAsia="zh-CN"/>
              </w:rPr>
              <w:t>0.31 (−4.31 to 4.93)</w:t>
            </w:r>
          </w:p>
        </w:tc>
        <w:tc>
          <w:tcPr>
            <w:tcW w:w="0" w:type="auto"/>
            <w:tcBorders>
              <w:top w:val="single" w:color="000000" w:sz="4" w:space="0"/>
              <w:left w:val="nil"/>
              <w:bottom w:val="nil"/>
              <w:right w:val="nil"/>
            </w:tcBorders>
            <w:shd w:val="clear" w:color="auto" w:fill="FFFFFF"/>
            <w:vAlign w:val="center"/>
          </w:tcPr>
          <w:p w14:paraId="72A580D8">
            <w:pPr>
              <w:pStyle w:val="167"/>
              <w:bidi w:val="0"/>
              <w:rPr>
                <w:lang w:val="en-US" w:eastAsia="zh-CN"/>
              </w:rPr>
            </w:pPr>
            <w:r>
              <w:rPr>
                <w:lang w:val="en-US" w:eastAsia="zh-CN"/>
              </w:rPr>
              <w:t>0.000</w:t>
            </w:r>
          </w:p>
        </w:tc>
        <w:tc>
          <w:tcPr>
            <w:tcW w:w="0" w:type="auto"/>
            <w:tcBorders>
              <w:top w:val="single" w:color="000000" w:sz="4" w:space="0"/>
              <w:left w:val="nil"/>
              <w:bottom w:val="nil"/>
              <w:right w:val="nil"/>
            </w:tcBorders>
            <w:shd w:val="clear" w:color="auto" w:fill="FFFFFF"/>
            <w:vAlign w:val="center"/>
          </w:tcPr>
          <w:p w14:paraId="4AD52380">
            <w:pPr>
              <w:pStyle w:val="167"/>
              <w:bidi w:val="0"/>
              <w:rPr>
                <w:lang w:val="en-US" w:eastAsia="zh-CN"/>
              </w:rPr>
            </w:pPr>
            <w:r>
              <w:rPr>
                <w:lang w:val="en-US" w:eastAsia="zh-CN"/>
              </w:rPr>
              <w:t>0.0%</w:t>
            </w:r>
          </w:p>
        </w:tc>
        <w:tc>
          <w:tcPr>
            <w:tcW w:w="0" w:type="auto"/>
            <w:tcBorders>
              <w:top w:val="single" w:color="000000" w:sz="4" w:space="0"/>
              <w:left w:val="nil"/>
              <w:bottom w:val="nil"/>
              <w:right w:val="nil"/>
            </w:tcBorders>
            <w:shd w:val="clear" w:color="auto" w:fill="FFFFFF"/>
            <w:vAlign w:val="center"/>
          </w:tcPr>
          <w:p w14:paraId="78BF8E5A">
            <w:pPr>
              <w:pStyle w:val="167"/>
              <w:bidi w:val="0"/>
              <w:rPr>
                <w:lang w:val="en-US" w:eastAsia="zh-CN"/>
              </w:rPr>
            </w:pPr>
            <w:r>
              <w:rPr>
                <w:lang w:val="en-US" w:eastAsia="zh-CN"/>
              </w:rPr>
              <w:t>Not estimated</w:t>
            </w:r>
          </w:p>
        </w:tc>
        <w:tc>
          <w:tcPr>
            <w:tcW w:w="0" w:type="auto"/>
            <w:tcBorders>
              <w:top w:val="single" w:color="000000" w:sz="4" w:space="0"/>
              <w:left w:val="nil"/>
              <w:bottom w:val="nil"/>
              <w:right w:val="nil"/>
            </w:tcBorders>
            <w:shd w:val="clear" w:color="auto" w:fill="FFFFFF"/>
            <w:vAlign w:val="center"/>
          </w:tcPr>
          <w:p w14:paraId="531DA34E">
            <w:pPr>
              <w:pStyle w:val="167"/>
              <w:bidi w:val="0"/>
              <w:rPr>
                <w:lang w:val="en-US" w:eastAsia="zh-CN"/>
              </w:rPr>
            </w:pPr>
            <w:r>
              <w:rPr>
                <w:lang w:val="en-US" w:eastAsia="zh-CN"/>
              </w:rPr>
              <w:t>CI included zero</w:t>
            </w:r>
          </w:p>
        </w:tc>
      </w:tr>
      <w:tr w14:paraId="43CD0C07">
        <w:trPr>
          <w:cantSplit/>
        </w:trPr>
        <w:tc>
          <w:tcPr>
            <w:tcW w:w="0" w:type="auto"/>
            <w:tcBorders>
              <w:top w:val="nil"/>
              <w:left w:val="nil"/>
              <w:bottom w:val="nil"/>
              <w:right w:val="nil"/>
            </w:tcBorders>
            <w:shd w:val="clear" w:color="auto" w:fill="FFFFFF"/>
            <w:vAlign w:val="center"/>
          </w:tcPr>
          <w:p w14:paraId="26C9D98E">
            <w:pPr>
              <w:pStyle w:val="167"/>
              <w:bidi w:val="0"/>
              <w:rPr>
                <w:lang w:val="en-US" w:eastAsia="zh-CN"/>
              </w:rPr>
            </w:pPr>
            <w:r>
              <w:rPr>
                <w:lang w:val="en-US" w:eastAsia="zh-CN"/>
              </w:rPr>
              <w:t>MDS-UPDRS III/UPDRS III</w:t>
            </w:r>
          </w:p>
        </w:tc>
        <w:tc>
          <w:tcPr>
            <w:tcW w:w="2649" w:type="dxa"/>
            <w:tcBorders>
              <w:top w:val="nil"/>
              <w:left w:val="nil"/>
              <w:bottom w:val="nil"/>
              <w:right w:val="nil"/>
            </w:tcBorders>
            <w:shd w:val="clear" w:color="auto" w:fill="FFFFFF"/>
            <w:vAlign w:val="center"/>
          </w:tcPr>
          <w:p w14:paraId="62E4D7C6">
            <w:pPr>
              <w:pStyle w:val="167"/>
              <w:bidi w:val="0"/>
              <w:rPr>
                <w:lang w:val="en-US" w:eastAsia="zh-CN"/>
              </w:rPr>
            </w:pPr>
            <w:r>
              <w:rPr>
                <w:lang w:val="en-US" w:eastAsia="zh-CN"/>
              </w:rPr>
              <w:t>Ordinary home exercise</w:t>
            </w:r>
          </w:p>
        </w:tc>
        <w:tc>
          <w:tcPr>
            <w:tcW w:w="1091" w:type="dxa"/>
            <w:tcBorders>
              <w:top w:val="nil"/>
              <w:left w:val="nil"/>
              <w:bottom w:val="nil"/>
              <w:right w:val="nil"/>
            </w:tcBorders>
            <w:shd w:val="clear" w:color="auto" w:fill="FFFFFF"/>
            <w:vAlign w:val="center"/>
          </w:tcPr>
          <w:p w14:paraId="04516D45">
            <w:pPr>
              <w:pStyle w:val="167"/>
              <w:bidi w:val="0"/>
              <w:rPr>
                <w:lang w:val="en-US" w:eastAsia="zh-CN"/>
              </w:rPr>
            </w:pPr>
            <w:r>
              <w:rPr>
                <w:lang w:val="en-US" w:eastAsia="zh-CN"/>
              </w:rPr>
              <w:t>3/165</w:t>
            </w:r>
          </w:p>
        </w:tc>
        <w:tc>
          <w:tcPr>
            <w:tcW w:w="2356" w:type="dxa"/>
            <w:tcBorders>
              <w:top w:val="nil"/>
              <w:left w:val="nil"/>
              <w:bottom w:val="nil"/>
              <w:right w:val="nil"/>
            </w:tcBorders>
            <w:shd w:val="clear" w:color="auto" w:fill="FFFFFF"/>
            <w:vAlign w:val="center"/>
          </w:tcPr>
          <w:p w14:paraId="57378F56">
            <w:pPr>
              <w:pStyle w:val="167"/>
              <w:bidi w:val="0"/>
              <w:rPr>
                <w:lang w:val="en-US" w:eastAsia="zh-CN"/>
              </w:rPr>
            </w:pPr>
            <w:r>
              <w:rPr>
                <w:lang w:val="en-US" w:eastAsia="zh-CN"/>
              </w:rPr>
              <w:t>0.41 (−0.27 to 1.09)</w:t>
            </w:r>
          </w:p>
        </w:tc>
        <w:tc>
          <w:tcPr>
            <w:tcW w:w="0" w:type="auto"/>
            <w:tcBorders>
              <w:top w:val="nil"/>
              <w:left w:val="nil"/>
              <w:bottom w:val="nil"/>
              <w:right w:val="nil"/>
            </w:tcBorders>
            <w:shd w:val="clear" w:color="auto" w:fill="FFFFFF"/>
            <w:vAlign w:val="center"/>
          </w:tcPr>
          <w:p w14:paraId="1B2046AB">
            <w:pPr>
              <w:pStyle w:val="167"/>
              <w:bidi w:val="0"/>
              <w:rPr>
                <w:lang w:val="en-US" w:eastAsia="zh-CN"/>
              </w:rPr>
            </w:pPr>
            <w:r>
              <w:rPr>
                <w:lang w:val="en-US" w:eastAsia="zh-CN"/>
              </w:rPr>
              <w:t>0.000</w:t>
            </w:r>
          </w:p>
        </w:tc>
        <w:tc>
          <w:tcPr>
            <w:tcW w:w="0" w:type="auto"/>
            <w:tcBorders>
              <w:top w:val="nil"/>
              <w:left w:val="nil"/>
              <w:bottom w:val="nil"/>
              <w:right w:val="nil"/>
            </w:tcBorders>
            <w:shd w:val="clear" w:color="auto" w:fill="FFFFFF"/>
            <w:vAlign w:val="center"/>
          </w:tcPr>
          <w:p w14:paraId="19C61AAF">
            <w:pPr>
              <w:pStyle w:val="167"/>
              <w:bidi w:val="0"/>
              <w:rPr>
                <w:lang w:val="en-US" w:eastAsia="zh-CN"/>
              </w:rPr>
            </w:pPr>
            <w:r>
              <w:rPr>
                <w:lang w:val="en-US" w:eastAsia="zh-CN"/>
              </w:rPr>
              <w:t>0.0%</w:t>
            </w:r>
          </w:p>
        </w:tc>
        <w:tc>
          <w:tcPr>
            <w:tcW w:w="0" w:type="auto"/>
            <w:tcBorders>
              <w:top w:val="nil"/>
              <w:left w:val="nil"/>
              <w:bottom w:val="nil"/>
              <w:right w:val="nil"/>
            </w:tcBorders>
            <w:shd w:val="clear" w:color="auto" w:fill="FFFFFF"/>
            <w:vAlign w:val="center"/>
          </w:tcPr>
          <w:p w14:paraId="108FFD9E">
            <w:pPr>
              <w:pStyle w:val="167"/>
              <w:bidi w:val="0"/>
              <w:rPr>
                <w:lang w:val="en-US" w:eastAsia="zh-CN"/>
              </w:rPr>
            </w:pPr>
            <w:r>
              <w:rPr>
                <w:lang w:val="en-US" w:eastAsia="zh-CN"/>
              </w:rPr>
              <w:t>Not estimated</w:t>
            </w:r>
          </w:p>
        </w:tc>
        <w:tc>
          <w:tcPr>
            <w:tcW w:w="0" w:type="auto"/>
            <w:tcBorders>
              <w:top w:val="nil"/>
              <w:left w:val="nil"/>
              <w:bottom w:val="nil"/>
              <w:right w:val="nil"/>
            </w:tcBorders>
            <w:shd w:val="clear" w:color="auto" w:fill="FFFFFF"/>
            <w:vAlign w:val="center"/>
          </w:tcPr>
          <w:p w14:paraId="332F76E9">
            <w:pPr>
              <w:pStyle w:val="167"/>
              <w:bidi w:val="0"/>
              <w:rPr>
                <w:lang w:val="en-US" w:eastAsia="zh-CN"/>
              </w:rPr>
            </w:pPr>
            <w:r>
              <w:rPr>
                <w:lang w:val="en-US" w:eastAsia="zh-CN"/>
              </w:rPr>
              <w:t>CI included zero</w:t>
            </w:r>
          </w:p>
        </w:tc>
      </w:tr>
      <w:tr w14:paraId="236E0881">
        <w:trPr>
          <w:cantSplit/>
        </w:trPr>
        <w:tc>
          <w:tcPr>
            <w:tcW w:w="0" w:type="auto"/>
            <w:tcBorders>
              <w:top w:val="nil"/>
              <w:left w:val="nil"/>
              <w:bottom w:val="nil"/>
              <w:right w:val="nil"/>
            </w:tcBorders>
            <w:shd w:val="clear" w:color="auto" w:fill="FFFFFF"/>
            <w:vAlign w:val="center"/>
          </w:tcPr>
          <w:p w14:paraId="71FF70BB">
            <w:pPr>
              <w:pStyle w:val="167"/>
              <w:bidi w:val="0"/>
              <w:rPr>
                <w:lang w:val="en-US" w:eastAsia="zh-CN"/>
              </w:rPr>
            </w:pPr>
            <w:r>
              <w:rPr>
                <w:lang w:val="en-US" w:eastAsia="zh-CN"/>
              </w:rPr>
              <w:t>MDS-UPDRS III/UPDRS III</w:t>
            </w:r>
          </w:p>
        </w:tc>
        <w:tc>
          <w:tcPr>
            <w:tcW w:w="2649" w:type="dxa"/>
            <w:tcBorders>
              <w:top w:val="nil"/>
              <w:left w:val="nil"/>
              <w:bottom w:val="nil"/>
              <w:right w:val="nil"/>
            </w:tcBorders>
            <w:shd w:val="clear" w:color="auto" w:fill="FFFFFF"/>
            <w:vAlign w:val="center"/>
          </w:tcPr>
          <w:p w14:paraId="41DC0670">
            <w:pPr>
              <w:pStyle w:val="167"/>
              <w:bidi w:val="0"/>
              <w:rPr>
                <w:lang w:val="en-US" w:eastAsia="zh-CN"/>
              </w:rPr>
            </w:pPr>
            <w:r>
              <w:rPr>
                <w:lang w:val="en-US" w:eastAsia="zh-CN"/>
              </w:rPr>
              <w:t>Active therapist-led rehabilitation</w:t>
            </w:r>
          </w:p>
        </w:tc>
        <w:tc>
          <w:tcPr>
            <w:tcW w:w="1091" w:type="dxa"/>
            <w:tcBorders>
              <w:top w:val="nil"/>
              <w:left w:val="nil"/>
              <w:bottom w:val="nil"/>
              <w:right w:val="nil"/>
            </w:tcBorders>
            <w:shd w:val="clear" w:color="auto" w:fill="FFFFFF"/>
            <w:vAlign w:val="center"/>
          </w:tcPr>
          <w:p w14:paraId="219A264F">
            <w:pPr>
              <w:pStyle w:val="167"/>
              <w:bidi w:val="0"/>
              <w:rPr>
                <w:lang w:val="en-US" w:eastAsia="zh-CN"/>
              </w:rPr>
            </w:pPr>
            <w:r>
              <w:rPr>
                <w:lang w:val="en-US" w:eastAsia="zh-CN"/>
              </w:rPr>
              <w:t>3/276</w:t>
            </w:r>
          </w:p>
        </w:tc>
        <w:tc>
          <w:tcPr>
            <w:tcW w:w="2356" w:type="dxa"/>
            <w:tcBorders>
              <w:top w:val="nil"/>
              <w:left w:val="nil"/>
              <w:bottom w:val="nil"/>
              <w:right w:val="nil"/>
            </w:tcBorders>
            <w:shd w:val="clear" w:color="auto" w:fill="FFFFFF"/>
            <w:vAlign w:val="center"/>
          </w:tcPr>
          <w:p w14:paraId="6867B77F">
            <w:pPr>
              <w:pStyle w:val="167"/>
              <w:bidi w:val="0"/>
              <w:rPr>
                <w:lang w:val="en-US" w:eastAsia="zh-CN"/>
              </w:rPr>
            </w:pPr>
            <w:r>
              <w:rPr>
                <w:lang w:val="en-US" w:eastAsia="zh-CN"/>
              </w:rPr>
              <w:t>0.30 (−0.25 to 0.85)</w:t>
            </w:r>
          </w:p>
        </w:tc>
        <w:tc>
          <w:tcPr>
            <w:tcW w:w="0" w:type="auto"/>
            <w:tcBorders>
              <w:top w:val="nil"/>
              <w:left w:val="nil"/>
              <w:bottom w:val="nil"/>
              <w:right w:val="nil"/>
            </w:tcBorders>
            <w:shd w:val="clear" w:color="auto" w:fill="FFFFFF"/>
            <w:vAlign w:val="center"/>
          </w:tcPr>
          <w:p w14:paraId="50763E8E">
            <w:pPr>
              <w:pStyle w:val="167"/>
              <w:bidi w:val="0"/>
              <w:rPr>
                <w:lang w:val="en-US" w:eastAsia="zh-CN"/>
              </w:rPr>
            </w:pPr>
            <w:r>
              <w:rPr>
                <w:lang w:val="en-US" w:eastAsia="zh-CN"/>
              </w:rPr>
              <w:t>0.000</w:t>
            </w:r>
          </w:p>
        </w:tc>
        <w:tc>
          <w:tcPr>
            <w:tcW w:w="0" w:type="auto"/>
            <w:tcBorders>
              <w:top w:val="nil"/>
              <w:left w:val="nil"/>
              <w:bottom w:val="nil"/>
              <w:right w:val="nil"/>
            </w:tcBorders>
            <w:shd w:val="clear" w:color="auto" w:fill="FFFFFF"/>
            <w:vAlign w:val="center"/>
          </w:tcPr>
          <w:p w14:paraId="07259107">
            <w:pPr>
              <w:pStyle w:val="167"/>
              <w:bidi w:val="0"/>
              <w:rPr>
                <w:lang w:val="en-US" w:eastAsia="zh-CN"/>
              </w:rPr>
            </w:pPr>
            <w:r>
              <w:rPr>
                <w:lang w:val="en-US" w:eastAsia="zh-CN"/>
              </w:rPr>
              <w:t>9.4%</w:t>
            </w:r>
          </w:p>
        </w:tc>
        <w:tc>
          <w:tcPr>
            <w:tcW w:w="0" w:type="auto"/>
            <w:tcBorders>
              <w:top w:val="nil"/>
              <w:left w:val="nil"/>
              <w:bottom w:val="nil"/>
              <w:right w:val="nil"/>
            </w:tcBorders>
            <w:shd w:val="clear" w:color="auto" w:fill="FFFFFF"/>
            <w:vAlign w:val="center"/>
          </w:tcPr>
          <w:p w14:paraId="3DB3BBFF">
            <w:pPr>
              <w:pStyle w:val="167"/>
              <w:bidi w:val="0"/>
              <w:rPr>
                <w:lang w:val="en-US" w:eastAsia="zh-CN"/>
              </w:rPr>
            </w:pPr>
            <w:r>
              <w:rPr>
                <w:lang w:val="en-US" w:eastAsia="zh-CN"/>
              </w:rPr>
              <w:t>Not estimated</w:t>
            </w:r>
          </w:p>
        </w:tc>
        <w:tc>
          <w:tcPr>
            <w:tcW w:w="0" w:type="auto"/>
            <w:tcBorders>
              <w:top w:val="nil"/>
              <w:left w:val="nil"/>
              <w:bottom w:val="nil"/>
              <w:right w:val="nil"/>
            </w:tcBorders>
            <w:shd w:val="clear" w:color="auto" w:fill="FFFFFF"/>
            <w:vAlign w:val="center"/>
          </w:tcPr>
          <w:p w14:paraId="41853CAE">
            <w:pPr>
              <w:pStyle w:val="167"/>
              <w:bidi w:val="0"/>
              <w:rPr>
                <w:lang w:val="en-US" w:eastAsia="zh-CN"/>
              </w:rPr>
            </w:pPr>
            <w:r>
              <w:rPr>
                <w:lang w:val="en-US" w:eastAsia="zh-CN"/>
              </w:rPr>
              <w:t>CI included zero</w:t>
            </w:r>
          </w:p>
        </w:tc>
      </w:tr>
      <w:tr w14:paraId="4B52B6FA">
        <w:trPr>
          <w:cantSplit/>
        </w:trPr>
        <w:tc>
          <w:tcPr>
            <w:tcW w:w="0" w:type="auto"/>
            <w:tcBorders>
              <w:top w:val="nil"/>
              <w:left w:val="nil"/>
              <w:bottom w:val="nil"/>
              <w:right w:val="nil"/>
            </w:tcBorders>
            <w:shd w:val="clear" w:color="auto" w:fill="FFFFFF"/>
            <w:vAlign w:val="center"/>
          </w:tcPr>
          <w:p w14:paraId="34E90477">
            <w:pPr>
              <w:pStyle w:val="167"/>
              <w:bidi w:val="0"/>
              <w:rPr>
                <w:lang w:val="en-US" w:eastAsia="zh-CN"/>
              </w:rPr>
            </w:pPr>
            <w:r>
              <w:rPr>
                <w:lang w:val="en-US" w:eastAsia="zh-CN"/>
              </w:rPr>
              <w:t>Balance function</w:t>
            </w:r>
          </w:p>
        </w:tc>
        <w:tc>
          <w:tcPr>
            <w:tcW w:w="2649" w:type="dxa"/>
            <w:tcBorders>
              <w:top w:val="nil"/>
              <w:left w:val="nil"/>
              <w:bottom w:val="nil"/>
              <w:right w:val="nil"/>
            </w:tcBorders>
            <w:shd w:val="clear" w:color="auto" w:fill="FFFFFF"/>
            <w:vAlign w:val="center"/>
          </w:tcPr>
          <w:p w14:paraId="6B3502B6">
            <w:pPr>
              <w:pStyle w:val="167"/>
              <w:bidi w:val="0"/>
              <w:rPr>
                <w:lang w:val="en-US" w:eastAsia="zh-CN"/>
              </w:rPr>
            </w:pPr>
            <w:r>
              <w:rPr>
                <w:lang w:val="en-US" w:eastAsia="zh-CN"/>
              </w:rPr>
              <w:t>Ordinary home exercise</w:t>
            </w:r>
          </w:p>
        </w:tc>
        <w:tc>
          <w:tcPr>
            <w:tcW w:w="1091" w:type="dxa"/>
            <w:tcBorders>
              <w:top w:val="nil"/>
              <w:left w:val="nil"/>
              <w:bottom w:val="nil"/>
              <w:right w:val="nil"/>
            </w:tcBorders>
            <w:shd w:val="clear" w:color="auto" w:fill="FFFFFF"/>
            <w:vAlign w:val="center"/>
          </w:tcPr>
          <w:p w14:paraId="155C34EE">
            <w:pPr>
              <w:pStyle w:val="167"/>
              <w:bidi w:val="0"/>
              <w:rPr>
                <w:lang w:val="en-US" w:eastAsia="zh-CN"/>
              </w:rPr>
            </w:pPr>
            <w:r>
              <w:rPr>
                <w:lang w:val="en-US" w:eastAsia="zh-CN"/>
              </w:rPr>
              <w:t>2/135</w:t>
            </w:r>
          </w:p>
        </w:tc>
        <w:tc>
          <w:tcPr>
            <w:tcW w:w="2356" w:type="dxa"/>
            <w:tcBorders>
              <w:top w:val="nil"/>
              <w:left w:val="nil"/>
              <w:bottom w:val="nil"/>
              <w:right w:val="nil"/>
            </w:tcBorders>
            <w:shd w:val="clear" w:color="auto" w:fill="FFFFFF"/>
            <w:vAlign w:val="center"/>
          </w:tcPr>
          <w:p w14:paraId="085EED37">
            <w:pPr>
              <w:pStyle w:val="167"/>
              <w:bidi w:val="0"/>
              <w:rPr>
                <w:lang w:val="en-US" w:eastAsia="zh-CN"/>
              </w:rPr>
            </w:pPr>
            <w:r>
              <w:rPr>
                <w:lang w:val="en-US" w:eastAsia="zh-CN"/>
              </w:rPr>
              <w:t>0.30 (−1.90 to 2.50)</w:t>
            </w:r>
          </w:p>
        </w:tc>
        <w:tc>
          <w:tcPr>
            <w:tcW w:w="0" w:type="auto"/>
            <w:tcBorders>
              <w:top w:val="nil"/>
              <w:left w:val="nil"/>
              <w:bottom w:val="nil"/>
              <w:right w:val="nil"/>
            </w:tcBorders>
            <w:shd w:val="clear" w:color="auto" w:fill="FFFFFF"/>
            <w:vAlign w:val="center"/>
          </w:tcPr>
          <w:p w14:paraId="40CCFEB8">
            <w:pPr>
              <w:pStyle w:val="167"/>
              <w:bidi w:val="0"/>
              <w:rPr>
                <w:lang w:val="en-US" w:eastAsia="zh-CN"/>
              </w:rPr>
            </w:pPr>
            <w:r>
              <w:rPr>
                <w:lang w:val="en-US" w:eastAsia="zh-CN"/>
              </w:rPr>
              <w:t>0.000</w:t>
            </w:r>
          </w:p>
        </w:tc>
        <w:tc>
          <w:tcPr>
            <w:tcW w:w="0" w:type="auto"/>
            <w:tcBorders>
              <w:top w:val="nil"/>
              <w:left w:val="nil"/>
              <w:bottom w:val="nil"/>
              <w:right w:val="nil"/>
            </w:tcBorders>
            <w:shd w:val="clear" w:color="auto" w:fill="FFFFFF"/>
            <w:vAlign w:val="center"/>
          </w:tcPr>
          <w:p w14:paraId="30409678">
            <w:pPr>
              <w:pStyle w:val="167"/>
              <w:bidi w:val="0"/>
              <w:rPr>
                <w:lang w:val="en-US" w:eastAsia="zh-CN"/>
              </w:rPr>
            </w:pPr>
            <w:r>
              <w:rPr>
                <w:lang w:val="en-US" w:eastAsia="zh-CN"/>
              </w:rPr>
              <w:t>0.0%</w:t>
            </w:r>
          </w:p>
        </w:tc>
        <w:tc>
          <w:tcPr>
            <w:tcW w:w="0" w:type="auto"/>
            <w:tcBorders>
              <w:top w:val="nil"/>
              <w:left w:val="nil"/>
              <w:bottom w:val="nil"/>
              <w:right w:val="nil"/>
            </w:tcBorders>
            <w:shd w:val="clear" w:color="auto" w:fill="FFFFFF"/>
            <w:vAlign w:val="center"/>
          </w:tcPr>
          <w:p w14:paraId="541E4AD7">
            <w:pPr>
              <w:pStyle w:val="167"/>
              <w:bidi w:val="0"/>
              <w:rPr>
                <w:lang w:val="en-US" w:eastAsia="zh-CN"/>
              </w:rPr>
            </w:pPr>
            <w:r>
              <w:rPr>
                <w:lang w:val="en-US" w:eastAsia="zh-CN"/>
              </w:rPr>
              <w:t>Not estimated</w:t>
            </w:r>
          </w:p>
        </w:tc>
        <w:tc>
          <w:tcPr>
            <w:tcW w:w="0" w:type="auto"/>
            <w:tcBorders>
              <w:top w:val="nil"/>
              <w:left w:val="nil"/>
              <w:bottom w:val="nil"/>
              <w:right w:val="nil"/>
            </w:tcBorders>
            <w:shd w:val="clear" w:color="auto" w:fill="FFFFFF"/>
            <w:vAlign w:val="center"/>
          </w:tcPr>
          <w:p w14:paraId="09B416FB">
            <w:pPr>
              <w:pStyle w:val="167"/>
              <w:bidi w:val="0"/>
              <w:rPr>
                <w:lang w:val="en-US" w:eastAsia="zh-CN"/>
              </w:rPr>
            </w:pPr>
            <w:r>
              <w:rPr>
                <w:lang w:val="en-US" w:eastAsia="zh-CN"/>
              </w:rPr>
              <w:t>CI included zero</w:t>
            </w:r>
          </w:p>
        </w:tc>
      </w:tr>
      <w:tr w14:paraId="7EE5A70B">
        <w:trPr>
          <w:cantSplit/>
        </w:trPr>
        <w:tc>
          <w:tcPr>
            <w:tcW w:w="0" w:type="auto"/>
            <w:tcBorders>
              <w:top w:val="nil"/>
              <w:left w:val="nil"/>
              <w:bottom w:val="nil"/>
              <w:right w:val="nil"/>
            </w:tcBorders>
            <w:shd w:val="clear" w:color="auto" w:fill="FFFFFF"/>
            <w:vAlign w:val="center"/>
          </w:tcPr>
          <w:p w14:paraId="5487B760">
            <w:pPr>
              <w:pStyle w:val="167"/>
              <w:bidi w:val="0"/>
              <w:rPr>
                <w:lang w:val="en-US" w:eastAsia="zh-CN"/>
              </w:rPr>
            </w:pPr>
            <w:r>
              <w:rPr>
                <w:lang w:val="en-US" w:eastAsia="zh-CN"/>
              </w:rPr>
              <w:t>Balance function</w:t>
            </w:r>
          </w:p>
        </w:tc>
        <w:tc>
          <w:tcPr>
            <w:tcW w:w="2649" w:type="dxa"/>
            <w:tcBorders>
              <w:top w:val="nil"/>
              <w:left w:val="nil"/>
              <w:bottom w:val="nil"/>
              <w:right w:val="nil"/>
            </w:tcBorders>
            <w:shd w:val="clear" w:color="auto" w:fill="FFFFFF"/>
            <w:vAlign w:val="center"/>
          </w:tcPr>
          <w:p w14:paraId="70E27382">
            <w:pPr>
              <w:pStyle w:val="167"/>
              <w:bidi w:val="0"/>
              <w:rPr>
                <w:lang w:val="en-US" w:eastAsia="zh-CN"/>
              </w:rPr>
            </w:pPr>
            <w:r>
              <w:rPr>
                <w:lang w:val="en-US" w:eastAsia="zh-CN"/>
              </w:rPr>
              <w:t>Active therapist-led rehabilitation</w:t>
            </w:r>
          </w:p>
        </w:tc>
        <w:tc>
          <w:tcPr>
            <w:tcW w:w="1091" w:type="dxa"/>
            <w:tcBorders>
              <w:top w:val="nil"/>
              <w:left w:val="nil"/>
              <w:bottom w:val="nil"/>
              <w:right w:val="nil"/>
            </w:tcBorders>
            <w:shd w:val="clear" w:color="auto" w:fill="FFFFFF"/>
            <w:vAlign w:val="center"/>
          </w:tcPr>
          <w:p w14:paraId="042AF4EB">
            <w:pPr>
              <w:pStyle w:val="167"/>
              <w:bidi w:val="0"/>
              <w:rPr>
                <w:lang w:val="en-US" w:eastAsia="zh-CN"/>
              </w:rPr>
            </w:pPr>
            <w:r>
              <w:rPr>
                <w:lang w:val="en-US" w:eastAsia="zh-CN"/>
              </w:rPr>
              <w:t>5/381</w:t>
            </w:r>
          </w:p>
        </w:tc>
        <w:tc>
          <w:tcPr>
            <w:tcW w:w="2356" w:type="dxa"/>
            <w:tcBorders>
              <w:top w:val="nil"/>
              <w:left w:val="nil"/>
              <w:bottom w:val="nil"/>
              <w:right w:val="nil"/>
            </w:tcBorders>
            <w:shd w:val="clear" w:color="auto" w:fill="FFFFFF"/>
            <w:vAlign w:val="center"/>
          </w:tcPr>
          <w:p w14:paraId="6FDB96CB">
            <w:pPr>
              <w:pStyle w:val="167"/>
              <w:bidi w:val="0"/>
              <w:rPr>
                <w:lang w:val="en-US" w:eastAsia="zh-CN"/>
              </w:rPr>
            </w:pPr>
            <w:r>
              <w:rPr>
                <w:lang w:val="en-US" w:eastAsia="zh-CN"/>
              </w:rPr>
              <w:t>0.26 (−0.12 to 0.65)</w:t>
            </w:r>
          </w:p>
        </w:tc>
        <w:tc>
          <w:tcPr>
            <w:tcW w:w="0" w:type="auto"/>
            <w:tcBorders>
              <w:top w:val="nil"/>
              <w:left w:val="nil"/>
              <w:bottom w:val="nil"/>
              <w:right w:val="nil"/>
            </w:tcBorders>
            <w:shd w:val="clear" w:color="auto" w:fill="FFFFFF"/>
            <w:vAlign w:val="center"/>
          </w:tcPr>
          <w:p w14:paraId="25C8C0A0">
            <w:pPr>
              <w:pStyle w:val="167"/>
              <w:bidi w:val="0"/>
              <w:rPr>
                <w:lang w:val="en-US" w:eastAsia="zh-CN"/>
              </w:rPr>
            </w:pPr>
            <w:r>
              <w:rPr>
                <w:lang w:val="en-US" w:eastAsia="zh-CN"/>
              </w:rPr>
              <w:t>0.020</w:t>
            </w:r>
          </w:p>
        </w:tc>
        <w:tc>
          <w:tcPr>
            <w:tcW w:w="0" w:type="auto"/>
            <w:tcBorders>
              <w:top w:val="nil"/>
              <w:left w:val="nil"/>
              <w:bottom w:val="nil"/>
              <w:right w:val="nil"/>
            </w:tcBorders>
            <w:shd w:val="clear" w:color="auto" w:fill="FFFFFF"/>
            <w:vAlign w:val="center"/>
          </w:tcPr>
          <w:p w14:paraId="467D2527">
            <w:pPr>
              <w:pStyle w:val="167"/>
              <w:bidi w:val="0"/>
              <w:rPr>
                <w:lang w:val="en-US" w:eastAsia="zh-CN"/>
              </w:rPr>
            </w:pPr>
            <w:r>
              <w:rPr>
                <w:lang w:val="en-US" w:eastAsia="zh-CN"/>
              </w:rPr>
              <w:t>31.2%</w:t>
            </w:r>
          </w:p>
        </w:tc>
        <w:tc>
          <w:tcPr>
            <w:tcW w:w="0" w:type="auto"/>
            <w:tcBorders>
              <w:top w:val="nil"/>
              <w:left w:val="nil"/>
              <w:bottom w:val="nil"/>
              <w:right w:val="nil"/>
            </w:tcBorders>
            <w:shd w:val="clear" w:color="auto" w:fill="FFFFFF"/>
            <w:vAlign w:val="center"/>
          </w:tcPr>
          <w:p w14:paraId="1A50955E">
            <w:pPr>
              <w:pStyle w:val="167"/>
              <w:bidi w:val="0"/>
              <w:rPr>
                <w:lang w:val="en-US" w:eastAsia="zh-CN"/>
              </w:rPr>
            </w:pPr>
            <w:r>
              <w:rPr>
                <w:lang w:val="en-US" w:eastAsia="zh-CN"/>
              </w:rPr>
              <w:t>−0.29 to 0.81</w:t>
            </w:r>
          </w:p>
        </w:tc>
        <w:tc>
          <w:tcPr>
            <w:tcW w:w="0" w:type="auto"/>
            <w:tcBorders>
              <w:top w:val="nil"/>
              <w:left w:val="nil"/>
              <w:bottom w:val="nil"/>
              <w:right w:val="nil"/>
            </w:tcBorders>
            <w:shd w:val="clear" w:color="auto" w:fill="FFFFFF"/>
            <w:vAlign w:val="center"/>
          </w:tcPr>
          <w:p w14:paraId="7F951BFF">
            <w:pPr>
              <w:pStyle w:val="167"/>
              <w:bidi w:val="0"/>
              <w:rPr>
                <w:lang w:val="en-US" w:eastAsia="zh-CN"/>
              </w:rPr>
            </w:pPr>
            <w:r>
              <w:rPr>
                <w:lang w:val="en-US" w:eastAsia="zh-CN"/>
              </w:rPr>
              <w:t>CI and PI included zero</w:t>
            </w:r>
          </w:p>
        </w:tc>
      </w:tr>
      <w:tr w14:paraId="08A7D920">
        <w:trPr>
          <w:cantSplit/>
        </w:trPr>
        <w:tc>
          <w:tcPr>
            <w:tcW w:w="0" w:type="auto"/>
            <w:tcBorders>
              <w:top w:val="nil"/>
              <w:left w:val="nil"/>
              <w:bottom w:val="nil"/>
              <w:right w:val="nil"/>
            </w:tcBorders>
            <w:shd w:val="clear" w:color="auto" w:fill="FFFFFF"/>
            <w:vAlign w:val="center"/>
          </w:tcPr>
          <w:p w14:paraId="1BB481D3">
            <w:pPr>
              <w:pStyle w:val="167"/>
              <w:bidi w:val="0"/>
              <w:rPr>
                <w:lang w:val="en-US" w:eastAsia="zh-CN"/>
              </w:rPr>
            </w:pPr>
            <w:r>
              <w:rPr>
                <w:lang w:val="en-US" w:eastAsia="zh-CN"/>
              </w:rPr>
              <w:t>Functional mobility (TUG)</w:t>
            </w:r>
          </w:p>
        </w:tc>
        <w:tc>
          <w:tcPr>
            <w:tcW w:w="2649" w:type="dxa"/>
            <w:tcBorders>
              <w:top w:val="nil"/>
              <w:left w:val="nil"/>
              <w:bottom w:val="nil"/>
              <w:right w:val="nil"/>
            </w:tcBorders>
            <w:shd w:val="clear" w:color="auto" w:fill="FFFFFF"/>
            <w:vAlign w:val="center"/>
          </w:tcPr>
          <w:p w14:paraId="15134652">
            <w:pPr>
              <w:pStyle w:val="167"/>
              <w:bidi w:val="0"/>
              <w:rPr>
                <w:lang w:val="en-US" w:eastAsia="zh-CN"/>
              </w:rPr>
            </w:pPr>
            <w:r>
              <w:rPr>
                <w:lang w:val="en-US" w:eastAsia="zh-CN"/>
              </w:rPr>
              <w:t>Passive/minimal control</w:t>
            </w:r>
          </w:p>
        </w:tc>
        <w:tc>
          <w:tcPr>
            <w:tcW w:w="1091" w:type="dxa"/>
            <w:tcBorders>
              <w:top w:val="nil"/>
              <w:left w:val="nil"/>
              <w:bottom w:val="nil"/>
              <w:right w:val="nil"/>
            </w:tcBorders>
            <w:shd w:val="clear" w:color="auto" w:fill="FFFFFF"/>
            <w:vAlign w:val="center"/>
          </w:tcPr>
          <w:p w14:paraId="494E2CB9">
            <w:pPr>
              <w:pStyle w:val="167"/>
              <w:bidi w:val="0"/>
              <w:rPr>
                <w:lang w:val="en-US" w:eastAsia="zh-CN"/>
              </w:rPr>
            </w:pPr>
            <w:r>
              <w:rPr>
                <w:lang w:val="en-US" w:eastAsia="zh-CN"/>
              </w:rPr>
              <w:t>1/53</w:t>
            </w:r>
          </w:p>
        </w:tc>
        <w:tc>
          <w:tcPr>
            <w:tcW w:w="2356" w:type="dxa"/>
            <w:tcBorders>
              <w:top w:val="nil"/>
              <w:left w:val="nil"/>
              <w:bottom w:val="nil"/>
              <w:right w:val="nil"/>
            </w:tcBorders>
            <w:shd w:val="clear" w:color="auto" w:fill="FFFFFF"/>
            <w:vAlign w:val="center"/>
          </w:tcPr>
          <w:p w14:paraId="0051F801">
            <w:pPr>
              <w:pStyle w:val="167"/>
              <w:bidi w:val="0"/>
              <w:rPr>
                <w:lang w:val="en-US" w:eastAsia="zh-CN"/>
              </w:rPr>
            </w:pPr>
            <w:r>
              <w:rPr>
                <w:lang w:val="en-US" w:eastAsia="zh-CN"/>
              </w:rPr>
              <w:t>−0.35 (−0.90 to 0.19)</w:t>
            </w:r>
          </w:p>
        </w:tc>
        <w:tc>
          <w:tcPr>
            <w:tcW w:w="0" w:type="auto"/>
            <w:tcBorders>
              <w:top w:val="nil"/>
              <w:left w:val="nil"/>
              <w:bottom w:val="nil"/>
              <w:right w:val="nil"/>
            </w:tcBorders>
            <w:shd w:val="clear" w:color="auto" w:fill="FFFFFF"/>
            <w:vAlign w:val="center"/>
          </w:tcPr>
          <w:p w14:paraId="11CA956B">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4541973D">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4FF6ABBE">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0B5431CD">
            <w:pPr>
              <w:pStyle w:val="167"/>
              <w:bidi w:val="0"/>
              <w:rPr>
                <w:lang w:val="en-US" w:eastAsia="zh-CN"/>
              </w:rPr>
            </w:pPr>
            <w:r>
              <w:rPr>
                <w:lang w:val="en-US" w:eastAsia="zh-CN"/>
              </w:rPr>
              <w:t>CI included zero</w:t>
            </w:r>
          </w:p>
        </w:tc>
      </w:tr>
      <w:tr w14:paraId="45D0C88B">
        <w:trPr>
          <w:cantSplit/>
        </w:trPr>
        <w:tc>
          <w:tcPr>
            <w:tcW w:w="0" w:type="auto"/>
            <w:tcBorders>
              <w:top w:val="nil"/>
              <w:left w:val="nil"/>
              <w:bottom w:val="nil"/>
              <w:right w:val="nil"/>
            </w:tcBorders>
            <w:shd w:val="clear" w:color="auto" w:fill="FFFFFF"/>
            <w:vAlign w:val="center"/>
          </w:tcPr>
          <w:p w14:paraId="1D6BECAD">
            <w:pPr>
              <w:pStyle w:val="167"/>
              <w:bidi w:val="0"/>
              <w:rPr>
                <w:lang w:val="en-US" w:eastAsia="zh-CN"/>
              </w:rPr>
            </w:pPr>
            <w:r>
              <w:rPr>
                <w:lang w:val="en-US" w:eastAsia="zh-CN"/>
              </w:rPr>
              <w:t>Functional mobility (TUG)</w:t>
            </w:r>
          </w:p>
        </w:tc>
        <w:tc>
          <w:tcPr>
            <w:tcW w:w="2649" w:type="dxa"/>
            <w:tcBorders>
              <w:top w:val="nil"/>
              <w:left w:val="nil"/>
              <w:bottom w:val="nil"/>
              <w:right w:val="nil"/>
            </w:tcBorders>
            <w:shd w:val="clear" w:color="auto" w:fill="FFFFFF"/>
            <w:vAlign w:val="center"/>
          </w:tcPr>
          <w:p w14:paraId="53DE73C1">
            <w:pPr>
              <w:pStyle w:val="167"/>
              <w:bidi w:val="0"/>
              <w:rPr>
                <w:lang w:val="en-US" w:eastAsia="zh-CN"/>
              </w:rPr>
            </w:pPr>
            <w:r>
              <w:rPr>
                <w:lang w:val="en-US" w:eastAsia="zh-CN"/>
              </w:rPr>
              <w:t>Ordinary home exercise</w:t>
            </w:r>
          </w:p>
        </w:tc>
        <w:tc>
          <w:tcPr>
            <w:tcW w:w="1091" w:type="dxa"/>
            <w:tcBorders>
              <w:top w:val="nil"/>
              <w:left w:val="nil"/>
              <w:bottom w:val="nil"/>
              <w:right w:val="nil"/>
            </w:tcBorders>
            <w:shd w:val="clear" w:color="auto" w:fill="FFFFFF"/>
            <w:vAlign w:val="center"/>
          </w:tcPr>
          <w:p w14:paraId="6DD0E4A0">
            <w:pPr>
              <w:pStyle w:val="167"/>
              <w:bidi w:val="0"/>
              <w:rPr>
                <w:lang w:val="en-US" w:eastAsia="zh-CN"/>
              </w:rPr>
            </w:pPr>
            <w:r>
              <w:rPr>
                <w:lang w:val="en-US" w:eastAsia="zh-CN"/>
              </w:rPr>
              <w:t>1/97</w:t>
            </w:r>
          </w:p>
        </w:tc>
        <w:tc>
          <w:tcPr>
            <w:tcW w:w="2356" w:type="dxa"/>
            <w:tcBorders>
              <w:top w:val="nil"/>
              <w:left w:val="nil"/>
              <w:bottom w:val="nil"/>
              <w:right w:val="nil"/>
            </w:tcBorders>
            <w:shd w:val="clear" w:color="auto" w:fill="FFFFFF"/>
            <w:vAlign w:val="center"/>
          </w:tcPr>
          <w:p w14:paraId="69495C96">
            <w:pPr>
              <w:pStyle w:val="167"/>
              <w:bidi w:val="0"/>
              <w:rPr>
                <w:lang w:val="en-US" w:eastAsia="zh-CN"/>
              </w:rPr>
            </w:pPr>
            <w:r>
              <w:rPr>
                <w:lang w:val="en-US" w:eastAsia="zh-CN"/>
              </w:rPr>
              <w:t>0.14 (−0.26 to 0.54)</w:t>
            </w:r>
          </w:p>
        </w:tc>
        <w:tc>
          <w:tcPr>
            <w:tcW w:w="0" w:type="auto"/>
            <w:tcBorders>
              <w:top w:val="nil"/>
              <w:left w:val="nil"/>
              <w:bottom w:val="nil"/>
              <w:right w:val="nil"/>
            </w:tcBorders>
            <w:shd w:val="clear" w:color="auto" w:fill="FFFFFF"/>
            <w:vAlign w:val="center"/>
          </w:tcPr>
          <w:p w14:paraId="3A8147A7">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05963E3F">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252A45A3">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7B137B5A">
            <w:pPr>
              <w:pStyle w:val="167"/>
              <w:bidi w:val="0"/>
              <w:rPr>
                <w:lang w:val="en-US" w:eastAsia="zh-CN"/>
              </w:rPr>
            </w:pPr>
            <w:r>
              <w:rPr>
                <w:lang w:val="en-US" w:eastAsia="zh-CN"/>
              </w:rPr>
              <w:t>CI included zero</w:t>
            </w:r>
          </w:p>
        </w:tc>
      </w:tr>
      <w:tr w14:paraId="1C468907">
        <w:trPr>
          <w:cantSplit/>
        </w:trPr>
        <w:tc>
          <w:tcPr>
            <w:tcW w:w="0" w:type="auto"/>
            <w:tcBorders>
              <w:top w:val="nil"/>
              <w:left w:val="nil"/>
              <w:bottom w:val="nil"/>
              <w:right w:val="nil"/>
            </w:tcBorders>
            <w:shd w:val="clear" w:color="auto" w:fill="FFFFFF"/>
            <w:vAlign w:val="center"/>
          </w:tcPr>
          <w:p w14:paraId="07433702">
            <w:pPr>
              <w:pStyle w:val="167"/>
              <w:bidi w:val="0"/>
              <w:rPr>
                <w:lang w:val="en-US" w:eastAsia="zh-CN"/>
              </w:rPr>
            </w:pPr>
            <w:r>
              <w:rPr>
                <w:lang w:val="en-US" w:eastAsia="zh-CN"/>
              </w:rPr>
              <w:t>Functional mobility (TUG)</w:t>
            </w:r>
          </w:p>
        </w:tc>
        <w:tc>
          <w:tcPr>
            <w:tcW w:w="2649" w:type="dxa"/>
            <w:tcBorders>
              <w:top w:val="nil"/>
              <w:left w:val="nil"/>
              <w:bottom w:val="nil"/>
              <w:right w:val="nil"/>
            </w:tcBorders>
            <w:shd w:val="clear" w:color="auto" w:fill="FFFFFF"/>
            <w:vAlign w:val="center"/>
          </w:tcPr>
          <w:p w14:paraId="67FCCB8D">
            <w:pPr>
              <w:pStyle w:val="167"/>
              <w:bidi w:val="0"/>
              <w:rPr>
                <w:lang w:val="en-US" w:eastAsia="zh-CN"/>
              </w:rPr>
            </w:pPr>
            <w:r>
              <w:rPr>
                <w:lang w:val="en-US" w:eastAsia="zh-CN"/>
              </w:rPr>
              <w:t>Active therapist-led rehabilitation</w:t>
            </w:r>
          </w:p>
        </w:tc>
        <w:tc>
          <w:tcPr>
            <w:tcW w:w="1091" w:type="dxa"/>
            <w:tcBorders>
              <w:top w:val="nil"/>
              <w:left w:val="nil"/>
              <w:bottom w:val="nil"/>
              <w:right w:val="nil"/>
            </w:tcBorders>
            <w:shd w:val="clear" w:color="auto" w:fill="FFFFFF"/>
            <w:vAlign w:val="center"/>
          </w:tcPr>
          <w:p w14:paraId="4355F31F">
            <w:pPr>
              <w:pStyle w:val="167"/>
              <w:bidi w:val="0"/>
              <w:rPr>
                <w:lang w:val="en-US" w:eastAsia="zh-CN"/>
              </w:rPr>
            </w:pPr>
            <w:r>
              <w:rPr>
                <w:lang w:val="en-US" w:eastAsia="zh-CN"/>
              </w:rPr>
              <w:t>2/209</w:t>
            </w:r>
          </w:p>
        </w:tc>
        <w:tc>
          <w:tcPr>
            <w:tcW w:w="2356" w:type="dxa"/>
            <w:tcBorders>
              <w:top w:val="nil"/>
              <w:left w:val="nil"/>
              <w:bottom w:val="nil"/>
              <w:right w:val="nil"/>
            </w:tcBorders>
            <w:shd w:val="clear" w:color="auto" w:fill="FFFFFF"/>
            <w:vAlign w:val="center"/>
          </w:tcPr>
          <w:p w14:paraId="23596773">
            <w:pPr>
              <w:pStyle w:val="167"/>
              <w:bidi w:val="0"/>
              <w:rPr>
                <w:lang w:val="en-US" w:eastAsia="zh-CN"/>
              </w:rPr>
            </w:pPr>
            <w:r>
              <w:rPr>
                <w:lang w:val="en-US" w:eastAsia="zh-CN"/>
              </w:rPr>
              <w:t>0.11 (−1.65 to 1.87)</w:t>
            </w:r>
          </w:p>
        </w:tc>
        <w:tc>
          <w:tcPr>
            <w:tcW w:w="0" w:type="auto"/>
            <w:tcBorders>
              <w:top w:val="nil"/>
              <w:left w:val="nil"/>
              <w:bottom w:val="nil"/>
              <w:right w:val="nil"/>
            </w:tcBorders>
            <w:shd w:val="clear" w:color="auto" w:fill="FFFFFF"/>
            <w:vAlign w:val="center"/>
          </w:tcPr>
          <w:p w14:paraId="4B628996">
            <w:pPr>
              <w:pStyle w:val="167"/>
              <w:bidi w:val="0"/>
              <w:rPr>
                <w:lang w:val="en-US" w:eastAsia="zh-CN"/>
              </w:rPr>
            </w:pPr>
            <w:r>
              <w:rPr>
                <w:lang w:val="en-US" w:eastAsia="zh-CN"/>
              </w:rPr>
              <w:t>0.000</w:t>
            </w:r>
          </w:p>
        </w:tc>
        <w:tc>
          <w:tcPr>
            <w:tcW w:w="0" w:type="auto"/>
            <w:tcBorders>
              <w:top w:val="nil"/>
              <w:left w:val="nil"/>
              <w:bottom w:val="nil"/>
              <w:right w:val="nil"/>
            </w:tcBorders>
            <w:shd w:val="clear" w:color="auto" w:fill="FFFFFF"/>
            <w:vAlign w:val="center"/>
          </w:tcPr>
          <w:p w14:paraId="2E85BB41">
            <w:pPr>
              <w:pStyle w:val="167"/>
              <w:bidi w:val="0"/>
              <w:rPr>
                <w:lang w:val="en-US" w:eastAsia="zh-CN"/>
              </w:rPr>
            </w:pPr>
            <w:r>
              <w:rPr>
                <w:lang w:val="en-US" w:eastAsia="zh-CN"/>
              </w:rPr>
              <w:t>0.0%</w:t>
            </w:r>
          </w:p>
        </w:tc>
        <w:tc>
          <w:tcPr>
            <w:tcW w:w="0" w:type="auto"/>
            <w:tcBorders>
              <w:top w:val="nil"/>
              <w:left w:val="nil"/>
              <w:bottom w:val="nil"/>
              <w:right w:val="nil"/>
            </w:tcBorders>
            <w:shd w:val="clear" w:color="auto" w:fill="FFFFFF"/>
            <w:vAlign w:val="center"/>
          </w:tcPr>
          <w:p w14:paraId="63605DD0">
            <w:pPr>
              <w:pStyle w:val="167"/>
              <w:bidi w:val="0"/>
              <w:rPr>
                <w:lang w:val="en-US" w:eastAsia="zh-CN"/>
              </w:rPr>
            </w:pPr>
            <w:r>
              <w:rPr>
                <w:lang w:val="en-US" w:eastAsia="zh-CN"/>
              </w:rPr>
              <w:t>Not estimated</w:t>
            </w:r>
          </w:p>
        </w:tc>
        <w:tc>
          <w:tcPr>
            <w:tcW w:w="0" w:type="auto"/>
            <w:tcBorders>
              <w:top w:val="nil"/>
              <w:left w:val="nil"/>
              <w:bottom w:val="nil"/>
              <w:right w:val="nil"/>
            </w:tcBorders>
            <w:shd w:val="clear" w:color="auto" w:fill="FFFFFF"/>
            <w:vAlign w:val="center"/>
          </w:tcPr>
          <w:p w14:paraId="0F633514">
            <w:pPr>
              <w:pStyle w:val="167"/>
              <w:bidi w:val="0"/>
              <w:rPr>
                <w:lang w:val="en-US" w:eastAsia="zh-CN"/>
              </w:rPr>
            </w:pPr>
            <w:r>
              <w:rPr>
                <w:lang w:val="en-US" w:eastAsia="zh-CN"/>
              </w:rPr>
              <w:t>CI included zero</w:t>
            </w:r>
          </w:p>
        </w:tc>
      </w:tr>
      <w:tr w14:paraId="788AA854">
        <w:trPr>
          <w:cantSplit/>
        </w:trPr>
        <w:tc>
          <w:tcPr>
            <w:tcW w:w="0" w:type="auto"/>
            <w:tcBorders>
              <w:top w:val="nil"/>
              <w:left w:val="nil"/>
              <w:bottom w:val="nil"/>
              <w:right w:val="nil"/>
            </w:tcBorders>
            <w:shd w:val="clear" w:color="auto" w:fill="FFFFFF"/>
            <w:vAlign w:val="center"/>
          </w:tcPr>
          <w:p w14:paraId="77A97589">
            <w:pPr>
              <w:pStyle w:val="167"/>
              <w:bidi w:val="0"/>
              <w:rPr>
                <w:lang w:val="en-US" w:eastAsia="zh-CN"/>
              </w:rPr>
            </w:pPr>
            <w:r>
              <w:rPr>
                <w:lang w:val="en-US" w:eastAsia="zh-CN"/>
              </w:rPr>
              <w:t>Gait/walking function</w:t>
            </w:r>
          </w:p>
        </w:tc>
        <w:tc>
          <w:tcPr>
            <w:tcW w:w="2649" w:type="dxa"/>
            <w:tcBorders>
              <w:top w:val="nil"/>
              <w:left w:val="nil"/>
              <w:bottom w:val="nil"/>
              <w:right w:val="nil"/>
            </w:tcBorders>
            <w:shd w:val="clear" w:color="auto" w:fill="FFFFFF"/>
            <w:vAlign w:val="center"/>
          </w:tcPr>
          <w:p w14:paraId="09F73DC9">
            <w:pPr>
              <w:pStyle w:val="167"/>
              <w:bidi w:val="0"/>
              <w:rPr>
                <w:lang w:val="en-US" w:eastAsia="zh-CN"/>
              </w:rPr>
            </w:pPr>
            <w:r>
              <w:rPr>
                <w:lang w:val="en-US" w:eastAsia="zh-CN"/>
              </w:rPr>
              <w:t>Passive/minimal control</w:t>
            </w:r>
          </w:p>
        </w:tc>
        <w:tc>
          <w:tcPr>
            <w:tcW w:w="1091" w:type="dxa"/>
            <w:tcBorders>
              <w:top w:val="nil"/>
              <w:left w:val="nil"/>
              <w:bottom w:val="nil"/>
              <w:right w:val="nil"/>
            </w:tcBorders>
            <w:shd w:val="clear" w:color="auto" w:fill="FFFFFF"/>
            <w:vAlign w:val="center"/>
          </w:tcPr>
          <w:p w14:paraId="29645C61">
            <w:pPr>
              <w:pStyle w:val="167"/>
              <w:bidi w:val="0"/>
              <w:rPr>
                <w:lang w:val="en-US" w:eastAsia="zh-CN"/>
              </w:rPr>
            </w:pPr>
            <w:r>
              <w:rPr>
                <w:lang w:val="en-US" w:eastAsia="zh-CN"/>
              </w:rPr>
              <w:t>1/53</w:t>
            </w:r>
          </w:p>
        </w:tc>
        <w:tc>
          <w:tcPr>
            <w:tcW w:w="2356" w:type="dxa"/>
            <w:tcBorders>
              <w:top w:val="nil"/>
              <w:left w:val="nil"/>
              <w:bottom w:val="nil"/>
              <w:right w:val="nil"/>
            </w:tcBorders>
            <w:shd w:val="clear" w:color="auto" w:fill="FFFFFF"/>
            <w:vAlign w:val="center"/>
          </w:tcPr>
          <w:p w14:paraId="0EA66F1A">
            <w:pPr>
              <w:pStyle w:val="167"/>
              <w:bidi w:val="0"/>
              <w:rPr>
                <w:lang w:val="en-US" w:eastAsia="zh-CN"/>
              </w:rPr>
            </w:pPr>
            <w:r>
              <w:rPr>
                <w:lang w:val="en-US" w:eastAsia="zh-CN"/>
              </w:rPr>
              <w:t>0.21 (−0.33 to 0.75)</w:t>
            </w:r>
          </w:p>
        </w:tc>
        <w:tc>
          <w:tcPr>
            <w:tcW w:w="0" w:type="auto"/>
            <w:tcBorders>
              <w:top w:val="nil"/>
              <w:left w:val="nil"/>
              <w:bottom w:val="nil"/>
              <w:right w:val="nil"/>
            </w:tcBorders>
            <w:shd w:val="clear" w:color="auto" w:fill="FFFFFF"/>
            <w:vAlign w:val="center"/>
          </w:tcPr>
          <w:p w14:paraId="488D80B3">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0A40B659">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78BD26F1">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6C24F592">
            <w:pPr>
              <w:pStyle w:val="167"/>
              <w:bidi w:val="0"/>
              <w:rPr>
                <w:lang w:val="en-US" w:eastAsia="zh-CN"/>
              </w:rPr>
            </w:pPr>
            <w:r>
              <w:rPr>
                <w:lang w:val="en-US" w:eastAsia="zh-CN"/>
              </w:rPr>
              <w:t>CI included zero</w:t>
            </w:r>
          </w:p>
        </w:tc>
      </w:tr>
      <w:tr w14:paraId="31D35809">
        <w:trPr>
          <w:cantSplit/>
        </w:trPr>
        <w:tc>
          <w:tcPr>
            <w:tcW w:w="0" w:type="auto"/>
            <w:tcBorders>
              <w:top w:val="nil"/>
              <w:left w:val="nil"/>
              <w:bottom w:val="nil"/>
              <w:right w:val="nil"/>
            </w:tcBorders>
            <w:shd w:val="clear" w:color="auto" w:fill="FFFFFF"/>
            <w:vAlign w:val="center"/>
          </w:tcPr>
          <w:p w14:paraId="74209C2E">
            <w:pPr>
              <w:pStyle w:val="167"/>
              <w:bidi w:val="0"/>
              <w:rPr>
                <w:lang w:val="en-US" w:eastAsia="zh-CN"/>
              </w:rPr>
            </w:pPr>
            <w:r>
              <w:rPr>
                <w:lang w:val="en-US" w:eastAsia="zh-CN"/>
              </w:rPr>
              <w:t>Gait/walking function</w:t>
            </w:r>
          </w:p>
        </w:tc>
        <w:tc>
          <w:tcPr>
            <w:tcW w:w="2649" w:type="dxa"/>
            <w:tcBorders>
              <w:top w:val="nil"/>
              <w:left w:val="nil"/>
              <w:bottom w:val="nil"/>
              <w:right w:val="nil"/>
            </w:tcBorders>
            <w:shd w:val="clear" w:color="auto" w:fill="FFFFFF"/>
            <w:vAlign w:val="center"/>
          </w:tcPr>
          <w:p w14:paraId="14AF888C">
            <w:pPr>
              <w:pStyle w:val="167"/>
              <w:bidi w:val="0"/>
              <w:rPr>
                <w:lang w:val="en-US" w:eastAsia="zh-CN"/>
              </w:rPr>
            </w:pPr>
            <w:r>
              <w:rPr>
                <w:lang w:val="en-US" w:eastAsia="zh-CN"/>
              </w:rPr>
              <w:t>Ordinary home exercise</w:t>
            </w:r>
          </w:p>
        </w:tc>
        <w:tc>
          <w:tcPr>
            <w:tcW w:w="1091" w:type="dxa"/>
            <w:tcBorders>
              <w:top w:val="nil"/>
              <w:left w:val="nil"/>
              <w:bottom w:val="nil"/>
              <w:right w:val="nil"/>
            </w:tcBorders>
            <w:shd w:val="clear" w:color="auto" w:fill="FFFFFF"/>
            <w:vAlign w:val="center"/>
          </w:tcPr>
          <w:p w14:paraId="274701C2">
            <w:pPr>
              <w:pStyle w:val="167"/>
              <w:bidi w:val="0"/>
              <w:rPr>
                <w:lang w:val="en-US" w:eastAsia="zh-CN"/>
              </w:rPr>
            </w:pPr>
            <w:r>
              <w:rPr>
                <w:lang w:val="en-US" w:eastAsia="zh-CN"/>
              </w:rPr>
              <w:t>2/64</w:t>
            </w:r>
          </w:p>
        </w:tc>
        <w:tc>
          <w:tcPr>
            <w:tcW w:w="2356" w:type="dxa"/>
            <w:tcBorders>
              <w:top w:val="nil"/>
              <w:left w:val="nil"/>
              <w:bottom w:val="nil"/>
              <w:right w:val="nil"/>
            </w:tcBorders>
            <w:shd w:val="clear" w:color="auto" w:fill="FFFFFF"/>
            <w:vAlign w:val="center"/>
          </w:tcPr>
          <w:p w14:paraId="69ACBFCE">
            <w:pPr>
              <w:pStyle w:val="167"/>
              <w:bidi w:val="0"/>
              <w:rPr>
                <w:lang w:val="en-US" w:eastAsia="zh-CN"/>
              </w:rPr>
            </w:pPr>
            <w:r>
              <w:rPr>
                <w:lang w:val="en-US" w:eastAsia="zh-CN"/>
              </w:rPr>
              <w:t>−0.01 (−3.19 to 3.18)</w:t>
            </w:r>
          </w:p>
        </w:tc>
        <w:tc>
          <w:tcPr>
            <w:tcW w:w="0" w:type="auto"/>
            <w:tcBorders>
              <w:top w:val="nil"/>
              <w:left w:val="nil"/>
              <w:bottom w:val="nil"/>
              <w:right w:val="nil"/>
            </w:tcBorders>
            <w:shd w:val="clear" w:color="auto" w:fill="FFFFFF"/>
            <w:vAlign w:val="center"/>
          </w:tcPr>
          <w:p w14:paraId="4959C66C">
            <w:pPr>
              <w:pStyle w:val="167"/>
              <w:bidi w:val="0"/>
              <w:rPr>
                <w:lang w:val="en-US" w:eastAsia="zh-CN"/>
              </w:rPr>
            </w:pPr>
            <w:r>
              <w:rPr>
                <w:lang w:val="en-US" w:eastAsia="zh-CN"/>
              </w:rPr>
              <w:t>0.000</w:t>
            </w:r>
          </w:p>
        </w:tc>
        <w:tc>
          <w:tcPr>
            <w:tcW w:w="0" w:type="auto"/>
            <w:tcBorders>
              <w:top w:val="nil"/>
              <w:left w:val="nil"/>
              <w:bottom w:val="nil"/>
              <w:right w:val="nil"/>
            </w:tcBorders>
            <w:shd w:val="clear" w:color="auto" w:fill="FFFFFF"/>
            <w:vAlign w:val="center"/>
          </w:tcPr>
          <w:p w14:paraId="44A7856A">
            <w:pPr>
              <w:pStyle w:val="167"/>
              <w:bidi w:val="0"/>
              <w:rPr>
                <w:lang w:val="en-US" w:eastAsia="zh-CN"/>
              </w:rPr>
            </w:pPr>
            <w:r>
              <w:rPr>
                <w:lang w:val="en-US" w:eastAsia="zh-CN"/>
              </w:rPr>
              <w:t>0.0%</w:t>
            </w:r>
          </w:p>
        </w:tc>
        <w:tc>
          <w:tcPr>
            <w:tcW w:w="0" w:type="auto"/>
            <w:tcBorders>
              <w:top w:val="nil"/>
              <w:left w:val="nil"/>
              <w:bottom w:val="nil"/>
              <w:right w:val="nil"/>
            </w:tcBorders>
            <w:shd w:val="clear" w:color="auto" w:fill="FFFFFF"/>
            <w:vAlign w:val="center"/>
          </w:tcPr>
          <w:p w14:paraId="6A708A93">
            <w:pPr>
              <w:pStyle w:val="167"/>
              <w:bidi w:val="0"/>
              <w:rPr>
                <w:lang w:val="en-US" w:eastAsia="zh-CN"/>
              </w:rPr>
            </w:pPr>
            <w:r>
              <w:rPr>
                <w:lang w:val="en-US" w:eastAsia="zh-CN"/>
              </w:rPr>
              <w:t>Not estimated</w:t>
            </w:r>
          </w:p>
        </w:tc>
        <w:tc>
          <w:tcPr>
            <w:tcW w:w="0" w:type="auto"/>
            <w:tcBorders>
              <w:top w:val="nil"/>
              <w:left w:val="nil"/>
              <w:bottom w:val="nil"/>
              <w:right w:val="nil"/>
            </w:tcBorders>
            <w:shd w:val="clear" w:color="auto" w:fill="FFFFFF"/>
            <w:vAlign w:val="center"/>
          </w:tcPr>
          <w:p w14:paraId="2A1FC409">
            <w:pPr>
              <w:pStyle w:val="167"/>
              <w:bidi w:val="0"/>
              <w:rPr>
                <w:lang w:val="en-US" w:eastAsia="zh-CN"/>
              </w:rPr>
            </w:pPr>
            <w:r>
              <w:rPr>
                <w:lang w:val="en-US" w:eastAsia="zh-CN"/>
              </w:rPr>
              <w:t>CI included zero</w:t>
            </w:r>
          </w:p>
        </w:tc>
      </w:tr>
      <w:tr w14:paraId="3E863113">
        <w:trPr>
          <w:cantSplit/>
        </w:trPr>
        <w:tc>
          <w:tcPr>
            <w:tcW w:w="0" w:type="auto"/>
            <w:tcBorders>
              <w:top w:val="nil"/>
              <w:left w:val="nil"/>
              <w:bottom w:val="single" w:color="000000" w:sz="12" w:space="0"/>
              <w:right w:val="nil"/>
            </w:tcBorders>
            <w:shd w:val="clear" w:color="auto" w:fill="FFFFFF"/>
            <w:vAlign w:val="center"/>
          </w:tcPr>
          <w:p w14:paraId="5216BB83">
            <w:pPr>
              <w:pStyle w:val="167"/>
              <w:bidi w:val="0"/>
              <w:rPr>
                <w:lang w:val="en-US" w:eastAsia="zh-CN"/>
              </w:rPr>
            </w:pPr>
            <w:r>
              <w:rPr>
                <w:lang w:val="en-US" w:eastAsia="zh-CN"/>
              </w:rPr>
              <w:t>Gait/walking function</w:t>
            </w:r>
          </w:p>
        </w:tc>
        <w:tc>
          <w:tcPr>
            <w:tcW w:w="2649" w:type="dxa"/>
            <w:tcBorders>
              <w:top w:val="nil"/>
              <w:left w:val="nil"/>
              <w:bottom w:val="single" w:color="000000" w:sz="12" w:space="0"/>
              <w:right w:val="nil"/>
            </w:tcBorders>
            <w:shd w:val="clear" w:color="auto" w:fill="FFFFFF"/>
            <w:vAlign w:val="center"/>
          </w:tcPr>
          <w:p w14:paraId="7FC46D8D">
            <w:pPr>
              <w:pStyle w:val="167"/>
              <w:bidi w:val="0"/>
              <w:rPr>
                <w:lang w:val="en-US" w:eastAsia="zh-CN"/>
              </w:rPr>
            </w:pPr>
            <w:r>
              <w:rPr>
                <w:lang w:val="en-US" w:eastAsia="zh-CN"/>
              </w:rPr>
              <w:t>Active therapist-led rehabilitation</w:t>
            </w:r>
          </w:p>
        </w:tc>
        <w:tc>
          <w:tcPr>
            <w:tcW w:w="1091" w:type="dxa"/>
            <w:tcBorders>
              <w:top w:val="nil"/>
              <w:left w:val="nil"/>
              <w:bottom w:val="single" w:color="000000" w:sz="12" w:space="0"/>
              <w:right w:val="nil"/>
            </w:tcBorders>
            <w:shd w:val="clear" w:color="auto" w:fill="FFFFFF"/>
            <w:vAlign w:val="center"/>
          </w:tcPr>
          <w:p w14:paraId="756CA5D8">
            <w:pPr>
              <w:pStyle w:val="167"/>
              <w:bidi w:val="0"/>
              <w:rPr>
                <w:lang w:val="en-US" w:eastAsia="zh-CN"/>
              </w:rPr>
            </w:pPr>
            <w:r>
              <w:rPr>
                <w:lang w:val="en-US" w:eastAsia="zh-CN"/>
              </w:rPr>
              <w:t>4/318</w:t>
            </w:r>
          </w:p>
        </w:tc>
        <w:tc>
          <w:tcPr>
            <w:tcW w:w="2356" w:type="dxa"/>
            <w:tcBorders>
              <w:top w:val="nil"/>
              <w:left w:val="nil"/>
              <w:bottom w:val="single" w:color="000000" w:sz="12" w:space="0"/>
              <w:right w:val="nil"/>
            </w:tcBorders>
            <w:shd w:val="clear" w:color="auto" w:fill="FFFFFF"/>
            <w:vAlign w:val="center"/>
          </w:tcPr>
          <w:p w14:paraId="286E0B26">
            <w:pPr>
              <w:pStyle w:val="167"/>
              <w:bidi w:val="0"/>
              <w:rPr>
                <w:lang w:val="en-US" w:eastAsia="zh-CN"/>
              </w:rPr>
            </w:pPr>
            <w:r>
              <w:rPr>
                <w:lang w:val="en-US" w:eastAsia="zh-CN"/>
              </w:rPr>
              <w:t>0.03 (−0.67 to 0.73)</w:t>
            </w:r>
          </w:p>
        </w:tc>
        <w:tc>
          <w:tcPr>
            <w:tcW w:w="0" w:type="auto"/>
            <w:tcBorders>
              <w:top w:val="nil"/>
              <w:left w:val="nil"/>
              <w:bottom w:val="single" w:color="000000" w:sz="12" w:space="0"/>
              <w:right w:val="nil"/>
            </w:tcBorders>
            <w:shd w:val="clear" w:color="auto" w:fill="FFFFFF"/>
            <w:vAlign w:val="center"/>
          </w:tcPr>
          <w:p w14:paraId="61C3B023">
            <w:pPr>
              <w:pStyle w:val="167"/>
              <w:bidi w:val="0"/>
              <w:rPr>
                <w:lang w:val="en-US" w:eastAsia="zh-CN"/>
              </w:rPr>
            </w:pPr>
            <w:r>
              <w:rPr>
                <w:lang w:val="en-US" w:eastAsia="zh-CN"/>
              </w:rPr>
              <w:t>0.111</w:t>
            </w:r>
          </w:p>
        </w:tc>
        <w:tc>
          <w:tcPr>
            <w:tcW w:w="0" w:type="auto"/>
            <w:tcBorders>
              <w:top w:val="nil"/>
              <w:left w:val="nil"/>
              <w:bottom w:val="single" w:color="000000" w:sz="12" w:space="0"/>
              <w:right w:val="nil"/>
            </w:tcBorders>
            <w:shd w:val="clear" w:color="auto" w:fill="FFFFFF"/>
            <w:vAlign w:val="center"/>
          </w:tcPr>
          <w:p w14:paraId="4FC5AD74">
            <w:pPr>
              <w:pStyle w:val="167"/>
              <w:bidi w:val="0"/>
              <w:rPr>
                <w:lang w:val="en-US" w:eastAsia="zh-CN"/>
              </w:rPr>
            </w:pPr>
            <w:r>
              <w:rPr>
                <w:lang w:val="en-US" w:eastAsia="zh-CN"/>
              </w:rPr>
              <w:t>63.1%</w:t>
            </w:r>
          </w:p>
        </w:tc>
        <w:tc>
          <w:tcPr>
            <w:tcW w:w="0" w:type="auto"/>
            <w:tcBorders>
              <w:top w:val="nil"/>
              <w:left w:val="nil"/>
              <w:bottom w:val="single" w:color="000000" w:sz="12" w:space="0"/>
              <w:right w:val="nil"/>
            </w:tcBorders>
            <w:shd w:val="clear" w:color="auto" w:fill="FFFFFF"/>
            <w:vAlign w:val="center"/>
          </w:tcPr>
          <w:p w14:paraId="0446BC40">
            <w:pPr>
              <w:pStyle w:val="167"/>
              <w:bidi w:val="0"/>
              <w:rPr>
                <w:lang w:val="en-US" w:eastAsia="zh-CN"/>
              </w:rPr>
            </w:pPr>
            <w:r>
              <w:rPr>
                <w:lang w:val="en-US" w:eastAsia="zh-CN"/>
              </w:rPr>
              <w:t>Not estimated</w:t>
            </w:r>
          </w:p>
        </w:tc>
        <w:tc>
          <w:tcPr>
            <w:tcW w:w="0" w:type="auto"/>
            <w:tcBorders>
              <w:top w:val="nil"/>
              <w:left w:val="nil"/>
              <w:bottom w:val="single" w:color="000000" w:sz="12" w:space="0"/>
              <w:right w:val="nil"/>
            </w:tcBorders>
            <w:shd w:val="clear" w:color="auto" w:fill="FFFFFF"/>
            <w:vAlign w:val="center"/>
          </w:tcPr>
          <w:p w14:paraId="69302C39">
            <w:pPr>
              <w:pStyle w:val="167"/>
              <w:bidi w:val="0"/>
              <w:rPr>
                <w:lang w:val="en-US" w:eastAsia="zh-CN"/>
              </w:rPr>
            </w:pPr>
            <w:r>
              <w:rPr>
                <w:lang w:val="en-US" w:eastAsia="zh-CN"/>
              </w:rPr>
              <w:t>CI included zero</w:t>
            </w:r>
          </w:p>
        </w:tc>
      </w:tr>
    </w:tbl>
    <w:p w14:paraId="73D2059C">
      <w:pPr>
        <w:pStyle w:val="4"/>
        <w:bidi w:val="0"/>
      </w:pPr>
      <w:r>
        <w:rPr>
          <w:rFonts w:hint="default"/>
          <w:lang w:val="en-US" w:eastAsia="zh-CN"/>
        </w:rPr>
        <w:t xml:space="preserve">Supplementary </w:t>
      </w:r>
      <w:r>
        <w:rPr>
          <w:lang w:val="en-US" w:eastAsia="zh-CN"/>
        </w:rPr>
        <w:t>Table S6B. Sensitivity analyses</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1493"/>
        <w:gridCol w:w="1805"/>
        <w:gridCol w:w="2081"/>
        <w:gridCol w:w="1737"/>
        <w:gridCol w:w="2283"/>
        <w:gridCol w:w="1212"/>
        <w:gridCol w:w="2542"/>
      </w:tblGrid>
      <w:tr w14:paraId="5977553E">
        <w:trPr>
          <w:cantSplit/>
        </w:trPr>
        <w:tc>
          <w:tcPr>
            <w:tcW w:w="360" w:type="pct"/>
            <w:tcBorders>
              <w:top w:val="single" w:color="000000" w:sz="12" w:space="0"/>
              <w:left w:val="nil"/>
              <w:bottom w:val="single" w:color="000000" w:sz="4" w:space="0"/>
              <w:right w:val="nil"/>
              <w:tl2br w:val="nil"/>
            </w:tcBorders>
            <w:shd w:val="clear" w:color="auto" w:fill="FFFFFF"/>
            <w:vAlign w:val="center"/>
          </w:tcPr>
          <w:p w14:paraId="7A0681A7">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Analysis</w:t>
            </w:r>
          </w:p>
        </w:tc>
        <w:tc>
          <w:tcPr>
            <w:tcW w:w="526" w:type="pct"/>
            <w:tcBorders>
              <w:top w:val="single" w:color="000000" w:sz="12" w:space="0"/>
              <w:left w:val="nil"/>
              <w:bottom w:val="single" w:color="000000" w:sz="4" w:space="0"/>
              <w:right w:val="nil"/>
            </w:tcBorders>
            <w:shd w:val="clear" w:color="auto" w:fill="FFFFFF"/>
            <w:vAlign w:val="center"/>
          </w:tcPr>
          <w:p w14:paraId="2D810CEA">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Decision tested</w:t>
            </w:r>
          </w:p>
        </w:tc>
        <w:tc>
          <w:tcPr>
            <w:tcW w:w="636" w:type="pct"/>
            <w:tcBorders>
              <w:top w:val="single" w:color="000000" w:sz="12" w:space="0"/>
              <w:left w:val="nil"/>
              <w:bottom w:val="single" w:color="000000" w:sz="4" w:space="0"/>
              <w:right w:val="nil"/>
            </w:tcBorders>
            <w:shd w:val="clear" w:color="auto" w:fill="FFFFFF"/>
            <w:vAlign w:val="center"/>
          </w:tcPr>
          <w:p w14:paraId="25C53345">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Outcome/comparator</w:t>
            </w:r>
          </w:p>
        </w:tc>
        <w:tc>
          <w:tcPr>
            <w:tcW w:w="734" w:type="pct"/>
            <w:tcBorders>
              <w:top w:val="single" w:color="000000" w:sz="12" w:space="0"/>
              <w:left w:val="nil"/>
              <w:bottom w:val="single" w:color="000000" w:sz="4" w:space="0"/>
              <w:right w:val="nil"/>
            </w:tcBorders>
            <w:shd w:val="clear" w:color="auto" w:fill="FFFFFF"/>
            <w:vAlign w:val="center"/>
          </w:tcPr>
          <w:p w14:paraId="1B25F80F">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Primary result</w:t>
            </w:r>
          </w:p>
        </w:tc>
        <w:tc>
          <w:tcPr>
            <w:tcW w:w="612" w:type="pct"/>
            <w:tcBorders>
              <w:top w:val="single" w:color="000000" w:sz="12" w:space="0"/>
              <w:left w:val="nil"/>
              <w:bottom w:val="single" w:color="000000" w:sz="4" w:space="0"/>
              <w:right w:val="nil"/>
            </w:tcBorders>
            <w:shd w:val="clear" w:color="auto" w:fill="FFFFFF"/>
            <w:vAlign w:val="center"/>
          </w:tcPr>
          <w:p w14:paraId="2AB2ECD4">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Sensitivity result</w:t>
            </w:r>
          </w:p>
        </w:tc>
        <w:tc>
          <w:tcPr>
            <w:tcW w:w="805" w:type="pct"/>
            <w:tcBorders>
              <w:top w:val="single" w:color="000000" w:sz="12" w:space="0"/>
              <w:left w:val="nil"/>
              <w:bottom w:val="single" w:color="000000" w:sz="4" w:space="0"/>
              <w:right w:val="nil"/>
            </w:tcBorders>
            <w:shd w:val="clear" w:color="auto" w:fill="FFFFFF"/>
            <w:vAlign w:val="center"/>
          </w:tcPr>
          <w:p w14:paraId="45E466A3">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Heterogeneity change</w:t>
            </w:r>
          </w:p>
        </w:tc>
        <w:tc>
          <w:tcPr>
            <w:tcW w:w="427" w:type="pct"/>
            <w:tcBorders>
              <w:top w:val="single" w:color="000000" w:sz="12" w:space="0"/>
              <w:left w:val="nil"/>
              <w:bottom w:val="single" w:color="000000" w:sz="4" w:space="0"/>
              <w:right w:val="nil"/>
            </w:tcBorders>
            <w:shd w:val="clear" w:color="auto" w:fill="FFFFFF"/>
            <w:vAlign w:val="center"/>
          </w:tcPr>
          <w:p w14:paraId="39AC060A">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CI-null status changed?</w:t>
            </w:r>
          </w:p>
        </w:tc>
        <w:tc>
          <w:tcPr>
            <w:tcW w:w="896" w:type="pct"/>
            <w:tcBorders>
              <w:top w:val="single" w:color="000000" w:sz="12" w:space="0"/>
              <w:left w:val="nil"/>
              <w:bottom w:val="single" w:color="000000" w:sz="4" w:space="0"/>
              <w:right w:val="nil"/>
            </w:tcBorders>
            <w:shd w:val="clear" w:color="auto" w:fill="FFFFFF"/>
            <w:vAlign w:val="center"/>
          </w:tcPr>
          <w:p w14:paraId="139D774A">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Interpretation</w:t>
            </w:r>
          </w:p>
        </w:tc>
      </w:tr>
      <w:tr w14:paraId="4DFB6B00">
        <w:trPr>
          <w:cantSplit/>
        </w:trPr>
        <w:tc>
          <w:tcPr>
            <w:tcW w:w="360" w:type="pct"/>
            <w:tcBorders>
              <w:top w:val="single" w:color="000000" w:sz="4" w:space="0"/>
              <w:left w:val="nil"/>
              <w:bottom w:val="nil"/>
              <w:right w:val="nil"/>
            </w:tcBorders>
            <w:shd w:val="clear" w:color="auto" w:fill="FFFFFF"/>
            <w:vAlign w:val="center"/>
          </w:tcPr>
          <w:p w14:paraId="476B1FB3">
            <w:pPr>
              <w:pStyle w:val="167"/>
              <w:bidi w:val="0"/>
              <w:rPr>
                <w:lang w:val="en-US" w:eastAsia="zh-CN"/>
              </w:rPr>
            </w:pPr>
            <w:r>
              <w:rPr>
                <w:lang w:val="en-US" w:eastAsia="zh-CN"/>
              </w:rPr>
              <w:t>S01</w:t>
            </w:r>
          </w:p>
        </w:tc>
        <w:tc>
          <w:tcPr>
            <w:tcW w:w="526" w:type="pct"/>
            <w:tcBorders>
              <w:top w:val="single" w:color="000000" w:sz="4" w:space="0"/>
              <w:left w:val="nil"/>
              <w:bottom w:val="nil"/>
              <w:right w:val="nil"/>
            </w:tcBorders>
            <w:shd w:val="clear" w:color="auto" w:fill="FFFFFF"/>
            <w:vAlign w:val="center"/>
          </w:tcPr>
          <w:p w14:paraId="25731432">
            <w:pPr>
              <w:pStyle w:val="167"/>
              <w:bidi w:val="0"/>
              <w:rPr>
                <w:lang w:val="en-US" w:eastAsia="zh-CN"/>
              </w:rPr>
            </w:pPr>
            <w:r>
              <w:rPr>
                <w:lang w:val="en-US" w:eastAsia="zh-CN"/>
              </w:rPr>
              <w:t>Added Catalogna 2026 change-score SMD to endpoint data</w:t>
            </w:r>
          </w:p>
        </w:tc>
        <w:tc>
          <w:tcPr>
            <w:tcW w:w="636" w:type="pct"/>
            <w:tcBorders>
              <w:top w:val="single" w:color="000000" w:sz="4" w:space="0"/>
              <w:left w:val="nil"/>
              <w:bottom w:val="nil"/>
              <w:right w:val="nil"/>
            </w:tcBorders>
            <w:shd w:val="clear" w:color="auto" w:fill="FFFFFF"/>
            <w:vAlign w:val="center"/>
          </w:tcPr>
          <w:p w14:paraId="2CC2C6F5">
            <w:pPr>
              <w:pStyle w:val="167"/>
              <w:bidi w:val="0"/>
              <w:rPr>
                <w:lang w:val="en-US" w:eastAsia="zh-CN"/>
              </w:rPr>
            </w:pPr>
            <w:r>
              <w:rPr>
                <w:lang w:val="en-US" w:eastAsia="zh-CN"/>
              </w:rPr>
              <w:t>MDS-UPDRS III/UPDRS III; passive/minimal control</w:t>
            </w:r>
          </w:p>
        </w:tc>
        <w:tc>
          <w:tcPr>
            <w:tcW w:w="734" w:type="pct"/>
            <w:tcBorders>
              <w:top w:val="single" w:color="000000" w:sz="4" w:space="0"/>
              <w:left w:val="nil"/>
              <w:bottom w:val="nil"/>
              <w:right w:val="nil"/>
            </w:tcBorders>
            <w:shd w:val="clear" w:color="auto" w:fill="FFFFFF"/>
            <w:vAlign w:val="center"/>
          </w:tcPr>
          <w:p w14:paraId="3FF04BDD">
            <w:pPr>
              <w:pStyle w:val="167"/>
              <w:bidi w:val="0"/>
              <w:rPr>
                <w:lang w:val="en-US" w:eastAsia="zh-CN"/>
              </w:rPr>
            </w:pPr>
            <w:r>
              <w:rPr>
                <w:lang w:val="en-US" w:eastAsia="zh-CN"/>
              </w:rPr>
              <w:t>k=2/N=31; g=0.31 (−4.31 to 4.93)</w:t>
            </w:r>
          </w:p>
        </w:tc>
        <w:tc>
          <w:tcPr>
            <w:tcW w:w="612" w:type="pct"/>
            <w:tcBorders>
              <w:top w:val="single" w:color="000000" w:sz="4" w:space="0"/>
              <w:left w:val="nil"/>
              <w:bottom w:val="nil"/>
              <w:right w:val="nil"/>
            </w:tcBorders>
            <w:shd w:val="clear" w:color="auto" w:fill="FFFFFF"/>
            <w:vAlign w:val="center"/>
          </w:tcPr>
          <w:p w14:paraId="1349CDBC">
            <w:pPr>
              <w:pStyle w:val="167"/>
              <w:bidi w:val="0"/>
              <w:rPr>
                <w:lang w:val="en-US" w:eastAsia="zh-CN"/>
              </w:rPr>
            </w:pPr>
            <w:r>
              <w:rPr>
                <w:lang w:val="en-US" w:eastAsia="zh-CN"/>
              </w:rPr>
              <w:t>k=3/N=70; g=0.68 (−0.68 to 2.05)</w:t>
            </w:r>
          </w:p>
        </w:tc>
        <w:tc>
          <w:tcPr>
            <w:tcW w:w="805" w:type="pct"/>
            <w:tcBorders>
              <w:top w:val="single" w:color="000000" w:sz="4" w:space="0"/>
              <w:left w:val="nil"/>
              <w:bottom w:val="nil"/>
              <w:right w:val="nil"/>
            </w:tcBorders>
            <w:shd w:val="clear" w:color="auto" w:fill="FFFFFF"/>
            <w:vAlign w:val="center"/>
          </w:tcPr>
          <w:p w14:paraId="0EBA1BFF">
            <w:pPr>
              <w:pStyle w:val="167"/>
              <w:bidi w:val="0"/>
              <w:rPr>
                <w:lang w:val="en-US" w:eastAsia="zh-CN"/>
              </w:rPr>
            </w:pPr>
            <w:r>
              <w:rPr>
                <w:lang w:val="en-US" w:eastAsia="zh-CN"/>
              </w:rPr>
              <w:t>I² 0.0%→29.2%; τ² 0.000→0.102</w:t>
            </w:r>
          </w:p>
        </w:tc>
        <w:tc>
          <w:tcPr>
            <w:tcW w:w="427" w:type="pct"/>
            <w:tcBorders>
              <w:top w:val="single" w:color="000000" w:sz="4" w:space="0"/>
              <w:left w:val="nil"/>
              <w:bottom w:val="nil"/>
              <w:right w:val="nil"/>
            </w:tcBorders>
            <w:shd w:val="clear" w:color="auto" w:fill="FFFFFF"/>
            <w:vAlign w:val="center"/>
          </w:tcPr>
          <w:p w14:paraId="1A612D51">
            <w:pPr>
              <w:pStyle w:val="167"/>
              <w:bidi w:val="0"/>
              <w:rPr>
                <w:lang w:val="en-US" w:eastAsia="zh-CN"/>
              </w:rPr>
            </w:pPr>
            <w:r>
              <w:rPr>
                <w:lang w:val="en-US" w:eastAsia="zh-CN"/>
              </w:rPr>
              <w:t>No</w:t>
            </w:r>
          </w:p>
        </w:tc>
        <w:tc>
          <w:tcPr>
            <w:tcW w:w="896" w:type="pct"/>
            <w:tcBorders>
              <w:top w:val="single" w:color="000000" w:sz="4" w:space="0"/>
              <w:left w:val="nil"/>
              <w:bottom w:val="nil"/>
              <w:right w:val="nil"/>
            </w:tcBorders>
            <w:shd w:val="clear" w:color="auto" w:fill="FFFFFF"/>
            <w:vAlign w:val="center"/>
          </w:tcPr>
          <w:p w14:paraId="0E6D6732">
            <w:pPr>
              <w:pStyle w:val="167"/>
              <w:bidi w:val="0"/>
              <w:rPr>
                <w:lang w:val="en-US" w:eastAsia="zh-CN"/>
              </w:rPr>
            </w:pPr>
            <w:r>
              <w:rPr>
                <w:lang w:val="en-US" w:eastAsia="zh-CN"/>
              </w:rPr>
              <w:t>Direction was unchanged, but the estimate and heterogeneity were quantitatively sensitive. The endpoint-only model was retained.</w:t>
            </w:r>
          </w:p>
        </w:tc>
      </w:tr>
      <w:tr w14:paraId="0C711F5C">
        <w:trPr>
          <w:cantSplit/>
        </w:trPr>
        <w:tc>
          <w:tcPr>
            <w:tcW w:w="360" w:type="pct"/>
            <w:tcBorders>
              <w:top w:val="nil"/>
              <w:left w:val="nil"/>
              <w:bottom w:val="nil"/>
              <w:right w:val="nil"/>
            </w:tcBorders>
            <w:shd w:val="clear" w:color="auto" w:fill="FFFFFF"/>
            <w:vAlign w:val="center"/>
          </w:tcPr>
          <w:p w14:paraId="44D36845">
            <w:pPr>
              <w:pStyle w:val="167"/>
              <w:bidi w:val="0"/>
              <w:rPr>
                <w:lang w:val="en-US" w:eastAsia="zh-CN"/>
              </w:rPr>
            </w:pPr>
            <w:r>
              <w:rPr>
                <w:lang w:val="en-US" w:eastAsia="zh-CN"/>
              </w:rPr>
              <w:t>S02</w:t>
            </w:r>
          </w:p>
        </w:tc>
        <w:tc>
          <w:tcPr>
            <w:tcW w:w="526" w:type="pct"/>
            <w:tcBorders>
              <w:top w:val="nil"/>
              <w:left w:val="nil"/>
              <w:bottom w:val="nil"/>
              <w:right w:val="nil"/>
            </w:tcBorders>
            <w:shd w:val="clear" w:color="auto" w:fill="FFFFFF"/>
            <w:vAlign w:val="center"/>
          </w:tcPr>
          <w:p w14:paraId="74B7DF25">
            <w:pPr>
              <w:pStyle w:val="167"/>
              <w:bidi w:val="0"/>
              <w:rPr>
                <w:lang w:val="en-US" w:eastAsia="zh-CN"/>
              </w:rPr>
            </w:pPr>
            <w:r>
              <w:rPr>
                <w:lang w:val="en-US" w:eastAsia="zh-CN"/>
              </w:rPr>
              <w:t>Added Bove eyes-open COP and Song FES-I</w:t>
            </w:r>
          </w:p>
        </w:tc>
        <w:tc>
          <w:tcPr>
            <w:tcW w:w="636" w:type="pct"/>
            <w:tcBorders>
              <w:top w:val="nil"/>
              <w:left w:val="nil"/>
              <w:bottom w:val="nil"/>
              <w:right w:val="nil"/>
            </w:tcBorders>
            <w:shd w:val="clear" w:color="auto" w:fill="FFFFFF"/>
            <w:vAlign w:val="center"/>
          </w:tcPr>
          <w:p w14:paraId="4D907A0E">
            <w:pPr>
              <w:pStyle w:val="167"/>
              <w:bidi w:val="0"/>
              <w:rPr>
                <w:lang w:val="en-US" w:eastAsia="zh-CN"/>
              </w:rPr>
            </w:pPr>
            <w:r>
              <w:rPr>
                <w:lang w:val="en-US" w:eastAsia="zh-CN"/>
              </w:rPr>
              <w:t>Balance; ordinary home exercise</w:t>
            </w:r>
          </w:p>
        </w:tc>
        <w:tc>
          <w:tcPr>
            <w:tcW w:w="734" w:type="pct"/>
            <w:tcBorders>
              <w:top w:val="nil"/>
              <w:left w:val="nil"/>
              <w:bottom w:val="nil"/>
              <w:right w:val="nil"/>
            </w:tcBorders>
            <w:shd w:val="clear" w:color="auto" w:fill="FFFFFF"/>
            <w:vAlign w:val="center"/>
          </w:tcPr>
          <w:p w14:paraId="3E60B952">
            <w:pPr>
              <w:pStyle w:val="167"/>
              <w:bidi w:val="0"/>
              <w:rPr>
                <w:lang w:val="en-US" w:eastAsia="zh-CN"/>
              </w:rPr>
            </w:pPr>
            <w:r>
              <w:rPr>
                <w:lang w:val="en-US" w:eastAsia="zh-CN"/>
              </w:rPr>
              <w:t>k=2/N=135; g=0.30 (−1.90 to 2.50)</w:t>
            </w:r>
          </w:p>
        </w:tc>
        <w:tc>
          <w:tcPr>
            <w:tcW w:w="612" w:type="pct"/>
            <w:tcBorders>
              <w:top w:val="nil"/>
              <w:left w:val="nil"/>
              <w:bottom w:val="nil"/>
              <w:right w:val="nil"/>
            </w:tcBorders>
            <w:shd w:val="clear" w:color="auto" w:fill="FFFFFF"/>
            <w:vAlign w:val="center"/>
          </w:tcPr>
          <w:p w14:paraId="4FB3C744">
            <w:pPr>
              <w:pStyle w:val="167"/>
              <w:bidi w:val="0"/>
              <w:rPr>
                <w:lang w:val="en-US" w:eastAsia="zh-CN"/>
              </w:rPr>
            </w:pPr>
            <w:r>
              <w:rPr>
                <w:lang w:val="en-US" w:eastAsia="zh-CN"/>
              </w:rPr>
              <w:t>Ordinary home: k=3/N=161; g=0.23 (−0.46 to 0.91); newly introduced passive/minimal result: k=1/N=54; g=−0.19 (−0.72 to 0.35)</w:t>
            </w:r>
          </w:p>
        </w:tc>
        <w:tc>
          <w:tcPr>
            <w:tcW w:w="805" w:type="pct"/>
            <w:tcBorders>
              <w:top w:val="nil"/>
              <w:left w:val="nil"/>
              <w:bottom w:val="nil"/>
              <w:right w:val="nil"/>
            </w:tcBorders>
            <w:shd w:val="clear" w:color="auto" w:fill="FFFFFF"/>
            <w:vAlign w:val="center"/>
          </w:tcPr>
          <w:p w14:paraId="61662170">
            <w:pPr>
              <w:pStyle w:val="167"/>
              <w:bidi w:val="0"/>
              <w:rPr>
                <w:lang w:val="en-US" w:eastAsia="zh-CN"/>
              </w:rPr>
            </w:pPr>
            <w:r>
              <w:rPr>
                <w:lang w:val="en-US" w:eastAsia="zh-CN"/>
              </w:rPr>
              <w:t>Ordinary home: I² 0.0%→0.0%; τ² 0.000→0.000</w:t>
            </w:r>
          </w:p>
        </w:tc>
        <w:tc>
          <w:tcPr>
            <w:tcW w:w="427" w:type="pct"/>
            <w:tcBorders>
              <w:top w:val="nil"/>
              <w:left w:val="nil"/>
              <w:bottom w:val="nil"/>
              <w:right w:val="nil"/>
            </w:tcBorders>
            <w:shd w:val="clear" w:color="auto" w:fill="FFFFFF"/>
            <w:vAlign w:val="center"/>
          </w:tcPr>
          <w:p w14:paraId="5DCD3C50">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2F17091B">
            <w:pPr>
              <w:pStyle w:val="167"/>
              <w:bidi w:val="0"/>
              <w:rPr>
                <w:lang w:val="en-US" w:eastAsia="zh-CN"/>
              </w:rPr>
            </w:pPr>
            <w:r>
              <w:rPr>
                <w:lang w:val="en-US" w:eastAsia="zh-CN"/>
              </w:rPr>
              <w:t>Broadening the balance construct introduced mixed directional evidence; the strict clinical-balance construct was retained.</w:t>
            </w:r>
          </w:p>
        </w:tc>
      </w:tr>
      <w:tr w14:paraId="25EB778B">
        <w:trPr>
          <w:cantSplit/>
        </w:trPr>
        <w:tc>
          <w:tcPr>
            <w:tcW w:w="360" w:type="pct"/>
            <w:tcBorders>
              <w:top w:val="nil"/>
              <w:left w:val="nil"/>
              <w:bottom w:val="nil"/>
              <w:right w:val="nil"/>
            </w:tcBorders>
            <w:shd w:val="clear" w:color="auto" w:fill="FFFFFF"/>
            <w:vAlign w:val="center"/>
          </w:tcPr>
          <w:p w14:paraId="23F83A75">
            <w:pPr>
              <w:pStyle w:val="167"/>
              <w:bidi w:val="0"/>
              <w:rPr>
                <w:lang w:val="en-US" w:eastAsia="zh-CN"/>
              </w:rPr>
            </w:pPr>
            <w:r>
              <w:rPr>
                <w:lang w:val="en-US" w:eastAsia="zh-CN"/>
              </w:rPr>
              <w:t>S03</w:t>
            </w:r>
          </w:p>
        </w:tc>
        <w:tc>
          <w:tcPr>
            <w:tcW w:w="526" w:type="pct"/>
            <w:tcBorders>
              <w:top w:val="nil"/>
              <w:left w:val="nil"/>
              <w:bottom w:val="nil"/>
              <w:right w:val="nil"/>
            </w:tcBorders>
            <w:shd w:val="clear" w:color="auto" w:fill="FFFFFF"/>
            <w:vAlign w:val="center"/>
          </w:tcPr>
          <w:p w14:paraId="4080039D">
            <w:pPr>
              <w:pStyle w:val="167"/>
              <w:bidi w:val="0"/>
              <w:rPr>
                <w:lang w:val="en-US" w:eastAsia="zh-CN"/>
              </w:rPr>
            </w:pPr>
            <w:r>
              <w:rPr>
                <w:lang w:val="en-US" w:eastAsia="zh-CN"/>
              </w:rPr>
              <w:t>Replaced Bove eyes-open COP with eyes-closed COP</w:t>
            </w:r>
          </w:p>
        </w:tc>
        <w:tc>
          <w:tcPr>
            <w:tcW w:w="636" w:type="pct"/>
            <w:tcBorders>
              <w:top w:val="nil"/>
              <w:left w:val="nil"/>
              <w:bottom w:val="nil"/>
              <w:right w:val="nil"/>
            </w:tcBorders>
            <w:shd w:val="clear" w:color="auto" w:fill="FFFFFF"/>
            <w:vAlign w:val="center"/>
          </w:tcPr>
          <w:p w14:paraId="7D505994">
            <w:pPr>
              <w:pStyle w:val="167"/>
              <w:bidi w:val="0"/>
              <w:rPr>
                <w:lang w:val="en-US" w:eastAsia="zh-CN"/>
              </w:rPr>
            </w:pPr>
            <w:r>
              <w:rPr>
                <w:lang w:val="en-US" w:eastAsia="zh-CN"/>
              </w:rPr>
              <w:t>Balance; ordinary home exercise</w:t>
            </w:r>
          </w:p>
        </w:tc>
        <w:tc>
          <w:tcPr>
            <w:tcW w:w="734" w:type="pct"/>
            <w:tcBorders>
              <w:top w:val="nil"/>
              <w:left w:val="nil"/>
              <w:bottom w:val="nil"/>
              <w:right w:val="nil"/>
            </w:tcBorders>
            <w:shd w:val="clear" w:color="auto" w:fill="FFFFFF"/>
            <w:vAlign w:val="center"/>
          </w:tcPr>
          <w:p w14:paraId="623701FC">
            <w:pPr>
              <w:pStyle w:val="167"/>
              <w:bidi w:val="0"/>
              <w:rPr>
                <w:lang w:val="en-US" w:eastAsia="zh-CN"/>
              </w:rPr>
            </w:pPr>
            <w:r>
              <w:rPr>
                <w:lang w:val="en-US" w:eastAsia="zh-CN"/>
              </w:rPr>
              <w:t>k=2/N=135; g=0.30 (−1.90 to 2.50)</w:t>
            </w:r>
          </w:p>
        </w:tc>
        <w:tc>
          <w:tcPr>
            <w:tcW w:w="612" w:type="pct"/>
            <w:tcBorders>
              <w:top w:val="nil"/>
              <w:left w:val="nil"/>
              <w:bottom w:val="nil"/>
              <w:right w:val="nil"/>
            </w:tcBorders>
            <w:shd w:val="clear" w:color="auto" w:fill="FFFFFF"/>
            <w:vAlign w:val="center"/>
          </w:tcPr>
          <w:p w14:paraId="3E7D2C7A">
            <w:pPr>
              <w:pStyle w:val="167"/>
              <w:bidi w:val="0"/>
              <w:rPr>
                <w:lang w:val="en-US" w:eastAsia="zh-CN"/>
              </w:rPr>
            </w:pPr>
            <w:r>
              <w:rPr>
                <w:lang w:val="en-US" w:eastAsia="zh-CN"/>
              </w:rPr>
              <w:t>k=3/N=161; g=0.67 (−1.10 to 2.43)</w:t>
            </w:r>
          </w:p>
        </w:tc>
        <w:tc>
          <w:tcPr>
            <w:tcW w:w="805" w:type="pct"/>
            <w:tcBorders>
              <w:top w:val="nil"/>
              <w:left w:val="nil"/>
              <w:bottom w:val="nil"/>
              <w:right w:val="nil"/>
            </w:tcBorders>
            <w:shd w:val="clear" w:color="auto" w:fill="FFFFFF"/>
            <w:vAlign w:val="center"/>
          </w:tcPr>
          <w:p w14:paraId="7731E7A9">
            <w:pPr>
              <w:pStyle w:val="167"/>
              <w:bidi w:val="0"/>
              <w:rPr>
                <w:lang w:val="en-US" w:eastAsia="zh-CN"/>
              </w:rPr>
            </w:pPr>
            <w:r>
              <w:rPr>
                <w:lang w:val="en-US" w:eastAsia="zh-CN"/>
              </w:rPr>
              <w:t>I² 0.0%→72.2%; τ² 0.000→0.351</w:t>
            </w:r>
          </w:p>
        </w:tc>
        <w:tc>
          <w:tcPr>
            <w:tcW w:w="427" w:type="pct"/>
            <w:tcBorders>
              <w:top w:val="nil"/>
              <w:left w:val="nil"/>
              <w:bottom w:val="nil"/>
              <w:right w:val="nil"/>
            </w:tcBorders>
            <w:shd w:val="clear" w:color="auto" w:fill="FFFFFF"/>
            <w:vAlign w:val="center"/>
          </w:tcPr>
          <w:p w14:paraId="3247B285">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62C627F3">
            <w:pPr>
              <w:pStyle w:val="167"/>
              <w:bidi w:val="0"/>
              <w:rPr>
                <w:lang w:val="en-US" w:eastAsia="zh-CN"/>
              </w:rPr>
            </w:pPr>
            <w:r>
              <w:rPr>
                <w:lang w:val="en-US" w:eastAsia="zh-CN"/>
              </w:rPr>
              <w:t>The estimate and heterogeneity were strongly measure-sensitive, but the CI-null interpretation was unchanged.</w:t>
            </w:r>
          </w:p>
        </w:tc>
      </w:tr>
      <w:tr w14:paraId="57688B94">
        <w:trPr>
          <w:cantSplit/>
        </w:trPr>
        <w:tc>
          <w:tcPr>
            <w:tcW w:w="360" w:type="pct"/>
            <w:tcBorders>
              <w:top w:val="nil"/>
              <w:left w:val="nil"/>
              <w:bottom w:val="nil"/>
              <w:right w:val="nil"/>
            </w:tcBorders>
            <w:shd w:val="clear" w:color="auto" w:fill="FFFFFF"/>
            <w:vAlign w:val="center"/>
          </w:tcPr>
          <w:p w14:paraId="0BFE8318">
            <w:pPr>
              <w:pStyle w:val="167"/>
              <w:bidi w:val="0"/>
              <w:rPr>
                <w:lang w:val="en-US" w:eastAsia="zh-CN"/>
              </w:rPr>
            </w:pPr>
            <w:r>
              <w:rPr>
                <w:lang w:val="en-US" w:eastAsia="zh-CN"/>
              </w:rPr>
              <w:t>S04</w:t>
            </w:r>
          </w:p>
        </w:tc>
        <w:tc>
          <w:tcPr>
            <w:tcW w:w="526" w:type="pct"/>
            <w:tcBorders>
              <w:top w:val="nil"/>
              <w:left w:val="nil"/>
              <w:bottom w:val="nil"/>
              <w:right w:val="nil"/>
            </w:tcBorders>
            <w:shd w:val="clear" w:color="auto" w:fill="FFFFFF"/>
            <w:vAlign w:val="center"/>
          </w:tcPr>
          <w:p w14:paraId="7CD63A1A">
            <w:pPr>
              <w:pStyle w:val="167"/>
              <w:bidi w:val="0"/>
              <w:rPr>
                <w:lang w:val="en-US" w:eastAsia="zh-CN"/>
              </w:rPr>
            </w:pPr>
            <w:r>
              <w:rPr>
                <w:lang w:val="en-US" w:eastAsia="zh-CN"/>
              </w:rPr>
              <w:t>Added 30-second sit-to-stand to the TUG-only construct</w:t>
            </w:r>
          </w:p>
        </w:tc>
        <w:tc>
          <w:tcPr>
            <w:tcW w:w="636" w:type="pct"/>
            <w:tcBorders>
              <w:top w:val="nil"/>
              <w:left w:val="nil"/>
              <w:bottom w:val="nil"/>
              <w:right w:val="nil"/>
            </w:tcBorders>
            <w:shd w:val="clear" w:color="auto" w:fill="FFFFFF"/>
            <w:vAlign w:val="center"/>
          </w:tcPr>
          <w:p w14:paraId="0A9D76CD">
            <w:pPr>
              <w:pStyle w:val="167"/>
              <w:bidi w:val="0"/>
              <w:rPr>
                <w:lang w:val="en-US" w:eastAsia="zh-CN"/>
              </w:rPr>
            </w:pPr>
            <w:r>
              <w:rPr>
                <w:lang w:val="en-US" w:eastAsia="zh-CN"/>
              </w:rPr>
              <w:t>Functional mobility; passive/minimal control</w:t>
            </w:r>
          </w:p>
        </w:tc>
        <w:tc>
          <w:tcPr>
            <w:tcW w:w="734" w:type="pct"/>
            <w:tcBorders>
              <w:top w:val="nil"/>
              <w:left w:val="nil"/>
              <w:bottom w:val="nil"/>
              <w:right w:val="nil"/>
            </w:tcBorders>
            <w:shd w:val="clear" w:color="auto" w:fill="FFFFFF"/>
            <w:vAlign w:val="center"/>
          </w:tcPr>
          <w:p w14:paraId="1C97AD3E">
            <w:pPr>
              <w:pStyle w:val="167"/>
              <w:bidi w:val="0"/>
              <w:rPr>
                <w:lang w:val="en-US" w:eastAsia="zh-CN"/>
              </w:rPr>
            </w:pPr>
            <w:r>
              <w:rPr>
                <w:lang w:val="en-US" w:eastAsia="zh-CN"/>
              </w:rPr>
              <w:t>k=1/N=53; g=−0.35 (−0.90 to 0.19)</w:t>
            </w:r>
          </w:p>
        </w:tc>
        <w:tc>
          <w:tcPr>
            <w:tcW w:w="612" w:type="pct"/>
            <w:tcBorders>
              <w:top w:val="nil"/>
              <w:left w:val="nil"/>
              <w:bottom w:val="nil"/>
              <w:right w:val="nil"/>
            </w:tcBorders>
            <w:shd w:val="clear" w:color="auto" w:fill="FFFFFF"/>
            <w:vAlign w:val="center"/>
          </w:tcPr>
          <w:p w14:paraId="6AEA4299">
            <w:pPr>
              <w:pStyle w:val="167"/>
              <w:bidi w:val="0"/>
              <w:rPr>
                <w:lang w:val="en-US" w:eastAsia="zh-CN"/>
              </w:rPr>
            </w:pPr>
            <w:r>
              <w:rPr>
                <w:lang w:val="en-US" w:eastAsia="zh-CN"/>
              </w:rPr>
              <w:t>k=2/N=66; g=0.55 (−12.05 to 13.15)</w:t>
            </w:r>
          </w:p>
        </w:tc>
        <w:tc>
          <w:tcPr>
            <w:tcW w:w="805" w:type="pct"/>
            <w:tcBorders>
              <w:top w:val="nil"/>
              <w:left w:val="nil"/>
              <w:bottom w:val="nil"/>
              <w:right w:val="nil"/>
            </w:tcBorders>
            <w:shd w:val="clear" w:color="auto" w:fill="FFFFFF"/>
            <w:vAlign w:val="center"/>
          </w:tcPr>
          <w:p w14:paraId="0E7138F6">
            <w:pPr>
              <w:pStyle w:val="167"/>
              <w:bidi w:val="0"/>
              <w:rPr>
                <w:lang w:val="en-US" w:eastAsia="zh-CN"/>
              </w:rPr>
            </w:pPr>
            <w:r>
              <w:rPr>
                <w:lang w:val="en-US" w:eastAsia="zh-CN"/>
              </w:rPr>
              <w:t>I² NA→87.2%; τ² NA→1.728</w:t>
            </w:r>
          </w:p>
        </w:tc>
        <w:tc>
          <w:tcPr>
            <w:tcW w:w="427" w:type="pct"/>
            <w:tcBorders>
              <w:top w:val="nil"/>
              <w:left w:val="nil"/>
              <w:bottom w:val="nil"/>
              <w:right w:val="nil"/>
            </w:tcBorders>
            <w:shd w:val="clear" w:color="auto" w:fill="FFFFFF"/>
            <w:vAlign w:val="center"/>
          </w:tcPr>
          <w:p w14:paraId="712758B7">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0C01528B">
            <w:pPr>
              <w:pStyle w:val="167"/>
              <w:bidi w:val="0"/>
              <w:rPr>
                <w:lang w:val="en-US" w:eastAsia="zh-CN"/>
              </w:rPr>
            </w:pPr>
            <w:r>
              <w:rPr>
                <w:lang w:val="en-US" w:eastAsia="zh-CN"/>
              </w:rPr>
              <w:t>The point-estimate direction changed and heterogeneity was very high; TUG-only was retained as the primary construct.</w:t>
            </w:r>
          </w:p>
        </w:tc>
      </w:tr>
      <w:tr w14:paraId="55D124EC">
        <w:trPr>
          <w:cantSplit/>
        </w:trPr>
        <w:tc>
          <w:tcPr>
            <w:tcW w:w="360" w:type="pct"/>
            <w:tcBorders>
              <w:top w:val="nil"/>
              <w:left w:val="nil"/>
              <w:bottom w:val="nil"/>
              <w:right w:val="nil"/>
            </w:tcBorders>
            <w:shd w:val="clear" w:color="auto" w:fill="FFFFFF"/>
            <w:vAlign w:val="center"/>
          </w:tcPr>
          <w:p w14:paraId="00F0AC45">
            <w:pPr>
              <w:pStyle w:val="167"/>
              <w:bidi w:val="0"/>
              <w:rPr>
                <w:lang w:val="en-US" w:eastAsia="zh-CN"/>
              </w:rPr>
            </w:pPr>
            <w:r>
              <w:rPr>
                <w:lang w:val="en-US" w:eastAsia="zh-CN"/>
              </w:rPr>
              <w:t>S05</w:t>
            </w:r>
          </w:p>
        </w:tc>
        <w:tc>
          <w:tcPr>
            <w:tcW w:w="526" w:type="pct"/>
            <w:tcBorders>
              <w:top w:val="nil"/>
              <w:left w:val="nil"/>
              <w:bottom w:val="nil"/>
              <w:right w:val="nil"/>
            </w:tcBorders>
            <w:shd w:val="clear" w:color="auto" w:fill="FFFFFF"/>
            <w:vAlign w:val="center"/>
          </w:tcPr>
          <w:p w14:paraId="32D7088B">
            <w:pPr>
              <w:pStyle w:val="167"/>
              <w:bidi w:val="0"/>
              <w:rPr>
                <w:lang w:val="en-US" w:eastAsia="zh-CN"/>
              </w:rPr>
            </w:pPr>
            <w:r>
              <w:rPr>
                <w:lang w:val="en-US" w:eastAsia="zh-CN"/>
              </w:rPr>
              <w:t>Used the Johnson Clinic+TR arm alone</w:t>
            </w:r>
          </w:p>
        </w:tc>
        <w:tc>
          <w:tcPr>
            <w:tcW w:w="636" w:type="pct"/>
            <w:tcBorders>
              <w:top w:val="nil"/>
              <w:left w:val="nil"/>
              <w:bottom w:val="nil"/>
              <w:right w:val="nil"/>
            </w:tcBorders>
            <w:shd w:val="clear" w:color="auto" w:fill="FFFFFF"/>
            <w:vAlign w:val="center"/>
          </w:tcPr>
          <w:p w14:paraId="33026C03">
            <w:pPr>
              <w:pStyle w:val="167"/>
              <w:bidi w:val="0"/>
              <w:rPr>
                <w:lang w:val="en-US" w:eastAsia="zh-CN"/>
              </w:rPr>
            </w:pPr>
            <w:r>
              <w:rPr>
                <w:lang w:val="en-US" w:eastAsia="zh-CN"/>
              </w:rPr>
              <w:t>Balance; active rehabilitation</w:t>
            </w:r>
          </w:p>
        </w:tc>
        <w:tc>
          <w:tcPr>
            <w:tcW w:w="734" w:type="pct"/>
            <w:tcBorders>
              <w:top w:val="nil"/>
              <w:left w:val="nil"/>
              <w:bottom w:val="nil"/>
              <w:right w:val="nil"/>
            </w:tcBorders>
            <w:shd w:val="clear" w:color="auto" w:fill="FFFFFF"/>
            <w:vAlign w:val="center"/>
          </w:tcPr>
          <w:p w14:paraId="4B9DCBDC">
            <w:pPr>
              <w:pStyle w:val="167"/>
              <w:bidi w:val="0"/>
              <w:rPr>
                <w:lang w:val="en-US" w:eastAsia="zh-CN"/>
              </w:rPr>
            </w:pPr>
            <w:r>
              <w:rPr>
                <w:lang w:val="en-US" w:eastAsia="zh-CN"/>
              </w:rPr>
              <w:t>k=5/N=381; g=0.26 (−0.12 to 0.65)</w:t>
            </w:r>
          </w:p>
        </w:tc>
        <w:tc>
          <w:tcPr>
            <w:tcW w:w="612" w:type="pct"/>
            <w:tcBorders>
              <w:top w:val="nil"/>
              <w:left w:val="nil"/>
              <w:bottom w:val="nil"/>
              <w:right w:val="nil"/>
            </w:tcBorders>
            <w:shd w:val="clear" w:color="auto" w:fill="FFFFFF"/>
            <w:vAlign w:val="center"/>
          </w:tcPr>
          <w:p w14:paraId="0D0A0A04">
            <w:pPr>
              <w:pStyle w:val="167"/>
              <w:bidi w:val="0"/>
              <w:rPr>
                <w:lang w:val="en-US" w:eastAsia="zh-CN"/>
              </w:rPr>
            </w:pPr>
            <w:r>
              <w:rPr>
                <w:lang w:val="en-US" w:eastAsia="zh-CN"/>
              </w:rPr>
              <w:t>k=5/N=376; g=0.24 (−0.19 to 0.67)</w:t>
            </w:r>
          </w:p>
        </w:tc>
        <w:tc>
          <w:tcPr>
            <w:tcW w:w="805" w:type="pct"/>
            <w:tcBorders>
              <w:top w:val="nil"/>
              <w:left w:val="nil"/>
              <w:bottom w:val="nil"/>
              <w:right w:val="nil"/>
            </w:tcBorders>
            <w:shd w:val="clear" w:color="auto" w:fill="FFFFFF"/>
            <w:vAlign w:val="center"/>
          </w:tcPr>
          <w:p w14:paraId="4D4BC39A">
            <w:pPr>
              <w:pStyle w:val="167"/>
              <w:bidi w:val="0"/>
              <w:rPr>
                <w:lang w:val="en-US" w:eastAsia="zh-CN"/>
              </w:rPr>
            </w:pPr>
            <w:r>
              <w:rPr>
                <w:lang w:val="en-US" w:eastAsia="zh-CN"/>
              </w:rPr>
              <w:t>I² 31.2%→38.8%; τ² 0.020→0.035</w:t>
            </w:r>
          </w:p>
        </w:tc>
        <w:tc>
          <w:tcPr>
            <w:tcW w:w="427" w:type="pct"/>
            <w:tcBorders>
              <w:top w:val="nil"/>
              <w:left w:val="nil"/>
              <w:bottom w:val="nil"/>
              <w:right w:val="nil"/>
            </w:tcBorders>
            <w:shd w:val="clear" w:color="auto" w:fill="FFFFFF"/>
            <w:vAlign w:val="center"/>
          </w:tcPr>
          <w:p w14:paraId="2E354F3B">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47FD07CD">
            <w:pPr>
              <w:pStyle w:val="167"/>
              <w:bidi w:val="0"/>
              <w:rPr>
                <w:lang w:val="en-US" w:eastAsia="zh-CN"/>
              </w:rPr>
            </w:pPr>
            <w:r>
              <w:rPr>
                <w:lang w:val="en-US" w:eastAsia="zh-CN"/>
              </w:rPr>
              <w:t>Robust</w:t>
            </w:r>
          </w:p>
        </w:tc>
      </w:tr>
      <w:tr w14:paraId="60D4B4F5">
        <w:trPr>
          <w:cantSplit/>
        </w:trPr>
        <w:tc>
          <w:tcPr>
            <w:tcW w:w="360" w:type="pct"/>
            <w:tcBorders>
              <w:top w:val="nil"/>
              <w:left w:val="nil"/>
              <w:bottom w:val="nil"/>
              <w:right w:val="nil"/>
            </w:tcBorders>
            <w:shd w:val="clear" w:color="auto" w:fill="FFFFFF"/>
            <w:vAlign w:val="center"/>
          </w:tcPr>
          <w:p w14:paraId="2A064A5C">
            <w:pPr>
              <w:pStyle w:val="167"/>
              <w:bidi w:val="0"/>
              <w:rPr>
                <w:lang w:val="en-US" w:eastAsia="zh-CN"/>
              </w:rPr>
            </w:pPr>
            <w:r>
              <w:rPr>
                <w:lang w:val="en-US" w:eastAsia="zh-CN"/>
              </w:rPr>
              <w:t>S05</w:t>
            </w:r>
          </w:p>
        </w:tc>
        <w:tc>
          <w:tcPr>
            <w:tcW w:w="526" w:type="pct"/>
            <w:tcBorders>
              <w:top w:val="nil"/>
              <w:left w:val="nil"/>
              <w:bottom w:val="nil"/>
              <w:right w:val="nil"/>
            </w:tcBorders>
            <w:shd w:val="clear" w:color="auto" w:fill="FFFFFF"/>
            <w:vAlign w:val="center"/>
          </w:tcPr>
          <w:p w14:paraId="54099620">
            <w:pPr>
              <w:pStyle w:val="167"/>
              <w:bidi w:val="0"/>
              <w:rPr>
                <w:lang w:val="en-US" w:eastAsia="zh-CN"/>
              </w:rPr>
            </w:pPr>
            <w:r>
              <w:rPr>
                <w:lang w:val="en-US" w:eastAsia="zh-CN"/>
              </w:rPr>
              <w:t>Used the Johnson Clinic+TR arm alone</w:t>
            </w:r>
          </w:p>
        </w:tc>
        <w:tc>
          <w:tcPr>
            <w:tcW w:w="636" w:type="pct"/>
            <w:tcBorders>
              <w:top w:val="nil"/>
              <w:left w:val="nil"/>
              <w:bottom w:val="nil"/>
              <w:right w:val="nil"/>
            </w:tcBorders>
            <w:shd w:val="clear" w:color="auto" w:fill="FFFFFF"/>
            <w:vAlign w:val="center"/>
          </w:tcPr>
          <w:p w14:paraId="2238FA91">
            <w:pPr>
              <w:pStyle w:val="167"/>
              <w:bidi w:val="0"/>
              <w:rPr>
                <w:lang w:val="en-US" w:eastAsia="zh-CN"/>
              </w:rPr>
            </w:pPr>
            <w:r>
              <w:rPr>
                <w:lang w:val="en-US" w:eastAsia="zh-CN"/>
              </w:rPr>
              <w:t>Functional mobility; active rehabilitation</w:t>
            </w:r>
          </w:p>
        </w:tc>
        <w:tc>
          <w:tcPr>
            <w:tcW w:w="734" w:type="pct"/>
            <w:tcBorders>
              <w:top w:val="nil"/>
              <w:left w:val="nil"/>
              <w:bottom w:val="nil"/>
              <w:right w:val="nil"/>
            </w:tcBorders>
            <w:shd w:val="clear" w:color="auto" w:fill="FFFFFF"/>
            <w:vAlign w:val="center"/>
          </w:tcPr>
          <w:p w14:paraId="5023E621">
            <w:pPr>
              <w:pStyle w:val="167"/>
              <w:bidi w:val="0"/>
              <w:rPr>
                <w:lang w:val="en-US" w:eastAsia="zh-CN"/>
              </w:rPr>
            </w:pPr>
            <w:r>
              <w:rPr>
                <w:lang w:val="en-US" w:eastAsia="zh-CN"/>
              </w:rPr>
              <w:t>k=2/N=209; g=0.11 (−1.65 to 1.87)</w:t>
            </w:r>
          </w:p>
        </w:tc>
        <w:tc>
          <w:tcPr>
            <w:tcW w:w="612" w:type="pct"/>
            <w:tcBorders>
              <w:top w:val="nil"/>
              <w:left w:val="nil"/>
              <w:bottom w:val="nil"/>
              <w:right w:val="nil"/>
            </w:tcBorders>
            <w:shd w:val="clear" w:color="auto" w:fill="FFFFFF"/>
            <w:vAlign w:val="center"/>
          </w:tcPr>
          <w:p w14:paraId="2799B7F6">
            <w:pPr>
              <w:pStyle w:val="167"/>
              <w:bidi w:val="0"/>
              <w:rPr>
                <w:lang w:val="en-US" w:eastAsia="zh-CN"/>
              </w:rPr>
            </w:pPr>
            <w:r>
              <w:rPr>
                <w:lang w:val="en-US" w:eastAsia="zh-CN"/>
              </w:rPr>
              <w:t>k=2/N=204; g=0.11 (−1.68 to 1.89)</w:t>
            </w:r>
          </w:p>
        </w:tc>
        <w:tc>
          <w:tcPr>
            <w:tcW w:w="805" w:type="pct"/>
            <w:tcBorders>
              <w:top w:val="nil"/>
              <w:left w:val="nil"/>
              <w:bottom w:val="nil"/>
              <w:right w:val="nil"/>
            </w:tcBorders>
            <w:shd w:val="clear" w:color="auto" w:fill="FFFFFF"/>
            <w:vAlign w:val="center"/>
          </w:tcPr>
          <w:p w14:paraId="21C513ED">
            <w:pPr>
              <w:pStyle w:val="167"/>
              <w:bidi w:val="0"/>
              <w:rPr>
                <w:lang w:val="en-US" w:eastAsia="zh-CN"/>
              </w:rPr>
            </w:pPr>
            <w:r>
              <w:rPr>
                <w:lang w:val="en-US" w:eastAsia="zh-CN"/>
              </w:rPr>
              <w:t>I² 0.0%→0.0%; τ² unchanged</w:t>
            </w:r>
          </w:p>
        </w:tc>
        <w:tc>
          <w:tcPr>
            <w:tcW w:w="427" w:type="pct"/>
            <w:tcBorders>
              <w:top w:val="nil"/>
              <w:left w:val="nil"/>
              <w:bottom w:val="nil"/>
              <w:right w:val="nil"/>
            </w:tcBorders>
            <w:shd w:val="clear" w:color="auto" w:fill="FFFFFF"/>
            <w:vAlign w:val="center"/>
          </w:tcPr>
          <w:p w14:paraId="08F99A10">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315CF744">
            <w:pPr>
              <w:pStyle w:val="167"/>
              <w:bidi w:val="0"/>
              <w:rPr>
                <w:lang w:val="en-US" w:eastAsia="zh-CN"/>
              </w:rPr>
            </w:pPr>
            <w:r>
              <w:rPr>
                <w:lang w:val="en-US" w:eastAsia="zh-CN"/>
              </w:rPr>
              <w:t>Robust</w:t>
            </w:r>
          </w:p>
        </w:tc>
      </w:tr>
      <w:tr w14:paraId="1F22D86C">
        <w:trPr>
          <w:cantSplit/>
        </w:trPr>
        <w:tc>
          <w:tcPr>
            <w:tcW w:w="360" w:type="pct"/>
            <w:tcBorders>
              <w:top w:val="nil"/>
              <w:left w:val="nil"/>
              <w:bottom w:val="nil"/>
              <w:right w:val="nil"/>
            </w:tcBorders>
            <w:shd w:val="clear" w:color="auto" w:fill="FFFFFF"/>
            <w:vAlign w:val="center"/>
          </w:tcPr>
          <w:p w14:paraId="69033ECD">
            <w:pPr>
              <w:pStyle w:val="167"/>
              <w:bidi w:val="0"/>
              <w:rPr>
                <w:lang w:val="en-US" w:eastAsia="zh-CN"/>
              </w:rPr>
            </w:pPr>
            <w:r>
              <w:rPr>
                <w:lang w:val="en-US" w:eastAsia="zh-CN"/>
              </w:rPr>
              <w:t>S05</w:t>
            </w:r>
          </w:p>
        </w:tc>
        <w:tc>
          <w:tcPr>
            <w:tcW w:w="526" w:type="pct"/>
            <w:tcBorders>
              <w:top w:val="nil"/>
              <w:left w:val="nil"/>
              <w:bottom w:val="nil"/>
              <w:right w:val="nil"/>
            </w:tcBorders>
            <w:shd w:val="clear" w:color="auto" w:fill="FFFFFF"/>
            <w:vAlign w:val="center"/>
          </w:tcPr>
          <w:p w14:paraId="282F903C">
            <w:pPr>
              <w:pStyle w:val="167"/>
              <w:bidi w:val="0"/>
              <w:rPr>
                <w:lang w:val="en-US" w:eastAsia="zh-CN"/>
              </w:rPr>
            </w:pPr>
            <w:r>
              <w:rPr>
                <w:lang w:val="en-US" w:eastAsia="zh-CN"/>
              </w:rPr>
              <w:t>Used the Johnson Clinic+TR arm alone</w:t>
            </w:r>
          </w:p>
        </w:tc>
        <w:tc>
          <w:tcPr>
            <w:tcW w:w="636" w:type="pct"/>
            <w:tcBorders>
              <w:top w:val="nil"/>
              <w:left w:val="nil"/>
              <w:bottom w:val="nil"/>
              <w:right w:val="nil"/>
            </w:tcBorders>
            <w:shd w:val="clear" w:color="auto" w:fill="FFFFFF"/>
            <w:vAlign w:val="center"/>
          </w:tcPr>
          <w:p w14:paraId="592227E8">
            <w:pPr>
              <w:pStyle w:val="167"/>
              <w:bidi w:val="0"/>
              <w:rPr>
                <w:lang w:val="en-US" w:eastAsia="zh-CN"/>
              </w:rPr>
            </w:pPr>
            <w:r>
              <w:rPr>
                <w:lang w:val="en-US" w:eastAsia="zh-CN"/>
              </w:rPr>
              <w:t>Gait/walking; active rehabilitation</w:t>
            </w:r>
          </w:p>
        </w:tc>
        <w:tc>
          <w:tcPr>
            <w:tcW w:w="734" w:type="pct"/>
            <w:tcBorders>
              <w:top w:val="nil"/>
              <w:left w:val="nil"/>
              <w:bottom w:val="nil"/>
              <w:right w:val="nil"/>
            </w:tcBorders>
            <w:shd w:val="clear" w:color="auto" w:fill="FFFFFF"/>
            <w:vAlign w:val="center"/>
          </w:tcPr>
          <w:p w14:paraId="34843AC1">
            <w:pPr>
              <w:pStyle w:val="167"/>
              <w:bidi w:val="0"/>
              <w:rPr>
                <w:lang w:val="en-US" w:eastAsia="zh-CN"/>
              </w:rPr>
            </w:pPr>
            <w:r>
              <w:rPr>
                <w:lang w:val="en-US" w:eastAsia="zh-CN"/>
              </w:rPr>
              <w:t>k=4/N=318; g=0.03 (−0.67 to 0.73)</w:t>
            </w:r>
          </w:p>
        </w:tc>
        <w:tc>
          <w:tcPr>
            <w:tcW w:w="612" w:type="pct"/>
            <w:tcBorders>
              <w:top w:val="nil"/>
              <w:left w:val="nil"/>
              <w:bottom w:val="nil"/>
              <w:right w:val="nil"/>
            </w:tcBorders>
            <w:shd w:val="clear" w:color="auto" w:fill="FFFFFF"/>
            <w:vAlign w:val="center"/>
          </w:tcPr>
          <w:p w14:paraId="6B810FB8">
            <w:pPr>
              <w:pStyle w:val="167"/>
              <w:bidi w:val="0"/>
              <w:rPr>
                <w:lang w:val="en-US" w:eastAsia="zh-CN"/>
              </w:rPr>
            </w:pPr>
            <w:r>
              <w:rPr>
                <w:lang w:val="en-US" w:eastAsia="zh-CN"/>
              </w:rPr>
              <w:t>k=4/N=313; g=0.07 (−0.58 to 0.72)</w:t>
            </w:r>
          </w:p>
        </w:tc>
        <w:tc>
          <w:tcPr>
            <w:tcW w:w="805" w:type="pct"/>
            <w:tcBorders>
              <w:top w:val="nil"/>
              <w:left w:val="nil"/>
              <w:bottom w:val="nil"/>
              <w:right w:val="nil"/>
            </w:tcBorders>
            <w:shd w:val="clear" w:color="auto" w:fill="FFFFFF"/>
            <w:vAlign w:val="center"/>
          </w:tcPr>
          <w:p w14:paraId="662A10DE">
            <w:pPr>
              <w:pStyle w:val="167"/>
              <w:bidi w:val="0"/>
              <w:rPr>
                <w:lang w:val="en-US" w:eastAsia="zh-CN"/>
              </w:rPr>
            </w:pPr>
            <w:r>
              <w:rPr>
                <w:lang w:val="en-US" w:eastAsia="zh-CN"/>
              </w:rPr>
              <w:t>I² 63.1%→57.0%; τ² 0.111→0.088</w:t>
            </w:r>
          </w:p>
        </w:tc>
        <w:tc>
          <w:tcPr>
            <w:tcW w:w="427" w:type="pct"/>
            <w:tcBorders>
              <w:top w:val="nil"/>
              <w:left w:val="nil"/>
              <w:bottom w:val="nil"/>
              <w:right w:val="nil"/>
            </w:tcBorders>
            <w:shd w:val="clear" w:color="auto" w:fill="FFFFFF"/>
            <w:vAlign w:val="center"/>
          </w:tcPr>
          <w:p w14:paraId="39914C7B">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05788C51">
            <w:pPr>
              <w:pStyle w:val="167"/>
              <w:bidi w:val="0"/>
              <w:rPr>
                <w:lang w:val="en-US" w:eastAsia="zh-CN"/>
              </w:rPr>
            </w:pPr>
            <w:r>
              <w:rPr>
                <w:lang w:val="en-US" w:eastAsia="zh-CN"/>
              </w:rPr>
              <w:t>Robust</w:t>
            </w:r>
          </w:p>
        </w:tc>
      </w:tr>
      <w:tr w14:paraId="2EB23478">
        <w:trPr>
          <w:cantSplit/>
        </w:trPr>
        <w:tc>
          <w:tcPr>
            <w:tcW w:w="360" w:type="pct"/>
            <w:tcBorders>
              <w:top w:val="nil"/>
              <w:left w:val="nil"/>
              <w:bottom w:val="nil"/>
              <w:right w:val="nil"/>
            </w:tcBorders>
            <w:shd w:val="clear" w:color="auto" w:fill="FFFFFF"/>
            <w:vAlign w:val="center"/>
          </w:tcPr>
          <w:p w14:paraId="35DD89E2">
            <w:pPr>
              <w:pStyle w:val="167"/>
              <w:bidi w:val="0"/>
              <w:rPr>
                <w:lang w:val="en-US" w:eastAsia="zh-CN"/>
              </w:rPr>
            </w:pPr>
            <w:r>
              <w:rPr>
                <w:lang w:val="en-US" w:eastAsia="zh-CN"/>
              </w:rPr>
              <w:t>S06</w:t>
            </w:r>
          </w:p>
        </w:tc>
        <w:tc>
          <w:tcPr>
            <w:tcW w:w="526" w:type="pct"/>
            <w:tcBorders>
              <w:top w:val="nil"/>
              <w:left w:val="nil"/>
              <w:bottom w:val="nil"/>
              <w:right w:val="nil"/>
            </w:tcBorders>
            <w:shd w:val="clear" w:color="auto" w:fill="FFFFFF"/>
            <w:vAlign w:val="center"/>
          </w:tcPr>
          <w:p w14:paraId="5353A91C">
            <w:pPr>
              <w:pStyle w:val="167"/>
              <w:bidi w:val="0"/>
              <w:rPr>
                <w:lang w:val="en-US" w:eastAsia="zh-CN"/>
              </w:rPr>
            </w:pPr>
            <w:r>
              <w:rPr>
                <w:lang w:val="en-US" w:eastAsia="zh-CN"/>
              </w:rPr>
              <w:t>Used the Johnson TR-only arm alone</w:t>
            </w:r>
          </w:p>
        </w:tc>
        <w:tc>
          <w:tcPr>
            <w:tcW w:w="636" w:type="pct"/>
            <w:tcBorders>
              <w:top w:val="nil"/>
              <w:left w:val="nil"/>
              <w:bottom w:val="nil"/>
              <w:right w:val="nil"/>
            </w:tcBorders>
            <w:shd w:val="clear" w:color="auto" w:fill="FFFFFF"/>
            <w:vAlign w:val="center"/>
          </w:tcPr>
          <w:p w14:paraId="20DCD17E">
            <w:pPr>
              <w:pStyle w:val="167"/>
              <w:bidi w:val="0"/>
              <w:rPr>
                <w:lang w:val="en-US" w:eastAsia="zh-CN"/>
              </w:rPr>
            </w:pPr>
            <w:r>
              <w:rPr>
                <w:lang w:val="en-US" w:eastAsia="zh-CN"/>
              </w:rPr>
              <w:t>Balance; active rehabilitation</w:t>
            </w:r>
          </w:p>
        </w:tc>
        <w:tc>
          <w:tcPr>
            <w:tcW w:w="734" w:type="pct"/>
            <w:tcBorders>
              <w:top w:val="nil"/>
              <w:left w:val="nil"/>
              <w:bottom w:val="nil"/>
              <w:right w:val="nil"/>
            </w:tcBorders>
            <w:shd w:val="clear" w:color="auto" w:fill="FFFFFF"/>
            <w:vAlign w:val="center"/>
          </w:tcPr>
          <w:p w14:paraId="613F185A">
            <w:pPr>
              <w:pStyle w:val="167"/>
              <w:bidi w:val="0"/>
              <w:rPr>
                <w:lang w:val="en-US" w:eastAsia="zh-CN"/>
              </w:rPr>
            </w:pPr>
            <w:r>
              <w:rPr>
                <w:lang w:val="en-US" w:eastAsia="zh-CN"/>
              </w:rPr>
              <w:t>k=5/N=381; g=0.26 (−0.12 to 0.65)</w:t>
            </w:r>
          </w:p>
        </w:tc>
        <w:tc>
          <w:tcPr>
            <w:tcW w:w="612" w:type="pct"/>
            <w:tcBorders>
              <w:top w:val="nil"/>
              <w:left w:val="nil"/>
              <w:bottom w:val="nil"/>
              <w:right w:val="nil"/>
            </w:tcBorders>
            <w:shd w:val="clear" w:color="auto" w:fill="FFFFFF"/>
            <w:vAlign w:val="center"/>
          </w:tcPr>
          <w:p w14:paraId="25523B0D">
            <w:pPr>
              <w:pStyle w:val="167"/>
              <w:bidi w:val="0"/>
              <w:rPr>
                <w:lang w:val="en-US" w:eastAsia="zh-CN"/>
              </w:rPr>
            </w:pPr>
            <w:r>
              <w:rPr>
                <w:lang w:val="en-US" w:eastAsia="zh-CN"/>
              </w:rPr>
              <w:t>k=5/N=375; g=0.30 (−0.06 to 0.65)</w:t>
            </w:r>
          </w:p>
        </w:tc>
        <w:tc>
          <w:tcPr>
            <w:tcW w:w="805" w:type="pct"/>
            <w:tcBorders>
              <w:top w:val="nil"/>
              <w:left w:val="nil"/>
              <w:bottom w:val="nil"/>
              <w:right w:val="nil"/>
            </w:tcBorders>
            <w:shd w:val="clear" w:color="auto" w:fill="FFFFFF"/>
            <w:vAlign w:val="center"/>
          </w:tcPr>
          <w:p w14:paraId="0EE953E1">
            <w:pPr>
              <w:pStyle w:val="167"/>
              <w:bidi w:val="0"/>
              <w:rPr>
                <w:lang w:val="en-US" w:eastAsia="zh-CN"/>
              </w:rPr>
            </w:pPr>
            <w:r>
              <w:rPr>
                <w:lang w:val="en-US" w:eastAsia="zh-CN"/>
              </w:rPr>
              <w:t>I² 31.2%→23.3%; τ² 0.020→0.009</w:t>
            </w:r>
          </w:p>
        </w:tc>
        <w:tc>
          <w:tcPr>
            <w:tcW w:w="427" w:type="pct"/>
            <w:tcBorders>
              <w:top w:val="nil"/>
              <w:left w:val="nil"/>
              <w:bottom w:val="nil"/>
              <w:right w:val="nil"/>
            </w:tcBorders>
            <w:shd w:val="clear" w:color="auto" w:fill="FFFFFF"/>
            <w:vAlign w:val="center"/>
          </w:tcPr>
          <w:p w14:paraId="02B5DB31">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45383C39">
            <w:pPr>
              <w:pStyle w:val="167"/>
              <w:bidi w:val="0"/>
              <w:rPr>
                <w:lang w:val="en-US" w:eastAsia="zh-CN"/>
              </w:rPr>
            </w:pPr>
            <w:r>
              <w:rPr>
                <w:lang w:val="en-US" w:eastAsia="zh-CN"/>
              </w:rPr>
              <w:t>Robust</w:t>
            </w:r>
          </w:p>
        </w:tc>
      </w:tr>
      <w:tr w14:paraId="6D9D2CFB">
        <w:trPr>
          <w:cantSplit/>
        </w:trPr>
        <w:tc>
          <w:tcPr>
            <w:tcW w:w="360" w:type="pct"/>
            <w:tcBorders>
              <w:top w:val="nil"/>
              <w:left w:val="nil"/>
              <w:bottom w:val="nil"/>
              <w:right w:val="nil"/>
            </w:tcBorders>
            <w:shd w:val="clear" w:color="auto" w:fill="FFFFFF"/>
            <w:vAlign w:val="center"/>
          </w:tcPr>
          <w:p w14:paraId="53840A58">
            <w:pPr>
              <w:pStyle w:val="167"/>
              <w:bidi w:val="0"/>
              <w:rPr>
                <w:lang w:val="en-US" w:eastAsia="zh-CN"/>
              </w:rPr>
            </w:pPr>
            <w:r>
              <w:rPr>
                <w:lang w:val="en-US" w:eastAsia="zh-CN"/>
              </w:rPr>
              <w:t>S06</w:t>
            </w:r>
          </w:p>
        </w:tc>
        <w:tc>
          <w:tcPr>
            <w:tcW w:w="526" w:type="pct"/>
            <w:tcBorders>
              <w:top w:val="nil"/>
              <w:left w:val="nil"/>
              <w:bottom w:val="nil"/>
              <w:right w:val="nil"/>
            </w:tcBorders>
            <w:shd w:val="clear" w:color="auto" w:fill="FFFFFF"/>
            <w:vAlign w:val="center"/>
          </w:tcPr>
          <w:p w14:paraId="6C05FA8E">
            <w:pPr>
              <w:pStyle w:val="167"/>
              <w:bidi w:val="0"/>
              <w:rPr>
                <w:lang w:val="en-US" w:eastAsia="zh-CN"/>
              </w:rPr>
            </w:pPr>
            <w:r>
              <w:rPr>
                <w:lang w:val="en-US" w:eastAsia="zh-CN"/>
              </w:rPr>
              <w:t>Used the Johnson TR-only arm alone</w:t>
            </w:r>
          </w:p>
        </w:tc>
        <w:tc>
          <w:tcPr>
            <w:tcW w:w="636" w:type="pct"/>
            <w:tcBorders>
              <w:top w:val="nil"/>
              <w:left w:val="nil"/>
              <w:bottom w:val="nil"/>
              <w:right w:val="nil"/>
            </w:tcBorders>
            <w:shd w:val="clear" w:color="auto" w:fill="FFFFFF"/>
            <w:vAlign w:val="center"/>
          </w:tcPr>
          <w:p w14:paraId="40D23BCB">
            <w:pPr>
              <w:pStyle w:val="167"/>
              <w:bidi w:val="0"/>
              <w:rPr>
                <w:lang w:val="en-US" w:eastAsia="zh-CN"/>
              </w:rPr>
            </w:pPr>
            <w:r>
              <w:rPr>
                <w:lang w:val="en-US" w:eastAsia="zh-CN"/>
              </w:rPr>
              <w:t>Functional mobility; active rehabilitation</w:t>
            </w:r>
          </w:p>
        </w:tc>
        <w:tc>
          <w:tcPr>
            <w:tcW w:w="734" w:type="pct"/>
            <w:tcBorders>
              <w:top w:val="nil"/>
              <w:left w:val="nil"/>
              <w:bottom w:val="nil"/>
              <w:right w:val="nil"/>
            </w:tcBorders>
            <w:shd w:val="clear" w:color="auto" w:fill="FFFFFF"/>
            <w:vAlign w:val="center"/>
          </w:tcPr>
          <w:p w14:paraId="6AD33E3E">
            <w:pPr>
              <w:pStyle w:val="167"/>
              <w:bidi w:val="0"/>
              <w:rPr>
                <w:lang w:val="en-US" w:eastAsia="zh-CN"/>
              </w:rPr>
            </w:pPr>
            <w:r>
              <w:rPr>
                <w:lang w:val="en-US" w:eastAsia="zh-CN"/>
              </w:rPr>
              <w:t>k=2/N=209; g=0.11 (−1.65 to 1.87)</w:t>
            </w:r>
          </w:p>
        </w:tc>
        <w:tc>
          <w:tcPr>
            <w:tcW w:w="612" w:type="pct"/>
            <w:tcBorders>
              <w:top w:val="nil"/>
              <w:left w:val="nil"/>
              <w:bottom w:val="nil"/>
              <w:right w:val="nil"/>
            </w:tcBorders>
            <w:shd w:val="clear" w:color="auto" w:fill="FFFFFF"/>
            <w:vAlign w:val="center"/>
          </w:tcPr>
          <w:p w14:paraId="6692D3C6">
            <w:pPr>
              <w:pStyle w:val="167"/>
              <w:bidi w:val="0"/>
              <w:rPr>
                <w:lang w:val="en-US" w:eastAsia="zh-CN"/>
              </w:rPr>
            </w:pPr>
            <w:r>
              <w:rPr>
                <w:lang w:val="en-US" w:eastAsia="zh-CN"/>
              </w:rPr>
              <w:t>k=2/N=203; g=0.12 (−1.67 to 1.91)</w:t>
            </w:r>
          </w:p>
        </w:tc>
        <w:tc>
          <w:tcPr>
            <w:tcW w:w="805" w:type="pct"/>
            <w:tcBorders>
              <w:top w:val="nil"/>
              <w:left w:val="nil"/>
              <w:bottom w:val="nil"/>
              <w:right w:val="nil"/>
            </w:tcBorders>
            <w:shd w:val="clear" w:color="auto" w:fill="FFFFFF"/>
            <w:vAlign w:val="center"/>
          </w:tcPr>
          <w:p w14:paraId="0EE99C4C">
            <w:pPr>
              <w:pStyle w:val="167"/>
              <w:bidi w:val="0"/>
              <w:rPr>
                <w:lang w:val="en-US" w:eastAsia="zh-CN"/>
              </w:rPr>
            </w:pPr>
            <w:r>
              <w:rPr>
                <w:lang w:val="en-US" w:eastAsia="zh-CN"/>
              </w:rPr>
              <w:t>I² 0.0%→0.0%; τ² unchanged</w:t>
            </w:r>
          </w:p>
        </w:tc>
        <w:tc>
          <w:tcPr>
            <w:tcW w:w="427" w:type="pct"/>
            <w:tcBorders>
              <w:top w:val="nil"/>
              <w:left w:val="nil"/>
              <w:bottom w:val="nil"/>
              <w:right w:val="nil"/>
            </w:tcBorders>
            <w:shd w:val="clear" w:color="auto" w:fill="FFFFFF"/>
            <w:vAlign w:val="center"/>
          </w:tcPr>
          <w:p w14:paraId="24D9E0F6">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576181A5">
            <w:pPr>
              <w:pStyle w:val="167"/>
              <w:bidi w:val="0"/>
              <w:rPr>
                <w:lang w:val="en-US" w:eastAsia="zh-CN"/>
              </w:rPr>
            </w:pPr>
            <w:r>
              <w:rPr>
                <w:lang w:val="en-US" w:eastAsia="zh-CN"/>
              </w:rPr>
              <w:t>Robust</w:t>
            </w:r>
          </w:p>
        </w:tc>
      </w:tr>
      <w:tr w14:paraId="6ACBFC15">
        <w:trPr>
          <w:cantSplit/>
        </w:trPr>
        <w:tc>
          <w:tcPr>
            <w:tcW w:w="360" w:type="pct"/>
            <w:tcBorders>
              <w:top w:val="nil"/>
              <w:left w:val="nil"/>
              <w:bottom w:val="nil"/>
              <w:right w:val="nil"/>
            </w:tcBorders>
            <w:shd w:val="clear" w:color="auto" w:fill="FFFFFF"/>
            <w:vAlign w:val="center"/>
          </w:tcPr>
          <w:p w14:paraId="4305B6E9">
            <w:pPr>
              <w:pStyle w:val="167"/>
              <w:bidi w:val="0"/>
              <w:rPr>
                <w:lang w:val="en-US" w:eastAsia="zh-CN"/>
              </w:rPr>
            </w:pPr>
            <w:r>
              <w:rPr>
                <w:lang w:val="en-US" w:eastAsia="zh-CN"/>
              </w:rPr>
              <w:t>S06</w:t>
            </w:r>
          </w:p>
        </w:tc>
        <w:tc>
          <w:tcPr>
            <w:tcW w:w="526" w:type="pct"/>
            <w:tcBorders>
              <w:top w:val="nil"/>
              <w:left w:val="nil"/>
              <w:bottom w:val="nil"/>
              <w:right w:val="nil"/>
            </w:tcBorders>
            <w:shd w:val="clear" w:color="auto" w:fill="FFFFFF"/>
            <w:vAlign w:val="center"/>
          </w:tcPr>
          <w:p w14:paraId="06B2EFFA">
            <w:pPr>
              <w:pStyle w:val="167"/>
              <w:bidi w:val="0"/>
              <w:rPr>
                <w:lang w:val="en-US" w:eastAsia="zh-CN"/>
              </w:rPr>
            </w:pPr>
            <w:r>
              <w:rPr>
                <w:lang w:val="en-US" w:eastAsia="zh-CN"/>
              </w:rPr>
              <w:t>Used the Johnson TR-only arm alone</w:t>
            </w:r>
          </w:p>
        </w:tc>
        <w:tc>
          <w:tcPr>
            <w:tcW w:w="636" w:type="pct"/>
            <w:tcBorders>
              <w:top w:val="nil"/>
              <w:left w:val="nil"/>
              <w:bottom w:val="nil"/>
              <w:right w:val="nil"/>
            </w:tcBorders>
            <w:shd w:val="clear" w:color="auto" w:fill="FFFFFF"/>
            <w:vAlign w:val="center"/>
          </w:tcPr>
          <w:p w14:paraId="42AD9822">
            <w:pPr>
              <w:pStyle w:val="167"/>
              <w:bidi w:val="0"/>
              <w:rPr>
                <w:lang w:val="en-US" w:eastAsia="zh-CN"/>
              </w:rPr>
            </w:pPr>
            <w:r>
              <w:rPr>
                <w:lang w:val="en-US" w:eastAsia="zh-CN"/>
              </w:rPr>
              <w:t>Gait/walking; active rehabilitation</w:t>
            </w:r>
          </w:p>
        </w:tc>
        <w:tc>
          <w:tcPr>
            <w:tcW w:w="734" w:type="pct"/>
            <w:tcBorders>
              <w:top w:val="nil"/>
              <w:left w:val="nil"/>
              <w:bottom w:val="nil"/>
              <w:right w:val="nil"/>
            </w:tcBorders>
            <w:shd w:val="clear" w:color="auto" w:fill="FFFFFF"/>
            <w:vAlign w:val="center"/>
          </w:tcPr>
          <w:p w14:paraId="50498A83">
            <w:pPr>
              <w:pStyle w:val="167"/>
              <w:bidi w:val="0"/>
              <w:rPr>
                <w:lang w:val="en-US" w:eastAsia="zh-CN"/>
              </w:rPr>
            </w:pPr>
            <w:r>
              <w:rPr>
                <w:lang w:val="en-US" w:eastAsia="zh-CN"/>
              </w:rPr>
              <w:t>k=4/N=318; g=0.03 (−0.67 to 0.73)</w:t>
            </w:r>
          </w:p>
        </w:tc>
        <w:tc>
          <w:tcPr>
            <w:tcW w:w="612" w:type="pct"/>
            <w:tcBorders>
              <w:top w:val="nil"/>
              <w:left w:val="nil"/>
              <w:bottom w:val="nil"/>
              <w:right w:val="nil"/>
            </w:tcBorders>
            <w:shd w:val="clear" w:color="auto" w:fill="FFFFFF"/>
            <w:vAlign w:val="center"/>
          </w:tcPr>
          <w:p w14:paraId="4D9A43D0">
            <w:pPr>
              <w:pStyle w:val="167"/>
              <w:bidi w:val="0"/>
              <w:rPr>
                <w:lang w:val="en-US" w:eastAsia="zh-CN"/>
              </w:rPr>
            </w:pPr>
            <w:r>
              <w:rPr>
                <w:lang w:val="en-US" w:eastAsia="zh-CN"/>
              </w:rPr>
              <w:t>k=4/N=312; g=0.10 (−0.51 to 0.72)</w:t>
            </w:r>
          </w:p>
        </w:tc>
        <w:tc>
          <w:tcPr>
            <w:tcW w:w="805" w:type="pct"/>
            <w:tcBorders>
              <w:top w:val="nil"/>
              <w:left w:val="nil"/>
              <w:bottom w:val="nil"/>
              <w:right w:val="nil"/>
            </w:tcBorders>
            <w:shd w:val="clear" w:color="auto" w:fill="FFFFFF"/>
            <w:vAlign w:val="center"/>
          </w:tcPr>
          <w:p w14:paraId="3281FC37">
            <w:pPr>
              <w:pStyle w:val="167"/>
              <w:bidi w:val="0"/>
              <w:rPr>
                <w:lang w:val="en-US" w:eastAsia="zh-CN"/>
              </w:rPr>
            </w:pPr>
            <w:r>
              <w:rPr>
                <w:lang w:val="en-US" w:eastAsia="zh-CN"/>
              </w:rPr>
              <w:t>I² 63.1%→50.0%; τ² 0.111→0.071</w:t>
            </w:r>
          </w:p>
        </w:tc>
        <w:tc>
          <w:tcPr>
            <w:tcW w:w="427" w:type="pct"/>
            <w:tcBorders>
              <w:top w:val="nil"/>
              <w:left w:val="nil"/>
              <w:bottom w:val="nil"/>
              <w:right w:val="nil"/>
            </w:tcBorders>
            <w:shd w:val="clear" w:color="auto" w:fill="FFFFFF"/>
            <w:vAlign w:val="center"/>
          </w:tcPr>
          <w:p w14:paraId="72ADE954">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0DE272A0">
            <w:pPr>
              <w:pStyle w:val="167"/>
              <w:bidi w:val="0"/>
              <w:rPr>
                <w:lang w:val="en-US" w:eastAsia="zh-CN"/>
              </w:rPr>
            </w:pPr>
            <w:r>
              <w:rPr>
                <w:lang w:val="en-US" w:eastAsia="zh-CN"/>
              </w:rPr>
              <w:t>Robust</w:t>
            </w:r>
          </w:p>
        </w:tc>
      </w:tr>
      <w:tr w14:paraId="673D5014">
        <w:trPr>
          <w:cantSplit/>
        </w:trPr>
        <w:tc>
          <w:tcPr>
            <w:tcW w:w="360" w:type="pct"/>
            <w:tcBorders>
              <w:top w:val="nil"/>
              <w:left w:val="nil"/>
              <w:bottom w:val="nil"/>
              <w:right w:val="nil"/>
            </w:tcBorders>
            <w:shd w:val="clear" w:color="auto" w:fill="FFFFFF"/>
            <w:vAlign w:val="center"/>
          </w:tcPr>
          <w:p w14:paraId="27EEA073">
            <w:pPr>
              <w:pStyle w:val="167"/>
              <w:bidi w:val="0"/>
              <w:rPr>
                <w:lang w:val="en-US" w:eastAsia="zh-CN"/>
              </w:rPr>
            </w:pPr>
            <w:r>
              <w:rPr>
                <w:lang w:val="en-US" w:eastAsia="zh-CN"/>
              </w:rPr>
              <w:t>S07</w:t>
            </w:r>
          </w:p>
        </w:tc>
        <w:tc>
          <w:tcPr>
            <w:tcW w:w="526" w:type="pct"/>
            <w:tcBorders>
              <w:top w:val="nil"/>
              <w:left w:val="nil"/>
              <w:bottom w:val="nil"/>
              <w:right w:val="nil"/>
            </w:tcBorders>
            <w:shd w:val="clear" w:color="auto" w:fill="FFFFFF"/>
            <w:vAlign w:val="center"/>
          </w:tcPr>
          <w:p w14:paraId="4BFC9386">
            <w:pPr>
              <w:pStyle w:val="167"/>
              <w:bidi w:val="0"/>
              <w:rPr>
                <w:lang w:val="en-US" w:eastAsia="zh-CN"/>
              </w:rPr>
            </w:pPr>
            <w:r>
              <w:rPr>
                <w:lang w:val="en-US" w:eastAsia="zh-CN"/>
              </w:rPr>
              <w:t>Excluded Jones 2025</w:t>
            </w:r>
          </w:p>
        </w:tc>
        <w:tc>
          <w:tcPr>
            <w:tcW w:w="636" w:type="pct"/>
            <w:tcBorders>
              <w:top w:val="nil"/>
              <w:left w:val="nil"/>
              <w:bottom w:val="nil"/>
              <w:right w:val="nil"/>
            </w:tcBorders>
            <w:shd w:val="clear" w:color="auto" w:fill="FFFFFF"/>
            <w:vAlign w:val="center"/>
          </w:tcPr>
          <w:p w14:paraId="145C384D">
            <w:pPr>
              <w:pStyle w:val="167"/>
              <w:bidi w:val="0"/>
              <w:rPr>
                <w:lang w:val="en-US" w:eastAsia="zh-CN"/>
              </w:rPr>
            </w:pPr>
            <w:r>
              <w:rPr>
                <w:lang w:val="en-US" w:eastAsia="zh-CN"/>
              </w:rPr>
              <w:t>MDS-UPDRS III/UPDRS III; active rehabilitation</w:t>
            </w:r>
          </w:p>
        </w:tc>
        <w:tc>
          <w:tcPr>
            <w:tcW w:w="734" w:type="pct"/>
            <w:tcBorders>
              <w:top w:val="nil"/>
              <w:left w:val="nil"/>
              <w:bottom w:val="nil"/>
              <w:right w:val="nil"/>
            </w:tcBorders>
            <w:shd w:val="clear" w:color="auto" w:fill="FFFFFF"/>
            <w:vAlign w:val="center"/>
          </w:tcPr>
          <w:p w14:paraId="1D9A7812">
            <w:pPr>
              <w:pStyle w:val="167"/>
              <w:bidi w:val="0"/>
              <w:rPr>
                <w:lang w:val="en-US" w:eastAsia="zh-CN"/>
              </w:rPr>
            </w:pPr>
            <w:r>
              <w:rPr>
                <w:lang w:val="en-US" w:eastAsia="zh-CN"/>
              </w:rPr>
              <w:t>k=3/N=276; g=0.30 (−0.25 to 0.85)</w:t>
            </w:r>
          </w:p>
        </w:tc>
        <w:tc>
          <w:tcPr>
            <w:tcW w:w="612" w:type="pct"/>
            <w:tcBorders>
              <w:top w:val="nil"/>
              <w:left w:val="nil"/>
              <w:bottom w:val="nil"/>
              <w:right w:val="nil"/>
            </w:tcBorders>
            <w:shd w:val="clear" w:color="auto" w:fill="FFFFFF"/>
            <w:vAlign w:val="center"/>
          </w:tcPr>
          <w:p w14:paraId="3AF8BF96">
            <w:pPr>
              <w:pStyle w:val="167"/>
              <w:bidi w:val="0"/>
              <w:rPr>
                <w:lang w:val="en-US" w:eastAsia="zh-CN"/>
              </w:rPr>
            </w:pPr>
            <w:r>
              <w:rPr>
                <w:lang w:val="en-US" w:eastAsia="zh-CN"/>
              </w:rPr>
              <w:t>k=2/N=253; g=0.25 (−1.36 to 1.86)</w:t>
            </w:r>
          </w:p>
        </w:tc>
        <w:tc>
          <w:tcPr>
            <w:tcW w:w="805" w:type="pct"/>
            <w:tcBorders>
              <w:top w:val="nil"/>
              <w:left w:val="nil"/>
              <w:bottom w:val="nil"/>
              <w:right w:val="nil"/>
            </w:tcBorders>
            <w:shd w:val="clear" w:color="auto" w:fill="FFFFFF"/>
            <w:vAlign w:val="center"/>
          </w:tcPr>
          <w:p w14:paraId="22B8D465">
            <w:pPr>
              <w:pStyle w:val="167"/>
              <w:bidi w:val="0"/>
              <w:rPr>
                <w:lang w:val="en-US" w:eastAsia="zh-CN"/>
              </w:rPr>
            </w:pPr>
            <w:r>
              <w:rPr>
                <w:lang w:val="en-US" w:eastAsia="zh-CN"/>
              </w:rPr>
              <w:t>I² 9.4%→0.0%; τ² unchanged</w:t>
            </w:r>
          </w:p>
        </w:tc>
        <w:tc>
          <w:tcPr>
            <w:tcW w:w="427" w:type="pct"/>
            <w:tcBorders>
              <w:top w:val="nil"/>
              <w:left w:val="nil"/>
              <w:bottom w:val="nil"/>
              <w:right w:val="nil"/>
            </w:tcBorders>
            <w:shd w:val="clear" w:color="auto" w:fill="FFFFFF"/>
            <w:vAlign w:val="center"/>
          </w:tcPr>
          <w:p w14:paraId="1F045B87">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2D4407FB">
            <w:pPr>
              <w:pStyle w:val="167"/>
              <w:bidi w:val="0"/>
              <w:rPr>
                <w:lang w:val="en-US" w:eastAsia="zh-CN"/>
              </w:rPr>
            </w:pPr>
            <w:r>
              <w:rPr>
                <w:lang w:val="en-US" w:eastAsia="zh-CN"/>
              </w:rPr>
              <w:t>The effect changed minimally, but precision decreased because only two studies remained.</w:t>
            </w:r>
          </w:p>
        </w:tc>
      </w:tr>
      <w:tr w14:paraId="114B9646">
        <w:trPr>
          <w:cantSplit/>
        </w:trPr>
        <w:tc>
          <w:tcPr>
            <w:tcW w:w="360" w:type="pct"/>
            <w:tcBorders>
              <w:top w:val="nil"/>
              <w:left w:val="nil"/>
              <w:bottom w:val="nil"/>
              <w:right w:val="nil"/>
            </w:tcBorders>
            <w:shd w:val="clear" w:color="auto" w:fill="FFFFFF"/>
            <w:vAlign w:val="center"/>
          </w:tcPr>
          <w:p w14:paraId="115A412B">
            <w:pPr>
              <w:pStyle w:val="167"/>
              <w:bidi w:val="0"/>
              <w:rPr>
                <w:lang w:val="en-US" w:eastAsia="zh-CN"/>
              </w:rPr>
            </w:pPr>
            <w:r>
              <w:rPr>
                <w:lang w:val="en-US" w:eastAsia="zh-CN"/>
              </w:rPr>
              <w:t>S08</w:t>
            </w:r>
          </w:p>
        </w:tc>
        <w:tc>
          <w:tcPr>
            <w:tcW w:w="526" w:type="pct"/>
            <w:tcBorders>
              <w:top w:val="nil"/>
              <w:left w:val="nil"/>
              <w:bottom w:val="nil"/>
              <w:right w:val="nil"/>
            </w:tcBorders>
            <w:shd w:val="clear" w:color="auto" w:fill="FFFFFF"/>
            <w:vAlign w:val="center"/>
          </w:tcPr>
          <w:p w14:paraId="11CF70FC">
            <w:pPr>
              <w:pStyle w:val="167"/>
              <w:bidi w:val="0"/>
              <w:rPr>
                <w:lang w:val="en-US" w:eastAsia="zh-CN"/>
              </w:rPr>
            </w:pPr>
            <w:r>
              <w:rPr>
                <w:lang w:val="en-US" w:eastAsia="zh-CN"/>
              </w:rPr>
              <w:t>Excluded Johnson 2024</w:t>
            </w:r>
          </w:p>
        </w:tc>
        <w:tc>
          <w:tcPr>
            <w:tcW w:w="636" w:type="pct"/>
            <w:tcBorders>
              <w:top w:val="nil"/>
              <w:left w:val="nil"/>
              <w:bottom w:val="nil"/>
              <w:right w:val="nil"/>
            </w:tcBorders>
            <w:shd w:val="clear" w:color="auto" w:fill="FFFFFF"/>
            <w:vAlign w:val="center"/>
          </w:tcPr>
          <w:p w14:paraId="1FDE5385">
            <w:pPr>
              <w:pStyle w:val="167"/>
              <w:bidi w:val="0"/>
              <w:rPr>
                <w:lang w:val="en-US" w:eastAsia="zh-CN"/>
              </w:rPr>
            </w:pPr>
            <w:r>
              <w:rPr>
                <w:lang w:val="en-US" w:eastAsia="zh-CN"/>
              </w:rPr>
              <w:t>Gait/walking; active rehabilitation</w:t>
            </w:r>
          </w:p>
        </w:tc>
        <w:tc>
          <w:tcPr>
            <w:tcW w:w="734" w:type="pct"/>
            <w:tcBorders>
              <w:top w:val="nil"/>
              <w:left w:val="nil"/>
              <w:bottom w:val="nil"/>
              <w:right w:val="nil"/>
            </w:tcBorders>
            <w:shd w:val="clear" w:color="auto" w:fill="FFFFFF"/>
            <w:vAlign w:val="center"/>
          </w:tcPr>
          <w:p w14:paraId="08063247">
            <w:pPr>
              <w:pStyle w:val="167"/>
              <w:bidi w:val="0"/>
              <w:rPr>
                <w:lang w:val="en-US" w:eastAsia="zh-CN"/>
              </w:rPr>
            </w:pPr>
            <w:r>
              <w:rPr>
                <w:lang w:val="en-US" w:eastAsia="zh-CN"/>
              </w:rPr>
              <w:t>k=4/N=318; g=0.03 (−0.67 to 0.73)</w:t>
            </w:r>
          </w:p>
        </w:tc>
        <w:tc>
          <w:tcPr>
            <w:tcW w:w="612" w:type="pct"/>
            <w:tcBorders>
              <w:top w:val="nil"/>
              <w:left w:val="nil"/>
              <w:bottom w:val="nil"/>
              <w:right w:val="nil"/>
            </w:tcBorders>
            <w:shd w:val="clear" w:color="auto" w:fill="FFFFFF"/>
            <w:vAlign w:val="center"/>
          </w:tcPr>
          <w:p w14:paraId="6F2DE132">
            <w:pPr>
              <w:pStyle w:val="167"/>
              <w:bidi w:val="0"/>
              <w:rPr>
                <w:lang w:val="en-US" w:eastAsia="zh-CN"/>
              </w:rPr>
            </w:pPr>
            <w:r>
              <w:rPr>
                <w:lang w:val="en-US" w:eastAsia="zh-CN"/>
              </w:rPr>
              <w:t>k=3/N=299; g=0.17 (−0.67 to 1.01)</w:t>
            </w:r>
          </w:p>
        </w:tc>
        <w:tc>
          <w:tcPr>
            <w:tcW w:w="805" w:type="pct"/>
            <w:tcBorders>
              <w:top w:val="nil"/>
              <w:left w:val="nil"/>
              <w:bottom w:val="nil"/>
              <w:right w:val="nil"/>
            </w:tcBorders>
            <w:shd w:val="clear" w:color="auto" w:fill="FFFFFF"/>
            <w:vAlign w:val="center"/>
          </w:tcPr>
          <w:p w14:paraId="21A21132">
            <w:pPr>
              <w:pStyle w:val="167"/>
              <w:bidi w:val="0"/>
              <w:rPr>
                <w:lang w:val="en-US" w:eastAsia="zh-CN"/>
              </w:rPr>
            </w:pPr>
            <w:r>
              <w:rPr>
                <w:lang w:val="en-US" w:eastAsia="zh-CN"/>
              </w:rPr>
              <w:t>I² 63.1%→55.0%; τ² 0.111→0.062</w:t>
            </w:r>
          </w:p>
        </w:tc>
        <w:tc>
          <w:tcPr>
            <w:tcW w:w="427" w:type="pct"/>
            <w:tcBorders>
              <w:top w:val="nil"/>
              <w:left w:val="nil"/>
              <w:bottom w:val="nil"/>
              <w:right w:val="nil"/>
            </w:tcBorders>
            <w:shd w:val="clear" w:color="auto" w:fill="FFFFFF"/>
            <w:vAlign w:val="center"/>
          </w:tcPr>
          <w:p w14:paraId="772133CA">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1340AF3E">
            <w:pPr>
              <w:pStyle w:val="167"/>
              <w:bidi w:val="0"/>
              <w:rPr>
                <w:lang w:val="en-US" w:eastAsia="zh-CN"/>
              </w:rPr>
            </w:pPr>
            <w:r>
              <w:rPr>
                <w:lang w:val="en-US" w:eastAsia="zh-CN"/>
              </w:rPr>
              <w:t>The point estimate increased modestly, but the inferential conclusion was unchanged.</w:t>
            </w:r>
          </w:p>
        </w:tc>
      </w:tr>
      <w:tr w14:paraId="7AF29A39">
        <w:trPr>
          <w:cantSplit/>
        </w:trPr>
        <w:tc>
          <w:tcPr>
            <w:tcW w:w="360" w:type="pct"/>
            <w:tcBorders>
              <w:top w:val="nil"/>
              <w:left w:val="nil"/>
              <w:bottom w:val="nil"/>
              <w:right w:val="nil"/>
            </w:tcBorders>
            <w:shd w:val="clear" w:color="auto" w:fill="FFFFFF"/>
            <w:vAlign w:val="center"/>
          </w:tcPr>
          <w:p w14:paraId="08022608">
            <w:pPr>
              <w:pStyle w:val="167"/>
              <w:bidi w:val="0"/>
              <w:rPr>
                <w:lang w:val="en-US" w:eastAsia="zh-CN"/>
              </w:rPr>
            </w:pPr>
            <w:r>
              <w:rPr>
                <w:lang w:val="en-US" w:eastAsia="zh-CN"/>
              </w:rPr>
              <w:t>S09</w:t>
            </w:r>
          </w:p>
        </w:tc>
        <w:tc>
          <w:tcPr>
            <w:tcW w:w="526" w:type="pct"/>
            <w:tcBorders>
              <w:top w:val="nil"/>
              <w:left w:val="nil"/>
              <w:bottom w:val="nil"/>
              <w:right w:val="nil"/>
            </w:tcBorders>
            <w:shd w:val="clear" w:color="auto" w:fill="FFFFFF"/>
            <w:vAlign w:val="center"/>
          </w:tcPr>
          <w:p w14:paraId="223C76C2">
            <w:pPr>
              <w:pStyle w:val="167"/>
              <w:bidi w:val="0"/>
              <w:rPr>
                <w:lang w:val="en-US" w:eastAsia="zh-CN"/>
              </w:rPr>
            </w:pPr>
            <w:r>
              <w:rPr>
                <w:lang w:val="en-US" w:eastAsia="zh-CN"/>
              </w:rPr>
              <w:t>Excluded overall high-risk results</w:t>
            </w:r>
          </w:p>
        </w:tc>
        <w:tc>
          <w:tcPr>
            <w:tcW w:w="636" w:type="pct"/>
            <w:tcBorders>
              <w:top w:val="nil"/>
              <w:left w:val="nil"/>
              <w:bottom w:val="nil"/>
              <w:right w:val="nil"/>
            </w:tcBorders>
            <w:shd w:val="clear" w:color="auto" w:fill="FFFFFF"/>
            <w:vAlign w:val="center"/>
          </w:tcPr>
          <w:p w14:paraId="549E3D83">
            <w:pPr>
              <w:pStyle w:val="167"/>
              <w:bidi w:val="0"/>
              <w:rPr>
                <w:lang w:val="en-US" w:eastAsia="zh-CN"/>
              </w:rPr>
            </w:pPr>
            <w:r>
              <w:rPr>
                <w:lang w:val="en-US" w:eastAsia="zh-CN"/>
              </w:rPr>
              <w:t>MDS-UPDRS III/UPDRS III; passive/minimal control</w:t>
            </w:r>
          </w:p>
        </w:tc>
        <w:tc>
          <w:tcPr>
            <w:tcW w:w="734" w:type="pct"/>
            <w:tcBorders>
              <w:top w:val="nil"/>
              <w:left w:val="nil"/>
              <w:bottom w:val="nil"/>
              <w:right w:val="nil"/>
            </w:tcBorders>
            <w:shd w:val="clear" w:color="auto" w:fill="FFFFFF"/>
            <w:vAlign w:val="center"/>
          </w:tcPr>
          <w:p w14:paraId="6A0CF710">
            <w:pPr>
              <w:pStyle w:val="167"/>
              <w:bidi w:val="0"/>
              <w:rPr>
                <w:lang w:val="en-US" w:eastAsia="zh-CN"/>
              </w:rPr>
            </w:pPr>
            <w:r>
              <w:rPr>
                <w:lang w:val="en-US" w:eastAsia="zh-CN"/>
              </w:rPr>
              <w:t>k=2/N=31; g=0.31 (−4.31 to 4.93)</w:t>
            </w:r>
          </w:p>
        </w:tc>
        <w:tc>
          <w:tcPr>
            <w:tcW w:w="612" w:type="pct"/>
            <w:tcBorders>
              <w:top w:val="nil"/>
              <w:left w:val="nil"/>
              <w:bottom w:val="nil"/>
              <w:right w:val="nil"/>
            </w:tcBorders>
            <w:shd w:val="clear" w:color="auto" w:fill="FFFFFF"/>
            <w:vAlign w:val="center"/>
          </w:tcPr>
          <w:p w14:paraId="5A8CC667">
            <w:pPr>
              <w:pStyle w:val="167"/>
              <w:bidi w:val="0"/>
              <w:rPr>
                <w:lang w:val="en-US" w:eastAsia="zh-CN"/>
              </w:rPr>
            </w:pPr>
            <w:r>
              <w:rPr>
                <w:lang w:val="en-US" w:eastAsia="zh-CN"/>
              </w:rPr>
              <w:t>k=1/N=13; g=0.16 (−0.93 to 1.26)</w:t>
            </w:r>
          </w:p>
        </w:tc>
        <w:tc>
          <w:tcPr>
            <w:tcW w:w="805" w:type="pct"/>
            <w:tcBorders>
              <w:top w:val="nil"/>
              <w:left w:val="nil"/>
              <w:bottom w:val="nil"/>
              <w:right w:val="nil"/>
            </w:tcBorders>
            <w:shd w:val="clear" w:color="auto" w:fill="FFFFFF"/>
            <w:vAlign w:val="center"/>
          </w:tcPr>
          <w:p w14:paraId="0BE3FB4D">
            <w:pPr>
              <w:pStyle w:val="167"/>
              <w:bidi w:val="0"/>
              <w:rPr>
                <w:lang w:val="en-US" w:eastAsia="zh-CN"/>
              </w:rPr>
            </w:pPr>
            <w:r>
              <w:rPr>
                <w:lang w:val="en-US" w:eastAsia="zh-CN"/>
              </w:rPr>
              <w:t>Not estimable after exclusion</w:t>
            </w:r>
          </w:p>
        </w:tc>
        <w:tc>
          <w:tcPr>
            <w:tcW w:w="427" w:type="pct"/>
            <w:tcBorders>
              <w:top w:val="nil"/>
              <w:left w:val="nil"/>
              <w:bottom w:val="nil"/>
              <w:right w:val="nil"/>
            </w:tcBorders>
            <w:shd w:val="clear" w:color="auto" w:fill="FFFFFF"/>
            <w:vAlign w:val="center"/>
          </w:tcPr>
          <w:p w14:paraId="2C6AC93C">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459A9EA9">
            <w:pPr>
              <w:pStyle w:val="167"/>
              <w:bidi w:val="0"/>
              <w:rPr>
                <w:lang w:val="en-US" w:eastAsia="zh-CN"/>
              </w:rPr>
            </w:pPr>
            <w:r>
              <w:rPr>
                <w:lang w:val="en-US" w:eastAsia="zh-CN"/>
              </w:rPr>
              <w:t>Qualitatively robust; precision decreased.</w:t>
            </w:r>
          </w:p>
        </w:tc>
      </w:tr>
      <w:tr w14:paraId="7C59E5DF">
        <w:trPr>
          <w:cantSplit/>
        </w:trPr>
        <w:tc>
          <w:tcPr>
            <w:tcW w:w="360" w:type="pct"/>
            <w:tcBorders>
              <w:top w:val="nil"/>
              <w:left w:val="nil"/>
              <w:bottom w:val="nil"/>
              <w:right w:val="nil"/>
            </w:tcBorders>
            <w:shd w:val="clear" w:color="auto" w:fill="FFFFFF"/>
            <w:vAlign w:val="center"/>
          </w:tcPr>
          <w:p w14:paraId="12C97451">
            <w:pPr>
              <w:pStyle w:val="167"/>
              <w:bidi w:val="0"/>
              <w:rPr>
                <w:lang w:val="en-US" w:eastAsia="zh-CN"/>
              </w:rPr>
            </w:pPr>
            <w:r>
              <w:rPr>
                <w:lang w:val="en-US" w:eastAsia="zh-CN"/>
              </w:rPr>
              <w:t>S09</w:t>
            </w:r>
          </w:p>
        </w:tc>
        <w:tc>
          <w:tcPr>
            <w:tcW w:w="526" w:type="pct"/>
            <w:tcBorders>
              <w:top w:val="nil"/>
              <w:left w:val="nil"/>
              <w:bottom w:val="nil"/>
              <w:right w:val="nil"/>
            </w:tcBorders>
            <w:shd w:val="clear" w:color="auto" w:fill="FFFFFF"/>
            <w:vAlign w:val="center"/>
          </w:tcPr>
          <w:p w14:paraId="67D7AC3B">
            <w:pPr>
              <w:pStyle w:val="167"/>
              <w:bidi w:val="0"/>
              <w:rPr>
                <w:lang w:val="en-US" w:eastAsia="zh-CN"/>
              </w:rPr>
            </w:pPr>
            <w:r>
              <w:rPr>
                <w:lang w:val="en-US" w:eastAsia="zh-CN"/>
              </w:rPr>
              <w:t>Excluded overall high-risk results</w:t>
            </w:r>
          </w:p>
        </w:tc>
        <w:tc>
          <w:tcPr>
            <w:tcW w:w="636" w:type="pct"/>
            <w:tcBorders>
              <w:top w:val="nil"/>
              <w:left w:val="nil"/>
              <w:bottom w:val="nil"/>
              <w:right w:val="nil"/>
            </w:tcBorders>
            <w:shd w:val="clear" w:color="auto" w:fill="FFFFFF"/>
            <w:vAlign w:val="center"/>
          </w:tcPr>
          <w:p w14:paraId="52FF4489">
            <w:pPr>
              <w:pStyle w:val="167"/>
              <w:bidi w:val="0"/>
              <w:rPr>
                <w:lang w:val="en-US" w:eastAsia="zh-CN"/>
              </w:rPr>
            </w:pPr>
            <w:r>
              <w:rPr>
                <w:lang w:val="en-US" w:eastAsia="zh-CN"/>
              </w:rPr>
              <w:t>MDS-UPDRS III/UPDRS III; ordinary home exercise</w:t>
            </w:r>
          </w:p>
        </w:tc>
        <w:tc>
          <w:tcPr>
            <w:tcW w:w="734" w:type="pct"/>
            <w:tcBorders>
              <w:top w:val="nil"/>
              <w:left w:val="nil"/>
              <w:bottom w:val="nil"/>
              <w:right w:val="nil"/>
            </w:tcBorders>
            <w:shd w:val="clear" w:color="auto" w:fill="FFFFFF"/>
            <w:vAlign w:val="center"/>
          </w:tcPr>
          <w:p w14:paraId="3F51BA1E">
            <w:pPr>
              <w:pStyle w:val="167"/>
              <w:bidi w:val="0"/>
              <w:rPr>
                <w:lang w:val="en-US" w:eastAsia="zh-CN"/>
              </w:rPr>
            </w:pPr>
            <w:r>
              <w:rPr>
                <w:lang w:val="en-US" w:eastAsia="zh-CN"/>
              </w:rPr>
              <w:t>k=3/N=165; g=0.41 (−0.27 to 1.09)</w:t>
            </w:r>
          </w:p>
        </w:tc>
        <w:tc>
          <w:tcPr>
            <w:tcW w:w="612" w:type="pct"/>
            <w:tcBorders>
              <w:top w:val="nil"/>
              <w:left w:val="nil"/>
              <w:bottom w:val="nil"/>
              <w:right w:val="nil"/>
            </w:tcBorders>
            <w:shd w:val="clear" w:color="auto" w:fill="FFFFFF"/>
            <w:vAlign w:val="center"/>
          </w:tcPr>
          <w:p w14:paraId="21DEE4BD">
            <w:pPr>
              <w:pStyle w:val="167"/>
              <w:bidi w:val="0"/>
              <w:rPr>
                <w:lang w:val="en-US" w:eastAsia="zh-CN"/>
              </w:rPr>
            </w:pPr>
            <w:r>
              <w:rPr>
                <w:lang w:val="en-US" w:eastAsia="zh-CN"/>
              </w:rPr>
              <w:t>k=2/N=127; g=0.48 (−1.81 to 2.77)</w:t>
            </w:r>
          </w:p>
        </w:tc>
        <w:tc>
          <w:tcPr>
            <w:tcW w:w="805" w:type="pct"/>
            <w:tcBorders>
              <w:top w:val="nil"/>
              <w:left w:val="nil"/>
              <w:bottom w:val="nil"/>
              <w:right w:val="nil"/>
            </w:tcBorders>
            <w:shd w:val="clear" w:color="auto" w:fill="FFFFFF"/>
            <w:vAlign w:val="center"/>
          </w:tcPr>
          <w:p w14:paraId="6701A196">
            <w:pPr>
              <w:pStyle w:val="167"/>
              <w:bidi w:val="0"/>
              <w:rPr>
                <w:lang w:val="en-US" w:eastAsia="zh-CN"/>
              </w:rPr>
            </w:pPr>
            <w:r>
              <w:rPr>
                <w:lang w:val="en-US" w:eastAsia="zh-CN"/>
              </w:rPr>
              <w:t>I² remained 0.0%</w:t>
            </w:r>
          </w:p>
        </w:tc>
        <w:tc>
          <w:tcPr>
            <w:tcW w:w="427" w:type="pct"/>
            <w:tcBorders>
              <w:top w:val="nil"/>
              <w:left w:val="nil"/>
              <w:bottom w:val="nil"/>
              <w:right w:val="nil"/>
            </w:tcBorders>
            <w:shd w:val="clear" w:color="auto" w:fill="FFFFFF"/>
            <w:vAlign w:val="center"/>
          </w:tcPr>
          <w:p w14:paraId="268125A6">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3553AC68">
            <w:pPr>
              <w:pStyle w:val="167"/>
              <w:bidi w:val="0"/>
              <w:rPr>
                <w:lang w:val="en-US" w:eastAsia="zh-CN"/>
              </w:rPr>
            </w:pPr>
            <w:r>
              <w:rPr>
                <w:lang w:val="en-US" w:eastAsia="zh-CN"/>
              </w:rPr>
              <w:t>Qualitatively robust; precision decreased.</w:t>
            </w:r>
          </w:p>
        </w:tc>
      </w:tr>
      <w:tr w14:paraId="1D5D499C">
        <w:trPr>
          <w:cantSplit/>
        </w:trPr>
        <w:tc>
          <w:tcPr>
            <w:tcW w:w="360" w:type="pct"/>
            <w:tcBorders>
              <w:top w:val="nil"/>
              <w:left w:val="nil"/>
              <w:bottom w:val="nil"/>
              <w:right w:val="nil"/>
            </w:tcBorders>
            <w:shd w:val="clear" w:color="auto" w:fill="FFFFFF"/>
            <w:vAlign w:val="center"/>
          </w:tcPr>
          <w:p w14:paraId="5AF59569">
            <w:pPr>
              <w:pStyle w:val="167"/>
              <w:bidi w:val="0"/>
              <w:rPr>
                <w:lang w:val="en-US" w:eastAsia="zh-CN"/>
              </w:rPr>
            </w:pPr>
            <w:r>
              <w:rPr>
                <w:lang w:val="en-US" w:eastAsia="zh-CN"/>
              </w:rPr>
              <w:t>S09</w:t>
            </w:r>
          </w:p>
        </w:tc>
        <w:tc>
          <w:tcPr>
            <w:tcW w:w="526" w:type="pct"/>
            <w:tcBorders>
              <w:top w:val="nil"/>
              <w:left w:val="nil"/>
              <w:bottom w:val="nil"/>
              <w:right w:val="nil"/>
            </w:tcBorders>
            <w:shd w:val="clear" w:color="auto" w:fill="FFFFFF"/>
            <w:vAlign w:val="center"/>
          </w:tcPr>
          <w:p w14:paraId="206CE9A4">
            <w:pPr>
              <w:pStyle w:val="167"/>
              <w:bidi w:val="0"/>
              <w:rPr>
                <w:lang w:val="en-US" w:eastAsia="zh-CN"/>
              </w:rPr>
            </w:pPr>
            <w:r>
              <w:rPr>
                <w:lang w:val="en-US" w:eastAsia="zh-CN"/>
              </w:rPr>
              <w:t>Excluded overall high-risk results</w:t>
            </w:r>
          </w:p>
        </w:tc>
        <w:tc>
          <w:tcPr>
            <w:tcW w:w="636" w:type="pct"/>
            <w:tcBorders>
              <w:top w:val="nil"/>
              <w:left w:val="nil"/>
              <w:bottom w:val="nil"/>
              <w:right w:val="nil"/>
            </w:tcBorders>
            <w:shd w:val="clear" w:color="auto" w:fill="FFFFFF"/>
            <w:vAlign w:val="center"/>
          </w:tcPr>
          <w:p w14:paraId="179F769E">
            <w:pPr>
              <w:pStyle w:val="167"/>
              <w:bidi w:val="0"/>
              <w:rPr>
                <w:lang w:val="en-US" w:eastAsia="zh-CN"/>
              </w:rPr>
            </w:pPr>
            <w:r>
              <w:rPr>
                <w:lang w:val="en-US" w:eastAsia="zh-CN"/>
              </w:rPr>
              <w:t>MDS-UPDRS III/UPDRS III; active rehabilitation</w:t>
            </w:r>
          </w:p>
        </w:tc>
        <w:tc>
          <w:tcPr>
            <w:tcW w:w="734" w:type="pct"/>
            <w:tcBorders>
              <w:top w:val="nil"/>
              <w:left w:val="nil"/>
              <w:bottom w:val="nil"/>
              <w:right w:val="nil"/>
            </w:tcBorders>
            <w:shd w:val="clear" w:color="auto" w:fill="FFFFFF"/>
            <w:vAlign w:val="center"/>
          </w:tcPr>
          <w:p w14:paraId="2E7DA1B5">
            <w:pPr>
              <w:pStyle w:val="167"/>
              <w:bidi w:val="0"/>
              <w:rPr>
                <w:lang w:val="en-US" w:eastAsia="zh-CN"/>
              </w:rPr>
            </w:pPr>
            <w:r>
              <w:rPr>
                <w:lang w:val="en-US" w:eastAsia="zh-CN"/>
              </w:rPr>
              <w:t>k=3/N=276; g=0.30 (−0.25 to 0.85)</w:t>
            </w:r>
          </w:p>
        </w:tc>
        <w:tc>
          <w:tcPr>
            <w:tcW w:w="612" w:type="pct"/>
            <w:tcBorders>
              <w:top w:val="nil"/>
              <w:left w:val="nil"/>
              <w:bottom w:val="nil"/>
              <w:right w:val="nil"/>
            </w:tcBorders>
            <w:shd w:val="clear" w:color="auto" w:fill="FFFFFF"/>
            <w:vAlign w:val="center"/>
          </w:tcPr>
          <w:p w14:paraId="4E8D4CFA">
            <w:pPr>
              <w:pStyle w:val="167"/>
              <w:bidi w:val="0"/>
              <w:rPr>
                <w:lang w:val="en-US" w:eastAsia="zh-CN"/>
              </w:rPr>
            </w:pPr>
            <w:r>
              <w:rPr>
                <w:lang w:val="en-US" w:eastAsia="zh-CN"/>
              </w:rPr>
              <w:t>k=2/N=86; g=0.40 (−4.26 to 5.05)</w:t>
            </w:r>
          </w:p>
        </w:tc>
        <w:tc>
          <w:tcPr>
            <w:tcW w:w="805" w:type="pct"/>
            <w:tcBorders>
              <w:top w:val="nil"/>
              <w:left w:val="nil"/>
              <w:bottom w:val="nil"/>
              <w:right w:val="nil"/>
            </w:tcBorders>
            <w:shd w:val="clear" w:color="auto" w:fill="FFFFFF"/>
            <w:vAlign w:val="center"/>
          </w:tcPr>
          <w:p w14:paraId="7F91A0DF">
            <w:pPr>
              <w:pStyle w:val="167"/>
              <w:bidi w:val="0"/>
              <w:rPr>
                <w:lang w:val="en-US" w:eastAsia="zh-CN"/>
              </w:rPr>
            </w:pPr>
            <w:r>
              <w:rPr>
                <w:lang w:val="en-US" w:eastAsia="zh-CN"/>
              </w:rPr>
              <w:t>I² 9.4%→54.7%</w:t>
            </w:r>
          </w:p>
        </w:tc>
        <w:tc>
          <w:tcPr>
            <w:tcW w:w="427" w:type="pct"/>
            <w:tcBorders>
              <w:top w:val="nil"/>
              <w:left w:val="nil"/>
              <w:bottom w:val="nil"/>
              <w:right w:val="nil"/>
            </w:tcBorders>
            <w:shd w:val="clear" w:color="auto" w:fill="FFFFFF"/>
            <w:vAlign w:val="center"/>
          </w:tcPr>
          <w:p w14:paraId="6E3A749E">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406B0A66">
            <w:pPr>
              <w:pStyle w:val="167"/>
              <w:bidi w:val="0"/>
              <w:rPr>
                <w:lang w:val="en-US" w:eastAsia="zh-CN"/>
              </w:rPr>
            </w:pPr>
            <w:r>
              <w:rPr>
                <w:lang w:val="en-US" w:eastAsia="zh-CN"/>
              </w:rPr>
              <w:t>Qualitatively robust but quantitatively sensitive.</w:t>
            </w:r>
          </w:p>
        </w:tc>
      </w:tr>
      <w:tr w14:paraId="459DBDC3">
        <w:trPr>
          <w:cantSplit/>
        </w:trPr>
        <w:tc>
          <w:tcPr>
            <w:tcW w:w="360" w:type="pct"/>
            <w:tcBorders>
              <w:top w:val="nil"/>
              <w:left w:val="nil"/>
              <w:bottom w:val="nil"/>
              <w:right w:val="nil"/>
            </w:tcBorders>
            <w:shd w:val="clear" w:color="auto" w:fill="FFFFFF"/>
            <w:vAlign w:val="center"/>
          </w:tcPr>
          <w:p w14:paraId="5C83C2FB">
            <w:pPr>
              <w:pStyle w:val="167"/>
              <w:bidi w:val="0"/>
              <w:rPr>
                <w:lang w:val="en-US" w:eastAsia="zh-CN"/>
              </w:rPr>
            </w:pPr>
            <w:r>
              <w:rPr>
                <w:lang w:val="en-US" w:eastAsia="zh-CN"/>
              </w:rPr>
              <w:t>S09</w:t>
            </w:r>
          </w:p>
        </w:tc>
        <w:tc>
          <w:tcPr>
            <w:tcW w:w="526" w:type="pct"/>
            <w:tcBorders>
              <w:top w:val="nil"/>
              <w:left w:val="nil"/>
              <w:bottom w:val="nil"/>
              <w:right w:val="nil"/>
            </w:tcBorders>
            <w:shd w:val="clear" w:color="auto" w:fill="FFFFFF"/>
            <w:vAlign w:val="center"/>
          </w:tcPr>
          <w:p w14:paraId="7AA50DEA">
            <w:pPr>
              <w:pStyle w:val="167"/>
              <w:bidi w:val="0"/>
              <w:rPr>
                <w:lang w:val="en-US" w:eastAsia="zh-CN"/>
              </w:rPr>
            </w:pPr>
            <w:r>
              <w:rPr>
                <w:lang w:val="en-US" w:eastAsia="zh-CN"/>
              </w:rPr>
              <w:t>Excluded overall high-risk results</w:t>
            </w:r>
          </w:p>
        </w:tc>
        <w:tc>
          <w:tcPr>
            <w:tcW w:w="636" w:type="pct"/>
            <w:tcBorders>
              <w:top w:val="nil"/>
              <w:left w:val="nil"/>
              <w:bottom w:val="nil"/>
              <w:right w:val="nil"/>
            </w:tcBorders>
            <w:shd w:val="clear" w:color="auto" w:fill="FFFFFF"/>
            <w:vAlign w:val="center"/>
          </w:tcPr>
          <w:p w14:paraId="2948E598">
            <w:pPr>
              <w:pStyle w:val="167"/>
              <w:bidi w:val="0"/>
              <w:rPr>
                <w:lang w:val="en-US" w:eastAsia="zh-CN"/>
              </w:rPr>
            </w:pPr>
            <w:r>
              <w:rPr>
                <w:lang w:val="en-US" w:eastAsia="zh-CN"/>
              </w:rPr>
              <w:t>Balance; ordinary home exercise</w:t>
            </w:r>
          </w:p>
        </w:tc>
        <w:tc>
          <w:tcPr>
            <w:tcW w:w="734" w:type="pct"/>
            <w:tcBorders>
              <w:top w:val="nil"/>
              <w:left w:val="nil"/>
              <w:bottom w:val="nil"/>
              <w:right w:val="nil"/>
            </w:tcBorders>
            <w:shd w:val="clear" w:color="auto" w:fill="FFFFFF"/>
            <w:vAlign w:val="center"/>
          </w:tcPr>
          <w:p w14:paraId="183CCDAA">
            <w:pPr>
              <w:pStyle w:val="167"/>
              <w:bidi w:val="0"/>
              <w:rPr>
                <w:lang w:val="en-US" w:eastAsia="zh-CN"/>
              </w:rPr>
            </w:pPr>
            <w:r>
              <w:rPr>
                <w:lang w:val="en-US" w:eastAsia="zh-CN"/>
              </w:rPr>
              <w:t>k=2/N=135; g=0.30 (−1.90 to 2.50)</w:t>
            </w:r>
          </w:p>
        </w:tc>
        <w:tc>
          <w:tcPr>
            <w:tcW w:w="612" w:type="pct"/>
            <w:tcBorders>
              <w:top w:val="nil"/>
              <w:left w:val="nil"/>
              <w:bottom w:val="nil"/>
              <w:right w:val="nil"/>
            </w:tcBorders>
            <w:shd w:val="clear" w:color="auto" w:fill="FFFFFF"/>
            <w:vAlign w:val="center"/>
          </w:tcPr>
          <w:p w14:paraId="5DA1FB85">
            <w:pPr>
              <w:pStyle w:val="167"/>
              <w:bidi w:val="0"/>
              <w:rPr>
                <w:lang w:val="en-US" w:eastAsia="zh-CN"/>
              </w:rPr>
            </w:pPr>
            <w:r>
              <w:rPr>
                <w:lang w:val="en-US" w:eastAsia="zh-CN"/>
              </w:rPr>
              <w:t>k=1/N=97; g=0.29 (−0.11 to 0.69)</w:t>
            </w:r>
          </w:p>
        </w:tc>
        <w:tc>
          <w:tcPr>
            <w:tcW w:w="805" w:type="pct"/>
            <w:tcBorders>
              <w:top w:val="nil"/>
              <w:left w:val="nil"/>
              <w:bottom w:val="nil"/>
              <w:right w:val="nil"/>
            </w:tcBorders>
            <w:shd w:val="clear" w:color="auto" w:fill="FFFFFF"/>
            <w:vAlign w:val="center"/>
          </w:tcPr>
          <w:p w14:paraId="13D406DD">
            <w:pPr>
              <w:pStyle w:val="167"/>
              <w:bidi w:val="0"/>
              <w:rPr>
                <w:lang w:val="en-US" w:eastAsia="zh-CN"/>
              </w:rPr>
            </w:pPr>
            <w:r>
              <w:rPr>
                <w:lang w:val="en-US" w:eastAsia="zh-CN"/>
              </w:rPr>
              <w:t>Not estimable after exclusion</w:t>
            </w:r>
          </w:p>
        </w:tc>
        <w:tc>
          <w:tcPr>
            <w:tcW w:w="427" w:type="pct"/>
            <w:tcBorders>
              <w:top w:val="nil"/>
              <w:left w:val="nil"/>
              <w:bottom w:val="nil"/>
              <w:right w:val="nil"/>
            </w:tcBorders>
            <w:shd w:val="clear" w:color="auto" w:fill="FFFFFF"/>
            <w:vAlign w:val="center"/>
          </w:tcPr>
          <w:p w14:paraId="2480C7E0">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37F05F86">
            <w:pPr>
              <w:pStyle w:val="167"/>
              <w:bidi w:val="0"/>
              <w:rPr>
                <w:lang w:val="en-US" w:eastAsia="zh-CN"/>
              </w:rPr>
            </w:pPr>
            <w:r>
              <w:rPr>
                <w:lang w:val="en-US" w:eastAsia="zh-CN"/>
              </w:rPr>
              <w:t>Direction and CI-null interpretation were preserved.</w:t>
            </w:r>
          </w:p>
        </w:tc>
      </w:tr>
      <w:tr w14:paraId="4874435C">
        <w:trPr>
          <w:cantSplit/>
        </w:trPr>
        <w:tc>
          <w:tcPr>
            <w:tcW w:w="360" w:type="pct"/>
            <w:tcBorders>
              <w:top w:val="nil"/>
              <w:left w:val="nil"/>
              <w:bottom w:val="nil"/>
              <w:right w:val="nil"/>
            </w:tcBorders>
            <w:shd w:val="clear" w:color="auto" w:fill="FFFFFF"/>
            <w:vAlign w:val="center"/>
          </w:tcPr>
          <w:p w14:paraId="548039AB">
            <w:pPr>
              <w:pStyle w:val="167"/>
              <w:bidi w:val="0"/>
              <w:rPr>
                <w:lang w:val="en-US" w:eastAsia="zh-CN"/>
              </w:rPr>
            </w:pPr>
            <w:r>
              <w:rPr>
                <w:lang w:val="en-US" w:eastAsia="zh-CN"/>
              </w:rPr>
              <w:t>S09</w:t>
            </w:r>
          </w:p>
        </w:tc>
        <w:tc>
          <w:tcPr>
            <w:tcW w:w="526" w:type="pct"/>
            <w:tcBorders>
              <w:top w:val="nil"/>
              <w:left w:val="nil"/>
              <w:bottom w:val="nil"/>
              <w:right w:val="nil"/>
            </w:tcBorders>
            <w:shd w:val="clear" w:color="auto" w:fill="FFFFFF"/>
            <w:vAlign w:val="center"/>
          </w:tcPr>
          <w:p w14:paraId="343F6DBC">
            <w:pPr>
              <w:pStyle w:val="167"/>
              <w:bidi w:val="0"/>
              <w:rPr>
                <w:lang w:val="en-US" w:eastAsia="zh-CN"/>
              </w:rPr>
            </w:pPr>
            <w:r>
              <w:rPr>
                <w:lang w:val="en-US" w:eastAsia="zh-CN"/>
              </w:rPr>
              <w:t>Excluded overall high-risk results</w:t>
            </w:r>
          </w:p>
        </w:tc>
        <w:tc>
          <w:tcPr>
            <w:tcW w:w="636" w:type="pct"/>
            <w:tcBorders>
              <w:top w:val="nil"/>
              <w:left w:val="nil"/>
              <w:bottom w:val="nil"/>
              <w:right w:val="nil"/>
            </w:tcBorders>
            <w:shd w:val="clear" w:color="auto" w:fill="FFFFFF"/>
            <w:vAlign w:val="center"/>
          </w:tcPr>
          <w:p w14:paraId="5D24EE1B">
            <w:pPr>
              <w:pStyle w:val="167"/>
              <w:bidi w:val="0"/>
              <w:rPr>
                <w:lang w:val="en-US" w:eastAsia="zh-CN"/>
              </w:rPr>
            </w:pPr>
            <w:r>
              <w:rPr>
                <w:lang w:val="en-US" w:eastAsia="zh-CN"/>
              </w:rPr>
              <w:t>Balance; active rehabilitation</w:t>
            </w:r>
          </w:p>
        </w:tc>
        <w:tc>
          <w:tcPr>
            <w:tcW w:w="734" w:type="pct"/>
            <w:tcBorders>
              <w:top w:val="nil"/>
              <w:left w:val="nil"/>
              <w:bottom w:val="nil"/>
              <w:right w:val="nil"/>
            </w:tcBorders>
            <w:shd w:val="clear" w:color="auto" w:fill="FFFFFF"/>
            <w:vAlign w:val="center"/>
          </w:tcPr>
          <w:p w14:paraId="619F3471">
            <w:pPr>
              <w:pStyle w:val="167"/>
              <w:bidi w:val="0"/>
              <w:rPr>
                <w:lang w:val="en-US" w:eastAsia="zh-CN"/>
              </w:rPr>
            </w:pPr>
            <w:r>
              <w:rPr>
                <w:lang w:val="en-US" w:eastAsia="zh-CN"/>
              </w:rPr>
              <w:t>k=5/N=381; g=0.26 (−0.12 to 0.65)</w:t>
            </w:r>
          </w:p>
        </w:tc>
        <w:tc>
          <w:tcPr>
            <w:tcW w:w="612" w:type="pct"/>
            <w:tcBorders>
              <w:top w:val="nil"/>
              <w:left w:val="nil"/>
              <w:bottom w:val="nil"/>
              <w:right w:val="nil"/>
            </w:tcBorders>
            <w:shd w:val="clear" w:color="auto" w:fill="FFFFFF"/>
            <w:vAlign w:val="center"/>
          </w:tcPr>
          <w:p w14:paraId="453E74F8">
            <w:pPr>
              <w:pStyle w:val="167"/>
              <w:bidi w:val="0"/>
              <w:rPr>
                <w:lang w:val="en-US" w:eastAsia="zh-CN"/>
              </w:rPr>
            </w:pPr>
            <w:r>
              <w:rPr>
                <w:lang w:val="en-US" w:eastAsia="zh-CN"/>
              </w:rPr>
              <w:t>k=3/N=172; g=0.20 (−0.89 to 1.29)</w:t>
            </w:r>
          </w:p>
        </w:tc>
        <w:tc>
          <w:tcPr>
            <w:tcW w:w="805" w:type="pct"/>
            <w:tcBorders>
              <w:top w:val="nil"/>
              <w:left w:val="nil"/>
              <w:bottom w:val="nil"/>
              <w:right w:val="nil"/>
            </w:tcBorders>
            <w:shd w:val="clear" w:color="auto" w:fill="FFFFFF"/>
            <w:vAlign w:val="center"/>
          </w:tcPr>
          <w:p w14:paraId="17B5E0F1">
            <w:pPr>
              <w:pStyle w:val="167"/>
              <w:bidi w:val="0"/>
              <w:rPr>
                <w:lang w:val="en-US" w:eastAsia="zh-CN"/>
              </w:rPr>
            </w:pPr>
            <w:r>
              <w:rPr>
                <w:lang w:val="en-US" w:eastAsia="zh-CN"/>
              </w:rPr>
              <w:t>I² 31.2%→58.5%</w:t>
            </w:r>
          </w:p>
        </w:tc>
        <w:tc>
          <w:tcPr>
            <w:tcW w:w="427" w:type="pct"/>
            <w:tcBorders>
              <w:top w:val="nil"/>
              <w:left w:val="nil"/>
              <w:bottom w:val="nil"/>
              <w:right w:val="nil"/>
            </w:tcBorders>
            <w:shd w:val="clear" w:color="auto" w:fill="FFFFFF"/>
            <w:vAlign w:val="center"/>
          </w:tcPr>
          <w:p w14:paraId="30520539">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305B668A">
            <w:pPr>
              <w:pStyle w:val="167"/>
              <w:bidi w:val="0"/>
              <w:rPr>
                <w:lang w:val="en-US" w:eastAsia="zh-CN"/>
              </w:rPr>
            </w:pPr>
            <w:r>
              <w:rPr>
                <w:lang w:val="en-US" w:eastAsia="zh-CN"/>
              </w:rPr>
              <w:t>Direction was preserved, but precision and heterogeneity were sensitive.</w:t>
            </w:r>
          </w:p>
        </w:tc>
      </w:tr>
      <w:tr w14:paraId="67D1E505">
        <w:trPr>
          <w:cantSplit/>
        </w:trPr>
        <w:tc>
          <w:tcPr>
            <w:tcW w:w="360" w:type="pct"/>
            <w:tcBorders>
              <w:top w:val="nil"/>
              <w:left w:val="nil"/>
              <w:bottom w:val="nil"/>
              <w:right w:val="nil"/>
            </w:tcBorders>
            <w:shd w:val="clear" w:color="auto" w:fill="FFFFFF"/>
            <w:vAlign w:val="center"/>
          </w:tcPr>
          <w:p w14:paraId="626425C1">
            <w:pPr>
              <w:pStyle w:val="167"/>
              <w:bidi w:val="0"/>
              <w:rPr>
                <w:lang w:val="en-US" w:eastAsia="zh-CN"/>
              </w:rPr>
            </w:pPr>
            <w:r>
              <w:rPr>
                <w:lang w:val="en-US" w:eastAsia="zh-CN"/>
              </w:rPr>
              <w:t>S09</w:t>
            </w:r>
          </w:p>
        </w:tc>
        <w:tc>
          <w:tcPr>
            <w:tcW w:w="526" w:type="pct"/>
            <w:tcBorders>
              <w:top w:val="nil"/>
              <w:left w:val="nil"/>
              <w:bottom w:val="nil"/>
              <w:right w:val="nil"/>
            </w:tcBorders>
            <w:shd w:val="clear" w:color="auto" w:fill="FFFFFF"/>
            <w:vAlign w:val="center"/>
          </w:tcPr>
          <w:p w14:paraId="757B5669">
            <w:pPr>
              <w:pStyle w:val="167"/>
              <w:bidi w:val="0"/>
              <w:rPr>
                <w:lang w:val="en-US" w:eastAsia="zh-CN"/>
              </w:rPr>
            </w:pPr>
            <w:r>
              <w:rPr>
                <w:lang w:val="en-US" w:eastAsia="zh-CN"/>
              </w:rPr>
              <w:t>Excluded overall high-risk results</w:t>
            </w:r>
          </w:p>
        </w:tc>
        <w:tc>
          <w:tcPr>
            <w:tcW w:w="636" w:type="pct"/>
            <w:tcBorders>
              <w:top w:val="nil"/>
              <w:left w:val="nil"/>
              <w:bottom w:val="nil"/>
              <w:right w:val="nil"/>
            </w:tcBorders>
            <w:shd w:val="clear" w:color="auto" w:fill="FFFFFF"/>
            <w:vAlign w:val="center"/>
          </w:tcPr>
          <w:p w14:paraId="08AD7B62">
            <w:pPr>
              <w:pStyle w:val="167"/>
              <w:bidi w:val="0"/>
              <w:rPr>
                <w:lang w:val="en-US" w:eastAsia="zh-CN"/>
              </w:rPr>
            </w:pPr>
            <w:r>
              <w:rPr>
                <w:lang w:val="en-US" w:eastAsia="zh-CN"/>
              </w:rPr>
              <w:t>Functional mobility; active rehabilitation</w:t>
            </w:r>
          </w:p>
        </w:tc>
        <w:tc>
          <w:tcPr>
            <w:tcW w:w="734" w:type="pct"/>
            <w:tcBorders>
              <w:top w:val="nil"/>
              <w:left w:val="nil"/>
              <w:bottom w:val="nil"/>
              <w:right w:val="nil"/>
            </w:tcBorders>
            <w:shd w:val="clear" w:color="auto" w:fill="FFFFFF"/>
            <w:vAlign w:val="center"/>
          </w:tcPr>
          <w:p w14:paraId="0DE7C39C">
            <w:pPr>
              <w:pStyle w:val="167"/>
              <w:bidi w:val="0"/>
              <w:rPr>
                <w:lang w:val="en-US" w:eastAsia="zh-CN"/>
              </w:rPr>
            </w:pPr>
            <w:r>
              <w:rPr>
                <w:lang w:val="en-US" w:eastAsia="zh-CN"/>
              </w:rPr>
              <w:t>k=2/N=209; g=0.11 (−1.65 to 1.87)</w:t>
            </w:r>
          </w:p>
        </w:tc>
        <w:tc>
          <w:tcPr>
            <w:tcW w:w="612" w:type="pct"/>
            <w:tcBorders>
              <w:top w:val="nil"/>
              <w:left w:val="nil"/>
              <w:bottom w:val="nil"/>
              <w:right w:val="nil"/>
            </w:tcBorders>
            <w:shd w:val="clear" w:color="auto" w:fill="FFFFFF"/>
            <w:vAlign w:val="center"/>
          </w:tcPr>
          <w:p w14:paraId="7E0C8526">
            <w:pPr>
              <w:pStyle w:val="167"/>
              <w:bidi w:val="0"/>
              <w:rPr>
                <w:lang w:val="en-US" w:eastAsia="zh-CN"/>
              </w:rPr>
            </w:pPr>
            <w:r>
              <w:rPr>
                <w:lang w:val="en-US" w:eastAsia="zh-CN"/>
              </w:rPr>
              <w:t>k=1/N=19; g=−0.18 (−1.09 to 0.73)</w:t>
            </w:r>
          </w:p>
        </w:tc>
        <w:tc>
          <w:tcPr>
            <w:tcW w:w="805" w:type="pct"/>
            <w:tcBorders>
              <w:top w:val="nil"/>
              <w:left w:val="nil"/>
              <w:bottom w:val="nil"/>
              <w:right w:val="nil"/>
            </w:tcBorders>
            <w:shd w:val="clear" w:color="auto" w:fill="FFFFFF"/>
            <w:vAlign w:val="center"/>
          </w:tcPr>
          <w:p w14:paraId="79B528C2">
            <w:pPr>
              <w:pStyle w:val="167"/>
              <w:bidi w:val="0"/>
              <w:rPr>
                <w:lang w:val="en-US" w:eastAsia="zh-CN"/>
              </w:rPr>
            </w:pPr>
            <w:r>
              <w:rPr>
                <w:lang w:val="en-US" w:eastAsia="zh-CN"/>
              </w:rPr>
              <w:t>I² 0.0%→NA</w:t>
            </w:r>
          </w:p>
        </w:tc>
        <w:tc>
          <w:tcPr>
            <w:tcW w:w="427" w:type="pct"/>
            <w:tcBorders>
              <w:top w:val="nil"/>
              <w:left w:val="nil"/>
              <w:bottom w:val="nil"/>
              <w:right w:val="nil"/>
            </w:tcBorders>
            <w:shd w:val="clear" w:color="auto" w:fill="FFFFFF"/>
            <w:vAlign w:val="center"/>
          </w:tcPr>
          <w:p w14:paraId="572A77B9">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23796800">
            <w:pPr>
              <w:pStyle w:val="167"/>
              <w:bidi w:val="0"/>
              <w:rPr>
                <w:lang w:val="en-US" w:eastAsia="zh-CN"/>
              </w:rPr>
            </w:pPr>
            <w:r>
              <w:rPr>
                <w:lang w:val="en-US" w:eastAsia="zh-CN"/>
              </w:rPr>
              <w:t>The point-estimate direction changed, but the CI-null interpretation did not.</w:t>
            </w:r>
          </w:p>
        </w:tc>
      </w:tr>
      <w:tr w14:paraId="2C1F594F">
        <w:trPr>
          <w:cantSplit/>
        </w:trPr>
        <w:tc>
          <w:tcPr>
            <w:tcW w:w="360" w:type="pct"/>
            <w:tcBorders>
              <w:top w:val="nil"/>
              <w:left w:val="nil"/>
              <w:bottom w:val="nil"/>
              <w:right w:val="nil"/>
            </w:tcBorders>
            <w:shd w:val="clear" w:color="auto" w:fill="FFFFFF"/>
            <w:vAlign w:val="center"/>
          </w:tcPr>
          <w:p w14:paraId="4F8D5469">
            <w:pPr>
              <w:pStyle w:val="167"/>
              <w:bidi w:val="0"/>
              <w:rPr>
                <w:lang w:val="en-US" w:eastAsia="zh-CN"/>
              </w:rPr>
            </w:pPr>
            <w:r>
              <w:rPr>
                <w:lang w:val="en-US" w:eastAsia="zh-CN"/>
              </w:rPr>
              <w:t>S09</w:t>
            </w:r>
          </w:p>
        </w:tc>
        <w:tc>
          <w:tcPr>
            <w:tcW w:w="526" w:type="pct"/>
            <w:tcBorders>
              <w:top w:val="nil"/>
              <w:left w:val="nil"/>
              <w:bottom w:val="nil"/>
              <w:right w:val="nil"/>
            </w:tcBorders>
            <w:shd w:val="clear" w:color="auto" w:fill="FFFFFF"/>
            <w:vAlign w:val="center"/>
          </w:tcPr>
          <w:p w14:paraId="1A1CA35E">
            <w:pPr>
              <w:pStyle w:val="167"/>
              <w:bidi w:val="0"/>
              <w:rPr>
                <w:lang w:val="en-US" w:eastAsia="zh-CN"/>
              </w:rPr>
            </w:pPr>
            <w:r>
              <w:rPr>
                <w:lang w:val="en-US" w:eastAsia="zh-CN"/>
              </w:rPr>
              <w:t>Excluded overall high-risk results</w:t>
            </w:r>
          </w:p>
        </w:tc>
        <w:tc>
          <w:tcPr>
            <w:tcW w:w="636" w:type="pct"/>
            <w:tcBorders>
              <w:top w:val="nil"/>
              <w:left w:val="nil"/>
              <w:bottom w:val="nil"/>
              <w:right w:val="nil"/>
            </w:tcBorders>
            <w:shd w:val="clear" w:color="auto" w:fill="FFFFFF"/>
            <w:vAlign w:val="center"/>
          </w:tcPr>
          <w:p w14:paraId="73C75514">
            <w:pPr>
              <w:pStyle w:val="167"/>
              <w:bidi w:val="0"/>
              <w:rPr>
                <w:lang w:val="en-US" w:eastAsia="zh-CN"/>
              </w:rPr>
            </w:pPr>
            <w:r>
              <w:rPr>
                <w:lang w:val="en-US" w:eastAsia="zh-CN"/>
              </w:rPr>
              <w:t>Gait/walking; active rehabilitation</w:t>
            </w:r>
          </w:p>
        </w:tc>
        <w:tc>
          <w:tcPr>
            <w:tcW w:w="734" w:type="pct"/>
            <w:tcBorders>
              <w:top w:val="nil"/>
              <w:left w:val="nil"/>
              <w:bottom w:val="nil"/>
              <w:right w:val="nil"/>
            </w:tcBorders>
            <w:shd w:val="clear" w:color="auto" w:fill="FFFFFF"/>
            <w:vAlign w:val="center"/>
          </w:tcPr>
          <w:p w14:paraId="75FADBA5">
            <w:pPr>
              <w:pStyle w:val="167"/>
              <w:bidi w:val="0"/>
              <w:rPr>
                <w:lang w:val="en-US" w:eastAsia="zh-CN"/>
              </w:rPr>
            </w:pPr>
            <w:r>
              <w:rPr>
                <w:lang w:val="en-US" w:eastAsia="zh-CN"/>
              </w:rPr>
              <w:t>k=4/N=318; g=0.03 (−0.67 to 0.73)</w:t>
            </w:r>
          </w:p>
        </w:tc>
        <w:tc>
          <w:tcPr>
            <w:tcW w:w="612" w:type="pct"/>
            <w:tcBorders>
              <w:top w:val="nil"/>
              <w:left w:val="nil"/>
              <w:bottom w:val="nil"/>
              <w:right w:val="nil"/>
            </w:tcBorders>
            <w:shd w:val="clear" w:color="auto" w:fill="FFFFFF"/>
            <w:vAlign w:val="center"/>
          </w:tcPr>
          <w:p w14:paraId="48C73E73">
            <w:pPr>
              <w:pStyle w:val="167"/>
              <w:bidi w:val="0"/>
              <w:rPr>
                <w:lang w:val="en-US" w:eastAsia="zh-CN"/>
              </w:rPr>
            </w:pPr>
            <w:r>
              <w:rPr>
                <w:lang w:val="en-US" w:eastAsia="zh-CN"/>
              </w:rPr>
              <w:t>k=3/N=128; g=−0.13 (−0.90 to 0.63)</w:t>
            </w:r>
          </w:p>
        </w:tc>
        <w:tc>
          <w:tcPr>
            <w:tcW w:w="805" w:type="pct"/>
            <w:tcBorders>
              <w:top w:val="nil"/>
              <w:left w:val="nil"/>
              <w:bottom w:val="nil"/>
              <w:right w:val="nil"/>
            </w:tcBorders>
            <w:shd w:val="clear" w:color="auto" w:fill="FFFFFF"/>
            <w:vAlign w:val="center"/>
          </w:tcPr>
          <w:p w14:paraId="73553E29">
            <w:pPr>
              <w:pStyle w:val="167"/>
              <w:bidi w:val="0"/>
              <w:rPr>
                <w:lang w:val="en-US" w:eastAsia="zh-CN"/>
              </w:rPr>
            </w:pPr>
            <w:r>
              <w:rPr>
                <w:lang w:val="en-US" w:eastAsia="zh-CN"/>
              </w:rPr>
              <w:t>I² 63.1%→0.0%; τ² 0.111→approximately 0</w:t>
            </w:r>
          </w:p>
        </w:tc>
        <w:tc>
          <w:tcPr>
            <w:tcW w:w="427" w:type="pct"/>
            <w:tcBorders>
              <w:top w:val="nil"/>
              <w:left w:val="nil"/>
              <w:bottom w:val="nil"/>
              <w:right w:val="nil"/>
            </w:tcBorders>
            <w:shd w:val="clear" w:color="auto" w:fill="FFFFFF"/>
            <w:vAlign w:val="center"/>
          </w:tcPr>
          <w:p w14:paraId="3044F9A8">
            <w:pPr>
              <w:pStyle w:val="167"/>
              <w:bidi w:val="0"/>
              <w:rPr>
                <w:lang w:val="en-US" w:eastAsia="zh-CN"/>
              </w:rPr>
            </w:pPr>
            <w:r>
              <w:rPr>
                <w:lang w:val="en-US" w:eastAsia="zh-CN"/>
              </w:rPr>
              <w:t>No</w:t>
            </w:r>
          </w:p>
        </w:tc>
        <w:tc>
          <w:tcPr>
            <w:tcW w:w="896" w:type="pct"/>
            <w:tcBorders>
              <w:top w:val="nil"/>
              <w:left w:val="nil"/>
              <w:bottom w:val="nil"/>
              <w:right w:val="nil"/>
            </w:tcBorders>
            <w:shd w:val="clear" w:color="auto" w:fill="FFFFFF"/>
            <w:vAlign w:val="center"/>
          </w:tcPr>
          <w:p w14:paraId="214DDE66">
            <w:pPr>
              <w:pStyle w:val="167"/>
              <w:bidi w:val="0"/>
              <w:rPr>
                <w:lang w:val="en-US" w:eastAsia="zh-CN"/>
              </w:rPr>
            </w:pPr>
            <w:r>
              <w:rPr>
                <w:lang w:val="en-US" w:eastAsia="zh-CN"/>
              </w:rPr>
              <w:t>The point-estimate direction changed and heterogeneity disappeared, but the CI-null interpretation did not.</w:t>
            </w:r>
          </w:p>
        </w:tc>
      </w:tr>
      <w:tr w14:paraId="43797EDA">
        <w:trPr>
          <w:cantSplit/>
        </w:trPr>
        <w:tc>
          <w:tcPr>
            <w:tcW w:w="360" w:type="pct"/>
            <w:tcBorders>
              <w:top w:val="nil"/>
              <w:left w:val="nil"/>
              <w:bottom w:val="nil"/>
              <w:right w:val="nil"/>
            </w:tcBorders>
            <w:shd w:val="clear" w:color="auto" w:fill="FFFFFF"/>
            <w:vAlign w:val="center"/>
          </w:tcPr>
          <w:p w14:paraId="5E3BB8C1">
            <w:pPr>
              <w:pStyle w:val="167"/>
              <w:bidi w:val="0"/>
              <w:rPr>
                <w:lang w:val="en-US" w:eastAsia="zh-CN"/>
              </w:rPr>
            </w:pPr>
            <w:r>
              <w:rPr>
                <w:lang w:val="en-US" w:eastAsia="zh-CN"/>
              </w:rPr>
              <w:t>S10</w:t>
            </w:r>
          </w:p>
        </w:tc>
        <w:tc>
          <w:tcPr>
            <w:tcW w:w="526" w:type="pct"/>
            <w:tcBorders>
              <w:top w:val="nil"/>
              <w:left w:val="nil"/>
              <w:bottom w:val="nil"/>
              <w:right w:val="nil"/>
            </w:tcBorders>
            <w:shd w:val="clear" w:color="auto" w:fill="FFFFFF"/>
            <w:vAlign w:val="center"/>
          </w:tcPr>
          <w:p w14:paraId="7E237C2D">
            <w:pPr>
              <w:pStyle w:val="167"/>
              <w:bidi w:val="0"/>
              <w:rPr>
                <w:lang w:val="en-US" w:eastAsia="zh-CN"/>
              </w:rPr>
            </w:pPr>
            <w:r>
              <w:rPr>
                <w:lang w:val="en-US" w:eastAsia="zh-CN"/>
              </w:rPr>
              <w:t>Pooled all comparator categories</w:t>
            </w:r>
          </w:p>
        </w:tc>
        <w:tc>
          <w:tcPr>
            <w:tcW w:w="636" w:type="pct"/>
            <w:tcBorders>
              <w:top w:val="nil"/>
              <w:left w:val="nil"/>
              <w:bottom w:val="nil"/>
              <w:right w:val="nil"/>
            </w:tcBorders>
            <w:shd w:val="clear" w:color="auto" w:fill="FFFFFF"/>
            <w:vAlign w:val="center"/>
          </w:tcPr>
          <w:p w14:paraId="311308A8">
            <w:pPr>
              <w:pStyle w:val="167"/>
              <w:bidi w:val="0"/>
              <w:rPr>
                <w:lang w:val="en-US" w:eastAsia="zh-CN"/>
              </w:rPr>
            </w:pPr>
            <w:r>
              <w:rPr>
                <w:lang w:val="en-US" w:eastAsia="zh-CN"/>
              </w:rPr>
              <w:t>MDS-UPDRS III/UPDRS III</w:t>
            </w:r>
          </w:p>
        </w:tc>
        <w:tc>
          <w:tcPr>
            <w:tcW w:w="734" w:type="pct"/>
            <w:tcBorders>
              <w:top w:val="nil"/>
              <w:left w:val="nil"/>
              <w:bottom w:val="nil"/>
              <w:right w:val="nil"/>
            </w:tcBorders>
            <w:shd w:val="clear" w:color="auto" w:fill="FFFFFF"/>
            <w:vAlign w:val="center"/>
          </w:tcPr>
          <w:p w14:paraId="4E343A47">
            <w:pPr>
              <w:pStyle w:val="167"/>
              <w:bidi w:val="0"/>
              <w:rPr>
                <w:lang w:val="en-US" w:eastAsia="zh-CN"/>
              </w:rPr>
            </w:pPr>
            <w:r>
              <w:rPr>
                <w:lang w:val="en-US" w:eastAsia="zh-CN"/>
              </w:rPr>
              <w:t>Comparator-specific estimand</w:t>
            </w:r>
          </w:p>
        </w:tc>
        <w:tc>
          <w:tcPr>
            <w:tcW w:w="612" w:type="pct"/>
            <w:tcBorders>
              <w:top w:val="nil"/>
              <w:left w:val="nil"/>
              <w:bottom w:val="nil"/>
              <w:right w:val="nil"/>
            </w:tcBorders>
            <w:shd w:val="clear" w:color="auto" w:fill="FFFFFF"/>
            <w:vAlign w:val="center"/>
          </w:tcPr>
          <w:p w14:paraId="58657F19">
            <w:pPr>
              <w:pStyle w:val="167"/>
              <w:bidi w:val="0"/>
              <w:rPr>
                <w:lang w:val="en-US" w:eastAsia="zh-CN"/>
              </w:rPr>
            </w:pPr>
            <w:r>
              <w:rPr>
                <w:lang w:val="en-US" w:eastAsia="zh-CN"/>
              </w:rPr>
              <w:t>k=8/N=472; g=0.34 (0.12 to 0.56)</w:t>
            </w:r>
          </w:p>
        </w:tc>
        <w:tc>
          <w:tcPr>
            <w:tcW w:w="805" w:type="pct"/>
            <w:tcBorders>
              <w:top w:val="nil"/>
              <w:left w:val="nil"/>
              <w:bottom w:val="nil"/>
              <w:right w:val="nil"/>
            </w:tcBorders>
            <w:shd w:val="clear" w:color="auto" w:fill="FFFFFF"/>
            <w:vAlign w:val="center"/>
          </w:tcPr>
          <w:p w14:paraId="767C73B0">
            <w:pPr>
              <w:pStyle w:val="167"/>
              <w:bidi w:val="0"/>
              <w:rPr>
                <w:lang w:val="en-US" w:eastAsia="zh-CN"/>
              </w:rPr>
            </w:pPr>
            <w:r>
              <w:rPr>
                <w:lang w:val="en-US" w:eastAsia="zh-CN"/>
              </w:rPr>
              <w:t>I²=0.0%; τ²=0.000</w:t>
            </w:r>
          </w:p>
        </w:tc>
        <w:tc>
          <w:tcPr>
            <w:tcW w:w="427" w:type="pct"/>
            <w:tcBorders>
              <w:top w:val="nil"/>
              <w:left w:val="nil"/>
              <w:bottom w:val="nil"/>
              <w:right w:val="nil"/>
            </w:tcBorders>
            <w:shd w:val="clear" w:color="auto" w:fill="FFFFFF"/>
            <w:vAlign w:val="center"/>
          </w:tcPr>
          <w:p w14:paraId="5941FD2C">
            <w:pPr>
              <w:pStyle w:val="167"/>
              <w:bidi w:val="0"/>
              <w:rPr>
                <w:lang w:val="en-US" w:eastAsia="zh-CN"/>
              </w:rPr>
            </w:pPr>
            <w:r>
              <w:rPr>
                <w:lang w:val="en-US" w:eastAsia="zh-CN"/>
              </w:rPr>
              <w:t>Not comparable</w:t>
            </w:r>
          </w:p>
        </w:tc>
        <w:tc>
          <w:tcPr>
            <w:tcW w:w="896" w:type="pct"/>
            <w:tcBorders>
              <w:top w:val="nil"/>
              <w:left w:val="nil"/>
              <w:bottom w:val="nil"/>
              <w:right w:val="nil"/>
            </w:tcBorders>
            <w:shd w:val="clear" w:color="auto" w:fill="FFFFFF"/>
            <w:vAlign w:val="center"/>
          </w:tcPr>
          <w:p w14:paraId="5F2F3763">
            <w:pPr>
              <w:pStyle w:val="167"/>
              <w:bidi w:val="0"/>
              <w:rPr>
                <w:lang w:val="en-US" w:eastAsia="zh-CN"/>
              </w:rPr>
            </w:pPr>
            <w:r>
              <w:rPr>
                <w:lang w:val="en-US" w:eastAsia="zh-CN"/>
              </w:rPr>
              <w:t>This analysis changed the estimand and is supplementary only.</w:t>
            </w:r>
          </w:p>
        </w:tc>
      </w:tr>
      <w:tr w14:paraId="267F15B4">
        <w:trPr>
          <w:cantSplit/>
        </w:trPr>
        <w:tc>
          <w:tcPr>
            <w:tcW w:w="360" w:type="pct"/>
            <w:tcBorders>
              <w:top w:val="nil"/>
              <w:left w:val="nil"/>
              <w:bottom w:val="nil"/>
              <w:right w:val="nil"/>
            </w:tcBorders>
            <w:shd w:val="clear" w:color="auto" w:fill="FFFFFF"/>
            <w:vAlign w:val="center"/>
          </w:tcPr>
          <w:p w14:paraId="1461FE3C">
            <w:pPr>
              <w:pStyle w:val="167"/>
              <w:bidi w:val="0"/>
              <w:rPr>
                <w:lang w:val="en-US" w:eastAsia="zh-CN"/>
              </w:rPr>
            </w:pPr>
            <w:r>
              <w:rPr>
                <w:lang w:val="en-US" w:eastAsia="zh-CN"/>
              </w:rPr>
              <w:t>S10</w:t>
            </w:r>
          </w:p>
        </w:tc>
        <w:tc>
          <w:tcPr>
            <w:tcW w:w="526" w:type="pct"/>
            <w:tcBorders>
              <w:top w:val="nil"/>
              <w:left w:val="nil"/>
              <w:bottom w:val="nil"/>
              <w:right w:val="nil"/>
            </w:tcBorders>
            <w:shd w:val="clear" w:color="auto" w:fill="FFFFFF"/>
            <w:vAlign w:val="center"/>
          </w:tcPr>
          <w:p w14:paraId="3F621E64">
            <w:pPr>
              <w:pStyle w:val="167"/>
              <w:bidi w:val="0"/>
              <w:rPr>
                <w:lang w:val="en-US" w:eastAsia="zh-CN"/>
              </w:rPr>
            </w:pPr>
            <w:r>
              <w:rPr>
                <w:lang w:val="en-US" w:eastAsia="zh-CN"/>
              </w:rPr>
              <w:t>Pooled all comparator categories</w:t>
            </w:r>
          </w:p>
        </w:tc>
        <w:tc>
          <w:tcPr>
            <w:tcW w:w="636" w:type="pct"/>
            <w:tcBorders>
              <w:top w:val="nil"/>
              <w:left w:val="nil"/>
              <w:bottom w:val="nil"/>
              <w:right w:val="nil"/>
            </w:tcBorders>
            <w:shd w:val="clear" w:color="auto" w:fill="FFFFFF"/>
            <w:vAlign w:val="center"/>
          </w:tcPr>
          <w:p w14:paraId="7DAEC2AE">
            <w:pPr>
              <w:pStyle w:val="167"/>
              <w:bidi w:val="0"/>
              <w:rPr>
                <w:lang w:val="en-US" w:eastAsia="zh-CN"/>
              </w:rPr>
            </w:pPr>
            <w:r>
              <w:rPr>
                <w:lang w:val="en-US" w:eastAsia="zh-CN"/>
              </w:rPr>
              <w:t>Balance function</w:t>
            </w:r>
          </w:p>
        </w:tc>
        <w:tc>
          <w:tcPr>
            <w:tcW w:w="734" w:type="pct"/>
            <w:tcBorders>
              <w:top w:val="nil"/>
              <w:left w:val="nil"/>
              <w:bottom w:val="nil"/>
              <w:right w:val="nil"/>
            </w:tcBorders>
            <w:shd w:val="clear" w:color="auto" w:fill="FFFFFF"/>
            <w:vAlign w:val="center"/>
          </w:tcPr>
          <w:p w14:paraId="26812FBE">
            <w:pPr>
              <w:pStyle w:val="167"/>
              <w:bidi w:val="0"/>
              <w:rPr>
                <w:lang w:val="en-US" w:eastAsia="zh-CN"/>
              </w:rPr>
            </w:pPr>
            <w:r>
              <w:rPr>
                <w:lang w:val="en-US" w:eastAsia="zh-CN"/>
              </w:rPr>
              <w:t>Comparator-specific estimand</w:t>
            </w:r>
          </w:p>
        </w:tc>
        <w:tc>
          <w:tcPr>
            <w:tcW w:w="612" w:type="pct"/>
            <w:tcBorders>
              <w:top w:val="nil"/>
              <w:left w:val="nil"/>
              <w:bottom w:val="nil"/>
              <w:right w:val="nil"/>
            </w:tcBorders>
            <w:shd w:val="clear" w:color="auto" w:fill="FFFFFF"/>
            <w:vAlign w:val="center"/>
          </w:tcPr>
          <w:p w14:paraId="350B0CA3">
            <w:pPr>
              <w:pStyle w:val="167"/>
              <w:bidi w:val="0"/>
              <w:rPr>
                <w:lang w:val="en-US" w:eastAsia="zh-CN"/>
              </w:rPr>
            </w:pPr>
            <w:r>
              <w:rPr>
                <w:lang w:val="en-US" w:eastAsia="zh-CN"/>
              </w:rPr>
              <w:t>k=7/N=516; g=0.29 (0.08 to 0.51)</w:t>
            </w:r>
          </w:p>
        </w:tc>
        <w:tc>
          <w:tcPr>
            <w:tcW w:w="805" w:type="pct"/>
            <w:tcBorders>
              <w:top w:val="nil"/>
              <w:left w:val="nil"/>
              <w:bottom w:val="nil"/>
              <w:right w:val="nil"/>
            </w:tcBorders>
            <w:shd w:val="clear" w:color="auto" w:fill="FFFFFF"/>
            <w:vAlign w:val="center"/>
          </w:tcPr>
          <w:p w14:paraId="6CC4806B">
            <w:pPr>
              <w:pStyle w:val="167"/>
              <w:bidi w:val="0"/>
              <w:rPr>
                <w:lang w:val="en-US" w:eastAsia="zh-CN"/>
              </w:rPr>
            </w:pPr>
            <w:r>
              <w:rPr>
                <w:lang w:val="en-US" w:eastAsia="zh-CN"/>
              </w:rPr>
              <w:t>I²=0.0%; τ²=0.000</w:t>
            </w:r>
          </w:p>
        </w:tc>
        <w:tc>
          <w:tcPr>
            <w:tcW w:w="427" w:type="pct"/>
            <w:tcBorders>
              <w:top w:val="nil"/>
              <w:left w:val="nil"/>
              <w:bottom w:val="nil"/>
              <w:right w:val="nil"/>
            </w:tcBorders>
            <w:shd w:val="clear" w:color="auto" w:fill="FFFFFF"/>
            <w:vAlign w:val="center"/>
          </w:tcPr>
          <w:p w14:paraId="045DF8B4">
            <w:pPr>
              <w:pStyle w:val="167"/>
              <w:bidi w:val="0"/>
              <w:rPr>
                <w:lang w:val="en-US" w:eastAsia="zh-CN"/>
              </w:rPr>
            </w:pPr>
            <w:r>
              <w:rPr>
                <w:lang w:val="en-US" w:eastAsia="zh-CN"/>
              </w:rPr>
              <w:t>Not comparable</w:t>
            </w:r>
          </w:p>
        </w:tc>
        <w:tc>
          <w:tcPr>
            <w:tcW w:w="896" w:type="pct"/>
            <w:tcBorders>
              <w:top w:val="nil"/>
              <w:left w:val="nil"/>
              <w:bottom w:val="nil"/>
              <w:right w:val="nil"/>
            </w:tcBorders>
            <w:shd w:val="clear" w:color="auto" w:fill="FFFFFF"/>
            <w:vAlign w:val="center"/>
          </w:tcPr>
          <w:p w14:paraId="0779D49A">
            <w:pPr>
              <w:pStyle w:val="167"/>
              <w:bidi w:val="0"/>
              <w:rPr>
                <w:lang w:val="en-US" w:eastAsia="zh-CN"/>
              </w:rPr>
            </w:pPr>
            <w:r>
              <w:rPr>
                <w:lang w:val="en-US" w:eastAsia="zh-CN"/>
              </w:rPr>
              <w:t>This analysis changed the estimand and is supplementary only.</w:t>
            </w:r>
          </w:p>
        </w:tc>
      </w:tr>
      <w:tr w14:paraId="125AB2C2">
        <w:trPr>
          <w:cantSplit/>
        </w:trPr>
        <w:tc>
          <w:tcPr>
            <w:tcW w:w="360" w:type="pct"/>
            <w:tcBorders>
              <w:top w:val="nil"/>
              <w:left w:val="nil"/>
              <w:bottom w:val="nil"/>
              <w:right w:val="nil"/>
            </w:tcBorders>
            <w:shd w:val="clear" w:color="auto" w:fill="FFFFFF"/>
            <w:vAlign w:val="center"/>
          </w:tcPr>
          <w:p w14:paraId="0304F441">
            <w:pPr>
              <w:pStyle w:val="167"/>
              <w:bidi w:val="0"/>
              <w:rPr>
                <w:lang w:val="en-US" w:eastAsia="zh-CN"/>
              </w:rPr>
            </w:pPr>
            <w:r>
              <w:rPr>
                <w:lang w:val="en-US" w:eastAsia="zh-CN"/>
              </w:rPr>
              <w:t>S10</w:t>
            </w:r>
          </w:p>
        </w:tc>
        <w:tc>
          <w:tcPr>
            <w:tcW w:w="526" w:type="pct"/>
            <w:tcBorders>
              <w:top w:val="nil"/>
              <w:left w:val="nil"/>
              <w:bottom w:val="nil"/>
              <w:right w:val="nil"/>
            </w:tcBorders>
            <w:shd w:val="clear" w:color="auto" w:fill="FFFFFF"/>
            <w:vAlign w:val="center"/>
          </w:tcPr>
          <w:p w14:paraId="619F16BC">
            <w:pPr>
              <w:pStyle w:val="167"/>
              <w:bidi w:val="0"/>
              <w:rPr>
                <w:lang w:val="en-US" w:eastAsia="zh-CN"/>
              </w:rPr>
            </w:pPr>
            <w:r>
              <w:rPr>
                <w:lang w:val="en-US" w:eastAsia="zh-CN"/>
              </w:rPr>
              <w:t>Pooled all comparator categories</w:t>
            </w:r>
          </w:p>
        </w:tc>
        <w:tc>
          <w:tcPr>
            <w:tcW w:w="636" w:type="pct"/>
            <w:tcBorders>
              <w:top w:val="nil"/>
              <w:left w:val="nil"/>
              <w:bottom w:val="nil"/>
              <w:right w:val="nil"/>
            </w:tcBorders>
            <w:shd w:val="clear" w:color="auto" w:fill="FFFFFF"/>
            <w:vAlign w:val="center"/>
          </w:tcPr>
          <w:p w14:paraId="40937620">
            <w:pPr>
              <w:pStyle w:val="167"/>
              <w:bidi w:val="0"/>
              <w:rPr>
                <w:lang w:val="en-US" w:eastAsia="zh-CN"/>
              </w:rPr>
            </w:pPr>
            <w:r>
              <w:rPr>
                <w:lang w:val="en-US" w:eastAsia="zh-CN"/>
              </w:rPr>
              <w:t>Functional mobility</w:t>
            </w:r>
          </w:p>
        </w:tc>
        <w:tc>
          <w:tcPr>
            <w:tcW w:w="734" w:type="pct"/>
            <w:tcBorders>
              <w:top w:val="nil"/>
              <w:left w:val="nil"/>
              <w:bottom w:val="nil"/>
              <w:right w:val="nil"/>
            </w:tcBorders>
            <w:shd w:val="clear" w:color="auto" w:fill="FFFFFF"/>
            <w:vAlign w:val="center"/>
          </w:tcPr>
          <w:p w14:paraId="26908395">
            <w:pPr>
              <w:pStyle w:val="167"/>
              <w:bidi w:val="0"/>
              <w:rPr>
                <w:lang w:val="en-US" w:eastAsia="zh-CN"/>
              </w:rPr>
            </w:pPr>
            <w:r>
              <w:rPr>
                <w:lang w:val="en-US" w:eastAsia="zh-CN"/>
              </w:rPr>
              <w:t>Comparator-specific estimand</w:t>
            </w:r>
          </w:p>
        </w:tc>
        <w:tc>
          <w:tcPr>
            <w:tcW w:w="612" w:type="pct"/>
            <w:tcBorders>
              <w:top w:val="nil"/>
              <w:left w:val="nil"/>
              <w:bottom w:val="nil"/>
              <w:right w:val="nil"/>
            </w:tcBorders>
            <w:shd w:val="clear" w:color="auto" w:fill="FFFFFF"/>
            <w:vAlign w:val="center"/>
          </w:tcPr>
          <w:p w14:paraId="5FE51477">
            <w:pPr>
              <w:pStyle w:val="167"/>
              <w:bidi w:val="0"/>
              <w:rPr>
                <w:lang w:val="en-US" w:eastAsia="zh-CN"/>
              </w:rPr>
            </w:pPr>
            <w:r>
              <w:rPr>
                <w:lang w:val="en-US" w:eastAsia="zh-CN"/>
              </w:rPr>
              <w:t>k=4/N=359; g=0.05 (−0.29 to 0.39)</w:t>
            </w:r>
          </w:p>
        </w:tc>
        <w:tc>
          <w:tcPr>
            <w:tcW w:w="805" w:type="pct"/>
            <w:tcBorders>
              <w:top w:val="nil"/>
              <w:left w:val="nil"/>
              <w:bottom w:val="nil"/>
              <w:right w:val="nil"/>
            </w:tcBorders>
            <w:shd w:val="clear" w:color="auto" w:fill="FFFFFF"/>
            <w:vAlign w:val="center"/>
          </w:tcPr>
          <w:p w14:paraId="1EC72150">
            <w:pPr>
              <w:pStyle w:val="167"/>
              <w:bidi w:val="0"/>
              <w:rPr>
                <w:lang w:val="en-US" w:eastAsia="zh-CN"/>
              </w:rPr>
            </w:pPr>
            <w:r>
              <w:rPr>
                <w:lang w:val="en-US" w:eastAsia="zh-CN"/>
              </w:rPr>
              <w:t>I²=0.0%; τ²=0.000</w:t>
            </w:r>
          </w:p>
        </w:tc>
        <w:tc>
          <w:tcPr>
            <w:tcW w:w="427" w:type="pct"/>
            <w:tcBorders>
              <w:top w:val="nil"/>
              <w:left w:val="nil"/>
              <w:bottom w:val="nil"/>
              <w:right w:val="nil"/>
            </w:tcBorders>
            <w:shd w:val="clear" w:color="auto" w:fill="FFFFFF"/>
            <w:vAlign w:val="center"/>
          </w:tcPr>
          <w:p w14:paraId="17495F94">
            <w:pPr>
              <w:pStyle w:val="167"/>
              <w:bidi w:val="0"/>
              <w:rPr>
                <w:lang w:val="en-US" w:eastAsia="zh-CN"/>
              </w:rPr>
            </w:pPr>
            <w:r>
              <w:rPr>
                <w:lang w:val="en-US" w:eastAsia="zh-CN"/>
              </w:rPr>
              <w:t>Not comparable</w:t>
            </w:r>
          </w:p>
        </w:tc>
        <w:tc>
          <w:tcPr>
            <w:tcW w:w="896" w:type="pct"/>
            <w:tcBorders>
              <w:top w:val="nil"/>
              <w:left w:val="nil"/>
              <w:bottom w:val="nil"/>
              <w:right w:val="nil"/>
            </w:tcBorders>
            <w:shd w:val="clear" w:color="auto" w:fill="FFFFFF"/>
            <w:vAlign w:val="center"/>
          </w:tcPr>
          <w:p w14:paraId="5F154501">
            <w:pPr>
              <w:pStyle w:val="167"/>
              <w:bidi w:val="0"/>
              <w:rPr>
                <w:lang w:val="en-US" w:eastAsia="zh-CN"/>
              </w:rPr>
            </w:pPr>
            <w:r>
              <w:rPr>
                <w:lang w:val="en-US" w:eastAsia="zh-CN"/>
              </w:rPr>
              <w:t>This analysis changed the estimand and is supplementary only.</w:t>
            </w:r>
          </w:p>
        </w:tc>
      </w:tr>
      <w:tr w14:paraId="186DDDA0">
        <w:trPr>
          <w:cantSplit/>
        </w:trPr>
        <w:tc>
          <w:tcPr>
            <w:tcW w:w="360" w:type="pct"/>
            <w:tcBorders>
              <w:top w:val="nil"/>
              <w:left w:val="nil"/>
              <w:bottom w:val="single" w:color="000000" w:sz="12" w:space="0"/>
              <w:right w:val="nil"/>
            </w:tcBorders>
            <w:shd w:val="clear" w:color="auto" w:fill="FFFFFF"/>
            <w:vAlign w:val="center"/>
          </w:tcPr>
          <w:p w14:paraId="5A133437">
            <w:pPr>
              <w:pStyle w:val="167"/>
              <w:bidi w:val="0"/>
              <w:rPr>
                <w:lang w:val="en-US" w:eastAsia="zh-CN"/>
              </w:rPr>
            </w:pPr>
            <w:r>
              <w:rPr>
                <w:lang w:val="en-US" w:eastAsia="zh-CN"/>
              </w:rPr>
              <w:t>S10</w:t>
            </w:r>
          </w:p>
        </w:tc>
        <w:tc>
          <w:tcPr>
            <w:tcW w:w="526" w:type="pct"/>
            <w:tcBorders>
              <w:top w:val="nil"/>
              <w:left w:val="nil"/>
              <w:bottom w:val="single" w:color="000000" w:sz="12" w:space="0"/>
              <w:right w:val="nil"/>
            </w:tcBorders>
            <w:shd w:val="clear" w:color="auto" w:fill="FFFFFF"/>
            <w:vAlign w:val="center"/>
          </w:tcPr>
          <w:p w14:paraId="174C0CC2">
            <w:pPr>
              <w:pStyle w:val="167"/>
              <w:bidi w:val="0"/>
              <w:rPr>
                <w:lang w:val="en-US" w:eastAsia="zh-CN"/>
              </w:rPr>
            </w:pPr>
            <w:r>
              <w:rPr>
                <w:lang w:val="en-US" w:eastAsia="zh-CN"/>
              </w:rPr>
              <w:t>Pooled all comparator categories</w:t>
            </w:r>
          </w:p>
        </w:tc>
        <w:tc>
          <w:tcPr>
            <w:tcW w:w="636" w:type="pct"/>
            <w:tcBorders>
              <w:top w:val="nil"/>
              <w:left w:val="nil"/>
              <w:bottom w:val="single" w:color="000000" w:sz="12" w:space="0"/>
              <w:right w:val="nil"/>
            </w:tcBorders>
            <w:shd w:val="clear" w:color="auto" w:fill="FFFFFF"/>
            <w:vAlign w:val="center"/>
          </w:tcPr>
          <w:p w14:paraId="2A147930">
            <w:pPr>
              <w:pStyle w:val="167"/>
              <w:bidi w:val="0"/>
              <w:rPr>
                <w:lang w:val="en-US" w:eastAsia="zh-CN"/>
              </w:rPr>
            </w:pPr>
            <w:r>
              <w:rPr>
                <w:lang w:val="en-US" w:eastAsia="zh-CN"/>
              </w:rPr>
              <w:t>Gait/walking function</w:t>
            </w:r>
          </w:p>
        </w:tc>
        <w:tc>
          <w:tcPr>
            <w:tcW w:w="734" w:type="pct"/>
            <w:tcBorders>
              <w:top w:val="nil"/>
              <w:left w:val="nil"/>
              <w:bottom w:val="single" w:color="000000" w:sz="12" w:space="0"/>
              <w:right w:val="nil"/>
            </w:tcBorders>
            <w:shd w:val="clear" w:color="auto" w:fill="FFFFFF"/>
            <w:vAlign w:val="center"/>
          </w:tcPr>
          <w:p w14:paraId="1008EDD4">
            <w:pPr>
              <w:pStyle w:val="167"/>
              <w:bidi w:val="0"/>
              <w:rPr>
                <w:lang w:val="en-US" w:eastAsia="zh-CN"/>
              </w:rPr>
            </w:pPr>
            <w:r>
              <w:rPr>
                <w:lang w:val="en-US" w:eastAsia="zh-CN"/>
              </w:rPr>
              <w:t>Comparator-specific estimand</w:t>
            </w:r>
          </w:p>
        </w:tc>
        <w:tc>
          <w:tcPr>
            <w:tcW w:w="612" w:type="pct"/>
            <w:tcBorders>
              <w:top w:val="nil"/>
              <w:left w:val="nil"/>
              <w:bottom w:val="single" w:color="000000" w:sz="12" w:space="0"/>
              <w:right w:val="nil"/>
            </w:tcBorders>
            <w:shd w:val="clear" w:color="auto" w:fill="FFFFFF"/>
            <w:vAlign w:val="center"/>
          </w:tcPr>
          <w:p w14:paraId="09CA868D">
            <w:pPr>
              <w:pStyle w:val="167"/>
              <w:bidi w:val="0"/>
              <w:rPr>
                <w:lang w:val="en-US" w:eastAsia="zh-CN"/>
              </w:rPr>
            </w:pPr>
            <w:r>
              <w:rPr>
                <w:lang w:val="en-US" w:eastAsia="zh-CN"/>
              </w:rPr>
              <w:t>k=7/N=435; g=0.09 (−0.23 to 0.41)</w:t>
            </w:r>
          </w:p>
        </w:tc>
        <w:tc>
          <w:tcPr>
            <w:tcW w:w="805" w:type="pct"/>
            <w:tcBorders>
              <w:top w:val="nil"/>
              <w:left w:val="nil"/>
              <w:bottom w:val="single" w:color="000000" w:sz="12" w:space="0"/>
              <w:right w:val="nil"/>
            </w:tcBorders>
            <w:shd w:val="clear" w:color="auto" w:fill="FFFFFF"/>
            <w:vAlign w:val="center"/>
          </w:tcPr>
          <w:p w14:paraId="3F8B18B9">
            <w:pPr>
              <w:pStyle w:val="167"/>
              <w:bidi w:val="0"/>
              <w:rPr>
                <w:lang w:val="en-US" w:eastAsia="zh-CN"/>
              </w:rPr>
            </w:pPr>
            <w:r>
              <w:rPr>
                <w:lang w:val="en-US" w:eastAsia="zh-CN"/>
              </w:rPr>
              <w:t>I²=31.77%; τ²=0.039</w:t>
            </w:r>
          </w:p>
        </w:tc>
        <w:tc>
          <w:tcPr>
            <w:tcW w:w="427" w:type="pct"/>
            <w:tcBorders>
              <w:top w:val="nil"/>
              <w:left w:val="nil"/>
              <w:bottom w:val="single" w:color="000000" w:sz="12" w:space="0"/>
              <w:right w:val="nil"/>
            </w:tcBorders>
            <w:shd w:val="clear" w:color="auto" w:fill="FFFFFF"/>
            <w:vAlign w:val="center"/>
          </w:tcPr>
          <w:p w14:paraId="1DC4A8F9">
            <w:pPr>
              <w:pStyle w:val="167"/>
              <w:bidi w:val="0"/>
              <w:rPr>
                <w:lang w:val="en-US" w:eastAsia="zh-CN"/>
              </w:rPr>
            </w:pPr>
            <w:r>
              <w:rPr>
                <w:lang w:val="en-US" w:eastAsia="zh-CN"/>
              </w:rPr>
              <w:t>Not comparable</w:t>
            </w:r>
          </w:p>
        </w:tc>
        <w:tc>
          <w:tcPr>
            <w:tcW w:w="896" w:type="pct"/>
            <w:tcBorders>
              <w:top w:val="nil"/>
              <w:left w:val="nil"/>
              <w:bottom w:val="single" w:color="000000" w:sz="12" w:space="0"/>
              <w:right w:val="nil"/>
            </w:tcBorders>
            <w:shd w:val="clear" w:color="auto" w:fill="FFFFFF"/>
            <w:vAlign w:val="center"/>
          </w:tcPr>
          <w:p w14:paraId="4C55E05C">
            <w:pPr>
              <w:pStyle w:val="167"/>
              <w:bidi w:val="0"/>
              <w:rPr>
                <w:lang w:val="en-US" w:eastAsia="zh-CN"/>
              </w:rPr>
            </w:pPr>
            <w:r>
              <w:rPr>
                <w:lang w:val="en-US" w:eastAsia="zh-CN"/>
              </w:rPr>
              <w:t>This analysis changed the estimand and is supplementary only.</w:t>
            </w:r>
          </w:p>
        </w:tc>
      </w:tr>
    </w:tbl>
    <w:p w14:paraId="2A536D3E">
      <w:pPr>
        <w:pStyle w:val="4"/>
        <w:bidi w:val="0"/>
      </w:pPr>
      <w:r>
        <w:rPr>
          <w:rFonts w:hint="default"/>
          <w:lang w:val="en-US" w:eastAsia="zh-CN"/>
        </w:rPr>
        <w:t xml:space="preserve">Supplementary </w:t>
      </w:r>
      <w:r>
        <w:rPr>
          <w:lang w:val="en-US" w:eastAsia="zh-CN"/>
        </w:rPr>
        <w:t>Table S6C. Leave-one-out and influence diagnostics</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6"/>
        <w:gridCol w:w="1524"/>
        <w:gridCol w:w="1624"/>
        <w:gridCol w:w="2256"/>
        <w:gridCol w:w="2238"/>
        <w:gridCol w:w="2771"/>
        <w:gridCol w:w="2255"/>
      </w:tblGrid>
      <w:tr w14:paraId="52B401BD">
        <w:trPr>
          <w:cantSplit/>
        </w:trPr>
        <w:tc>
          <w:tcPr>
            <w:tcW w:w="0" w:type="auto"/>
            <w:tcBorders>
              <w:top w:val="single" w:color="000000" w:sz="12" w:space="0"/>
              <w:left w:val="nil"/>
              <w:bottom w:val="single" w:color="000000" w:sz="4" w:space="0"/>
              <w:right w:val="nil"/>
              <w:tl2br w:val="nil"/>
            </w:tcBorders>
            <w:shd w:val="clear" w:color="auto" w:fill="FFFFFF"/>
            <w:vAlign w:val="center"/>
          </w:tcPr>
          <w:p w14:paraId="45537918">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Outcome</w:t>
            </w:r>
          </w:p>
        </w:tc>
        <w:tc>
          <w:tcPr>
            <w:tcW w:w="0" w:type="auto"/>
            <w:tcBorders>
              <w:top w:val="single" w:color="000000" w:sz="12" w:space="0"/>
              <w:left w:val="nil"/>
              <w:bottom w:val="single" w:color="000000" w:sz="4" w:space="0"/>
              <w:right w:val="nil"/>
            </w:tcBorders>
            <w:shd w:val="clear" w:color="auto" w:fill="FFFFFF"/>
            <w:vAlign w:val="center"/>
          </w:tcPr>
          <w:p w14:paraId="6C683EC1">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Eligible comparator strata</w:t>
            </w:r>
          </w:p>
        </w:tc>
        <w:tc>
          <w:tcPr>
            <w:tcW w:w="0" w:type="auto"/>
            <w:tcBorders>
              <w:top w:val="single" w:color="000000" w:sz="12" w:space="0"/>
              <w:left w:val="nil"/>
              <w:bottom w:val="single" w:color="000000" w:sz="4" w:space="0"/>
              <w:right w:val="nil"/>
            </w:tcBorders>
            <w:shd w:val="clear" w:color="auto" w:fill="FFFFFF"/>
            <w:vAlign w:val="center"/>
          </w:tcPr>
          <w:p w14:paraId="67D39FF9">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Primary result</w:t>
            </w:r>
          </w:p>
        </w:tc>
        <w:tc>
          <w:tcPr>
            <w:tcW w:w="0" w:type="auto"/>
            <w:tcBorders>
              <w:top w:val="single" w:color="000000" w:sz="12" w:space="0"/>
              <w:left w:val="nil"/>
              <w:bottom w:val="single" w:color="000000" w:sz="4" w:space="0"/>
              <w:right w:val="nil"/>
            </w:tcBorders>
            <w:shd w:val="clear" w:color="auto" w:fill="FFFFFF"/>
            <w:vAlign w:val="center"/>
          </w:tcPr>
          <w:p w14:paraId="6F2E766A">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Leave-one-out result</w:t>
            </w:r>
          </w:p>
        </w:tc>
        <w:tc>
          <w:tcPr>
            <w:tcW w:w="0" w:type="auto"/>
            <w:tcBorders>
              <w:top w:val="single" w:color="000000" w:sz="12" w:space="0"/>
              <w:left w:val="nil"/>
              <w:bottom w:val="single" w:color="000000" w:sz="4" w:space="0"/>
              <w:right w:val="nil"/>
            </w:tcBorders>
            <w:shd w:val="clear" w:color="auto" w:fill="FFFFFF"/>
            <w:vAlign w:val="center"/>
          </w:tcPr>
          <w:p w14:paraId="1B9ABDD8">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Heterogeneity after deletion</w:t>
            </w:r>
          </w:p>
        </w:tc>
        <w:tc>
          <w:tcPr>
            <w:tcW w:w="0" w:type="auto"/>
            <w:tcBorders>
              <w:top w:val="single" w:color="000000" w:sz="12" w:space="0"/>
              <w:left w:val="nil"/>
              <w:bottom w:val="single" w:color="000000" w:sz="4" w:space="0"/>
              <w:right w:val="nil"/>
            </w:tcBorders>
            <w:shd w:val="clear" w:color="auto" w:fill="FFFFFF"/>
            <w:vAlign w:val="center"/>
          </w:tcPr>
          <w:p w14:paraId="565F42F9">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Influential/outlier findings</w:t>
            </w:r>
          </w:p>
        </w:tc>
        <w:tc>
          <w:tcPr>
            <w:tcW w:w="0" w:type="auto"/>
            <w:tcBorders>
              <w:top w:val="single" w:color="000000" w:sz="12" w:space="0"/>
              <w:left w:val="nil"/>
              <w:bottom w:val="single" w:color="000000" w:sz="4" w:space="0"/>
              <w:right w:val="nil"/>
            </w:tcBorders>
            <w:shd w:val="clear" w:color="auto" w:fill="FFFFFF"/>
            <w:vAlign w:val="center"/>
          </w:tcPr>
          <w:p w14:paraId="53DB4561">
            <w:pPr>
              <w:pStyle w:val="167"/>
              <w:bidi w:val="0"/>
              <w:rPr>
                <w:rFonts w:hint="default" w:ascii="Times New Roman Bold" w:hAnsi="Times New Roman Bold" w:cs="Times New Roman Bold"/>
                <w:b/>
                <w:bCs/>
                <w:lang w:val="en-US" w:eastAsia="zh-CN"/>
              </w:rPr>
            </w:pPr>
            <w:r>
              <w:rPr>
                <w:rFonts w:hint="default" w:ascii="Times New Roman Bold" w:hAnsi="Times New Roman Bold" w:cs="Times New Roman Bold"/>
                <w:b/>
                <w:bCs/>
                <w:lang w:val="en-US" w:eastAsia="zh-CN"/>
              </w:rPr>
              <w:t>Overall interpretation</w:t>
            </w:r>
          </w:p>
        </w:tc>
      </w:tr>
      <w:tr w14:paraId="60BE8B00">
        <w:trPr>
          <w:cantSplit/>
        </w:trPr>
        <w:tc>
          <w:tcPr>
            <w:tcW w:w="0" w:type="auto"/>
            <w:tcBorders>
              <w:top w:val="single" w:color="000000" w:sz="4" w:space="0"/>
              <w:left w:val="nil"/>
              <w:bottom w:val="nil"/>
              <w:right w:val="nil"/>
            </w:tcBorders>
            <w:shd w:val="clear" w:color="auto" w:fill="FFFFFF"/>
            <w:vAlign w:val="center"/>
          </w:tcPr>
          <w:p w14:paraId="0D7B3637">
            <w:pPr>
              <w:pStyle w:val="167"/>
              <w:bidi w:val="0"/>
              <w:rPr>
                <w:lang w:val="en-US" w:eastAsia="zh-CN"/>
              </w:rPr>
            </w:pPr>
            <w:r>
              <w:rPr>
                <w:lang w:val="en-US" w:eastAsia="zh-CN"/>
              </w:rPr>
              <w:t>MDS-UPDRS III/UPDRS III</w:t>
            </w:r>
          </w:p>
        </w:tc>
        <w:tc>
          <w:tcPr>
            <w:tcW w:w="0" w:type="auto"/>
            <w:tcBorders>
              <w:top w:val="single" w:color="000000" w:sz="4" w:space="0"/>
              <w:left w:val="nil"/>
              <w:bottom w:val="nil"/>
              <w:right w:val="nil"/>
            </w:tcBorders>
            <w:shd w:val="clear" w:color="auto" w:fill="FFFFFF"/>
            <w:vAlign w:val="center"/>
          </w:tcPr>
          <w:p w14:paraId="1ADE4318">
            <w:pPr>
              <w:pStyle w:val="167"/>
              <w:bidi w:val="0"/>
              <w:rPr>
                <w:lang w:val="en-US" w:eastAsia="zh-CN"/>
              </w:rPr>
            </w:pPr>
            <w:r>
              <w:rPr>
                <w:lang w:val="en-US" w:eastAsia="zh-CN"/>
              </w:rPr>
              <w:t>Ordinary home exercise; active rehabilitation</w:t>
            </w:r>
          </w:p>
        </w:tc>
        <w:tc>
          <w:tcPr>
            <w:tcW w:w="0" w:type="auto"/>
            <w:tcBorders>
              <w:top w:val="single" w:color="000000" w:sz="4" w:space="0"/>
              <w:left w:val="nil"/>
              <w:bottom w:val="nil"/>
              <w:right w:val="nil"/>
            </w:tcBorders>
            <w:shd w:val="clear" w:color="auto" w:fill="FFFFFF"/>
            <w:vAlign w:val="center"/>
          </w:tcPr>
          <w:p w14:paraId="3414494C">
            <w:pPr>
              <w:pStyle w:val="167"/>
              <w:bidi w:val="0"/>
              <w:rPr>
                <w:lang w:val="en-US" w:eastAsia="zh-CN"/>
              </w:rPr>
            </w:pPr>
            <w:r>
              <w:rPr>
                <w:lang w:val="en-US" w:eastAsia="zh-CN"/>
              </w:rPr>
              <w:t>Ordinary home: g=0.41; active rehabilitation: g=0.30</w:t>
            </w:r>
          </w:p>
        </w:tc>
        <w:tc>
          <w:tcPr>
            <w:tcW w:w="0" w:type="auto"/>
            <w:tcBorders>
              <w:top w:val="single" w:color="000000" w:sz="4" w:space="0"/>
              <w:left w:val="nil"/>
              <w:bottom w:val="nil"/>
              <w:right w:val="nil"/>
            </w:tcBorders>
            <w:shd w:val="clear" w:color="auto" w:fill="FFFFFF"/>
            <w:vAlign w:val="center"/>
          </w:tcPr>
          <w:p w14:paraId="21E9F574">
            <w:pPr>
              <w:pStyle w:val="167"/>
              <w:bidi w:val="0"/>
              <w:rPr>
                <w:lang w:val="en-US" w:eastAsia="zh-CN"/>
              </w:rPr>
            </w:pPr>
            <w:r>
              <w:rPr>
                <w:lang w:val="en-US" w:eastAsia="zh-CN"/>
              </w:rPr>
              <w:t>Ordinary-home g range: 0.35 to 0.48; active-rehabilitation g range: 0.25 to 0.43</w:t>
            </w:r>
          </w:p>
        </w:tc>
        <w:tc>
          <w:tcPr>
            <w:tcW w:w="0" w:type="auto"/>
            <w:tcBorders>
              <w:top w:val="single" w:color="000000" w:sz="4" w:space="0"/>
              <w:left w:val="nil"/>
              <w:bottom w:val="nil"/>
              <w:right w:val="nil"/>
            </w:tcBorders>
            <w:shd w:val="clear" w:color="auto" w:fill="FFFFFF"/>
            <w:vAlign w:val="center"/>
          </w:tcPr>
          <w:p w14:paraId="64202BE6">
            <w:pPr>
              <w:pStyle w:val="167"/>
              <w:bidi w:val="0"/>
              <w:rPr>
                <w:lang w:val="en-US" w:eastAsia="zh-CN"/>
              </w:rPr>
            </w:pPr>
            <w:r>
              <w:rPr>
                <w:lang w:val="en-US" w:eastAsia="zh-CN"/>
              </w:rPr>
              <w:t>Ordinary-home I²: 0.0%–3.3%; active-rehabilitation I²: 0.0%–54.7%</w:t>
            </w:r>
          </w:p>
        </w:tc>
        <w:tc>
          <w:tcPr>
            <w:tcW w:w="0" w:type="auto"/>
            <w:tcBorders>
              <w:top w:val="single" w:color="000000" w:sz="4" w:space="0"/>
              <w:left w:val="nil"/>
              <w:bottom w:val="nil"/>
              <w:right w:val="nil"/>
            </w:tcBorders>
            <w:shd w:val="clear" w:color="auto" w:fill="FFFFFF"/>
            <w:vAlign w:val="center"/>
          </w:tcPr>
          <w:p w14:paraId="3EE52452">
            <w:pPr>
              <w:pStyle w:val="167"/>
              <w:bidi w:val="0"/>
              <w:rPr>
                <w:lang w:val="en-US" w:eastAsia="zh-CN"/>
              </w:rPr>
            </w:pPr>
            <w:r>
              <w:rPr>
                <w:lang w:val="en-US" w:eastAsia="zh-CN"/>
              </w:rPr>
              <w:t>Dhamija 2025 and Ge 2024 were influential according to Cook’s distance; no clear residual outlier was identified.</w:t>
            </w:r>
          </w:p>
        </w:tc>
        <w:tc>
          <w:tcPr>
            <w:tcW w:w="0" w:type="auto"/>
            <w:tcBorders>
              <w:top w:val="single" w:color="000000" w:sz="4" w:space="0"/>
              <w:left w:val="nil"/>
              <w:bottom w:val="nil"/>
              <w:right w:val="nil"/>
            </w:tcBorders>
            <w:shd w:val="clear" w:color="auto" w:fill="FFFFFF"/>
            <w:vAlign w:val="center"/>
          </w:tcPr>
          <w:p w14:paraId="00360B51">
            <w:pPr>
              <w:pStyle w:val="167"/>
              <w:bidi w:val="0"/>
              <w:rPr>
                <w:lang w:val="en-US" w:eastAsia="zh-CN"/>
              </w:rPr>
            </w:pPr>
            <w:r>
              <w:rPr>
                <w:lang w:val="en-US" w:eastAsia="zh-CN"/>
              </w:rPr>
              <w:t>No single-study deletion changed the effect direction or CI-null interpretation; heterogeneity was study-sensitive.</w:t>
            </w:r>
          </w:p>
        </w:tc>
      </w:tr>
      <w:tr w14:paraId="1152B15E">
        <w:trPr>
          <w:cantSplit/>
        </w:trPr>
        <w:tc>
          <w:tcPr>
            <w:tcW w:w="0" w:type="auto"/>
            <w:tcBorders>
              <w:top w:val="nil"/>
              <w:left w:val="nil"/>
              <w:bottom w:val="nil"/>
              <w:right w:val="nil"/>
            </w:tcBorders>
            <w:shd w:val="clear" w:color="auto" w:fill="FFFFFF"/>
            <w:vAlign w:val="center"/>
          </w:tcPr>
          <w:p w14:paraId="7ECDC604">
            <w:pPr>
              <w:pStyle w:val="167"/>
              <w:bidi w:val="0"/>
              <w:rPr>
                <w:lang w:val="en-US" w:eastAsia="zh-CN"/>
              </w:rPr>
            </w:pPr>
            <w:r>
              <w:rPr>
                <w:lang w:val="en-US" w:eastAsia="zh-CN"/>
              </w:rPr>
              <w:t>Balance function</w:t>
            </w:r>
          </w:p>
        </w:tc>
        <w:tc>
          <w:tcPr>
            <w:tcW w:w="0" w:type="auto"/>
            <w:tcBorders>
              <w:top w:val="nil"/>
              <w:left w:val="nil"/>
              <w:bottom w:val="nil"/>
              <w:right w:val="nil"/>
            </w:tcBorders>
            <w:shd w:val="clear" w:color="auto" w:fill="FFFFFF"/>
            <w:vAlign w:val="center"/>
          </w:tcPr>
          <w:p w14:paraId="0B06D73E">
            <w:pPr>
              <w:pStyle w:val="167"/>
              <w:bidi w:val="0"/>
              <w:rPr>
                <w:lang w:val="en-US" w:eastAsia="zh-CN"/>
              </w:rPr>
            </w:pPr>
            <w:r>
              <w:rPr>
                <w:lang w:val="en-US" w:eastAsia="zh-CN"/>
              </w:rPr>
              <w:t>Active therapist-led rehabilitation</w:t>
            </w:r>
          </w:p>
        </w:tc>
        <w:tc>
          <w:tcPr>
            <w:tcW w:w="0" w:type="auto"/>
            <w:tcBorders>
              <w:top w:val="nil"/>
              <w:left w:val="nil"/>
              <w:bottom w:val="nil"/>
              <w:right w:val="nil"/>
            </w:tcBorders>
            <w:shd w:val="clear" w:color="auto" w:fill="FFFFFF"/>
            <w:vAlign w:val="center"/>
          </w:tcPr>
          <w:p w14:paraId="4C3667CD">
            <w:pPr>
              <w:pStyle w:val="167"/>
              <w:bidi w:val="0"/>
              <w:rPr>
                <w:lang w:val="en-US" w:eastAsia="zh-CN"/>
              </w:rPr>
            </w:pPr>
            <w:r>
              <w:rPr>
                <w:lang w:val="en-US" w:eastAsia="zh-CN"/>
              </w:rPr>
              <w:t>k=5/N=381; g=0.26 (−0.12 to 0.65)</w:t>
            </w:r>
          </w:p>
        </w:tc>
        <w:tc>
          <w:tcPr>
            <w:tcW w:w="0" w:type="auto"/>
            <w:tcBorders>
              <w:top w:val="nil"/>
              <w:left w:val="nil"/>
              <w:bottom w:val="nil"/>
              <w:right w:val="nil"/>
            </w:tcBorders>
            <w:shd w:val="clear" w:color="auto" w:fill="FFFFFF"/>
            <w:vAlign w:val="center"/>
          </w:tcPr>
          <w:p w14:paraId="7908DBF6">
            <w:pPr>
              <w:pStyle w:val="167"/>
              <w:bidi w:val="0"/>
              <w:rPr>
                <w:lang w:val="en-US" w:eastAsia="zh-CN"/>
              </w:rPr>
            </w:pPr>
            <w:r>
              <w:rPr>
                <w:lang w:val="en-US" w:eastAsia="zh-CN"/>
              </w:rPr>
              <w:t>g range: 0.16 to 0.36; after removing Flynn 2021: g=0.36 (0.02 to 0.71)</w:t>
            </w:r>
          </w:p>
        </w:tc>
        <w:tc>
          <w:tcPr>
            <w:tcW w:w="0" w:type="auto"/>
            <w:tcBorders>
              <w:top w:val="nil"/>
              <w:left w:val="nil"/>
              <w:bottom w:val="nil"/>
              <w:right w:val="nil"/>
            </w:tcBorders>
            <w:shd w:val="clear" w:color="auto" w:fill="FFFFFF"/>
            <w:vAlign w:val="center"/>
          </w:tcPr>
          <w:p w14:paraId="6F6D9DB5">
            <w:pPr>
              <w:pStyle w:val="167"/>
              <w:bidi w:val="0"/>
              <w:rPr>
                <w:lang w:val="en-US" w:eastAsia="zh-CN"/>
              </w:rPr>
            </w:pPr>
            <w:r>
              <w:rPr>
                <w:lang w:val="en-US" w:eastAsia="zh-CN"/>
              </w:rPr>
              <w:t>After removing Flynn: I² 31.2%→0.0%; after other deletions: 33.1%–48.3%</w:t>
            </w:r>
          </w:p>
        </w:tc>
        <w:tc>
          <w:tcPr>
            <w:tcW w:w="0" w:type="auto"/>
            <w:tcBorders>
              <w:top w:val="nil"/>
              <w:left w:val="nil"/>
              <w:bottom w:val="nil"/>
              <w:right w:val="nil"/>
            </w:tcBorders>
            <w:shd w:val="clear" w:color="auto" w:fill="FFFFFF"/>
            <w:vAlign w:val="center"/>
          </w:tcPr>
          <w:p w14:paraId="08F604DE">
            <w:pPr>
              <w:pStyle w:val="167"/>
              <w:bidi w:val="0"/>
              <w:rPr>
                <w:lang w:val="en-US" w:eastAsia="zh-CN"/>
              </w:rPr>
            </w:pPr>
            <w:r>
              <w:rPr>
                <w:lang w:val="en-US" w:eastAsia="zh-CN"/>
              </w:rPr>
              <w:t>Flynn 2021, Gandolfi 2017, and Ge 2024 were influential according to Cook’s distance; Flynn was also a potential residual outlier.</w:t>
            </w:r>
          </w:p>
        </w:tc>
        <w:tc>
          <w:tcPr>
            <w:tcW w:w="0" w:type="auto"/>
            <w:tcBorders>
              <w:top w:val="nil"/>
              <w:left w:val="nil"/>
              <w:bottom w:val="nil"/>
              <w:right w:val="nil"/>
            </w:tcBorders>
            <w:shd w:val="clear" w:color="auto" w:fill="FFFFFF"/>
            <w:vAlign w:val="center"/>
          </w:tcPr>
          <w:p w14:paraId="12E16FB2">
            <w:pPr>
              <w:pStyle w:val="167"/>
              <w:bidi w:val="0"/>
              <w:rPr>
                <w:lang w:val="en-US" w:eastAsia="zh-CN"/>
              </w:rPr>
            </w:pPr>
            <w:r>
              <w:rPr>
                <w:lang w:val="en-US" w:eastAsia="zh-CN"/>
              </w:rPr>
              <w:t>Direction was stable, but CI-null interpretation was sensitive to Flynn 2021. This diagnostic result does not supersede the primary analysis.</w:t>
            </w:r>
          </w:p>
        </w:tc>
      </w:tr>
      <w:tr w14:paraId="3DA1471E">
        <w:trPr>
          <w:cantSplit/>
        </w:trPr>
        <w:tc>
          <w:tcPr>
            <w:tcW w:w="0" w:type="auto"/>
            <w:tcBorders>
              <w:top w:val="nil"/>
              <w:left w:val="nil"/>
              <w:bottom w:val="nil"/>
              <w:right w:val="nil"/>
            </w:tcBorders>
            <w:shd w:val="clear" w:color="auto" w:fill="FFFFFF"/>
            <w:vAlign w:val="center"/>
          </w:tcPr>
          <w:p w14:paraId="7C82FA6A">
            <w:pPr>
              <w:pStyle w:val="167"/>
              <w:bidi w:val="0"/>
              <w:rPr>
                <w:lang w:val="en-US" w:eastAsia="zh-CN"/>
              </w:rPr>
            </w:pPr>
            <w:r>
              <w:rPr>
                <w:lang w:val="en-US" w:eastAsia="zh-CN"/>
              </w:rPr>
              <w:t>Functional mobility</w:t>
            </w:r>
          </w:p>
        </w:tc>
        <w:tc>
          <w:tcPr>
            <w:tcW w:w="0" w:type="auto"/>
            <w:tcBorders>
              <w:top w:val="nil"/>
              <w:left w:val="nil"/>
              <w:bottom w:val="nil"/>
              <w:right w:val="nil"/>
            </w:tcBorders>
            <w:shd w:val="clear" w:color="auto" w:fill="FFFFFF"/>
            <w:vAlign w:val="center"/>
          </w:tcPr>
          <w:p w14:paraId="4C94DB36">
            <w:pPr>
              <w:pStyle w:val="167"/>
              <w:bidi w:val="0"/>
              <w:rPr>
                <w:lang w:val="en-US" w:eastAsia="zh-CN"/>
              </w:rPr>
            </w:pPr>
            <w:r>
              <w:rPr>
                <w:lang w:val="en-US" w:eastAsia="zh-CN"/>
              </w:rPr>
              <w:t>All comparator strata</w:t>
            </w:r>
          </w:p>
        </w:tc>
        <w:tc>
          <w:tcPr>
            <w:tcW w:w="0" w:type="auto"/>
            <w:tcBorders>
              <w:top w:val="nil"/>
              <w:left w:val="nil"/>
              <w:bottom w:val="nil"/>
              <w:right w:val="nil"/>
            </w:tcBorders>
            <w:shd w:val="clear" w:color="auto" w:fill="FFFFFF"/>
            <w:vAlign w:val="center"/>
          </w:tcPr>
          <w:p w14:paraId="0976D938">
            <w:pPr>
              <w:pStyle w:val="167"/>
              <w:bidi w:val="0"/>
              <w:rPr>
                <w:lang w:val="en-US" w:eastAsia="zh-CN"/>
              </w:rPr>
            </w:pPr>
            <w:r>
              <w:rPr>
                <w:lang w:val="en-US" w:eastAsia="zh-CN"/>
              </w:rPr>
              <w:t>Strata contained k=1, k=1, and k=2</w:t>
            </w:r>
          </w:p>
        </w:tc>
        <w:tc>
          <w:tcPr>
            <w:tcW w:w="0" w:type="auto"/>
            <w:tcBorders>
              <w:top w:val="nil"/>
              <w:left w:val="nil"/>
              <w:bottom w:val="nil"/>
              <w:right w:val="nil"/>
            </w:tcBorders>
            <w:shd w:val="clear" w:color="auto" w:fill="FFFFFF"/>
            <w:vAlign w:val="center"/>
          </w:tcPr>
          <w:p w14:paraId="38A14A7C">
            <w:pPr>
              <w:pStyle w:val="167"/>
              <w:bidi w:val="0"/>
              <w:rPr>
                <w:lang w:val="en-US" w:eastAsia="zh-CN"/>
              </w:rPr>
            </w:pPr>
            <w:r>
              <w:rPr>
                <w:lang w:val="en-US" w:eastAsia="zh-CN"/>
              </w:rPr>
              <w:t>Not formally assessed</w:t>
            </w:r>
          </w:p>
        </w:tc>
        <w:tc>
          <w:tcPr>
            <w:tcW w:w="0" w:type="auto"/>
            <w:tcBorders>
              <w:top w:val="nil"/>
              <w:left w:val="nil"/>
              <w:bottom w:val="nil"/>
              <w:right w:val="nil"/>
            </w:tcBorders>
            <w:shd w:val="clear" w:color="auto" w:fill="FFFFFF"/>
            <w:vAlign w:val="center"/>
          </w:tcPr>
          <w:p w14:paraId="4864D131">
            <w:pPr>
              <w:pStyle w:val="167"/>
              <w:bidi w:val="0"/>
              <w:rPr>
                <w:lang w:val="en-US" w:eastAsia="zh-CN"/>
              </w:rPr>
            </w:pPr>
            <w:r>
              <w:rPr>
                <w:lang w:val="en-US" w:eastAsia="zh-CN"/>
              </w:rPr>
              <w:t>NA</w:t>
            </w:r>
          </w:p>
        </w:tc>
        <w:tc>
          <w:tcPr>
            <w:tcW w:w="0" w:type="auto"/>
            <w:tcBorders>
              <w:top w:val="nil"/>
              <w:left w:val="nil"/>
              <w:bottom w:val="nil"/>
              <w:right w:val="nil"/>
            </w:tcBorders>
            <w:shd w:val="clear" w:color="auto" w:fill="FFFFFF"/>
            <w:vAlign w:val="center"/>
          </w:tcPr>
          <w:p w14:paraId="1775335D">
            <w:pPr>
              <w:pStyle w:val="167"/>
              <w:bidi w:val="0"/>
              <w:rPr>
                <w:lang w:val="en-US" w:eastAsia="zh-CN"/>
              </w:rPr>
            </w:pPr>
            <w:r>
              <w:rPr>
                <w:lang w:val="en-US" w:eastAsia="zh-CN"/>
              </w:rPr>
              <w:t>Not assessed</w:t>
            </w:r>
          </w:p>
        </w:tc>
        <w:tc>
          <w:tcPr>
            <w:tcW w:w="0" w:type="auto"/>
            <w:tcBorders>
              <w:top w:val="nil"/>
              <w:left w:val="nil"/>
              <w:bottom w:val="nil"/>
              <w:right w:val="nil"/>
            </w:tcBorders>
            <w:shd w:val="clear" w:color="auto" w:fill="FFFFFF"/>
            <w:vAlign w:val="center"/>
          </w:tcPr>
          <w:p w14:paraId="512E3D7A">
            <w:pPr>
              <w:pStyle w:val="167"/>
              <w:bidi w:val="0"/>
              <w:rPr>
                <w:lang w:val="en-US" w:eastAsia="zh-CN"/>
              </w:rPr>
            </w:pPr>
            <w:r>
              <w:rPr>
                <w:lang w:val="en-US" w:eastAsia="zh-CN"/>
              </w:rPr>
              <w:t>Formal influence diagnostics were not applicable because deletion would leave fewer than two studies in each stratum.</w:t>
            </w:r>
          </w:p>
        </w:tc>
      </w:tr>
      <w:tr w14:paraId="7E5547D0">
        <w:trPr>
          <w:cantSplit/>
        </w:trPr>
        <w:tc>
          <w:tcPr>
            <w:tcW w:w="0" w:type="auto"/>
            <w:tcBorders>
              <w:top w:val="nil"/>
              <w:left w:val="nil"/>
              <w:bottom w:val="single" w:color="000000" w:sz="12" w:space="0"/>
              <w:right w:val="nil"/>
            </w:tcBorders>
            <w:shd w:val="clear" w:color="auto" w:fill="FFFFFF"/>
            <w:vAlign w:val="center"/>
          </w:tcPr>
          <w:p w14:paraId="1A76DCC0">
            <w:pPr>
              <w:pStyle w:val="167"/>
              <w:bidi w:val="0"/>
              <w:rPr>
                <w:lang w:val="en-US" w:eastAsia="zh-CN"/>
              </w:rPr>
            </w:pPr>
            <w:r>
              <w:rPr>
                <w:lang w:val="en-US" w:eastAsia="zh-CN"/>
              </w:rPr>
              <w:t>Gait/walking function</w:t>
            </w:r>
          </w:p>
        </w:tc>
        <w:tc>
          <w:tcPr>
            <w:tcW w:w="0" w:type="auto"/>
            <w:tcBorders>
              <w:top w:val="nil"/>
              <w:left w:val="nil"/>
              <w:bottom w:val="single" w:color="000000" w:sz="12" w:space="0"/>
              <w:right w:val="nil"/>
            </w:tcBorders>
            <w:shd w:val="clear" w:color="auto" w:fill="FFFFFF"/>
            <w:vAlign w:val="center"/>
          </w:tcPr>
          <w:p w14:paraId="329E8B65">
            <w:pPr>
              <w:pStyle w:val="167"/>
              <w:bidi w:val="0"/>
              <w:rPr>
                <w:lang w:val="en-US" w:eastAsia="zh-CN"/>
              </w:rPr>
            </w:pPr>
            <w:r>
              <w:rPr>
                <w:lang w:val="en-US" w:eastAsia="zh-CN"/>
              </w:rPr>
              <w:t>Active therapist-led rehabilitation</w:t>
            </w:r>
          </w:p>
        </w:tc>
        <w:tc>
          <w:tcPr>
            <w:tcW w:w="0" w:type="auto"/>
            <w:tcBorders>
              <w:top w:val="nil"/>
              <w:left w:val="nil"/>
              <w:bottom w:val="single" w:color="000000" w:sz="12" w:space="0"/>
              <w:right w:val="nil"/>
            </w:tcBorders>
            <w:shd w:val="clear" w:color="auto" w:fill="FFFFFF"/>
            <w:vAlign w:val="center"/>
          </w:tcPr>
          <w:p w14:paraId="4961A684">
            <w:pPr>
              <w:pStyle w:val="167"/>
              <w:bidi w:val="0"/>
              <w:rPr>
                <w:lang w:val="en-US" w:eastAsia="zh-CN"/>
              </w:rPr>
            </w:pPr>
            <w:r>
              <w:rPr>
                <w:lang w:val="en-US" w:eastAsia="zh-CN"/>
              </w:rPr>
              <w:t>k=4/N=318; g=0.03 (−0.67 to 0.73)</w:t>
            </w:r>
          </w:p>
        </w:tc>
        <w:tc>
          <w:tcPr>
            <w:tcW w:w="0" w:type="auto"/>
            <w:tcBorders>
              <w:top w:val="nil"/>
              <w:left w:val="nil"/>
              <w:bottom w:val="single" w:color="000000" w:sz="12" w:space="0"/>
              <w:right w:val="nil"/>
            </w:tcBorders>
            <w:shd w:val="clear" w:color="auto" w:fill="FFFFFF"/>
            <w:vAlign w:val="center"/>
          </w:tcPr>
          <w:p w14:paraId="4F24A83F">
            <w:pPr>
              <w:pStyle w:val="167"/>
              <w:bidi w:val="0"/>
              <w:rPr>
                <w:lang w:val="en-US" w:eastAsia="zh-CN"/>
              </w:rPr>
            </w:pPr>
            <w:r>
              <w:rPr>
                <w:lang w:val="en-US" w:eastAsia="zh-CN"/>
              </w:rPr>
              <w:t>g range: −0.13 to 0.17; after removing Ge 2024: g=−0.13 (−0.90 to 0.63)</w:t>
            </w:r>
          </w:p>
        </w:tc>
        <w:tc>
          <w:tcPr>
            <w:tcW w:w="0" w:type="auto"/>
            <w:tcBorders>
              <w:top w:val="nil"/>
              <w:left w:val="nil"/>
              <w:bottom w:val="single" w:color="000000" w:sz="12" w:space="0"/>
              <w:right w:val="nil"/>
            </w:tcBorders>
            <w:shd w:val="clear" w:color="auto" w:fill="FFFFFF"/>
            <w:vAlign w:val="center"/>
          </w:tcPr>
          <w:p w14:paraId="64ACE5AC">
            <w:pPr>
              <w:pStyle w:val="167"/>
              <w:bidi w:val="0"/>
              <w:rPr>
                <w:lang w:val="en-US" w:eastAsia="zh-CN"/>
              </w:rPr>
            </w:pPr>
            <w:r>
              <w:rPr>
                <w:lang w:val="en-US" w:eastAsia="zh-CN"/>
              </w:rPr>
              <w:t>I² ranged from 0.0% after removing Ge to 73.4% after removing Gandolfi</w:t>
            </w:r>
          </w:p>
        </w:tc>
        <w:tc>
          <w:tcPr>
            <w:tcW w:w="0" w:type="auto"/>
            <w:tcBorders>
              <w:top w:val="nil"/>
              <w:left w:val="nil"/>
              <w:bottom w:val="single" w:color="000000" w:sz="12" w:space="0"/>
              <w:right w:val="nil"/>
            </w:tcBorders>
            <w:shd w:val="clear" w:color="auto" w:fill="FFFFFF"/>
            <w:vAlign w:val="center"/>
          </w:tcPr>
          <w:p w14:paraId="3D61A078">
            <w:pPr>
              <w:pStyle w:val="167"/>
              <w:bidi w:val="0"/>
              <w:rPr>
                <w:lang w:val="en-US" w:eastAsia="zh-CN"/>
              </w:rPr>
            </w:pPr>
            <w:r>
              <w:rPr>
                <w:lang w:val="en-US" w:eastAsia="zh-CN"/>
              </w:rPr>
              <w:t>Ge 2024 was a potential residual outlier and was influential according to studentised residuals, DFFITS, Cook’s distance, and DFBETAS; Johnson 2024 was not formally influential.</w:t>
            </w:r>
          </w:p>
        </w:tc>
        <w:tc>
          <w:tcPr>
            <w:tcW w:w="0" w:type="auto"/>
            <w:tcBorders>
              <w:top w:val="nil"/>
              <w:left w:val="nil"/>
              <w:bottom w:val="single" w:color="000000" w:sz="12" w:space="0"/>
              <w:right w:val="nil"/>
            </w:tcBorders>
            <w:shd w:val="clear" w:color="auto" w:fill="FFFFFF"/>
            <w:vAlign w:val="center"/>
          </w:tcPr>
          <w:p w14:paraId="6C8FB027">
            <w:pPr>
              <w:pStyle w:val="167"/>
              <w:bidi w:val="0"/>
              <w:rPr>
                <w:lang w:val="en-US" w:eastAsia="zh-CN"/>
              </w:rPr>
            </w:pPr>
            <w:r>
              <w:rPr>
                <w:lang w:val="en-US" w:eastAsia="zh-CN"/>
              </w:rPr>
              <w:t>Every leave-one-out CI included zero, but the point-estimate direction and heterogeneity were study-sensitive, especially to Ge 2024.</w:t>
            </w:r>
          </w:p>
        </w:tc>
      </w:tr>
    </w:tbl>
    <w:p w14:paraId="70EC738D">
      <w:pPr>
        <w:keepNext w:val="0"/>
        <w:keepLines w:val="0"/>
        <w:widowControl/>
        <w:suppressLineNumbers w:val="0"/>
        <w:jc w:val="left"/>
        <w:rPr>
          <w:rFonts w:hint="default"/>
          <w:lang w:val="en-US" w:eastAsia="zh-CN"/>
        </w:rPr>
      </w:pPr>
      <w:r>
        <w:rPr>
          <w:rFonts w:ascii="Times New Roman" w:hAnsi="Times New Roman" w:eastAsiaTheme="minorEastAsia" w:cstheme="minorBidi"/>
          <w:color w:val="000000"/>
          <w:kern w:val="2"/>
          <w:sz w:val="21"/>
          <w:szCs w:val="21"/>
          <w:lang w:val="en-US" w:eastAsia="zh-CN" w:bidi="ar-SA"/>
        </w:rPr>
        <w:t>Notes: Positive Hedges’ g values favour remote monitoring-supported home-based exercise after direction harmonisation. “CI-null status changed” indicates whether the 95% CI changed from including zero to excluding zero, or vice versa; a change in the sign of the point estimate alone is not an inferential reversal. For k=1, τ² and I² were not estimated. S10 pooled clinically distinct comparator categories and therefore changed the estimand; it is supplementary and is not directly comparable with any comparator-specific primary estimate. Influence diagnostics were diagnostic and were not used as automatic study-exclusion criteria. Primary and sensitivity random-effects models used Hedges’ g, REML estimation, Hartung–Knapp confidence intervals, and the prespecified ad hoc standard-error safeguard. Prediction intervals were reported only when k≥5. S01–S09 did not change whether the corresponding 95% CI included zero. Removing Flynn 2021 from the balance active-rehabilitation model produced a CI excluding zero, but this diagnostic result does not replace the primary analysis.</w:t>
      </w:r>
    </w:p>
    <w:p w14:paraId="6B7DD5C8">
      <w:pPr>
        <w:pStyle w:val="3"/>
        <w:bidi w:val="0"/>
      </w:pPr>
      <w:r>
        <w:t>Supplementary Table S</w:t>
      </w:r>
      <w:r>
        <w:rPr>
          <w:rFonts w:hint="default"/>
          <w:lang w:val="en-US"/>
        </w:rPr>
        <w:t>7</w:t>
      </w:r>
      <w:r>
        <w:t xml:space="preserve">. </w:t>
      </w:r>
      <w:r>
        <w:rPr>
          <w:lang w:val="en-US" w:eastAsia="zh-CN"/>
        </w:rPr>
        <w:t>Adherence, safety, adverse events, and technology-related implementation findings</w:t>
      </w:r>
    </w:p>
    <w:p w14:paraId="5EF931E8">
      <w:pPr>
        <w:pStyle w:val="167"/>
        <w:bidi w:val="0"/>
        <w:jc w:val="left"/>
        <w:rPr>
          <w:lang w:val="en-US" w:eastAsia="zh-CN"/>
        </w:rPr>
      </w:pPr>
      <w:r>
        <w:rPr>
          <w:lang w:val="en-US" w:eastAsia="zh-CN"/>
        </w:rPr>
        <w:t>Adherence, intervention completion, adverse events, falls, withdrawals, safety-monitoring procedures, and technology-related implementation issues were extracted when reported. Findings were summarised descriptively because definitions, denominators, observation periods, and reporting methods differed substantially across studies.</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0"/>
        <w:gridCol w:w="3500"/>
        <w:gridCol w:w="3452"/>
        <w:gridCol w:w="3100"/>
        <w:gridCol w:w="3012"/>
      </w:tblGrid>
      <w:tr w14:paraId="44A4BFCF">
        <w:trPr>
          <w:cantSplit/>
        </w:trPr>
        <w:tc>
          <w:tcPr>
            <w:tcW w:w="0" w:type="auto"/>
            <w:tcBorders>
              <w:top w:val="single" w:color="000000" w:sz="12" w:space="0"/>
              <w:left w:val="nil"/>
              <w:bottom w:val="single" w:color="000000" w:sz="4" w:space="0"/>
              <w:right w:val="nil"/>
              <w:tl2br w:val="nil"/>
            </w:tcBorders>
            <w:shd w:val="clear" w:color="auto" w:fill="FFFFFF"/>
            <w:vAlign w:val="center"/>
          </w:tcPr>
          <w:p w14:paraId="38B05B6D">
            <w:pPr>
              <w:pStyle w:val="167"/>
              <w:bidi w:val="0"/>
              <w:jc w:val="center"/>
              <w:rPr>
                <w:b w:val="0"/>
                <w:lang w:val="en-US" w:eastAsia="zh-CN"/>
              </w:rPr>
            </w:pPr>
            <w:r>
              <w:rPr>
                <w:b w:val="0"/>
                <w:lang w:val="en-US" w:eastAsia="zh-CN"/>
              </w:rPr>
              <w:t>Study</w:t>
            </w:r>
          </w:p>
        </w:tc>
        <w:tc>
          <w:tcPr>
            <w:tcW w:w="0" w:type="auto"/>
            <w:tcBorders>
              <w:top w:val="single" w:color="000000" w:sz="12" w:space="0"/>
              <w:left w:val="nil"/>
              <w:bottom w:val="single" w:color="000000" w:sz="4" w:space="0"/>
              <w:right w:val="nil"/>
            </w:tcBorders>
            <w:shd w:val="clear" w:color="auto" w:fill="FFFFFF"/>
            <w:vAlign w:val="center"/>
          </w:tcPr>
          <w:p w14:paraId="483EB582">
            <w:pPr>
              <w:pStyle w:val="167"/>
              <w:bidi w:val="0"/>
              <w:jc w:val="center"/>
              <w:rPr>
                <w:b w:val="0"/>
                <w:lang w:val="en-US" w:eastAsia="zh-CN"/>
              </w:rPr>
            </w:pPr>
            <w:r>
              <w:rPr>
                <w:b w:val="0"/>
                <w:lang w:val="en-US" w:eastAsia="zh-CN"/>
              </w:rPr>
              <w:t>Adherence, completion, or feasibility</w:t>
            </w:r>
          </w:p>
        </w:tc>
        <w:tc>
          <w:tcPr>
            <w:tcW w:w="0" w:type="auto"/>
            <w:tcBorders>
              <w:top w:val="single" w:color="000000" w:sz="12" w:space="0"/>
              <w:left w:val="nil"/>
              <w:bottom w:val="single" w:color="000000" w:sz="4" w:space="0"/>
              <w:right w:val="nil"/>
            </w:tcBorders>
            <w:shd w:val="clear" w:color="auto" w:fill="FFFFFF"/>
            <w:vAlign w:val="center"/>
          </w:tcPr>
          <w:p w14:paraId="7840994B">
            <w:pPr>
              <w:pStyle w:val="167"/>
              <w:bidi w:val="0"/>
              <w:jc w:val="center"/>
              <w:rPr>
                <w:b w:val="0"/>
                <w:lang w:val="en-US" w:eastAsia="zh-CN"/>
              </w:rPr>
            </w:pPr>
            <w:r>
              <w:rPr>
                <w:b w:val="0"/>
                <w:lang w:val="en-US" w:eastAsia="zh-CN"/>
              </w:rPr>
              <w:t>Safety, adverse events, falls, or withdrawals</w:t>
            </w:r>
          </w:p>
        </w:tc>
        <w:tc>
          <w:tcPr>
            <w:tcW w:w="0" w:type="auto"/>
            <w:tcBorders>
              <w:top w:val="single" w:color="000000" w:sz="12" w:space="0"/>
              <w:left w:val="nil"/>
              <w:bottom w:val="single" w:color="000000" w:sz="4" w:space="0"/>
              <w:right w:val="nil"/>
            </w:tcBorders>
            <w:shd w:val="clear" w:color="auto" w:fill="FFFFFF"/>
            <w:vAlign w:val="center"/>
          </w:tcPr>
          <w:p w14:paraId="21510CAF">
            <w:pPr>
              <w:pStyle w:val="167"/>
              <w:bidi w:val="0"/>
              <w:jc w:val="center"/>
              <w:rPr>
                <w:b w:val="0"/>
                <w:lang w:val="en-US" w:eastAsia="zh-CN"/>
              </w:rPr>
            </w:pPr>
            <w:r>
              <w:rPr>
                <w:b w:val="0"/>
                <w:lang w:val="en-US" w:eastAsia="zh-CN"/>
              </w:rPr>
              <w:t>Technology and implementation issues</w:t>
            </w:r>
          </w:p>
        </w:tc>
        <w:tc>
          <w:tcPr>
            <w:tcW w:w="0" w:type="auto"/>
            <w:tcBorders>
              <w:top w:val="single" w:color="000000" w:sz="12" w:space="0"/>
              <w:left w:val="nil"/>
              <w:bottom w:val="single" w:color="000000" w:sz="4" w:space="0"/>
              <w:right w:val="nil"/>
            </w:tcBorders>
            <w:shd w:val="clear" w:color="auto" w:fill="FFFFFF"/>
            <w:vAlign w:val="center"/>
          </w:tcPr>
          <w:p w14:paraId="78BF64F3">
            <w:pPr>
              <w:pStyle w:val="167"/>
              <w:bidi w:val="0"/>
              <w:jc w:val="center"/>
              <w:rPr>
                <w:b w:val="0"/>
                <w:lang w:val="en-US" w:eastAsia="zh-CN"/>
              </w:rPr>
            </w:pPr>
            <w:r>
              <w:rPr>
                <w:b w:val="0"/>
                <w:lang w:val="en-US" w:eastAsia="zh-CN"/>
              </w:rPr>
              <w:t>Interpretation and reporting limitations</w:t>
            </w:r>
          </w:p>
        </w:tc>
      </w:tr>
      <w:tr w14:paraId="0A99A53F">
        <w:trPr>
          <w:cantSplit/>
        </w:trPr>
        <w:tc>
          <w:tcPr>
            <w:tcW w:w="0" w:type="auto"/>
            <w:tcBorders>
              <w:top w:val="single" w:color="000000" w:sz="4" w:space="0"/>
              <w:left w:val="nil"/>
              <w:bottom w:val="nil"/>
              <w:right w:val="nil"/>
            </w:tcBorders>
            <w:shd w:val="clear" w:color="auto" w:fill="FFFFFF"/>
            <w:vAlign w:val="center"/>
          </w:tcPr>
          <w:p w14:paraId="7A551E3E">
            <w:pPr>
              <w:pStyle w:val="167"/>
              <w:bidi w:val="0"/>
              <w:jc w:val="center"/>
              <w:rPr>
                <w:b w:val="0"/>
                <w:lang w:val="en-US" w:eastAsia="zh-CN"/>
              </w:rPr>
            </w:pPr>
            <w:r>
              <w:rPr>
                <w:b w:val="0"/>
                <w:lang w:val="en-US" w:eastAsia="zh-CN"/>
              </w:rPr>
              <w:t>Alnes 2026</w:t>
            </w:r>
          </w:p>
        </w:tc>
        <w:tc>
          <w:tcPr>
            <w:tcW w:w="0" w:type="auto"/>
            <w:tcBorders>
              <w:top w:val="single" w:color="000000" w:sz="4" w:space="0"/>
              <w:left w:val="nil"/>
              <w:bottom w:val="nil"/>
              <w:right w:val="nil"/>
            </w:tcBorders>
            <w:shd w:val="clear" w:color="auto" w:fill="FFFFFF"/>
            <w:vAlign w:val="center"/>
          </w:tcPr>
          <w:p w14:paraId="11FCCF27">
            <w:pPr>
              <w:pStyle w:val="167"/>
              <w:bidi w:val="0"/>
              <w:jc w:val="center"/>
              <w:rPr>
                <w:b w:val="0"/>
                <w:lang w:val="en-US" w:eastAsia="zh-CN"/>
              </w:rPr>
            </w:pPr>
            <w:r>
              <w:rPr>
                <w:b w:val="0"/>
                <w:lang w:val="en-US" w:eastAsia="zh-CN"/>
              </w:rPr>
              <w:t>The intervention achieved 88% session completion. The overall 6-month dropout rate was 12%, equally distributed between groups. Among intervention participants, 82% rated the support as useful or very useful.</w:t>
            </w:r>
          </w:p>
        </w:tc>
        <w:tc>
          <w:tcPr>
            <w:tcW w:w="0" w:type="auto"/>
            <w:tcBorders>
              <w:top w:val="single" w:color="000000" w:sz="4" w:space="0"/>
              <w:left w:val="nil"/>
              <w:bottom w:val="nil"/>
              <w:right w:val="nil"/>
            </w:tcBorders>
            <w:shd w:val="clear" w:color="auto" w:fill="FFFFFF"/>
            <w:vAlign w:val="center"/>
          </w:tcPr>
          <w:p w14:paraId="544CD462">
            <w:pPr>
              <w:pStyle w:val="167"/>
              <w:bidi w:val="0"/>
              <w:jc w:val="center"/>
              <w:rPr>
                <w:b w:val="0"/>
                <w:lang w:val="en-US" w:eastAsia="zh-CN"/>
              </w:rPr>
            </w:pPr>
            <w:r>
              <w:rPr>
                <w:b w:val="0"/>
                <w:lang w:val="en-US" w:eastAsia="zh-CN"/>
              </w:rPr>
              <w:t>Participants were instructed to report falls, pain, or injuries at follow-up assessments and during monthly consultations. No intervention-related adverse events were registered.</w:t>
            </w:r>
          </w:p>
        </w:tc>
        <w:tc>
          <w:tcPr>
            <w:tcW w:w="0" w:type="auto"/>
            <w:tcBorders>
              <w:top w:val="single" w:color="000000" w:sz="4" w:space="0"/>
              <w:left w:val="nil"/>
              <w:bottom w:val="nil"/>
              <w:right w:val="nil"/>
            </w:tcBorders>
            <w:shd w:val="clear" w:color="auto" w:fill="FFFFFF"/>
            <w:vAlign w:val="center"/>
          </w:tcPr>
          <w:p w14:paraId="1D8D5D82">
            <w:pPr>
              <w:pStyle w:val="167"/>
              <w:bidi w:val="0"/>
              <w:jc w:val="center"/>
              <w:rPr>
                <w:b w:val="0"/>
                <w:lang w:val="en-US" w:eastAsia="zh-CN"/>
              </w:rPr>
            </w:pPr>
            <w:r>
              <w:rPr>
                <w:b w:val="0"/>
                <w:lang w:val="en-US" w:eastAsia="zh-CN"/>
              </w:rPr>
              <w:t>The intervention used monthly digital consultations, SMS support, individualised physical-activity goals, and Garmin activity tracking. Some participants reported usability difficulties related to the activity tracker’s small touchscreen. Consistent device wear was required for interpretation of activity data.</w:t>
            </w:r>
          </w:p>
        </w:tc>
        <w:tc>
          <w:tcPr>
            <w:tcW w:w="0" w:type="auto"/>
            <w:tcBorders>
              <w:top w:val="single" w:color="000000" w:sz="4" w:space="0"/>
              <w:left w:val="nil"/>
              <w:bottom w:val="nil"/>
              <w:right w:val="nil"/>
            </w:tcBorders>
            <w:shd w:val="clear" w:color="auto" w:fill="FFFFFF"/>
            <w:vAlign w:val="center"/>
          </w:tcPr>
          <w:p w14:paraId="55CC6AD1">
            <w:pPr>
              <w:pStyle w:val="167"/>
              <w:bidi w:val="0"/>
              <w:jc w:val="center"/>
              <w:rPr>
                <w:b w:val="0"/>
                <w:lang w:val="en-US" w:eastAsia="zh-CN"/>
              </w:rPr>
            </w:pPr>
            <w:r>
              <w:rPr>
                <w:b w:val="0"/>
                <w:lang w:val="en-US" w:eastAsia="zh-CN"/>
              </w:rPr>
              <w:t>Detailed adherence to specific physical-activity and nutritional recommendations was not collected. Objective tracker data were unavailable for the usual-care group, preventing between-group comparison of device-measured engagement.</w:t>
            </w:r>
          </w:p>
        </w:tc>
      </w:tr>
      <w:tr w14:paraId="5DFE0466">
        <w:trPr>
          <w:cantSplit/>
        </w:trPr>
        <w:tc>
          <w:tcPr>
            <w:tcW w:w="0" w:type="auto"/>
            <w:tcBorders>
              <w:top w:val="nil"/>
              <w:left w:val="nil"/>
              <w:bottom w:val="nil"/>
              <w:right w:val="nil"/>
            </w:tcBorders>
            <w:shd w:val="clear" w:color="auto" w:fill="FFFFFF"/>
            <w:vAlign w:val="center"/>
          </w:tcPr>
          <w:p w14:paraId="234644FE">
            <w:pPr>
              <w:pStyle w:val="167"/>
              <w:bidi w:val="0"/>
              <w:jc w:val="center"/>
              <w:rPr>
                <w:b w:val="0"/>
                <w:lang w:val="en-US" w:eastAsia="zh-CN"/>
              </w:rPr>
            </w:pPr>
            <w:r>
              <w:rPr>
                <w:b w:val="0"/>
                <w:lang w:val="en-US" w:eastAsia="zh-CN"/>
              </w:rPr>
              <w:t>Bove 2025</w:t>
            </w:r>
          </w:p>
        </w:tc>
        <w:tc>
          <w:tcPr>
            <w:tcW w:w="0" w:type="auto"/>
            <w:tcBorders>
              <w:top w:val="nil"/>
              <w:left w:val="nil"/>
              <w:bottom w:val="nil"/>
              <w:right w:val="nil"/>
            </w:tcBorders>
            <w:shd w:val="clear" w:color="auto" w:fill="FFFFFF"/>
            <w:vAlign w:val="center"/>
          </w:tcPr>
          <w:p w14:paraId="1AD2640C">
            <w:pPr>
              <w:pStyle w:val="167"/>
              <w:bidi w:val="0"/>
              <w:jc w:val="center"/>
              <w:rPr>
                <w:b w:val="0"/>
                <w:lang w:val="en-US" w:eastAsia="zh-CN"/>
              </w:rPr>
            </w:pPr>
            <w:r>
              <w:rPr>
                <w:b w:val="0"/>
                <w:lang w:val="en-US" w:eastAsia="zh-CN"/>
              </w:rPr>
              <w:t>Device-recorded exercise performance and adherence were monitored. High adherence was reported for the overall study sample.</w:t>
            </w:r>
          </w:p>
        </w:tc>
        <w:tc>
          <w:tcPr>
            <w:tcW w:w="0" w:type="auto"/>
            <w:tcBorders>
              <w:top w:val="nil"/>
              <w:left w:val="nil"/>
              <w:bottom w:val="nil"/>
              <w:right w:val="nil"/>
            </w:tcBorders>
            <w:shd w:val="clear" w:color="auto" w:fill="FFFFFF"/>
            <w:vAlign w:val="center"/>
          </w:tcPr>
          <w:p w14:paraId="496FDBE6">
            <w:pPr>
              <w:pStyle w:val="167"/>
              <w:bidi w:val="0"/>
              <w:jc w:val="center"/>
              <w:rPr>
                <w:b w:val="0"/>
                <w:lang w:val="en-US" w:eastAsia="zh-CN"/>
              </w:rPr>
            </w:pPr>
            <w:r>
              <w:rPr>
                <w:b w:val="0"/>
                <w:lang w:val="en-US" w:eastAsia="zh-CN"/>
              </w:rPr>
              <w:t>No device-related adverse events were reported for the overall study population.</w:t>
            </w:r>
          </w:p>
        </w:tc>
        <w:tc>
          <w:tcPr>
            <w:tcW w:w="0" w:type="auto"/>
            <w:tcBorders>
              <w:top w:val="nil"/>
              <w:left w:val="nil"/>
              <w:bottom w:val="nil"/>
              <w:right w:val="nil"/>
            </w:tcBorders>
            <w:shd w:val="clear" w:color="auto" w:fill="FFFFFF"/>
            <w:vAlign w:val="center"/>
          </w:tcPr>
          <w:p w14:paraId="79E7C0F5">
            <w:pPr>
              <w:pStyle w:val="167"/>
              <w:bidi w:val="0"/>
              <w:jc w:val="center"/>
              <w:rPr>
                <w:b w:val="0"/>
                <w:lang w:val="en-US" w:eastAsia="zh-CN"/>
              </w:rPr>
            </w:pPr>
            <w:r>
              <w:rPr>
                <w:b w:val="0"/>
                <w:lang w:val="en-US" w:eastAsia="zh-CN"/>
              </w:rPr>
              <w:t>ARC Intellicare incorporated inertial measurement units, a tablet application, exercise feedback, and remote performance monitoring.</w:t>
            </w:r>
          </w:p>
        </w:tc>
        <w:tc>
          <w:tcPr>
            <w:tcW w:w="0" w:type="auto"/>
            <w:tcBorders>
              <w:top w:val="nil"/>
              <w:left w:val="nil"/>
              <w:bottom w:val="nil"/>
              <w:right w:val="nil"/>
            </w:tcBorders>
            <w:shd w:val="clear" w:color="auto" w:fill="FFFFFF"/>
            <w:vAlign w:val="center"/>
          </w:tcPr>
          <w:p w14:paraId="1E95E6B3">
            <w:pPr>
              <w:pStyle w:val="167"/>
              <w:bidi w:val="0"/>
              <w:jc w:val="center"/>
              <w:rPr>
                <w:b w:val="0"/>
                <w:lang w:val="en-US" w:eastAsia="zh-CN"/>
              </w:rPr>
            </w:pPr>
            <w:r>
              <w:rPr>
                <w:b w:val="0"/>
                <w:lang w:val="en-US" w:eastAsia="zh-CN"/>
              </w:rPr>
              <w:t>The study included more than one neurological population. Parkinson’s disease-specific adherence and safety results were not clearly separable; therefore, overall study-level findings should not be interpreted as Parkinson’s disease-specific estimates.</w:t>
            </w:r>
          </w:p>
        </w:tc>
      </w:tr>
      <w:tr w14:paraId="5525ACE1">
        <w:trPr>
          <w:cantSplit/>
        </w:trPr>
        <w:tc>
          <w:tcPr>
            <w:tcW w:w="0" w:type="auto"/>
            <w:tcBorders>
              <w:top w:val="nil"/>
              <w:left w:val="nil"/>
              <w:bottom w:val="nil"/>
              <w:right w:val="nil"/>
            </w:tcBorders>
            <w:shd w:val="clear" w:color="auto" w:fill="FFFFFF"/>
            <w:vAlign w:val="center"/>
          </w:tcPr>
          <w:p w14:paraId="0327335B">
            <w:pPr>
              <w:pStyle w:val="167"/>
              <w:bidi w:val="0"/>
              <w:jc w:val="center"/>
              <w:rPr>
                <w:b w:val="0"/>
                <w:lang w:val="en-US" w:eastAsia="zh-CN"/>
              </w:rPr>
            </w:pPr>
            <w:r>
              <w:rPr>
                <w:b w:val="0"/>
                <w:lang w:val="en-US" w:eastAsia="zh-CN"/>
              </w:rPr>
              <w:t>Catalogna 2026</w:t>
            </w:r>
          </w:p>
        </w:tc>
        <w:tc>
          <w:tcPr>
            <w:tcW w:w="0" w:type="auto"/>
            <w:tcBorders>
              <w:top w:val="nil"/>
              <w:left w:val="nil"/>
              <w:bottom w:val="nil"/>
              <w:right w:val="nil"/>
            </w:tcBorders>
            <w:shd w:val="clear" w:color="auto" w:fill="FFFFFF"/>
            <w:vAlign w:val="center"/>
          </w:tcPr>
          <w:p w14:paraId="06C6474B">
            <w:pPr>
              <w:pStyle w:val="167"/>
              <w:bidi w:val="0"/>
              <w:jc w:val="center"/>
              <w:rPr>
                <w:b w:val="0"/>
                <w:lang w:val="en-US" w:eastAsia="zh-CN"/>
              </w:rPr>
            </w:pPr>
            <w:r>
              <w:rPr>
                <w:b w:val="0"/>
                <w:lang w:val="en-US" w:eastAsia="zh-CN"/>
              </w:rPr>
              <w:t>Daily digital training and application-use records were described, but a directly comparable numerical adherence measure was not clearly reported for the included comparison.</w:t>
            </w:r>
          </w:p>
        </w:tc>
        <w:tc>
          <w:tcPr>
            <w:tcW w:w="0" w:type="auto"/>
            <w:tcBorders>
              <w:top w:val="nil"/>
              <w:left w:val="nil"/>
              <w:bottom w:val="nil"/>
              <w:right w:val="nil"/>
            </w:tcBorders>
            <w:shd w:val="clear" w:color="auto" w:fill="FFFFFF"/>
            <w:vAlign w:val="center"/>
          </w:tcPr>
          <w:p w14:paraId="10038DD0">
            <w:pPr>
              <w:pStyle w:val="167"/>
              <w:bidi w:val="0"/>
              <w:jc w:val="center"/>
              <w:rPr>
                <w:b w:val="0"/>
                <w:lang w:val="en-US" w:eastAsia="zh-CN"/>
              </w:rPr>
            </w:pPr>
            <w:r>
              <w:rPr>
                <w:b w:val="0"/>
                <w:lang w:val="en-US" w:eastAsia="zh-CN"/>
              </w:rPr>
              <w:t>Adverse events, falls, and intervention-related withdrawals were not reported in sufficient detail for extraction.</w:t>
            </w:r>
          </w:p>
        </w:tc>
        <w:tc>
          <w:tcPr>
            <w:tcW w:w="0" w:type="auto"/>
            <w:tcBorders>
              <w:top w:val="nil"/>
              <w:left w:val="nil"/>
              <w:bottom w:val="nil"/>
              <w:right w:val="nil"/>
            </w:tcBorders>
            <w:shd w:val="clear" w:color="auto" w:fill="FFFFFF"/>
            <w:vAlign w:val="center"/>
          </w:tcPr>
          <w:p w14:paraId="7F293EC7">
            <w:pPr>
              <w:pStyle w:val="167"/>
              <w:bidi w:val="0"/>
              <w:jc w:val="center"/>
              <w:rPr>
                <w:b w:val="0"/>
                <w:lang w:val="en-US" w:eastAsia="zh-CN"/>
              </w:rPr>
            </w:pPr>
            <w:r>
              <w:rPr>
                <w:b w:val="0"/>
                <w:lang w:val="en-US" w:eastAsia="zh-CN"/>
              </w:rPr>
              <w:t>DopApp provided daily tasks, reminders, adaptive progression, and task-level feedback.</w:t>
            </w:r>
          </w:p>
        </w:tc>
        <w:tc>
          <w:tcPr>
            <w:tcW w:w="0" w:type="auto"/>
            <w:tcBorders>
              <w:top w:val="nil"/>
              <w:left w:val="nil"/>
              <w:bottom w:val="nil"/>
              <w:right w:val="nil"/>
            </w:tcBorders>
            <w:shd w:val="clear" w:color="auto" w:fill="FFFFFF"/>
            <w:vAlign w:val="center"/>
          </w:tcPr>
          <w:p w14:paraId="3DC65CAD">
            <w:pPr>
              <w:pStyle w:val="167"/>
              <w:bidi w:val="0"/>
              <w:jc w:val="center"/>
              <w:rPr>
                <w:b w:val="0"/>
                <w:lang w:val="en-US" w:eastAsia="zh-CN"/>
              </w:rPr>
            </w:pPr>
            <w:r>
              <w:rPr>
                <w:b w:val="0"/>
                <w:lang w:val="en-US" w:eastAsia="zh-CN"/>
              </w:rPr>
              <w:t>The study primarily focused on clinical and neuroimaging effects of combined digital and levodopa therapy. Safety and technology-related implementation outcomes were incompletely reported.</w:t>
            </w:r>
          </w:p>
        </w:tc>
      </w:tr>
      <w:tr w14:paraId="2E8E78CB">
        <w:trPr>
          <w:cantSplit/>
        </w:trPr>
        <w:tc>
          <w:tcPr>
            <w:tcW w:w="0" w:type="auto"/>
            <w:tcBorders>
              <w:top w:val="nil"/>
              <w:left w:val="nil"/>
              <w:bottom w:val="nil"/>
              <w:right w:val="nil"/>
            </w:tcBorders>
            <w:shd w:val="clear" w:color="auto" w:fill="FFFFFF"/>
            <w:vAlign w:val="center"/>
          </w:tcPr>
          <w:p w14:paraId="28CA75F0">
            <w:pPr>
              <w:pStyle w:val="167"/>
              <w:bidi w:val="0"/>
              <w:jc w:val="center"/>
              <w:rPr>
                <w:b w:val="0"/>
                <w:lang w:val="en-US" w:eastAsia="zh-CN"/>
              </w:rPr>
            </w:pPr>
            <w:r>
              <w:rPr>
                <w:b w:val="0"/>
                <w:lang w:val="en-US" w:eastAsia="zh-CN"/>
              </w:rPr>
              <w:t>Del Pino 2025</w:t>
            </w:r>
          </w:p>
        </w:tc>
        <w:tc>
          <w:tcPr>
            <w:tcW w:w="0" w:type="auto"/>
            <w:tcBorders>
              <w:top w:val="nil"/>
              <w:left w:val="nil"/>
              <w:bottom w:val="nil"/>
              <w:right w:val="nil"/>
            </w:tcBorders>
            <w:shd w:val="clear" w:color="auto" w:fill="FFFFFF"/>
            <w:vAlign w:val="center"/>
          </w:tcPr>
          <w:p w14:paraId="23B916A1">
            <w:pPr>
              <w:pStyle w:val="167"/>
              <w:bidi w:val="0"/>
              <w:jc w:val="center"/>
              <w:rPr>
                <w:b w:val="0"/>
                <w:lang w:val="en-US" w:eastAsia="zh-CN"/>
              </w:rPr>
            </w:pPr>
            <w:r>
              <w:rPr>
                <w:b w:val="0"/>
                <w:lang w:val="en-US" w:eastAsia="zh-CN"/>
              </w:rPr>
              <w:t>Mean adherence was 96.5% for the vCare motor games and 96.6% for the cognitive games. Individual adherence ranged from 90% to 100%.</w:t>
            </w:r>
          </w:p>
        </w:tc>
        <w:tc>
          <w:tcPr>
            <w:tcW w:w="0" w:type="auto"/>
            <w:tcBorders>
              <w:top w:val="nil"/>
              <w:left w:val="nil"/>
              <w:bottom w:val="nil"/>
              <w:right w:val="nil"/>
            </w:tcBorders>
            <w:shd w:val="clear" w:color="auto" w:fill="FFFFFF"/>
            <w:vAlign w:val="center"/>
          </w:tcPr>
          <w:p w14:paraId="03AAC03E">
            <w:pPr>
              <w:pStyle w:val="167"/>
              <w:bidi w:val="0"/>
              <w:jc w:val="center"/>
              <w:rPr>
                <w:b w:val="0"/>
                <w:lang w:val="en-US" w:eastAsia="zh-CN"/>
              </w:rPr>
            </w:pPr>
            <w:r>
              <w:rPr>
                <w:b w:val="0"/>
                <w:lang w:val="en-US" w:eastAsia="zh-CN"/>
              </w:rPr>
              <w:t>No sufficiently detailed intervention-specific adverse-event or fall results were reported for extraction.</w:t>
            </w:r>
          </w:p>
        </w:tc>
        <w:tc>
          <w:tcPr>
            <w:tcW w:w="0" w:type="auto"/>
            <w:tcBorders>
              <w:top w:val="nil"/>
              <w:left w:val="nil"/>
              <w:bottom w:val="nil"/>
              <w:right w:val="nil"/>
            </w:tcBorders>
            <w:shd w:val="clear" w:color="auto" w:fill="FFFFFF"/>
            <w:vAlign w:val="center"/>
          </w:tcPr>
          <w:p w14:paraId="22F1F9BB">
            <w:pPr>
              <w:pStyle w:val="167"/>
              <w:bidi w:val="0"/>
              <w:jc w:val="center"/>
              <w:rPr>
                <w:b w:val="0"/>
                <w:lang w:val="en-US" w:eastAsia="zh-CN"/>
              </w:rPr>
            </w:pPr>
            <w:r>
              <w:rPr>
                <w:b w:val="0"/>
                <w:lang w:val="en-US" w:eastAsia="zh-CN"/>
              </w:rPr>
              <w:t>The intervention used a virtual coach, tablet-based exercises, motor and cognitive games, wearable devices, and remote monitoring. One participant experienced camera-related technical problems and had the lowest reported adherence of 90%.</w:t>
            </w:r>
          </w:p>
        </w:tc>
        <w:tc>
          <w:tcPr>
            <w:tcW w:w="0" w:type="auto"/>
            <w:tcBorders>
              <w:top w:val="nil"/>
              <w:left w:val="nil"/>
              <w:bottom w:val="nil"/>
              <w:right w:val="nil"/>
            </w:tcBorders>
            <w:shd w:val="clear" w:color="auto" w:fill="FFFFFF"/>
            <w:vAlign w:val="center"/>
          </w:tcPr>
          <w:p w14:paraId="1B861139">
            <w:pPr>
              <w:pStyle w:val="167"/>
              <w:bidi w:val="0"/>
              <w:jc w:val="center"/>
              <w:rPr>
                <w:b w:val="0"/>
                <w:lang w:val="en-US" w:eastAsia="zh-CN"/>
              </w:rPr>
            </w:pPr>
            <w:r>
              <w:rPr>
                <w:b w:val="0"/>
                <w:lang w:val="en-US" w:eastAsia="zh-CN"/>
              </w:rPr>
              <w:t>Usability was generally rated highly, but the small sample limited the ability to characterise uncommon safety or technical events.</w:t>
            </w:r>
          </w:p>
        </w:tc>
      </w:tr>
      <w:tr w14:paraId="1BBAD523">
        <w:trPr>
          <w:cantSplit/>
        </w:trPr>
        <w:tc>
          <w:tcPr>
            <w:tcW w:w="0" w:type="auto"/>
            <w:tcBorders>
              <w:top w:val="nil"/>
              <w:left w:val="nil"/>
              <w:bottom w:val="nil"/>
              <w:right w:val="nil"/>
            </w:tcBorders>
            <w:shd w:val="clear" w:color="auto" w:fill="FFFFFF"/>
            <w:vAlign w:val="center"/>
          </w:tcPr>
          <w:p w14:paraId="50492B0D">
            <w:pPr>
              <w:pStyle w:val="167"/>
              <w:bidi w:val="0"/>
              <w:jc w:val="center"/>
              <w:rPr>
                <w:b w:val="0"/>
                <w:lang w:val="en-US" w:eastAsia="zh-CN"/>
              </w:rPr>
            </w:pPr>
            <w:r>
              <w:rPr>
                <w:b w:val="0"/>
                <w:lang w:val="en-US" w:eastAsia="zh-CN"/>
              </w:rPr>
              <w:t>Dhamija 2025</w:t>
            </w:r>
          </w:p>
        </w:tc>
        <w:tc>
          <w:tcPr>
            <w:tcW w:w="0" w:type="auto"/>
            <w:tcBorders>
              <w:top w:val="nil"/>
              <w:left w:val="nil"/>
              <w:bottom w:val="nil"/>
              <w:right w:val="nil"/>
            </w:tcBorders>
            <w:shd w:val="clear" w:color="auto" w:fill="FFFFFF"/>
            <w:vAlign w:val="center"/>
          </w:tcPr>
          <w:p w14:paraId="1E7F9CFB">
            <w:pPr>
              <w:pStyle w:val="167"/>
              <w:bidi w:val="0"/>
              <w:jc w:val="center"/>
              <w:rPr>
                <w:b w:val="0"/>
                <w:lang w:val="en-US" w:eastAsia="zh-CN"/>
              </w:rPr>
            </w:pPr>
            <w:r>
              <w:rPr>
                <w:b w:val="0"/>
                <w:lang w:val="en-US" w:eastAsia="zh-CN"/>
              </w:rPr>
              <w:t>In the teleneurorehabilitation group, 25 of 35 participants (71.4%) completed at least 75% of the planned rehabilitation sessions, compared with 23 of 28 participants (82.1%) in the in-person rehabilitation group.</w:t>
            </w:r>
          </w:p>
        </w:tc>
        <w:tc>
          <w:tcPr>
            <w:tcW w:w="0" w:type="auto"/>
            <w:tcBorders>
              <w:top w:val="nil"/>
              <w:left w:val="nil"/>
              <w:bottom w:val="nil"/>
              <w:right w:val="nil"/>
            </w:tcBorders>
            <w:shd w:val="clear" w:color="auto" w:fill="FFFFFF"/>
            <w:vAlign w:val="center"/>
          </w:tcPr>
          <w:p w14:paraId="5031CA6D">
            <w:pPr>
              <w:pStyle w:val="167"/>
              <w:bidi w:val="0"/>
              <w:jc w:val="center"/>
              <w:rPr>
                <w:b w:val="0"/>
                <w:lang w:val="en-US" w:eastAsia="zh-CN"/>
              </w:rPr>
            </w:pPr>
            <w:r>
              <w:rPr>
                <w:b w:val="0"/>
                <w:lang w:val="en-US" w:eastAsia="zh-CN"/>
              </w:rPr>
              <w:t>Participants or caregivers recorded adverse events, including falls, after each teleneurorehabilitation session. No significant patient-reported adverse events were observed, and no falls were reported during teleneurorehabilitation sessions.</w:t>
            </w:r>
          </w:p>
        </w:tc>
        <w:tc>
          <w:tcPr>
            <w:tcW w:w="0" w:type="auto"/>
            <w:tcBorders>
              <w:top w:val="nil"/>
              <w:left w:val="nil"/>
              <w:bottom w:val="nil"/>
              <w:right w:val="nil"/>
            </w:tcBorders>
            <w:shd w:val="clear" w:color="auto" w:fill="FFFFFF"/>
            <w:vAlign w:val="center"/>
          </w:tcPr>
          <w:p w14:paraId="0C7C579D">
            <w:pPr>
              <w:pStyle w:val="167"/>
              <w:bidi w:val="0"/>
              <w:jc w:val="center"/>
              <w:rPr>
                <w:b w:val="0"/>
                <w:lang w:val="en-US" w:eastAsia="zh-CN"/>
              </w:rPr>
            </w:pPr>
            <w:r>
              <w:rPr>
                <w:b w:val="0"/>
                <w:lang w:val="en-US" w:eastAsia="zh-CN"/>
              </w:rPr>
              <w:t>Exercise was delivered through smartphone video calls, supported by exercise logs, a Parkinson’s disease diary, caregiver reporting, and periodic therapist review. Poor internet connectivity was reported as a barrier by some individuals who declined participation.</w:t>
            </w:r>
          </w:p>
        </w:tc>
        <w:tc>
          <w:tcPr>
            <w:tcW w:w="0" w:type="auto"/>
            <w:tcBorders>
              <w:top w:val="nil"/>
              <w:left w:val="nil"/>
              <w:bottom w:val="nil"/>
              <w:right w:val="nil"/>
            </w:tcBorders>
            <w:shd w:val="clear" w:color="auto" w:fill="FFFFFF"/>
            <w:vAlign w:val="center"/>
          </w:tcPr>
          <w:p w14:paraId="3140C8D0">
            <w:pPr>
              <w:pStyle w:val="167"/>
              <w:bidi w:val="0"/>
              <w:jc w:val="center"/>
              <w:rPr>
                <w:b w:val="0"/>
                <w:lang w:val="en-US" w:eastAsia="zh-CN"/>
              </w:rPr>
            </w:pPr>
            <w:r>
              <w:rPr>
                <w:b w:val="0"/>
                <w:lang w:val="en-US" w:eastAsia="zh-CN"/>
              </w:rPr>
              <w:t>Adherence in the teleneurorehabilitation group relied mainly on participant or caregiver reports rather than automatically recorded platform data. The trial included patients with mild-to-moderate disease who owned a video-capable smartphone.</w:t>
            </w:r>
          </w:p>
        </w:tc>
      </w:tr>
      <w:tr w14:paraId="3D720A13">
        <w:trPr>
          <w:cantSplit/>
        </w:trPr>
        <w:tc>
          <w:tcPr>
            <w:tcW w:w="0" w:type="auto"/>
            <w:tcBorders>
              <w:top w:val="nil"/>
              <w:left w:val="nil"/>
              <w:bottom w:val="nil"/>
              <w:right w:val="nil"/>
            </w:tcBorders>
            <w:shd w:val="clear" w:color="auto" w:fill="FFFFFF"/>
            <w:vAlign w:val="center"/>
          </w:tcPr>
          <w:p w14:paraId="617E5835">
            <w:pPr>
              <w:pStyle w:val="167"/>
              <w:bidi w:val="0"/>
              <w:jc w:val="center"/>
              <w:rPr>
                <w:b w:val="0"/>
                <w:lang w:val="en-US" w:eastAsia="zh-CN"/>
              </w:rPr>
            </w:pPr>
            <w:r>
              <w:rPr>
                <w:b w:val="0"/>
                <w:lang w:val="en-US" w:eastAsia="zh-CN"/>
              </w:rPr>
              <w:t>Eldemir 2023</w:t>
            </w:r>
          </w:p>
        </w:tc>
        <w:tc>
          <w:tcPr>
            <w:tcW w:w="0" w:type="auto"/>
            <w:tcBorders>
              <w:top w:val="nil"/>
              <w:left w:val="nil"/>
              <w:bottom w:val="nil"/>
              <w:right w:val="nil"/>
            </w:tcBorders>
            <w:shd w:val="clear" w:color="auto" w:fill="FFFFFF"/>
            <w:vAlign w:val="center"/>
          </w:tcPr>
          <w:p w14:paraId="7DD014BF">
            <w:pPr>
              <w:pStyle w:val="167"/>
              <w:bidi w:val="0"/>
              <w:jc w:val="center"/>
              <w:rPr>
                <w:b w:val="0"/>
                <w:lang w:val="en-US" w:eastAsia="zh-CN"/>
              </w:rPr>
            </w:pPr>
            <w:r>
              <w:rPr>
                <w:b w:val="0"/>
                <w:lang w:val="en-US" w:eastAsia="zh-CN"/>
              </w:rPr>
              <w:t>Reported attendance was approximately 91.7% in the telerehabilitation group and 84.2% in the comparator group. Exercise diaries, videoconference sessions, and telephone support were used to monitor participation.</w:t>
            </w:r>
          </w:p>
        </w:tc>
        <w:tc>
          <w:tcPr>
            <w:tcW w:w="0" w:type="auto"/>
            <w:tcBorders>
              <w:top w:val="nil"/>
              <w:left w:val="nil"/>
              <w:bottom w:val="nil"/>
              <w:right w:val="nil"/>
            </w:tcBorders>
            <w:shd w:val="clear" w:color="auto" w:fill="FFFFFF"/>
            <w:vAlign w:val="center"/>
          </w:tcPr>
          <w:p w14:paraId="0EE4A576">
            <w:pPr>
              <w:pStyle w:val="167"/>
              <w:bidi w:val="0"/>
              <w:jc w:val="center"/>
              <w:rPr>
                <w:b w:val="0"/>
                <w:lang w:val="en-US" w:eastAsia="zh-CN"/>
              </w:rPr>
            </w:pPr>
            <w:r>
              <w:rPr>
                <w:b w:val="0"/>
                <w:lang w:val="en-US" w:eastAsia="zh-CN"/>
              </w:rPr>
              <w:t>Numerical adverse-event and fall results were not reported in sufficient detail for extraction.</w:t>
            </w:r>
          </w:p>
        </w:tc>
        <w:tc>
          <w:tcPr>
            <w:tcW w:w="0" w:type="auto"/>
            <w:tcBorders>
              <w:top w:val="nil"/>
              <w:left w:val="nil"/>
              <w:bottom w:val="nil"/>
              <w:right w:val="nil"/>
            </w:tcBorders>
            <w:shd w:val="clear" w:color="auto" w:fill="FFFFFF"/>
            <w:vAlign w:val="center"/>
          </w:tcPr>
          <w:p w14:paraId="523B5552">
            <w:pPr>
              <w:pStyle w:val="167"/>
              <w:bidi w:val="0"/>
              <w:jc w:val="center"/>
              <w:rPr>
                <w:b w:val="0"/>
                <w:lang w:val="en-US" w:eastAsia="zh-CN"/>
              </w:rPr>
            </w:pPr>
            <w:r>
              <w:rPr>
                <w:b w:val="0"/>
                <w:lang w:val="en-US" w:eastAsia="zh-CN"/>
              </w:rPr>
              <w:t>Task-oriented circuit training was delivered by videoconference with telephone support and home-exercise monitoring.</w:t>
            </w:r>
          </w:p>
        </w:tc>
        <w:tc>
          <w:tcPr>
            <w:tcW w:w="0" w:type="auto"/>
            <w:tcBorders>
              <w:top w:val="nil"/>
              <w:left w:val="nil"/>
              <w:bottom w:val="nil"/>
              <w:right w:val="nil"/>
            </w:tcBorders>
            <w:shd w:val="clear" w:color="auto" w:fill="FFFFFF"/>
            <w:vAlign w:val="center"/>
          </w:tcPr>
          <w:p w14:paraId="0DAD907E">
            <w:pPr>
              <w:pStyle w:val="167"/>
              <w:bidi w:val="0"/>
              <w:jc w:val="center"/>
              <w:rPr>
                <w:b w:val="0"/>
                <w:lang w:val="en-US" w:eastAsia="zh-CN"/>
              </w:rPr>
            </w:pPr>
            <w:r>
              <w:rPr>
                <w:b w:val="0"/>
                <w:lang w:val="en-US" w:eastAsia="zh-CN"/>
              </w:rPr>
              <w:t>Although attendance was reported, safety outcomes and technology-related difficulties were not comprehensively quantified.</w:t>
            </w:r>
          </w:p>
        </w:tc>
      </w:tr>
      <w:tr w14:paraId="161F48A7">
        <w:trPr>
          <w:cantSplit/>
        </w:trPr>
        <w:tc>
          <w:tcPr>
            <w:tcW w:w="0" w:type="auto"/>
            <w:tcBorders>
              <w:top w:val="nil"/>
              <w:left w:val="nil"/>
              <w:bottom w:val="nil"/>
              <w:right w:val="nil"/>
            </w:tcBorders>
            <w:shd w:val="clear" w:color="auto" w:fill="FFFFFF"/>
            <w:vAlign w:val="center"/>
          </w:tcPr>
          <w:p w14:paraId="00A19549">
            <w:pPr>
              <w:pStyle w:val="167"/>
              <w:bidi w:val="0"/>
              <w:jc w:val="center"/>
              <w:rPr>
                <w:b w:val="0"/>
                <w:lang w:val="en-US" w:eastAsia="zh-CN"/>
              </w:rPr>
            </w:pPr>
            <w:r>
              <w:rPr>
                <w:b w:val="0"/>
                <w:lang w:val="en-US" w:eastAsia="zh-CN"/>
              </w:rPr>
              <w:t>Flynn 2021</w:t>
            </w:r>
          </w:p>
        </w:tc>
        <w:tc>
          <w:tcPr>
            <w:tcW w:w="0" w:type="auto"/>
            <w:tcBorders>
              <w:top w:val="nil"/>
              <w:left w:val="nil"/>
              <w:bottom w:val="nil"/>
              <w:right w:val="nil"/>
            </w:tcBorders>
            <w:shd w:val="clear" w:color="auto" w:fill="FFFFFF"/>
            <w:vAlign w:val="center"/>
          </w:tcPr>
          <w:p w14:paraId="2B924AF1">
            <w:pPr>
              <w:pStyle w:val="167"/>
              <w:bidi w:val="0"/>
              <w:jc w:val="center"/>
              <w:rPr>
                <w:b w:val="0"/>
                <w:lang w:val="en-US" w:eastAsia="zh-CN"/>
              </w:rPr>
            </w:pPr>
            <w:r>
              <w:rPr>
                <w:b w:val="0"/>
                <w:lang w:val="en-US" w:eastAsia="zh-CN"/>
              </w:rPr>
              <w:t>During the randomised home-versus-centre phase, adherence was 84% in the telehealth-monitored home-exercise group and 93% in the centre-based group. Participants generally reported that the exercises were helpful and could be followed at home, although home exercise was less satisfying for some participants.</w:t>
            </w:r>
          </w:p>
        </w:tc>
        <w:tc>
          <w:tcPr>
            <w:tcW w:w="0" w:type="auto"/>
            <w:tcBorders>
              <w:top w:val="nil"/>
              <w:left w:val="nil"/>
              <w:bottom w:val="nil"/>
              <w:right w:val="nil"/>
            </w:tcBorders>
            <w:shd w:val="clear" w:color="auto" w:fill="FFFFFF"/>
            <w:vAlign w:val="center"/>
          </w:tcPr>
          <w:p w14:paraId="648790BF">
            <w:pPr>
              <w:pStyle w:val="167"/>
              <w:bidi w:val="0"/>
              <w:jc w:val="center"/>
              <w:rPr>
                <w:b w:val="0"/>
                <w:lang w:val="en-US" w:eastAsia="zh-CN"/>
              </w:rPr>
            </w:pPr>
            <w:r>
              <w:rPr>
                <w:b w:val="0"/>
                <w:lang w:val="en-US" w:eastAsia="zh-CN"/>
              </w:rPr>
              <w:t>Two adverse events were reported during home exercise. The available reporting did not support a reliable comparative safety estimate.</w:t>
            </w:r>
          </w:p>
        </w:tc>
        <w:tc>
          <w:tcPr>
            <w:tcW w:w="0" w:type="auto"/>
            <w:tcBorders>
              <w:top w:val="nil"/>
              <w:left w:val="nil"/>
              <w:bottom w:val="nil"/>
              <w:right w:val="nil"/>
            </w:tcBorders>
            <w:shd w:val="clear" w:color="auto" w:fill="FFFFFF"/>
            <w:vAlign w:val="center"/>
          </w:tcPr>
          <w:p w14:paraId="237EBE76">
            <w:pPr>
              <w:pStyle w:val="167"/>
              <w:bidi w:val="0"/>
              <w:jc w:val="center"/>
              <w:rPr>
                <w:b w:val="0"/>
                <w:lang w:val="en-US" w:eastAsia="zh-CN"/>
              </w:rPr>
            </w:pPr>
            <w:r>
              <w:rPr>
                <w:b w:val="0"/>
                <w:lang w:val="en-US" w:eastAsia="zh-CN"/>
              </w:rPr>
              <w:t>Monitoring involved telephone contact, exercise records, and an exercise website or paper-based materials. The physiotherapist spent substantially less direct-contact time supporting the home group than delivering the centre-based classes.</w:t>
            </w:r>
          </w:p>
        </w:tc>
        <w:tc>
          <w:tcPr>
            <w:tcW w:w="0" w:type="auto"/>
            <w:tcBorders>
              <w:top w:val="nil"/>
              <w:left w:val="nil"/>
              <w:bottom w:val="nil"/>
              <w:right w:val="nil"/>
            </w:tcBorders>
            <w:shd w:val="clear" w:color="auto" w:fill="FFFFFF"/>
            <w:vAlign w:val="center"/>
          </w:tcPr>
          <w:p w14:paraId="40A9DFA5">
            <w:pPr>
              <w:pStyle w:val="167"/>
              <w:bidi w:val="0"/>
              <w:jc w:val="center"/>
              <w:rPr>
                <w:b w:val="0"/>
                <w:lang w:val="en-US" w:eastAsia="zh-CN"/>
              </w:rPr>
            </w:pPr>
            <w:r>
              <w:rPr>
                <w:b w:val="0"/>
                <w:lang w:val="en-US" w:eastAsia="zh-CN"/>
              </w:rPr>
              <w:t>This was a small pilot trial involving people with mild-to-moderate Parkinson’s disease. Feasibility and acceptability findings may not apply to people with more advanced disease or greater supervision needs.</w:t>
            </w:r>
          </w:p>
        </w:tc>
      </w:tr>
      <w:tr w14:paraId="20BC4C9C">
        <w:trPr>
          <w:cantSplit/>
        </w:trPr>
        <w:tc>
          <w:tcPr>
            <w:tcW w:w="0" w:type="auto"/>
            <w:tcBorders>
              <w:top w:val="nil"/>
              <w:left w:val="nil"/>
              <w:bottom w:val="nil"/>
              <w:right w:val="nil"/>
            </w:tcBorders>
            <w:shd w:val="clear" w:color="auto" w:fill="FFFFFF"/>
            <w:vAlign w:val="center"/>
          </w:tcPr>
          <w:p w14:paraId="5E33F249">
            <w:pPr>
              <w:pStyle w:val="167"/>
              <w:bidi w:val="0"/>
              <w:jc w:val="center"/>
              <w:rPr>
                <w:b w:val="0"/>
                <w:lang w:val="en-US" w:eastAsia="zh-CN"/>
              </w:rPr>
            </w:pPr>
            <w:r>
              <w:rPr>
                <w:b w:val="0"/>
                <w:lang w:val="en-US" w:eastAsia="zh-CN"/>
              </w:rPr>
              <w:t>Gandolfi 2017</w:t>
            </w:r>
          </w:p>
        </w:tc>
        <w:tc>
          <w:tcPr>
            <w:tcW w:w="0" w:type="auto"/>
            <w:tcBorders>
              <w:top w:val="nil"/>
              <w:left w:val="nil"/>
              <w:bottom w:val="nil"/>
              <w:right w:val="nil"/>
            </w:tcBorders>
            <w:shd w:val="clear" w:color="auto" w:fill="FFFFFF"/>
            <w:vAlign w:val="center"/>
          </w:tcPr>
          <w:p w14:paraId="065C2598">
            <w:pPr>
              <w:pStyle w:val="167"/>
              <w:bidi w:val="0"/>
              <w:jc w:val="center"/>
              <w:rPr>
                <w:b w:val="0"/>
                <w:lang w:val="en-US" w:eastAsia="zh-CN"/>
              </w:rPr>
            </w:pPr>
            <w:r>
              <w:rPr>
                <w:b w:val="0"/>
                <w:lang w:val="en-US" w:eastAsia="zh-CN"/>
              </w:rPr>
              <w:t>Adherence to the remotely supervised home-based virtual-reality programme was described as high.</w:t>
            </w:r>
          </w:p>
        </w:tc>
        <w:tc>
          <w:tcPr>
            <w:tcW w:w="0" w:type="auto"/>
            <w:tcBorders>
              <w:top w:val="nil"/>
              <w:left w:val="nil"/>
              <w:bottom w:val="nil"/>
              <w:right w:val="nil"/>
            </w:tcBorders>
            <w:shd w:val="clear" w:color="auto" w:fill="FFFFFF"/>
            <w:vAlign w:val="center"/>
          </w:tcPr>
          <w:p w14:paraId="0FCD65E1">
            <w:pPr>
              <w:pStyle w:val="167"/>
              <w:bidi w:val="0"/>
              <w:jc w:val="center"/>
              <w:rPr>
                <w:b w:val="0"/>
                <w:lang w:val="en-US" w:eastAsia="zh-CN"/>
              </w:rPr>
            </w:pPr>
            <w:r>
              <w:rPr>
                <w:b w:val="0"/>
                <w:lang w:val="en-US" w:eastAsia="zh-CN"/>
              </w:rPr>
              <w:t>No major intervention-related adverse events were reported.</w:t>
            </w:r>
          </w:p>
        </w:tc>
        <w:tc>
          <w:tcPr>
            <w:tcW w:w="0" w:type="auto"/>
            <w:tcBorders>
              <w:top w:val="nil"/>
              <w:left w:val="nil"/>
              <w:bottom w:val="nil"/>
              <w:right w:val="nil"/>
            </w:tcBorders>
            <w:shd w:val="clear" w:color="auto" w:fill="FFFFFF"/>
            <w:vAlign w:val="center"/>
          </w:tcPr>
          <w:p w14:paraId="2D45DA99">
            <w:pPr>
              <w:pStyle w:val="167"/>
              <w:bidi w:val="0"/>
              <w:jc w:val="center"/>
              <w:rPr>
                <w:b w:val="0"/>
                <w:lang w:val="en-US" w:eastAsia="zh-CN"/>
              </w:rPr>
            </w:pPr>
            <w:r>
              <w:rPr>
                <w:b w:val="0"/>
                <w:lang w:val="en-US" w:eastAsia="zh-CN"/>
              </w:rPr>
              <w:t>The TeleWii programme used a home virtual-reality system, Skype supervision, camera monitoring, remote therapist contact, and caregiver assistance. No major technology-related problem was reported as preventing intervention delivery.</w:t>
            </w:r>
          </w:p>
        </w:tc>
        <w:tc>
          <w:tcPr>
            <w:tcW w:w="0" w:type="auto"/>
            <w:tcBorders>
              <w:top w:val="nil"/>
              <w:left w:val="nil"/>
              <w:bottom w:val="nil"/>
              <w:right w:val="nil"/>
            </w:tcBorders>
            <w:shd w:val="clear" w:color="auto" w:fill="FFFFFF"/>
            <w:vAlign w:val="center"/>
          </w:tcPr>
          <w:p w14:paraId="00BF0DE9">
            <w:pPr>
              <w:pStyle w:val="167"/>
              <w:bidi w:val="0"/>
              <w:jc w:val="center"/>
              <w:rPr>
                <w:b w:val="0"/>
                <w:lang w:val="en-US" w:eastAsia="zh-CN"/>
              </w:rPr>
            </w:pPr>
            <w:r>
              <w:rPr>
                <w:b w:val="0"/>
                <w:lang w:val="en-US" w:eastAsia="zh-CN"/>
              </w:rPr>
              <w:t>A caregiver was required to support implementation, limiting generalisability to patients without available home assistance. Detailed denominators for all adherence and safety outcomes were not consistently reported.</w:t>
            </w:r>
          </w:p>
        </w:tc>
      </w:tr>
      <w:tr w14:paraId="1D07CBBB">
        <w:trPr>
          <w:cantSplit/>
        </w:trPr>
        <w:tc>
          <w:tcPr>
            <w:tcW w:w="0" w:type="auto"/>
            <w:tcBorders>
              <w:top w:val="nil"/>
              <w:left w:val="nil"/>
              <w:bottom w:val="nil"/>
              <w:right w:val="nil"/>
            </w:tcBorders>
            <w:shd w:val="clear" w:color="auto" w:fill="FFFFFF"/>
            <w:vAlign w:val="center"/>
          </w:tcPr>
          <w:p w14:paraId="65D20A33">
            <w:pPr>
              <w:pStyle w:val="167"/>
              <w:bidi w:val="0"/>
              <w:jc w:val="center"/>
              <w:rPr>
                <w:b w:val="0"/>
                <w:lang w:val="en-US" w:eastAsia="zh-CN"/>
              </w:rPr>
            </w:pPr>
            <w:r>
              <w:rPr>
                <w:b w:val="0"/>
                <w:lang w:val="en-US" w:eastAsia="zh-CN"/>
              </w:rPr>
              <w:t>Ge 2024</w:t>
            </w:r>
          </w:p>
        </w:tc>
        <w:tc>
          <w:tcPr>
            <w:tcW w:w="0" w:type="auto"/>
            <w:tcBorders>
              <w:top w:val="nil"/>
              <w:left w:val="nil"/>
              <w:bottom w:val="nil"/>
              <w:right w:val="nil"/>
            </w:tcBorders>
            <w:shd w:val="clear" w:color="auto" w:fill="FFFFFF"/>
            <w:vAlign w:val="center"/>
          </w:tcPr>
          <w:p w14:paraId="37B3C1AA">
            <w:pPr>
              <w:pStyle w:val="167"/>
              <w:bidi w:val="0"/>
              <w:jc w:val="center"/>
              <w:rPr>
                <w:b w:val="0"/>
                <w:lang w:val="en-US" w:eastAsia="zh-CN"/>
              </w:rPr>
            </w:pPr>
            <w:r>
              <w:rPr>
                <w:b w:val="0"/>
                <w:lang w:val="en-US" w:eastAsia="zh-CN"/>
              </w:rPr>
              <w:t>Mean participation was 16.96 (SD 5.32) of 20 planned sessions in the telerehabilitation group and 17.84 (SD 3.10) in the home physical-therapy group. Seventy-nine of 90 telerehabilitation participants (87.8%) and 98 of 100 home physical-therapy participants (98.0%) attended at least half of the planned sessions. Twelve telerehabilitation participants and seven home physical-therapy participants did not complete the daily exercise programme.</w:t>
            </w:r>
          </w:p>
        </w:tc>
        <w:tc>
          <w:tcPr>
            <w:tcW w:w="0" w:type="auto"/>
            <w:tcBorders>
              <w:top w:val="nil"/>
              <w:left w:val="nil"/>
              <w:bottom w:val="nil"/>
              <w:right w:val="nil"/>
            </w:tcBorders>
            <w:shd w:val="clear" w:color="auto" w:fill="FFFFFF"/>
            <w:vAlign w:val="center"/>
          </w:tcPr>
          <w:p w14:paraId="3C4EDA6F">
            <w:pPr>
              <w:pStyle w:val="167"/>
              <w:bidi w:val="0"/>
              <w:jc w:val="center"/>
              <w:rPr>
                <w:b w:val="0"/>
                <w:lang w:val="en-US" w:eastAsia="zh-CN"/>
              </w:rPr>
            </w:pPr>
            <w:r>
              <w:rPr>
                <w:b w:val="0"/>
                <w:lang w:val="en-US" w:eastAsia="zh-CN"/>
              </w:rPr>
              <w:t>Twelve adverse events were reported: five in the telerehabilitation group—two fatigue, one pain, and two dizziness events—and seven in the home physical-therapy group—one fatigue, three pain, and three dizziness events. No serious adverse events were reported. One additional fall at home was reported as not directly associated with the training programme.</w:t>
            </w:r>
          </w:p>
        </w:tc>
        <w:tc>
          <w:tcPr>
            <w:tcW w:w="0" w:type="auto"/>
            <w:tcBorders>
              <w:top w:val="nil"/>
              <w:left w:val="nil"/>
              <w:bottom w:val="nil"/>
              <w:right w:val="nil"/>
            </w:tcBorders>
            <w:shd w:val="clear" w:color="auto" w:fill="FFFFFF"/>
            <w:vAlign w:val="center"/>
          </w:tcPr>
          <w:p w14:paraId="2B7C672A">
            <w:pPr>
              <w:pStyle w:val="167"/>
              <w:bidi w:val="0"/>
              <w:jc w:val="center"/>
              <w:rPr>
                <w:b w:val="0"/>
                <w:lang w:val="en-US" w:eastAsia="zh-CN"/>
              </w:rPr>
            </w:pPr>
            <w:r>
              <w:rPr>
                <w:b w:val="0"/>
                <w:lang w:val="en-US" w:eastAsia="zh-CN"/>
              </w:rPr>
              <w:t>The mobile application provided exercise plans, demonstration videos, reminders, Borg ratings, therapist adjustment, messaging, and a platform for adverse-event reporting. Caregiver supervision was recommended. Difficulty using the mobile application was identified as a potential implementation barrier, particularly for older participants.</w:t>
            </w:r>
          </w:p>
        </w:tc>
        <w:tc>
          <w:tcPr>
            <w:tcW w:w="0" w:type="auto"/>
            <w:tcBorders>
              <w:top w:val="nil"/>
              <w:left w:val="nil"/>
              <w:bottom w:val="nil"/>
              <w:right w:val="nil"/>
            </w:tcBorders>
            <w:shd w:val="clear" w:color="auto" w:fill="FFFFFF"/>
            <w:vAlign w:val="center"/>
          </w:tcPr>
          <w:p w14:paraId="2DE7F8BF">
            <w:pPr>
              <w:pStyle w:val="167"/>
              <w:bidi w:val="0"/>
              <w:jc w:val="center"/>
              <w:rPr>
                <w:b w:val="0"/>
                <w:lang w:val="en-US" w:eastAsia="zh-CN"/>
              </w:rPr>
            </w:pPr>
            <w:r>
              <w:rPr>
                <w:b w:val="0"/>
                <w:lang w:val="en-US" w:eastAsia="zh-CN"/>
              </w:rPr>
              <w:t>The trial compared app-guided telerehabilitation with therapist-delivered home physical therapy rather than a passive control. Adverse events were recorded, but event rates per completed session were not reported.</w:t>
            </w:r>
          </w:p>
        </w:tc>
      </w:tr>
      <w:tr w14:paraId="3C900F27">
        <w:trPr>
          <w:cantSplit/>
        </w:trPr>
        <w:tc>
          <w:tcPr>
            <w:tcW w:w="0" w:type="auto"/>
            <w:tcBorders>
              <w:top w:val="nil"/>
              <w:left w:val="nil"/>
              <w:bottom w:val="nil"/>
              <w:right w:val="nil"/>
            </w:tcBorders>
            <w:shd w:val="clear" w:color="auto" w:fill="FFFFFF"/>
            <w:vAlign w:val="center"/>
          </w:tcPr>
          <w:p w14:paraId="2A2CC29D">
            <w:pPr>
              <w:pStyle w:val="167"/>
              <w:bidi w:val="0"/>
              <w:jc w:val="center"/>
              <w:rPr>
                <w:b w:val="0"/>
                <w:lang w:val="en-US" w:eastAsia="zh-CN"/>
              </w:rPr>
            </w:pPr>
            <w:r>
              <w:rPr>
                <w:b w:val="0"/>
                <w:lang w:val="en-US" w:eastAsia="zh-CN"/>
              </w:rPr>
              <w:t>Ginis 2016</w:t>
            </w:r>
          </w:p>
        </w:tc>
        <w:tc>
          <w:tcPr>
            <w:tcW w:w="0" w:type="auto"/>
            <w:tcBorders>
              <w:top w:val="nil"/>
              <w:left w:val="nil"/>
              <w:bottom w:val="nil"/>
              <w:right w:val="nil"/>
            </w:tcBorders>
            <w:shd w:val="clear" w:color="auto" w:fill="FFFFFF"/>
            <w:vAlign w:val="center"/>
          </w:tcPr>
          <w:p w14:paraId="5DFF25CB">
            <w:pPr>
              <w:pStyle w:val="167"/>
              <w:bidi w:val="0"/>
              <w:jc w:val="center"/>
              <w:rPr>
                <w:b w:val="0"/>
                <w:lang w:val="en-US" w:eastAsia="zh-CN"/>
              </w:rPr>
            </w:pPr>
            <w:r>
              <w:rPr>
                <w:b w:val="0"/>
                <w:lang w:val="en-US" w:eastAsia="zh-CN"/>
              </w:rPr>
              <w:t>Training frequency and performance were monitored using the CuPiD smartphone system, wearable inertial sensors, training logs, and scheduled contact. The home-based system was considered feasible for participants who completed the programme.</w:t>
            </w:r>
          </w:p>
        </w:tc>
        <w:tc>
          <w:tcPr>
            <w:tcW w:w="0" w:type="auto"/>
            <w:tcBorders>
              <w:top w:val="nil"/>
              <w:left w:val="nil"/>
              <w:bottom w:val="nil"/>
              <w:right w:val="nil"/>
            </w:tcBorders>
            <w:shd w:val="clear" w:color="auto" w:fill="FFFFFF"/>
            <w:vAlign w:val="center"/>
          </w:tcPr>
          <w:p w14:paraId="6114D311">
            <w:pPr>
              <w:pStyle w:val="167"/>
              <w:bidi w:val="0"/>
              <w:jc w:val="center"/>
              <w:rPr>
                <w:b w:val="0"/>
                <w:lang w:val="en-US" w:eastAsia="zh-CN"/>
              </w:rPr>
            </w:pPr>
            <w:r>
              <w:rPr>
                <w:b w:val="0"/>
                <w:lang w:val="en-US" w:eastAsia="zh-CN"/>
              </w:rPr>
              <w:t>The available report did not provide sufficiently detailed numerical adverse-event or fall data for extraction into a comparative table.</w:t>
            </w:r>
          </w:p>
        </w:tc>
        <w:tc>
          <w:tcPr>
            <w:tcW w:w="0" w:type="auto"/>
            <w:tcBorders>
              <w:top w:val="nil"/>
              <w:left w:val="nil"/>
              <w:bottom w:val="nil"/>
              <w:right w:val="nil"/>
            </w:tcBorders>
            <w:shd w:val="clear" w:color="auto" w:fill="FFFFFF"/>
            <w:vAlign w:val="center"/>
          </w:tcPr>
          <w:p w14:paraId="0C98BD1C">
            <w:pPr>
              <w:pStyle w:val="167"/>
              <w:bidi w:val="0"/>
              <w:jc w:val="center"/>
              <w:rPr>
                <w:b w:val="0"/>
                <w:lang w:val="en-US" w:eastAsia="zh-CN"/>
              </w:rPr>
            </w:pPr>
            <w:r>
              <w:rPr>
                <w:b w:val="0"/>
                <w:lang w:val="en-US" w:eastAsia="zh-CN"/>
              </w:rPr>
              <w:t>The system provided personalised auditory feedback during gait training. Initial instruction, smartphone use, wearable sensors, and periodic home or remote support were required.</w:t>
            </w:r>
          </w:p>
        </w:tc>
        <w:tc>
          <w:tcPr>
            <w:tcW w:w="0" w:type="auto"/>
            <w:tcBorders>
              <w:top w:val="nil"/>
              <w:left w:val="nil"/>
              <w:bottom w:val="nil"/>
              <w:right w:val="nil"/>
            </w:tcBorders>
            <w:shd w:val="clear" w:color="auto" w:fill="FFFFFF"/>
            <w:vAlign w:val="center"/>
          </w:tcPr>
          <w:p w14:paraId="398BDDA7">
            <w:pPr>
              <w:pStyle w:val="167"/>
              <w:bidi w:val="0"/>
              <w:jc w:val="center"/>
              <w:rPr>
                <w:b w:val="0"/>
                <w:lang w:val="en-US" w:eastAsia="zh-CN"/>
              </w:rPr>
            </w:pPr>
            <w:r>
              <w:rPr>
                <w:b w:val="0"/>
                <w:lang w:val="en-US" w:eastAsia="zh-CN"/>
              </w:rPr>
              <w:t>This was a small pilot trial. Feasibility among selected participants does not establish usability or safety in patients with advanced disease, cognitive impairment, or limited digital skills.</w:t>
            </w:r>
          </w:p>
        </w:tc>
      </w:tr>
      <w:tr w14:paraId="7D128C5A">
        <w:trPr>
          <w:cantSplit/>
        </w:trPr>
        <w:tc>
          <w:tcPr>
            <w:tcW w:w="0" w:type="auto"/>
            <w:tcBorders>
              <w:top w:val="nil"/>
              <w:left w:val="nil"/>
              <w:bottom w:val="nil"/>
              <w:right w:val="nil"/>
            </w:tcBorders>
            <w:shd w:val="clear" w:color="auto" w:fill="FFFFFF"/>
            <w:vAlign w:val="center"/>
          </w:tcPr>
          <w:p w14:paraId="3E85C5AC">
            <w:pPr>
              <w:pStyle w:val="167"/>
              <w:bidi w:val="0"/>
              <w:jc w:val="center"/>
              <w:rPr>
                <w:b w:val="0"/>
                <w:lang w:val="en-US" w:eastAsia="zh-CN"/>
              </w:rPr>
            </w:pPr>
            <w:r>
              <w:rPr>
                <w:b w:val="0"/>
                <w:lang w:val="en-US" w:eastAsia="zh-CN"/>
              </w:rPr>
              <w:t>Goffredo 2023</w:t>
            </w:r>
          </w:p>
        </w:tc>
        <w:tc>
          <w:tcPr>
            <w:tcW w:w="0" w:type="auto"/>
            <w:tcBorders>
              <w:top w:val="nil"/>
              <w:left w:val="nil"/>
              <w:bottom w:val="nil"/>
              <w:right w:val="nil"/>
            </w:tcBorders>
            <w:shd w:val="clear" w:color="auto" w:fill="FFFFFF"/>
            <w:vAlign w:val="center"/>
          </w:tcPr>
          <w:p w14:paraId="670996BF">
            <w:pPr>
              <w:pStyle w:val="167"/>
              <w:bidi w:val="0"/>
              <w:jc w:val="center"/>
              <w:rPr>
                <w:b w:val="0"/>
                <w:lang w:val="en-US" w:eastAsia="zh-CN"/>
              </w:rPr>
            </w:pPr>
            <w:r>
              <w:rPr>
                <w:b w:val="0"/>
                <w:lang w:val="en-US" w:eastAsia="zh-CN"/>
              </w:rPr>
              <w:t>Completion of the planned VRRS programme and therapist review of tablet-generated training reports were described, but a directly comparable numerical adherence percentage was not clearly reported.</w:t>
            </w:r>
          </w:p>
        </w:tc>
        <w:tc>
          <w:tcPr>
            <w:tcW w:w="0" w:type="auto"/>
            <w:tcBorders>
              <w:top w:val="nil"/>
              <w:left w:val="nil"/>
              <w:bottom w:val="nil"/>
              <w:right w:val="nil"/>
            </w:tcBorders>
            <w:shd w:val="clear" w:color="auto" w:fill="FFFFFF"/>
            <w:vAlign w:val="center"/>
          </w:tcPr>
          <w:p w14:paraId="136EA5FA">
            <w:pPr>
              <w:pStyle w:val="167"/>
              <w:bidi w:val="0"/>
              <w:jc w:val="center"/>
              <w:rPr>
                <w:b w:val="0"/>
                <w:lang w:val="en-US" w:eastAsia="zh-CN"/>
              </w:rPr>
            </w:pPr>
            <w:r>
              <w:rPr>
                <w:b w:val="0"/>
                <w:lang w:val="en-US" w:eastAsia="zh-CN"/>
              </w:rPr>
              <w:t>Adverse events and falls were not reported in sufficient numerical detail for extraction.</w:t>
            </w:r>
          </w:p>
        </w:tc>
        <w:tc>
          <w:tcPr>
            <w:tcW w:w="0" w:type="auto"/>
            <w:tcBorders>
              <w:top w:val="nil"/>
              <w:left w:val="nil"/>
              <w:bottom w:val="nil"/>
              <w:right w:val="nil"/>
            </w:tcBorders>
            <w:shd w:val="clear" w:color="auto" w:fill="FFFFFF"/>
            <w:vAlign w:val="center"/>
          </w:tcPr>
          <w:p w14:paraId="2CF0E24B">
            <w:pPr>
              <w:pStyle w:val="167"/>
              <w:bidi w:val="0"/>
              <w:jc w:val="center"/>
              <w:rPr>
                <w:b w:val="0"/>
                <w:lang w:val="en-US" w:eastAsia="zh-CN"/>
              </w:rPr>
            </w:pPr>
            <w:r>
              <w:rPr>
                <w:b w:val="0"/>
                <w:lang w:val="en-US" w:eastAsia="zh-CN"/>
              </w:rPr>
              <w:t>The intervention used a VRRS tablet, inertial sensors, audiovisual feedback, remotely reviewed exercise data, and scheduled therapist sessions.</w:t>
            </w:r>
          </w:p>
        </w:tc>
        <w:tc>
          <w:tcPr>
            <w:tcW w:w="0" w:type="auto"/>
            <w:tcBorders>
              <w:top w:val="nil"/>
              <w:left w:val="nil"/>
              <w:bottom w:val="nil"/>
              <w:right w:val="nil"/>
            </w:tcBorders>
            <w:shd w:val="clear" w:color="auto" w:fill="FFFFFF"/>
            <w:vAlign w:val="center"/>
          </w:tcPr>
          <w:p w14:paraId="42E669A5">
            <w:pPr>
              <w:pStyle w:val="167"/>
              <w:bidi w:val="0"/>
              <w:jc w:val="center"/>
              <w:rPr>
                <w:b w:val="0"/>
                <w:lang w:val="en-US" w:eastAsia="zh-CN"/>
              </w:rPr>
            </w:pPr>
            <w:r>
              <w:rPr>
                <w:b w:val="0"/>
                <w:lang w:val="en-US" w:eastAsia="zh-CN"/>
              </w:rPr>
              <w:t>Reporting focused principally on postural-stability outcomes. Quantitative adherence, technical-failure, and safety information was limited.</w:t>
            </w:r>
          </w:p>
        </w:tc>
      </w:tr>
      <w:tr w14:paraId="7074F092">
        <w:trPr>
          <w:cantSplit/>
        </w:trPr>
        <w:tc>
          <w:tcPr>
            <w:tcW w:w="0" w:type="auto"/>
            <w:tcBorders>
              <w:top w:val="nil"/>
              <w:left w:val="nil"/>
              <w:bottom w:val="nil"/>
              <w:right w:val="nil"/>
            </w:tcBorders>
            <w:shd w:val="clear" w:color="auto" w:fill="FFFFFF"/>
            <w:vAlign w:val="center"/>
          </w:tcPr>
          <w:p w14:paraId="626519ED">
            <w:pPr>
              <w:pStyle w:val="167"/>
              <w:bidi w:val="0"/>
              <w:jc w:val="center"/>
              <w:rPr>
                <w:b w:val="0"/>
                <w:lang w:val="en-US" w:eastAsia="zh-CN"/>
              </w:rPr>
            </w:pPr>
            <w:r>
              <w:rPr>
                <w:b w:val="0"/>
                <w:lang w:val="en-US" w:eastAsia="zh-CN"/>
              </w:rPr>
              <w:t>Harpham 2025</w:t>
            </w:r>
          </w:p>
        </w:tc>
        <w:tc>
          <w:tcPr>
            <w:tcW w:w="0" w:type="auto"/>
            <w:tcBorders>
              <w:top w:val="nil"/>
              <w:left w:val="nil"/>
              <w:bottom w:val="nil"/>
              <w:right w:val="nil"/>
            </w:tcBorders>
            <w:shd w:val="clear" w:color="auto" w:fill="FFFFFF"/>
            <w:vAlign w:val="center"/>
          </w:tcPr>
          <w:p w14:paraId="240D885B">
            <w:pPr>
              <w:pStyle w:val="167"/>
              <w:bidi w:val="0"/>
              <w:jc w:val="center"/>
              <w:rPr>
                <w:b w:val="0"/>
                <w:lang w:val="en-US" w:eastAsia="zh-CN"/>
              </w:rPr>
            </w:pPr>
            <w:r>
              <w:rPr>
                <w:b w:val="0"/>
                <w:lang w:val="en-US" w:eastAsia="zh-CN"/>
              </w:rPr>
              <w:t>Mean exercise adherence was 78.4%. Mean achieved exercise intensity was 77.2% of age-predicted maximum heart rate per session; three participants did not achieve the target mean intensity of at least 75% of maximum heart rate. Six of seven intervention participants completed the programme.</w:t>
            </w:r>
          </w:p>
        </w:tc>
        <w:tc>
          <w:tcPr>
            <w:tcW w:w="0" w:type="auto"/>
            <w:tcBorders>
              <w:top w:val="nil"/>
              <w:left w:val="nil"/>
              <w:bottom w:val="nil"/>
              <w:right w:val="nil"/>
            </w:tcBorders>
            <w:shd w:val="clear" w:color="auto" w:fill="FFFFFF"/>
            <w:vAlign w:val="center"/>
          </w:tcPr>
          <w:p w14:paraId="4674BF0C">
            <w:pPr>
              <w:pStyle w:val="167"/>
              <w:bidi w:val="0"/>
              <w:jc w:val="center"/>
              <w:rPr>
                <w:b w:val="0"/>
                <w:lang w:val="en-US" w:eastAsia="zh-CN"/>
              </w:rPr>
            </w:pPr>
            <w:r>
              <w:rPr>
                <w:b w:val="0"/>
                <w:lang w:val="en-US" w:eastAsia="zh-CN"/>
              </w:rPr>
              <w:t>High-intensity interval training-related adverse effects were minor and temporary. One participant withdrew because of a back injury judged unrelated to the intervention.</w:t>
            </w:r>
          </w:p>
        </w:tc>
        <w:tc>
          <w:tcPr>
            <w:tcW w:w="0" w:type="auto"/>
            <w:tcBorders>
              <w:top w:val="nil"/>
              <w:left w:val="nil"/>
              <w:bottom w:val="nil"/>
              <w:right w:val="nil"/>
            </w:tcBorders>
            <w:shd w:val="clear" w:color="auto" w:fill="FFFFFF"/>
            <w:vAlign w:val="center"/>
          </w:tcPr>
          <w:p w14:paraId="290FBBB6">
            <w:pPr>
              <w:pStyle w:val="167"/>
              <w:bidi w:val="0"/>
              <w:jc w:val="center"/>
              <w:rPr>
                <w:b w:val="0"/>
                <w:lang w:val="en-US" w:eastAsia="zh-CN"/>
              </w:rPr>
            </w:pPr>
            <w:r>
              <w:rPr>
                <w:b w:val="0"/>
                <w:lang w:val="en-US" w:eastAsia="zh-CN"/>
              </w:rPr>
              <w:t>Implementation included Zoom or telephone check-ins, SMS reminders, online exercise logs, and heart-rate uploads for remote review.</w:t>
            </w:r>
          </w:p>
        </w:tc>
        <w:tc>
          <w:tcPr>
            <w:tcW w:w="0" w:type="auto"/>
            <w:tcBorders>
              <w:top w:val="nil"/>
              <w:left w:val="nil"/>
              <w:bottom w:val="nil"/>
              <w:right w:val="nil"/>
            </w:tcBorders>
            <w:shd w:val="clear" w:color="auto" w:fill="FFFFFF"/>
            <w:vAlign w:val="center"/>
          </w:tcPr>
          <w:p w14:paraId="242FA926">
            <w:pPr>
              <w:pStyle w:val="167"/>
              <w:bidi w:val="0"/>
              <w:jc w:val="center"/>
              <w:rPr>
                <w:b w:val="0"/>
                <w:lang w:val="en-US" w:eastAsia="zh-CN"/>
              </w:rPr>
            </w:pPr>
            <w:r>
              <w:rPr>
                <w:b w:val="0"/>
                <w:lang w:val="en-US" w:eastAsia="zh-CN"/>
              </w:rPr>
              <w:t>The intervention was evaluated in a very small feasibility sample of participants with mild-to-moderate Parkinson’s disease. Findings cannot establish comparative safety or suitability for patients at higher risk.</w:t>
            </w:r>
          </w:p>
        </w:tc>
      </w:tr>
      <w:tr w14:paraId="1128B7C3">
        <w:trPr>
          <w:cantSplit/>
        </w:trPr>
        <w:tc>
          <w:tcPr>
            <w:tcW w:w="0" w:type="auto"/>
            <w:tcBorders>
              <w:top w:val="nil"/>
              <w:left w:val="nil"/>
              <w:bottom w:val="nil"/>
              <w:right w:val="nil"/>
            </w:tcBorders>
            <w:shd w:val="clear" w:color="auto" w:fill="FFFFFF"/>
            <w:vAlign w:val="center"/>
          </w:tcPr>
          <w:p w14:paraId="5DC73864">
            <w:pPr>
              <w:pStyle w:val="167"/>
              <w:bidi w:val="0"/>
              <w:jc w:val="center"/>
              <w:rPr>
                <w:b w:val="0"/>
                <w:lang w:val="en-US" w:eastAsia="zh-CN"/>
              </w:rPr>
            </w:pPr>
            <w:r>
              <w:rPr>
                <w:b w:val="0"/>
                <w:lang w:val="en-US" w:eastAsia="zh-CN"/>
              </w:rPr>
              <w:t>Johnson 2024</w:t>
            </w:r>
          </w:p>
        </w:tc>
        <w:tc>
          <w:tcPr>
            <w:tcW w:w="0" w:type="auto"/>
            <w:tcBorders>
              <w:top w:val="nil"/>
              <w:left w:val="nil"/>
              <w:bottom w:val="nil"/>
              <w:right w:val="nil"/>
            </w:tcBorders>
            <w:shd w:val="clear" w:color="auto" w:fill="FFFFFF"/>
            <w:vAlign w:val="center"/>
          </w:tcPr>
          <w:p w14:paraId="29867144">
            <w:pPr>
              <w:pStyle w:val="167"/>
              <w:bidi w:val="0"/>
              <w:jc w:val="center"/>
              <w:rPr>
                <w:b w:val="0"/>
                <w:lang w:val="en-US" w:eastAsia="zh-CN"/>
              </w:rPr>
            </w:pPr>
            <w:r>
              <w:rPr>
                <w:b w:val="0"/>
                <w:lang w:val="en-US" w:eastAsia="zh-CN"/>
              </w:rPr>
              <w:t>Nineteen of 20 randomised participants were included in the analysis. Recruitment, retention, satisfaction, and intervention completion were reported as feasibility outcomes.</w:t>
            </w:r>
          </w:p>
        </w:tc>
        <w:tc>
          <w:tcPr>
            <w:tcW w:w="0" w:type="auto"/>
            <w:tcBorders>
              <w:top w:val="nil"/>
              <w:left w:val="nil"/>
              <w:bottom w:val="nil"/>
              <w:right w:val="nil"/>
            </w:tcBorders>
            <w:shd w:val="clear" w:color="auto" w:fill="FFFFFF"/>
            <w:vAlign w:val="center"/>
          </w:tcPr>
          <w:p w14:paraId="678019D9">
            <w:pPr>
              <w:pStyle w:val="167"/>
              <w:bidi w:val="0"/>
              <w:jc w:val="center"/>
              <w:rPr>
                <w:b w:val="0"/>
                <w:lang w:val="en-US" w:eastAsia="zh-CN"/>
              </w:rPr>
            </w:pPr>
            <w:r>
              <w:rPr>
                <w:b w:val="0"/>
                <w:lang w:val="en-US" w:eastAsia="zh-CN"/>
              </w:rPr>
              <w:t>One participant withdrew after an injurious fall judged unrelated to the study. No study-related adverse event was identified in the available report. Other falls were described as unrelated to study participation.</w:t>
            </w:r>
          </w:p>
        </w:tc>
        <w:tc>
          <w:tcPr>
            <w:tcW w:w="0" w:type="auto"/>
            <w:tcBorders>
              <w:top w:val="nil"/>
              <w:left w:val="nil"/>
              <w:bottom w:val="nil"/>
              <w:right w:val="nil"/>
            </w:tcBorders>
            <w:shd w:val="clear" w:color="auto" w:fill="FFFFFF"/>
            <w:vAlign w:val="center"/>
          </w:tcPr>
          <w:p w14:paraId="3BBEAC18">
            <w:pPr>
              <w:pStyle w:val="167"/>
              <w:bidi w:val="0"/>
              <w:jc w:val="center"/>
              <w:rPr>
                <w:b w:val="0"/>
                <w:lang w:val="en-US" w:eastAsia="zh-CN"/>
              </w:rPr>
            </w:pPr>
            <w:r>
              <w:rPr>
                <w:b w:val="0"/>
                <w:lang w:val="en-US" w:eastAsia="zh-CN"/>
              </w:rPr>
              <w:t>WizeCare supported web- or mobile-based exercises, safety self-reporting, remote communication, and automated therapist alerts. The intervention combined home exercise with weekly clinic-based physical therapy.</w:t>
            </w:r>
          </w:p>
        </w:tc>
        <w:tc>
          <w:tcPr>
            <w:tcW w:w="0" w:type="auto"/>
            <w:tcBorders>
              <w:top w:val="nil"/>
              <w:left w:val="nil"/>
              <w:bottom w:val="nil"/>
              <w:right w:val="nil"/>
            </w:tcBorders>
            <w:shd w:val="clear" w:color="auto" w:fill="FFFFFF"/>
            <w:vAlign w:val="center"/>
          </w:tcPr>
          <w:p w14:paraId="2826ED0D">
            <w:pPr>
              <w:pStyle w:val="167"/>
              <w:bidi w:val="0"/>
              <w:jc w:val="center"/>
              <w:rPr>
                <w:b w:val="0"/>
                <w:lang w:val="en-US" w:eastAsia="zh-CN"/>
              </w:rPr>
            </w:pPr>
            <w:r>
              <w:rPr>
                <w:b w:val="0"/>
                <w:lang w:val="en-US" w:eastAsia="zh-CN"/>
              </w:rPr>
              <w:t>The study was a small pilot trial, and the intervention combined remote support with in-person treatment. Safety findings should not be interpreted as evidence that a fully remote programme is risk-free.</w:t>
            </w:r>
          </w:p>
        </w:tc>
      </w:tr>
      <w:tr w14:paraId="1F7D9EA7">
        <w:trPr>
          <w:cantSplit/>
        </w:trPr>
        <w:tc>
          <w:tcPr>
            <w:tcW w:w="0" w:type="auto"/>
            <w:tcBorders>
              <w:top w:val="nil"/>
              <w:left w:val="nil"/>
              <w:bottom w:val="nil"/>
              <w:right w:val="nil"/>
            </w:tcBorders>
            <w:shd w:val="clear" w:color="auto" w:fill="FFFFFF"/>
            <w:vAlign w:val="center"/>
          </w:tcPr>
          <w:p w14:paraId="27E4A990">
            <w:pPr>
              <w:pStyle w:val="167"/>
              <w:bidi w:val="0"/>
              <w:jc w:val="center"/>
              <w:rPr>
                <w:b w:val="0"/>
                <w:lang w:val="en-US" w:eastAsia="zh-CN"/>
              </w:rPr>
            </w:pPr>
            <w:r>
              <w:rPr>
                <w:b w:val="0"/>
                <w:lang w:val="en-US" w:eastAsia="zh-CN"/>
              </w:rPr>
              <w:t>Jones 2025</w:t>
            </w:r>
          </w:p>
        </w:tc>
        <w:tc>
          <w:tcPr>
            <w:tcW w:w="0" w:type="auto"/>
            <w:tcBorders>
              <w:top w:val="nil"/>
              <w:left w:val="nil"/>
              <w:bottom w:val="nil"/>
              <w:right w:val="nil"/>
            </w:tcBorders>
            <w:shd w:val="clear" w:color="auto" w:fill="FFFFFF"/>
            <w:vAlign w:val="center"/>
          </w:tcPr>
          <w:p w14:paraId="04CB8201">
            <w:pPr>
              <w:pStyle w:val="167"/>
              <w:bidi w:val="0"/>
              <w:jc w:val="center"/>
              <w:rPr>
                <w:b w:val="0"/>
                <w:lang w:val="en-US" w:eastAsia="zh-CN"/>
              </w:rPr>
            </w:pPr>
            <w:r>
              <w:rPr>
                <w:b w:val="0"/>
                <w:lang w:val="en-US" w:eastAsia="zh-CN"/>
              </w:rPr>
              <w:t>Participant retention was 74%; the response rate for self-reported outcome measures was 97%. Most participants returned activity diaries, reported as 95% at one assessment and 84% at the end of the study. Attendance was high, all participants completed monthly follow-up calls, and all respondents recommended PDConnect.</w:t>
            </w:r>
          </w:p>
        </w:tc>
        <w:tc>
          <w:tcPr>
            <w:tcW w:w="0" w:type="auto"/>
            <w:tcBorders>
              <w:top w:val="nil"/>
              <w:left w:val="nil"/>
              <w:bottom w:val="nil"/>
              <w:right w:val="nil"/>
            </w:tcBorders>
            <w:shd w:val="clear" w:color="auto" w:fill="FFFFFF"/>
            <w:vAlign w:val="center"/>
          </w:tcPr>
          <w:p w14:paraId="6D6260D6">
            <w:pPr>
              <w:pStyle w:val="167"/>
              <w:bidi w:val="0"/>
              <w:jc w:val="center"/>
              <w:rPr>
                <w:b w:val="0"/>
                <w:lang w:val="en-US" w:eastAsia="zh-CN"/>
              </w:rPr>
            </w:pPr>
            <w:r>
              <w:rPr>
                <w:b w:val="0"/>
                <w:lang w:val="en-US" w:eastAsia="zh-CN"/>
              </w:rPr>
              <w:t>No adverse events were reported during intervention delivery or the home-exercise component.</w:t>
            </w:r>
          </w:p>
        </w:tc>
        <w:tc>
          <w:tcPr>
            <w:tcW w:w="0" w:type="auto"/>
            <w:tcBorders>
              <w:top w:val="nil"/>
              <w:left w:val="nil"/>
              <w:bottom w:val="nil"/>
              <w:right w:val="nil"/>
            </w:tcBorders>
            <w:shd w:val="clear" w:color="auto" w:fill="FFFFFF"/>
            <w:vAlign w:val="center"/>
          </w:tcPr>
          <w:p w14:paraId="19A29989">
            <w:pPr>
              <w:pStyle w:val="167"/>
              <w:bidi w:val="0"/>
              <w:jc w:val="center"/>
              <w:rPr>
                <w:b w:val="0"/>
                <w:lang w:val="en-US" w:eastAsia="zh-CN"/>
              </w:rPr>
            </w:pPr>
            <w:r>
              <w:rPr>
                <w:b w:val="0"/>
                <w:lang w:val="en-US" w:eastAsia="zh-CN"/>
              </w:rPr>
              <w:t>PDConnect used Microsoft Teams, activity tracking, exercise diaries, therapist feedback, an initial home-risk assessment, and monthly follow-up calls.</w:t>
            </w:r>
          </w:p>
        </w:tc>
        <w:tc>
          <w:tcPr>
            <w:tcW w:w="0" w:type="auto"/>
            <w:tcBorders>
              <w:top w:val="nil"/>
              <w:left w:val="nil"/>
              <w:bottom w:val="nil"/>
              <w:right w:val="nil"/>
            </w:tcBorders>
            <w:shd w:val="clear" w:color="auto" w:fill="FFFFFF"/>
            <w:vAlign w:val="center"/>
          </w:tcPr>
          <w:p w14:paraId="6CE85DAB">
            <w:pPr>
              <w:pStyle w:val="167"/>
              <w:bidi w:val="0"/>
              <w:jc w:val="center"/>
              <w:rPr>
                <w:b w:val="0"/>
                <w:lang w:val="en-US" w:eastAsia="zh-CN"/>
              </w:rPr>
            </w:pPr>
            <w:r>
              <w:rPr>
                <w:b w:val="0"/>
                <w:lang w:val="en-US" w:eastAsia="zh-CN"/>
              </w:rPr>
              <w:t>This was a feasibility and mixed-methods study. Although no adverse events were reported, the sample was small and the finding does not establish comparative safety.</w:t>
            </w:r>
          </w:p>
        </w:tc>
      </w:tr>
      <w:tr w14:paraId="28264814">
        <w:trPr>
          <w:cantSplit/>
        </w:trPr>
        <w:tc>
          <w:tcPr>
            <w:tcW w:w="0" w:type="auto"/>
            <w:tcBorders>
              <w:top w:val="nil"/>
              <w:left w:val="nil"/>
              <w:bottom w:val="nil"/>
              <w:right w:val="nil"/>
            </w:tcBorders>
            <w:shd w:val="clear" w:color="auto" w:fill="FFFFFF"/>
            <w:vAlign w:val="center"/>
          </w:tcPr>
          <w:p w14:paraId="4B8D0EFA">
            <w:pPr>
              <w:pStyle w:val="167"/>
              <w:bidi w:val="0"/>
              <w:jc w:val="center"/>
              <w:rPr>
                <w:b w:val="0"/>
                <w:lang w:val="en-US" w:eastAsia="zh-CN"/>
              </w:rPr>
            </w:pPr>
            <w:r>
              <w:rPr>
                <w:b w:val="0"/>
                <w:lang w:val="en-US" w:eastAsia="zh-CN"/>
              </w:rPr>
              <w:t>Pastana Ramos 2023</w:t>
            </w:r>
          </w:p>
        </w:tc>
        <w:tc>
          <w:tcPr>
            <w:tcW w:w="0" w:type="auto"/>
            <w:tcBorders>
              <w:top w:val="nil"/>
              <w:left w:val="nil"/>
              <w:bottom w:val="nil"/>
              <w:right w:val="nil"/>
            </w:tcBorders>
            <w:shd w:val="clear" w:color="auto" w:fill="FFFFFF"/>
            <w:vAlign w:val="center"/>
          </w:tcPr>
          <w:p w14:paraId="1EDA1AD2">
            <w:pPr>
              <w:pStyle w:val="167"/>
              <w:bidi w:val="0"/>
              <w:jc w:val="center"/>
              <w:rPr>
                <w:b w:val="0"/>
                <w:lang w:val="en-US" w:eastAsia="zh-CN"/>
              </w:rPr>
            </w:pPr>
            <w:r>
              <w:rPr>
                <w:b w:val="0"/>
                <w:lang w:val="en-US" w:eastAsia="zh-CN"/>
              </w:rPr>
              <w:t>All participants who remained in the telerehabilitation group completed the 12 planned remote sessions, indicating high session adherence.</w:t>
            </w:r>
          </w:p>
        </w:tc>
        <w:tc>
          <w:tcPr>
            <w:tcW w:w="0" w:type="auto"/>
            <w:tcBorders>
              <w:top w:val="nil"/>
              <w:left w:val="nil"/>
              <w:bottom w:val="nil"/>
              <w:right w:val="nil"/>
            </w:tcBorders>
            <w:shd w:val="clear" w:color="auto" w:fill="FFFFFF"/>
            <w:vAlign w:val="center"/>
          </w:tcPr>
          <w:p w14:paraId="30944B7B">
            <w:pPr>
              <w:pStyle w:val="167"/>
              <w:bidi w:val="0"/>
              <w:jc w:val="center"/>
              <w:rPr>
                <w:b w:val="0"/>
                <w:lang w:val="en-US" w:eastAsia="zh-CN"/>
              </w:rPr>
            </w:pPr>
            <w:r>
              <w:rPr>
                <w:b w:val="0"/>
                <w:lang w:val="en-US" w:eastAsia="zh-CN"/>
              </w:rPr>
              <w:t>Minor and transient pain or discomfort was reported. No falls occurred during the intervention sessions, and no serious intervention-related adverse events were reported.</w:t>
            </w:r>
          </w:p>
        </w:tc>
        <w:tc>
          <w:tcPr>
            <w:tcW w:w="0" w:type="auto"/>
            <w:tcBorders>
              <w:top w:val="nil"/>
              <w:left w:val="nil"/>
              <w:bottom w:val="nil"/>
              <w:right w:val="nil"/>
            </w:tcBorders>
            <w:shd w:val="clear" w:color="auto" w:fill="FFFFFF"/>
            <w:vAlign w:val="center"/>
          </w:tcPr>
          <w:p w14:paraId="5FB9E758">
            <w:pPr>
              <w:pStyle w:val="167"/>
              <w:bidi w:val="0"/>
              <w:jc w:val="center"/>
              <w:rPr>
                <w:b w:val="0"/>
                <w:lang w:val="en-US" w:eastAsia="zh-CN"/>
              </w:rPr>
            </w:pPr>
            <w:r>
              <w:rPr>
                <w:b w:val="0"/>
                <w:lang w:val="en-US" w:eastAsia="zh-CN"/>
              </w:rPr>
              <w:t>Real-time videoconferencing, weekly telephone safety checks, therapist feedback, and caregiver support were used. Technical difficulties were reported but did not prevent completion of the intervention.</w:t>
            </w:r>
          </w:p>
        </w:tc>
        <w:tc>
          <w:tcPr>
            <w:tcW w:w="0" w:type="auto"/>
            <w:tcBorders>
              <w:top w:val="nil"/>
              <w:left w:val="nil"/>
              <w:bottom w:val="nil"/>
              <w:right w:val="nil"/>
            </w:tcBorders>
            <w:shd w:val="clear" w:color="auto" w:fill="FFFFFF"/>
            <w:vAlign w:val="center"/>
          </w:tcPr>
          <w:p w14:paraId="1C5CE039">
            <w:pPr>
              <w:pStyle w:val="167"/>
              <w:bidi w:val="0"/>
              <w:jc w:val="center"/>
              <w:rPr>
                <w:b w:val="0"/>
                <w:lang w:val="en-US" w:eastAsia="zh-CN"/>
              </w:rPr>
            </w:pPr>
            <w:r>
              <w:rPr>
                <w:b w:val="0"/>
                <w:lang w:val="en-US" w:eastAsia="zh-CN"/>
              </w:rPr>
              <w:t>The trial included only 19 participants. The small sample and short intervention period limited detection of uncommon adverse events and longer-term adherence problems.</w:t>
            </w:r>
          </w:p>
        </w:tc>
      </w:tr>
      <w:tr w14:paraId="25EE7C74">
        <w:trPr>
          <w:cantSplit/>
        </w:trPr>
        <w:tc>
          <w:tcPr>
            <w:tcW w:w="0" w:type="auto"/>
            <w:tcBorders>
              <w:top w:val="nil"/>
              <w:left w:val="nil"/>
              <w:bottom w:val="single" w:color="000000" w:sz="12" w:space="0"/>
              <w:right w:val="nil"/>
            </w:tcBorders>
            <w:shd w:val="clear" w:color="auto" w:fill="FFFFFF"/>
            <w:vAlign w:val="center"/>
          </w:tcPr>
          <w:p w14:paraId="7FEB5892">
            <w:pPr>
              <w:pStyle w:val="167"/>
              <w:bidi w:val="0"/>
              <w:jc w:val="center"/>
              <w:rPr>
                <w:b w:val="0"/>
                <w:lang w:val="en-US" w:eastAsia="zh-CN"/>
              </w:rPr>
            </w:pPr>
            <w:r>
              <w:rPr>
                <w:b w:val="0"/>
                <w:lang w:val="en-US" w:eastAsia="zh-CN"/>
              </w:rPr>
              <w:t>Song 2018</w:t>
            </w:r>
          </w:p>
        </w:tc>
        <w:tc>
          <w:tcPr>
            <w:tcW w:w="0" w:type="auto"/>
            <w:tcBorders>
              <w:top w:val="nil"/>
              <w:left w:val="nil"/>
              <w:bottom w:val="single" w:color="000000" w:sz="12" w:space="0"/>
              <w:right w:val="nil"/>
            </w:tcBorders>
            <w:shd w:val="clear" w:color="auto" w:fill="FFFFFF"/>
            <w:vAlign w:val="center"/>
          </w:tcPr>
          <w:p w14:paraId="627F95DC">
            <w:pPr>
              <w:pStyle w:val="167"/>
              <w:bidi w:val="0"/>
              <w:jc w:val="center"/>
              <w:rPr>
                <w:b w:val="0"/>
                <w:lang w:val="en-US" w:eastAsia="zh-CN"/>
              </w:rPr>
            </w:pPr>
            <w:r>
              <w:rPr>
                <w:b w:val="0"/>
                <w:lang w:val="en-US" w:eastAsia="zh-CN"/>
              </w:rPr>
              <w:t>Exercise participation was monitored through game records, paper logs, feedback from the stepping system, a home-setup session, a week-6 visit, and fortnightly telephone calls. A directly comparable numerical adherence percentage was not clearly reported in the extracted data.</w:t>
            </w:r>
          </w:p>
        </w:tc>
        <w:tc>
          <w:tcPr>
            <w:tcW w:w="0" w:type="auto"/>
            <w:tcBorders>
              <w:top w:val="nil"/>
              <w:left w:val="nil"/>
              <w:bottom w:val="single" w:color="000000" w:sz="12" w:space="0"/>
              <w:right w:val="nil"/>
            </w:tcBorders>
            <w:shd w:val="clear" w:color="auto" w:fill="FFFFFF"/>
            <w:vAlign w:val="center"/>
          </w:tcPr>
          <w:p w14:paraId="32E3CC3B">
            <w:pPr>
              <w:pStyle w:val="167"/>
              <w:bidi w:val="0"/>
              <w:jc w:val="center"/>
              <w:rPr>
                <w:b w:val="0"/>
                <w:lang w:val="en-US" w:eastAsia="zh-CN"/>
              </w:rPr>
            </w:pPr>
            <w:r>
              <w:rPr>
                <w:b w:val="0"/>
                <w:lang w:val="en-US" w:eastAsia="zh-CN"/>
              </w:rPr>
              <w:t>No serious training-related adverse events were reported. Falls-related outcomes were collected because of the intervention context, but the available reporting did not permit a consistent comparative adverse-event rate to be calculated.</w:t>
            </w:r>
          </w:p>
        </w:tc>
        <w:tc>
          <w:tcPr>
            <w:tcW w:w="0" w:type="auto"/>
            <w:tcBorders>
              <w:top w:val="nil"/>
              <w:left w:val="nil"/>
              <w:bottom w:val="single" w:color="000000" w:sz="12" w:space="0"/>
              <w:right w:val="nil"/>
            </w:tcBorders>
            <w:shd w:val="clear" w:color="auto" w:fill="FFFFFF"/>
            <w:vAlign w:val="center"/>
          </w:tcPr>
          <w:p w14:paraId="4A7534A5">
            <w:pPr>
              <w:pStyle w:val="167"/>
              <w:bidi w:val="0"/>
              <w:jc w:val="center"/>
              <w:rPr>
                <w:b w:val="0"/>
                <w:lang w:val="en-US" w:eastAsia="zh-CN"/>
              </w:rPr>
            </w:pPr>
            <w:r>
              <w:rPr>
                <w:b w:val="0"/>
                <w:lang w:val="en-US" w:eastAsia="zh-CN"/>
              </w:rPr>
              <w:t>The home exergame required installation and instruction, game-generated feedback, remote telephone contact, and an interim home visit.</w:t>
            </w:r>
          </w:p>
        </w:tc>
        <w:tc>
          <w:tcPr>
            <w:tcW w:w="0" w:type="auto"/>
            <w:tcBorders>
              <w:top w:val="nil"/>
              <w:left w:val="nil"/>
              <w:bottom w:val="single" w:color="000000" w:sz="12" w:space="0"/>
              <w:right w:val="nil"/>
            </w:tcBorders>
            <w:shd w:val="clear" w:color="auto" w:fill="FFFFFF"/>
            <w:vAlign w:val="center"/>
          </w:tcPr>
          <w:p w14:paraId="511E7BD0">
            <w:pPr>
              <w:pStyle w:val="167"/>
              <w:bidi w:val="0"/>
              <w:jc w:val="center"/>
              <w:rPr>
                <w:b w:val="0"/>
                <w:lang w:val="en-US" w:eastAsia="zh-CN"/>
              </w:rPr>
            </w:pPr>
            <w:r>
              <w:rPr>
                <w:b w:val="0"/>
                <w:lang w:val="en-US" w:eastAsia="zh-CN"/>
              </w:rPr>
              <w:t>Safety findings apply to selected community-dwelling participants able to use the home stepping system. Detailed technology-failure and event-denominator information was limited.</w:t>
            </w:r>
          </w:p>
        </w:tc>
      </w:tr>
    </w:tbl>
    <w:p w14:paraId="6D3D6A4F">
      <w:pPr>
        <w:pStyle w:val="3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ascii="Times New Roman" w:hAnsi="Times New Roman" w:eastAsiaTheme="minorEastAsia" w:cstheme="minorBidi"/>
          <w:b w:val="0"/>
          <w:color w:val="000000"/>
          <w:kern w:val="2"/>
          <w:sz w:val="21"/>
          <w:szCs w:val="21"/>
          <w:lang w:val="en-US" w:eastAsia="zh-CN" w:bidi="ar-SA"/>
        </w:rPr>
      </w:pPr>
      <w:r>
        <w:rPr>
          <w:rFonts w:ascii="Times New Roman" w:hAnsi="Times New Roman" w:eastAsiaTheme="minorEastAsia" w:cstheme="minorBidi"/>
          <w:b w:val="0"/>
          <w:color w:val="000000"/>
          <w:kern w:val="2"/>
          <w:sz w:val="21"/>
          <w:szCs w:val="21"/>
          <w:lang w:val="en-US" w:eastAsia="zh-CN" w:bidi="ar-SA"/>
        </w:rPr>
        <w:t>Abbreviations: AE, adverse event; HIIT, high-intensity interval training; IMU, inertial measurement unit; NR, not reported or not sufficiently extractable; PA, physical activity; PD, Parkinson’s disease; PT, physical therapy/physiotherapist; SD, standard deviation; SMS, short message service; TNR, teleneurorehabilitation; TR, telerehabilitation; VR, virtual reality; VRRS, Virtual Reality Rehabilitation System.</w:t>
      </w:r>
    </w:p>
    <w:p w14:paraId="6A102261">
      <w:pPr>
        <w:pStyle w:val="30"/>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lang w:val="en-US" w:eastAsia="zh-CN"/>
        </w:rPr>
      </w:pPr>
      <w:r>
        <w:rPr>
          <w:rFonts w:ascii="Times New Roman" w:hAnsi="Times New Roman" w:eastAsiaTheme="minorEastAsia" w:cstheme="minorBidi"/>
          <w:b w:val="0"/>
          <w:color w:val="000000"/>
          <w:kern w:val="2"/>
          <w:sz w:val="21"/>
          <w:szCs w:val="21"/>
          <w:lang w:val="en-US" w:eastAsia="zh-CN" w:bidi="ar-SA"/>
        </w:rPr>
        <w:t>Notes: “Not reported” does not mean that no event occurred. It indicates that the relevant outcome was not reported, was incompletely reported, or could not be separated for the eligible Parkinson’s disease comparison. Statements describing monitoring procedures—such as exercise logs, wearable tracking, telephone follow-up, or adverse-event reporting functions—were not treated as evidence of high adherence or safety unless an actual result was reported. Similarly, “no serious adverse events” was not interpreted as “no adverse events.” Because adherence definitions, safety surveillance, event denominators, follow-up periods, and technology-related outcome measures differed across studies, these outcomes were not quantitatively pooled.</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Songti SC">
    <w:panose1 w:val="02010800040101010101"/>
    <w:charset w:val="86"/>
    <w:family w:val="auto"/>
    <w:pitch w:val="default"/>
    <w:sig w:usb0="00000001" w:usb1="080F0000" w:usb2="00000000" w:usb3="00000000" w:csb0="00040000" w:csb1="00000000"/>
  </w:font>
  <w:font w:name="SimSong">
    <w:panose1 w:val="02020300000000000000"/>
    <w:charset w:val="86"/>
    <w:family w:val="auto"/>
    <w:pitch w:val="default"/>
    <w:sig w:usb0="800002BF" w:usb1="38CF7CFA" w:usb2="00000016" w:usb3="00000000" w:csb0="0004000D" w:csb1="00000000"/>
  </w:font>
  <w:font w:name="等线 Light">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Courier">
    <w:altName w:val="苹方-简"/>
    <w:panose1 w:val="02070409020205020404"/>
    <w:charset w:val="00"/>
    <w:family w:val="auto"/>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Kingsoft Sign">
    <w:panose1 w:val="05050102010706020507"/>
    <w:charset w:val="00"/>
    <w:family w:val="auto"/>
    <w:pitch w:val="default"/>
    <w:sig w:usb0="00000000" w:usb1="10000000" w:usb2="00000000" w:usb3="00000000" w:csb0="00000001" w:csb1="00000000"/>
  </w:font>
  <w:font w:name="helvetica">
    <w:panose1 w:val="00000000000000000000"/>
    <w:charset w:val="00"/>
    <w:family w:val="auto"/>
    <w:pitch w:val="default"/>
    <w:sig w:usb0="E00002FF" w:usb1="5000785B" w:usb2="00000000" w:usb3="00000000" w:csb0="2000019F" w:csb1="4F010000"/>
  </w:font>
  <w:font w:name="Times New Roman Bold">
    <w:panose1 w:val="02020503050405090304"/>
    <w:charset w:val="00"/>
    <w:family w:val="auto"/>
    <w:pitch w:val="default"/>
    <w:sig w:usb0="E0000AFF" w:usb1="00007843" w:usb2="00000001" w:usb3="00000000" w:csb0="400001BF" w:csb1="DFF7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宋体-简">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lvlOverride w:ilvl="0">
      <w:startOverride w:val="1"/>
    </w:lvlOverride>
  </w:num>
  <w:num w:numId="2">
    <w:abstractNumId w:val="4"/>
    <w:lvlOverride w:ilvl="0">
      <w:startOverride w:val="1"/>
    </w:lvlOverride>
  </w:num>
  <w:num w:numId="3">
    <w:abstractNumId w:val="5"/>
  </w:num>
  <w:num w:numId="4">
    <w:abstractNumId w:val="2"/>
  </w:num>
  <w:num w:numId="5">
    <w:abstractNumId w:val="0"/>
    <w:lvlOverride w:ilvl="0">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26E"/>
    <w:rsid w:val="00023359"/>
    <w:rsid w:val="000309FE"/>
    <w:rsid w:val="000741B6"/>
    <w:rsid w:val="00086F66"/>
    <w:rsid w:val="00096540"/>
    <w:rsid w:val="000B028B"/>
    <w:rsid w:val="000B2ECA"/>
    <w:rsid w:val="000C4778"/>
    <w:rsid w:val="000F0A69"/>
    <w:rsid w:val="000F42DE"/>
    <w:rsid w:val="00100B3D"/>
    <w:rsid w:val="00131775"/>
    <w:rsid w:val="00162B53"/>
    <w:rsid w:val="001957CE"/>
    <w:rsid w:val="00196BAA"/>
    <w:rsid w:val="001A5C7A"/>
    <w:rsid w:val="001C6DE7"/>
    <w:rsid w:val="001C722A"/>
    <w:rsid w:val="001E1FDE"/>
    <w:rsid w:val="001F19F3"/>
    <w:rsid w:val="001F36AB"/>
    <w:rsid w:val="00200E12"/>
    <w:rsid w:val="00205718"/>
    <w:rsid w:val="0020718C"/>
    <w:rsid w:val="00212273"/>
    <w:rsid w:val="00213E31"/>
    <w:rsid w:val="00233BF2"/>
    <w:rsid w:val="00235273"/>
    <w:rsid w:val="00241979"/>
    <w:rsid w:val="00245EC0"/>
    <w:rsid w:val="0024712C"/>
    <w:rsid w:val="002554F5"/>
    <w:rsid w:val="00297F6D"/>
    <w:rsid w:val="002B34B7"/>
    <w:rsid w:val="002B7048"/>
    <w:rsid w:val="002D7B7A"/>
    <w:rsid w:val="002E6447"/>
    <w:rsid w:val="0031090A"/>
    <w:rsid w:val="00312319"/>
    <w:rsid w:val="00326F25"/>
    <w:rsid w:val="00330E00"/>
    <w:rsid w:val="0033326B"/>
    <w:rsid w:val="00341134"/>
    <w:rsid w:val="00344C8F"/>
    <w:rsid w:val="00357675"/>
    <w:rsid w:val="00361DD9"/>
    <w:rsid w:val="00362EE3"/>
    <w:rsid w:val="0036301F"/>
    <w:rsid w:val="00365DB5"/>
    <w:rsid w:val="00376760"/>
    <w:rsid w:val="00384611"/>
    <w:rsid w:val="0039622E"/>
    <w:rsid w:val="003A710B"/>
    <w:rsid w:val="003C5E55"/>
    <w:rsid w:val="00403CA0"/>
    <w:rsid w:val="0040720A"/>
    <w:rsid w:val="00422733"/>
    <w:rsid w:val="00426E45"/>
    <w:rsid w:val="00430D21"/>
    <w:rsid w:val="00440B17"/>
    <w:rsid w:val="004526FA"/>
    <w:rsid w:val="00454E6B"/>
    <w:rsid w:val="0046619A"/>
    <w:rsid w:val="004840F6"/>
    <w:rsid w:val="00495056"/>
    <w:rsid w:val="004A233A"/>
    <w:rsid w:val="004B6F30"/>
    <w:rsid w:val="004B6F8D"/>
    <w:rsid w:val="004C5BE9"/>
    <w:rsid w:val="004E39DA"/>
    <w:rsid w:val="0051265E"/>
    <w:rsid w:val="0052598D"/>
    <w:rsid w:val="0053764D"/>
    <w:rsid w:val="0056096F"/>
    <w:rsid w:val="00580B21"/>
    <w:rsid w:val="005A0DA7"/>
    <w:rsid w:val="005A5257"/>
    <w:rsid w:val="005B5429"/>
    <w:rsid w:val="005E0C63"/>
    <w:rsid w:val="005E7301"/>
    <w:rsid w:val="005F7D1B"/>
    <w:rsid w:val="0062196A"/>
    <w:rsid w:val="006447D1"/>
    <w:rsid w:val="006463A0"/>
    <w:rsid w:val="00654BB4"/>
    <w:rsid w:val="00695507"/>
    <w:rsid w:val="006A57B2"/>
    <w:rsid w:val="006A76F4"/>
    <w:rsid w:val="006B6353"/>
    <w:rsid w:val="006E37F2"/>
    <w:rsid w:val="006F32BE"/>
    <w:rsid w:val="00714E57"/>
    <w:rsid w:val="007A009E"/>
    <w:rsid w:val="007C58DA"/>
    <w:rsid w:val="007D45E1"/>
    <w:rsid w:val="007D7CCE"/>
    <w:rsid w:val="007E60D8"/>
    <w:rsid w:val="007F14E6"/>
    <w:rsid w:val="00800706"/>
    <w:rsid w:val="00802D91"/>
    <w:rsid w:val="0081742C"/>
    <w:rsid w:val="00823A25"/>
    <w:rsid w:val="00835433"/>
    <w:rsid w:val="0086578D"/>
    <w:rsid w:val="00884BF6"/>
    <w:rsid w:val="00890AEF"/>
    <w:rsid w:val="008A39C5"/>
    <w:rsid w:val="008A39E2"/>
    <w:rsid w:val="008A56C5"/>
    <w:rsid w:val="008C0B26"/>
    <w:rsid w:val="008F4B67"/>
    <w:rsid w:val="0090036A"/>
    <w:rsid w:val="00921C74"/>
    <w:rsid w:val="00936723"/>
    <w:rsid w:val="00947B2A"/>
    <w:rsid w:val="009555A8"/>
    <w:rsid w:val="009570A9"/>
    <w:rsid w:val="00993E59"/>
    <w:rsid w:val="00995B2A"/>
    <w:rsid w:val="009A59C4"/>
    <w:rsid w:val="009B6EF5"/>
    <w:rsid w:val="009B7DD4"/>
    <w:rsid w:val="009E21EA"/>
    <w:rsid w:val="009F2F49"/>
    <w:rsid w:val="00A05A08"/>
    <w:rsid w:val="00A110A9"/>
    <w:rsid w:val="00A519AC"/>
    <w:rsid w:val="00A51D8E"/>
    <w:rsid w:val="00A63388"/>
    <w:rsid w:val="00A96C65"/>
    <w:rsid w:val="00AA15E4"/>
    <w:rsid w:val="00AA392E"/>
    <w:rsid w:val="00AA3FBA"/>
    <w:rsid w:val="00AB42A5"/>
    <w:rsid w:val="00AC71D4"/>
    <w:rsid w:val="00B04D97"/>
    <w:rsid w:val="00B311DB"/>
    <w:rsid w:val="00B46A17"/>
    <w:rsid w:val="00B5333D"/>
    <w:rsid w:val="00B62AF8"/>
    <w:rsid w:val="00B64444"/>
    <w:rsid w:val="00B7257F"/>
    <w:rsid w:val="00B87085"/>
    <w:rsid w:val="00BA02A8"/>
    <w:rsid w:val="00BB7C28"/>
    <w:rsid w:val="00BC213A"/>
    <w:rsid w:val="00BC4048"/>
    <w:rsid w:val="00BD1E78"/>
    <w:rsid w:val="00BE699F"/>
    <w:rsid w:val="00BF14AE"/>
    <w:rsid w:val="00C13FEE"/>
    <w:rsid w:val="00C2001A"/>
    <w:rsid w:val="00C31FE4"/>
    <w:rsid w:val="00C47466"/>
    <w:rsid w:val="00C621E3"/>
    <w:rsid w:val="00C638CF"/>
    <w:rsid w:val="00C75BC9"/>
    <w:rsid w:val="00C75C19"/>
    <w:rsid w:val="00CA0DFC"/>
    <w:rsid w:val="00CB14D5"/>
    <w:rsid w:val="00CE0A23"/>
    <w:rsid w:val="00CF184E"/>
    <w:rsid w:val="00D0659C"/>
    <w:rsid w:val="00D11CC0"/>
    <w:rsid w:val="00D309FB"/>
    <w:rsid w:val="00D3167B"/>
    <w:rsid w:val="00D472EE"/>
    <w:rsid w:val="00D72771"/>
    <w:rsid w:val="00D81C50"/>
    <w:rsid w:val="00D839A5"/>
    <w:rsid w:val="00DB1047"/>
    <w:rsid w:val="00DC28E4"/>
    <w:rsid w:val="00DD0EB0"/>
    <w:rsid w:val="00DD3515"/>
    <w:rsid w:val="00DE625D"/>
    <w:rsid w:val="00DE63A2"/>
    <w:rsid w:val="00E00880"/>
    <w:rsid w:val="00E02423"/>
    <w:rsid w:val="00E34639"/>
    <w:rsid w:val="00E459E0"/>
    <w:rsid w:val="00E476EF"/>
    <w:rsid w:val="00E526C1"/>
    <w:rsid w:val="00E57E2E"/>
    <w:rsid w:val="00E60E09"/>
    <w:rsid w:val="00E9148E"/>
    <w:rsid w:val="00E91A59"/>
    <w:rsid w:val="00E93025"/>
    <w:rsid w:val="00EB6780"/>
    <w:rsid w:val="00ED72F2"/>
    <w:rsid w:val="00EE1023"/>
    <w:rsid w:val="00EF0316"/>
    <w:rsid w:val="00EF3519"/>
    <w:rsid w:val="00EF55BD"/>
    <w:rsid w:val="00EF5648"/>
    <w:rsid w:val="00F13BFB"/>
    <w:rsid w:val="00F24E15"/>
    <w:rsid w:val="00F252D9"/>
    <w:rsid w:val="00F62AE2"/>
    <w:rsid w:val="00F92E77"/>
    <w:rsid w:val="00F932A7"/>
    <w:rsid w:val="00FA7388"/>
    <w:rsid w:val="00FC4C38"/>
    <w:rsid w:val="00FF1ADF"/>
    <w:rsid w:val="00FF72A2"/>
    <w:rsid w:val="3F7DE3C3"/>
    <w:rsid w:val="3FDC7192"/>
    <w:rsid w:val="3FEE86BE"/>
    <w:rsid w:val="49C50010"/>
    <w:rsid w:val="4FFEEB2E"/>
    <w:rsid w:val="67EB283F"/>
    <w:rsid w:val="6D874863"/>
    <w:rsid w:val="7BFCA5EB"/>
    <w:rsid w:val="7EBF7174"/>
    <w:rsid w:val="7FC78A71"/>
    <w:rsid w:val="7FEF2062"/>
    <w:rsid w:val="7FFDE741"/>
    <w:rsid w:val="9FDFD2F4"/>
    <w:rsid w:val="B076FF1C"/>
    <w:rsid w:val="B3BF4688"/>
    <w:rsid w:val="B77DB515"/>
    <w:rsid w:val="B7FF0040"/>
    <w:rsid w:val="BC1FFFEB"/>
    <w:rsid w:val="BEBB260B"/>
    <w:rsid w:val="BF7D8898"/>
    <w:rsid w:val="DDBDF571"/>
    <w:rsid w:val="DFBB241F"/>
    <w:rsid w:val="DFED0F3D"/>
    <w:rsid w:val="EF94DB9A"/>
    <w:rsid w:val="EFFF8985"/>
    <w:rsid w:val="F1FB1310"/>
    <w:rsid w:val="FB6B40DB"/>
    <w:rsid w:val="FBAFE75A"/>
    <w:rsid w:val="FBEBA1F5"/>
    <w:rsid w:val="FEBFC450"/>
    <w:rsid w:val="FEF3DFA5"/>
    <w:rsid w:val="FFF7C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spacing w:line="360" w:lineRule="auto"/>
      <w:jc w:val="both"/>
    </w:pPr>
    <w:rPr>
      <w:rFonts w:ascii="Times New Roman" w:hAnsi="Times New Roman" w:eastAsia="Songti SC" w:cstheme="minorBidi"/>
      <w:color w:val="000000" w:themeColor="text1"/>
      <w:kern w:val="2"/>
      <w:sz w:val="24"/>
      <w:szCs w:val="22"/>
      <w:lang w:val="en-US" w:eastAsia="zh-CN" w:bidi="ar-SA"/>
      <w14:textFill>
        <w14:solidFill>
          <w14:schemeClr w14:val="tx1"/>
        </w14:solidFill>
      </w14:textFill>
    </w:rPr>
  </w:style>
  <w:style w:type="paragraph" w:styleId="3">
    <w:name w:val="heading 1"/>
    <w:basedOn w:val="1"/>
    <w:next w:val="1"/>
    <w:link w:val="136"/>
    <w:qFormat/>
    <w:uiPriority w:val="9"/>
    <w:pPr>
      <w:keepNext/>
      <w:keepLines/>
      <w:spacing w:before="480" w:after="80"/>
      <w:outlineLvl w:val="0"/>
    </w:pPr>
    <w:rPr>
      <w:rFonts w:ascii="Times New Roman" w:hAnsi="Times New Roman" w:cstheme="majorBidi"/>
      <w:b/>
      <w:sz w:val="28"/>
      <w:szCs w:val="48"/>
    </w:rPr>
  </w:style>
  <w:style w:type="paragraph" w:styleId="4">
    <w:name w:val="heading 2"/>
    <w:basedOn w:val="1"/>
    <w:next w:val="1"/>
    <w:link w:val="137"/>
    <w:unhideWhenUsed/>
    <w:qFormat/>
    <w:uiPriority w:val="9"/>
    <w:pPr>
      <w:keepNext/>
      <w:keepLines/>
      <w:spacing w:before="160" w:after="80"/>
      <w:outlineLvl w:val="1"/>
    </w:pPr>
    <w:rPr>
      <w:rFonts w:cstheme="majorBidi"/>
      <w:b/>
      <w:szCs w:val="40"/>
    </w:rPr>
  </w:style>
  <w:style w:type="paragraph" w:styleId="5">
    <w:name w:val="heading 3"/>
    <w:basedOn w:val="1"/>
    <w:next w:val="1"/>
    <w:link w:val="138"/>
    <w:unhideWhenUsed/>
    <w:qFormat/>
    <w:uiPriority w:val="9"/>
    <w:pPr>
      <w:keepNext/>
      <w:keepLines/>
      <w:spacing w:before="160" w:after="80"/>
      <w:outlineLvl w:val="2"/>
    </w:pPr>
    <w:rPr>
      <w:rFonts w:eastAsia="SimSong" w:cstheme="majorBidi"/>
      <w:b/>
      <w:bCs/>
      <w:sz w:val="28"/>
      <w:szCs w:val="24"/>
    </w:rPr>
  </w:style>
  <w:style w:type="paragraph" w:styleId="6">
    <w:name w:val="heading 4"/>
    <w:basedOn w:val="1"/>
    <w:next w:val="1"/>
    <w:link w:val="139"/>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140"/>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8">
    <w:name w:val="heading 6"/>
    <w:basedOn w:val="1"/>
    <w:next w:val="1"/>
    <w:link w:val="141"/>
    <w:semiHidden/>
    <w:unhideWhenUsed/>
    <w:qFormat/>
    <w:uiPriority w:val="9"/>
    <w:pPr>
      <w:keepNext/>
      <w:keepLines/>
      <w:spacing w:before="40"/>
      <w:outlineLvl w:val="5"/>
    </w:pPr>
    <w:rPr>
      <w:rFonts w:cstheme="majorBidi"/>
      <w:b/>
      <w:bCs/>
      <w:color w:val="2F5597" w:themeColor="accent1" w:themeShade="BF"/>
    </w:rPr>
  </w:style>
  <w:style w:type="paragraph" w:styleId="9">
    <w:name w:val="heading 7"/>
    <w:basedOn w:val="1"/>
    <w:next w:val="1"/>
    <w:link w:val="14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14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14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57"/>
    <w:semiHidden/>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kern w:val="0"/>
      <w:sz w:val="20"/>
      <w:szCs w:val="20"/>
      <w:lang w:val="en-US" w:eastAsia="en-US" w:bidi="ar-SA"/>
    </w:rPr>
  </w:style>
  <w:style w:type="paragraph" w:styleId="12">
    <w:name w:val="List 3"/>
    <w:basedOn w:val="1"/>
    <w:semiHidden/>
    <w:unhideWhenUsed/>
    <w:uiPriority w:val="99"/>
    <w:pPr>
      <w:widowControl/>
      <w:spacing w:after="200" w:line="276" w:lineRule="auto"/>
      <w:ind w:left="1080" w:hanging="360"/>
      <w:contextualSpacing/>
      <w:jc w:val="left"/>
    </w:pPr>
    <w:rPr>
      <w:rFonts w:ascii="宋体" w:hAnsi="宋体"/>
      <w:color w:val="auto"/>
      <w:kern w:val="0"/>
      <w:sz w:val="18"/>
      <w:lang w:eastAsia="en-US"/>
    </w:rPr>
  </w:style>
  <w:style w:type="paragraph" w:styleId="13">
    <w:name w:val="List Number 2"/>
    <w:basedOn w:val="1"/>
    <w:semiHidden/>
    <w:unhideWhenUsed/>
    <w:uiPriority w:val="99"/>
    <w:pPr>
      <w:widowControl/>
      <w:numPr>
        <w:ilvl w:val="0"/>
        <w:numId w:val="1"/>
      </w:numPr>
      <w:tabs>
        <w:tab w:val="clear" w:pos="720"/>
      </w:tabs>
      <w:spacing w:after="200" w:line="276" w:lineRule="auto"/>
      <w:ind w:left="0" w:firstLine="0"/>
      <w:contextualSpacing/>
      <w:jc w:val="left"/>
    </w:pPr>
    <w:rPr>
      <w:rFonts w:ascii="宋体" w:hAnsi="宋体"/>
      <w:color w:val="auto"/>
      <w:kern w:val="0"/>
      <w:sz w:val="18"/>
      <w:lang w:eastAsia="en-US"/>
    </w:rPr>
  </w:style>
  <w:style w:type="paragraph" w:styleId="14">
    <w:name w:val="List Number"/>
    <w:basedOn w:val="1"/>
    <w:semiHidden/>
    <w:unhideWhenUsed/>
    <w:uiPriority w:val="99"/>
    <w:pPr>
      <w:widowControl/>
      <w:numPr>
        <w:ilvl w:val="0"/>
        <w:numId w:val="2"/>
      </w:numPr>
      <w:tabs>
        <w:tab w:val="clear" w:pos="360"/>
      </w:tabs>
      <w:spacing w:after="200" w:line="276" w:lineRule="auto"/>
      <w:ind w:left="0" w:firstLine="0"/>
      <w:contextualSpacing/>
      <w:jc w:val="left"/>
    </w:pPr>
    <w:rPr>
      <w:rFonts w:ascii="宋体" w:hAnsi="宋体"/>
      <w:color w:val="auto"/>
      <w:kern w:val="0"/>
      <w:sz w:val="18"/>
      <w:lang w:eastAsia="en-US"/>
    </w:rPr>
  </w:style>
  <w:style w:type="paragraph" w:styleId="15">
    <w:name w:val="caption"/>
    <w:basedOn w:val="1"/>
    <w:next w:val="1"/>
    <w:semiHidden/>
    <w:unhideWhenUsed/>
    <w:qFormat/>
    <w:uiPriority w:val="35"/>
    <w:pPr>
      <w:widowControl/>
      <w:spacing w:after="200" w:line="240" w:lineRule="auto"/>
      <w:jc w:val="left"/>
    </w:pPr>
    <w:rPr>
      <w:rFonts w:ascii="宋体" w:hAnsi="宋体"/>
      <w:b/>
      <w:bCs/>
      <w:color w:val="4472C4" w:themeColor="accent1"/>
      <w:kern w:val="0"/>
      <w:sz w:val="18"/>
      <w:szCs w:val="18"/>
      <w:lang w:eastAsia="en-US"/>
      <w14:textFill>
        <w14:solidFill>
          <w14:schemeClr w14:val="accent1"/>
        </w14:solidFill>
      </w14:textFill>
    </w:rPr>
  </w:style>
  <w:style w:type="paragraph" w:styleId="16">
    <w:name w:val="List Bullet"/>
    <w:basedOn w:val="1"/>
    <w:semiHidden/>
    <w:unhideWhenUsed/>
    <w:uiPriority w:val="99"/>
    <w:pPr>
      <w:widowControl/>
      <w:numPr>
        <w:ilvl w:val="0"/>
        <w:numId w:val="3"/>
      </w:numPr>
      <w:tabs>
        <w:tab w:val="clear" w:pos="360"/>
      </w:tabs>
      <w:spacing w:after="200" w:line="276" w:lineRule="auto"/>
      <w:ind w:left="0" w:firstLine="0"/>
      <w:contextualSpacing/>
      <w:jc w:val="left"/>
    </w:pPr>
    <w:rPr>
      <w:rFonts w:ascii="宋体" w:hAnsi="宋体"/>
      <w:color w:val="auto"/>
      <w:kern w:val="0"/>
      <w:sz w:val="18"/>
      <w:lang w:eastAsia="en-US"/>
    </w:rPr>
  </w:style>
  <w:style w:type="paragraph" w:styleId="17">
    <w:name w:val="Body Text 3"/>
    <w:basedOn w:val="1"/>
    <w:link w:val="160"/>
    <w:semiHidden/>
    <w:unhideWhenUsed/>
    <w:uiPriority w:val="99"/>
    <w:pPr>
      <w:widowControl/>
      <w:spacing w:after="120" w:line="276" w:lineRule="auto"/>
      <w:jc w:val="left"/>
    </w:pPr>
    <w:rPr>
      <w:rFonts w:ascii="宋体" w:hAnsi="宋体"/>
      <w:color w:val="auto"/>
      <w:kern w:val="0"/>
      <w:sz w:val="16"/>
      <w:szCs w:val="16"/>
      <w:lang w:eastAsia="en-US"/>
    </w:rPr>
  </w:style>
  <w:style w:type="paragraph" w:styleId="18">
    <w:name w:val="List Bullet 3"/>
    <w:basedOn w:val="1"/>
    <w:semiHidden/>
    <w:unhideWhenUsed/>
    <w:uiPriority w:val="99"/>
    <w:pPr>
      <w:widowControl/>
      <w:numPr>
        <w:ilvl w:val="0"/>
        <w:numId w:val="4"/>
      </w:numPr>
      <w:tabs>
        <w:tab w:val="clear" w:pos="1080"/>
      </w:tabs>
      <w:spacing w:after="200" w:line="276" w:lineRule="auto"/>
      <w:ind w:left="0" w:firstLine="0"/>
      <w:contextualSpacing/>
      <w:jc w:val="left"/>
    </w:pPr>
    <w:rPr>
      <w:rFonts w:ascii="宋体" w:hAnsi="宋体"/>
      <w:color w:val="auto"/>
      <w:kern w:val="0"/>
      <w:sz w:val="18"/>
      <w:lang w:eastAsia="en-US"/>
    </w:rPr>
  </w:style>
  <w:style w:type="paragraph" w:styleId="19">
    <w:name w:val="Body Text"/>
    <w:basedOn w:val="1"/>
    <w:link w:val="158"/>
    <w:semiHidden/>
    <w:unhideWhenUsed/>
    <w:uiPriority w:val="99"/>
    <w:pPr>
      <w:widowControl/>
      <w:spacing w:after="120" w:line="276" w:lineRule="auto"/>
      <w:jc w:val="left"/>
    </w:pPr>
    <w:rPr>
      <w:rFonts w:ascii="宋体" w:hAnsi="宋体"/>
      <w:color w:val="auto"/>
      <w:kern w:val="0"/>
      <w:sz w:val="18"/>
      <w:lang w:eastAsia="en-US"/>
    </w:rPr>
  </w:style>
  <w:style w:type="paragraph" w:styleId="20">
    <w:name w:val="List Number 3"/>
    <w:basedOn w:val="1"/>
    <w:semiHidden/>
    <w:unhideWhenUsed/>
    <w:uiPriority w:val="99"/>
    <w:pPr>
      <w:widowControl/>
      <w:numPr>
        <w:ilvl w:val="0"/>
        <w:numId w:val="5"/>
      </w:numPr>
      <w:tabs>
        <w:tab w:val="clear" w:pos="1080"/>
      </w:tabs>
      <w:spacing w:after="200" w:line="276" w:lineRule="auto"/>
      <w:ind w:left="0" w:firstLine="0"/>
      <w:contextualSpacing/>
      <w:jc w:val="left"/>
    </w:pPr>
    <w:rPr>
      <w:rFonts w:ascii="宋体" w:hAnsi="宋体"/>
      <w:color w:val="auto"/>
      <w:kern w:val="0"/>
      <w:sz w:val="18"/>
      <w:lang w:eastAsia="en-US"/>
    </w:rPr>
  </w:style>
  <w:style w:type="paragraph" w:styleId="21">
    <w:name w:val="List 2"/>
    <w:basedOn w:val="1"/>
    <w:semiHidden/>
    <w:unhideWhenUsed/>
    <w:uiPriority w:val="99"/>
    <w:pPr>
      <w:widowControl/>
      <w:spacing w:after="200" w:line="276" w:lineRule="auto"/>
      <w:ind w:left="720" w:hanging="360"/>
      <w:contextualSpacing/>
      <w:jc w:val="left"/>
    </w:pPr>
    <w:rPr>
      <w:rFonts w:ascii="宋体" w:hAnsi="宋体"/>
      <w:color w:val="auto"/>
      <w:kern w:val="0"/>
      <w:sz w:val="18"/>
      <w:lang w:eastAsia="en-US"/>
    </w:rPr>
  </w:style>
  <w:style w:type="paragraph" w:styleId="22">
    <w:name w:val="List Continue"/>
    <w:basedOn w:val="1"/>
    <w:semiHidden/>
    <w:unhideWhenUsed/>
    <w:uiPriority w:val="99"/>
    <w:pPr>
      <w:widowControl/>
      <w:spacing w:after="120" w:line="276" w:lineRule="auto"/>
      <w:ind w:left="360"/>
      <w:contextualSpacing/>
      <w:jc w:val="left"/>
    </w:pPr>
    <w:rPr>
      <w:rFonts w:ascii="宋体" w:hAnsi="宋体"/>
      <w:color w:val="auto"/>
      <w:kern w:val="0"/>
      <w:sz w:val="18"/>
      <w:lang w:eastAsia="en-US"/>
    </w:rPr>
  </w:style>
  <w:style w:type="paragraph" w:styleId="23">
    <w:name w:val="List Bullet 2"/>
    <w:basedOn w:val="1"/>
    <w:semiHidden/>
    <w:unhideWhenUsed/>
    <w:uiPriority w:val="99"/>
    <w:pPr>
      <w:widowControl/>
      <w:numPr>
        <w:ilvl w:val="0"/>
        <w:numId w:val="6"/>
      </w:numPr>
      <w:tabs>
        <w:tab w:val="clear" w:pos="720"/>
      </w:tabs>
      <w:spacing w:after="200" w:line="276" w:lineRule="auto"/>
      <w:ind w:left="0" w:firstLine="0"/>
      <w:contextualSpacing/>
      <w:jc w:val="left"/>
    </w:pPr>
    <w:rPr>
      <w:rFonts w:ascii="宋体" w:hAnsi="宋体"/>
      <w:color w:val="auto"/>
      <w:kern w:val="0"/>
      <w:sz w:val="18"/>
      <w:lang w:eastAsia="en-US"/>
    </w:rPr>
  </w:style>
  <w:style w:type="paragraph" w:styleId="24">
    <w:name w:val="footer"/>
    <w:basedOn w:val="1"/>
    <w:link w:val="155"/>
    <w:unhideWhenUsed/>
    <w:uiPriority w:val="99"/>
    <w:pPr>
      <w:tabs>
        <w:tab w:val="center" w:pos="4153"/>
        <w:tab w:val="right" w:pos="8306"/>
      </w:tabs>
      <w:snapToGrid w:val="0"/>
      <w:jc w:val="left"/>
    </w:pPr>
    <w:rPr>
      <w:sz w:val="18"/>
      <w:szCs w:val="18"/>
    </w:rPr>
  </w:style>
  <w:style w:type="paragraph" w:styleId="25">
    <w:name w:val="header"/>
    <w:basedOn w:val="1"/>
    <w:link w:val="154"/>
    <w:unhideWhenUsed/>
    <w:uiPriority w:val="99"/>
    <w:pPr>
      <w:tabs>
        <w:tab w:val="center" w:pos="4153"/>
        <w:tab w:val="right" w:pos="8306"/>
      </w:tabs>
      <w:snapToGrid w:val="0"/>
      <w:jc w:val="center"/>
    </w:pPr>
    <w:rPr>
      <w:sz w:val="18"/>
      <w:szCs w:val="18"/>
    </w:rPr>
  </w:style>
  <w:style w:type="paragraph" w:styleId="26">
    <w:name w:val="Subtitle"/>
    <w:basedOn w:val="1"/>
    <w:next w:val="1"/>
    <w:link w:val="14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List"/>
    <w:basedOn w:val="1"/>
    <w:semiHidden/>
    <w:unhideWhenUsed/>
    <w:uiPriority w:val="99"/>
    <w:pPr>
      <w:widowControl/>
      <w:spacing w:after="200" w:line="276" w:lineRule="auto"/>
      <w:ind w:left="360" w:hanging="360"/>
      <w:contextualSpacing/>
      <w:jc w:val="left"/>
    </w:pPr>
    <w:rPr>
      <w:rFonts w:ascii="宋体" w:hAnsi="宋体"/>
      <w:color w:val="auto"/>
      <w:kern w:val="0"/>
      <w:sz w:val="18"/>
      <w:lang w:eastAsia="en-US"/>
    </w:rPr>
  </w:style>
  <w:style w:type="paragraph" w:styleId="28">
    <w:name w:val="Body Text 2"/>
    <w:basedOn w:val="1"/>
    <w:link w:val="159"/>
    <w:semiHidden/>
    <w:unhideWhenUsed/>
    <w:uiPriority w:val="99"/>
    <w:pPr>
      <w:widowControl/>
      <w:spacing w:after="120" w:line="480" w:lineRule="auto"/>
      <w:jc w:val="left"/>
    </w:pPr>
    <w:rPr>
      <w:rFonts w:ascii="宋体" w:hAnsi="宋体"/>
      <w:color w:val="auto"/>
      <w:kern w:val="0"/>
      <w:sz w:val="18"/>
      <w:lang w:eastAsia="en-US"/>
    </w:rPr>
  </w:style>
  <w:style w:type="paragraph" w:styleId="29">
    <w:name w:val="List Continue 2"/>
    <w:basedOn w:val="1"/>
    <w:semiHidden/>
    <w:unhideWhenUsed/>
    <w:uiPriority w:val="99"/>
    <w:pPr>
      <w:widowControl/>
      <w:spacing w:after="120" w:line="276" w:lineRule="auto"/>
      <w:ind w:left="720"/>
      <w:contextualSpacing/>
      <w:jc w:val="left"/>
    </w:pPr>
    <w:rPr>
      <w:rFonts w:ascii="宋体" w:hAnsi="宋体"/>
      <w:color w:val="auto"/>
      <w:kern w:val="0"/>
      <w:sz w:val="18"/>
      <w:lang w:eastAsia="en-US"/>
    </w:r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semiHidden/>
    <w:unhideWhenUsed/>
    <w:uiPriority w:val="99"/>
    <w:pPr>
      <w:widowControl/>
      <w:spacing w:after="120" w:line="276" w:lineRule="auto"/>
      <w:ind w:left="1080"/>
      <w:contextualSpacing/>
      <w:jc w:val="left"/>
    </w:pPr>
    <w:rPr>
      <w:rFonts w:ascii="宋体" w:hAnsi="宋体"/>
      <w:color w:val="auto"/>
      <w:kern w:val="0"/>
      <w:sz w:val="18"/>
      <w:lang w:eastAsia="en-US"/>
    </w:rPr>
  </w:style>
  <w:style w:type="paragraph" w:styleId="32">
    <w:name w:val="Title"/>
    <w:basedOn w:val="1"/>
    <w:next w:val="1"/>
    <w:link w:val="145"/>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34">
    <w:name w:val="Table Grid"/>
    <w:basedOn w:val="33"/>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semiHidden/>
    <w:unhideWhenUsed/>
    <w:uiPriority w:val="60"/>
    <w:rPr>
      <w:rFonts w:eastAsia="Times New Roman"/>
      <w:color w:val="000000" w:themeColor="text1" w:themeShade="BF"/>
      <w:kern w:val="0"/>
      <w:sz w:val="22"/>
      <w:lang w:eastAsia="en-US"/>
    </w:rPr>
    <w:tblPr>
      <w:tblBorders>
        <w:top w:val="single" w:color="000000" w:themeColor="text1" w:sz="8" w:space="0"/>
        <w:bottom w:val="single" w:color="000000" w:themeColor="text1" w:sz="8" w:space="0"/>
      </w:tblBorders>
    </w:tblPr>
    <w:tblStylePr w:type="firstRow">
      <w:pPr>
        <w:spacing w:before="0" w:beforeLines="0" w:beforeAutospacing="0" w:after="0" w:afterLines="0" w:afterAutospacing="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semiHidden/>
    <w:unhideWhenUsed/>
    <w:uiPriority w:val="60"/>
    <w:rPr>
      <w:rFonts w:eastAsia="Times New Roman"/>
      <w:color w:val="2F5597" w:themeColor="accent1" w:themeShade="BF"/>
      <w:kern w:val="0"/>
      <w:sz w:val="22"/>
      <w:lang w:eastAsia="en-US"/>
    </w:rPr>
    <w:tblPr>
      <w:tblBorders>
        <w:top w:val="single" w:color="4472C4" w:themeColor="accent1" w:sz="8" w:space="0"/>
        <w:bottom w:val="single" w:color="4472C4" w:themeColor="accent1" w:sz="8" w:space="0"/>
      </w:tblBorders>
    </w:tblPr>
    <w:tblStylePr w:type="firstRow">
      <w:pPr>
        <w:spacing w:before="0" w:beforeLines="0" w:beforeAutospacing="0" w:after="0" w:afterLines="0" w:afterAutospacing="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left w:val="nil"/>
          <w:right w:val="nil"/>
          <w:insideH w:val="nil"/>
          <w:insideV w:val="nil"/>
        </w:tcBorders>
        <w:shd w:val="clear" w:color="auto" w:fill="D0DCF0" w:themeFill="accent1" w:themeFillTint="3F"/>
      </w:tcPr>
    </w:tblStylePr>
  </w:style>
  <w:style w:type="table" w:styleId="37">
    <w:name w:val="Light Shading Accent 2"/>
    <w:basedOn w:val="33"/>
    <w:semiHidden/>
    <w:unhideWhenUsed/>
    <w:uiPriority w:val="60"/>
    <w:rPr>
      <w:rFonts w:eastAsia="Times New Roman"/>
      <w:color w:val="C55A11" w:themeColor="accent2" w:themeShade="BF"/>
      <w:kern w:val="0"/>
      <w:sz w:val="22"/>
      <w:lang w:eastAsia="en-US"/>
    </w:rPr>
    <w:tblPr>
      <w:tblBorders>
        <w:top w:val="single" w:color="ED7D31" w:themeColor="accent2" w:sz="8" w:space="0"/>
        <w:bottom w:val="single" w:color="ED7D31" w:themeColor="accent2" w:sz="8" w:space="0"/>
      </w:tblBorders>
    </w:tblPr>
    <w:tblStylePr w:type="firstRow">
      <w:pPr>
        <w:spacing w:before="0" w:beforeLines="0" w:beforeAutospacing="0" w:after="0" w:afterLines="0" w:afterAutospacing="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38">
    <w:name w:val="Light Shading Accent 3"/>
    <w:basedOn w:val="33"/>
    <w:semiHidden/>
    <w:unhideWhenUsed/>
    <w:uiPriority w:val="60"/>
    <w:rPr>
      <w:rFonts w:eastAsia="Times New Roman"/>
      <w:color w:val="7C7C7C" w:themeColor="accent3" w:themeShade="BF"/>
      <w:kern w:val="0"/>
      <w:sz w:val="22"/>
      <w:lang w:eastAsia="en-US"/>
    </w:rPr>
    <w:tblPr>
      <w:tblBorders>
        <w:top w:val="single" w:color="A5A5A5" w:themeColor="accent3" w:sz="8" w:space="0"/>
        <w:bottom w:val="single" w:color="A5A5A5" w:themeColor="accent3" w:sz="8" w:space="0"/>
      </w:tblBorders>
    </w:tblPr>
    <w:tblStylePr w:type="firstRow">
      <w:pPr>
        <w:spacing w:before="0" w:beforeLines="0" w:beforeAutospacing="0" w:after="0" w:afterLines="0" w:afterAutospacing="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9">
    <w:name w:val="Light Shading Accent 4"/>
    <w:basedOn w:val="33"/>
    <w:semiHidden/>
    <w:unhideWhenUsed/>
    <w:uiPriority w:val="60"/>
    <w:rPr>
      <w:rFonts w:eastAsia="Times New Roman"/>
      <w:color w:val="BF9000" w:themeColor="accent4" w:themeShade="BF"/>
      <w:kern w:val="0"/>
      <w:sz w:val="22"/>
      <w:lang w:eastAsia="en-US"/>
    </w:rPr>
    <w:tblPr>
      <w:tblBorders>
        <w:top w:val="single" w:color="FFC000" w:themeColor="accent4" w:sz="8" w:space="0"/>
        <w:bottom w:val="single" w:color="FFC000" w:themeColor="accent4" w:sz="8" w:space="0"/>
      </w:tblBorders>
    </w:tblPr>
    <w:tblStylePr w:type="firstRow">
      <w:pPr>
        <w:spacing w:before="0" w:beforeLines="0" w:beforeAutospacing="0" w:after="0" w:afterLines="0" w:afterAutospacing="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40">
    <w:name w:val="Light Shading Accent 5"/>
    <w:basedOn w:val="33"/>
    <w:semiHidden/>
    <w:unhideWhenUsed/>
    <w:uiPriority w:val="60"/>
    <w:rPr>
      <w:rFonts w:eastAsia="Times New Roman"/>
      <w:color w:val="2E75B6" w:themeColor="accent5" w:themeShade="BF"/>
      <w:kern w:val="0"/>
      <w:sz w:val="22"/>
      <w:lang w:eastAsia="en-US"/>
    </w:rPr>
    <w:tblPr>
      <w:tblBorders>
        <w:top w:val="single" w:color="5B9BD5" w:themeColor="accent5" w:sz="8" w:space="0"/>
        <w:bottom w:val="single" w:color="5B9BD5" w:themeColor="accent5" w:sz="8" w:space="0"/>
      </w:tblBorders>
    </w:tblPr>
    <w:tblStylePr w:type="firstRow">
      <w:pPr>
        <w:spacing w:before="0" w:beforeLines="0" w:beforeAutospacing="0" w:after="0" w:afterLines="0" w:afterAutospacing="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41">
    <w:name w:val="Light Shading Accent 6"/>
    <w:basedOn w:val="33"/>
    <w:semiHidden/>
    <w:unhideWhenUsed/>
    <w:uiPriority w:val="60"/>
    <w:rPr>
      <w:rFonts w:eastAsia="Times New Roman"/>
      <w:color w:val="548235" w:themeColor="accent6" w:themeShade="BF"/>
      <w:kern w:val="0"/>
      <w:sz w:val="22"/>
      <w:lang w:eastAsia="en-US"/>
    </w:rPr>
    <w:tblPr>
      <w:tblBorders>
        <w:top w:val="single" w:color="70AD47" w:themeColor="accent6" w:sz="8" w:space="0"/>
        <w:bottom w:val="single" w:color="70AD47" w:themeColor="accent6" w:sz="8" w:space="0"/>
      </w:tblBorders>
    </w:tblPr>
    <w:tblStylePr w:type="firstRow">
      <w:pPr>
        <w:spacing w:before="0" w:beforeLines="0" w:beforeAutospacing="0" w:after="0" w:afterLines="0" w:afterAutospacing="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2">
    <w:name w:val="Light List"/>
    <w:basedOn w:val="33"/>
    <w:semiHidden/>
    <w:unhideWhenUsed/>
    <w:uiPriority w:val="61"/>
    <w:rPr>
      <w:rFonts w:eastAsia="Times New Roman"/>
      <w:kern w:val="0"/>
      <w:sz w:val="22"/>
      <w:lang w:eastAsia="en-US"/>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beforeLines="0" w:beforeAutospacing="0" w:after="0" w:afterLines="0" w:afterAutospacing="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semiHidden/>
    <w:unhideWhenUsed/>
    <w:uiPriority w:val="61"/>
    <w:rPr>
      <w:rFonts w:eastAsia="Times New Roman"/>
      <w:kern w:val="0"/>
      <w:sz w:val="22"/>
      <w:lang w:eastAsia="en-US"/>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shd w:val="clear" w:color="auto" w:fill="4472C4" w:themeFill="accent1"/>
      </w:tcPr>
    </w:tblStylePr>
    <w:tblStylePr w:type="lastRow">
      <w:pPr>
        <w:spacing w:before="0" w:beforeLines="0" w:beforeAutospacing="0" w:after="0" w:afterLines="0" w:afterAutospacing="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styleId="44">
    <w:name w:val="Light List Accent 2"/>
    <w:basedOn w:val="33"/>
    <w:semiHidden/>
    <w:unhideWhenUsed/>
    <w:uiPriority w:val="61"/>
    <w:rPr>
      <w:rFonts w:eastAsia="Times New Roman"/>
      <w:kern w:val="0"/>
      <w:sz w:val="22"/>
      <w:lang w:eastAsia="en-US"/>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beforeLines="0" w:beforeAutospacing="0" w:after="0" w:afterLines="0" w:afterAutospacing="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45">
    <w:name w:val="Light List Accent 3"/>
    <w:basedOn w:val="33"/>
    <w:semiHidden/>
    <w:unhideWhenUsed/>
    <w:uiPriority w:val="61"/>
    <w:rPr>
      <w:rFonts w:eastAsia="Times New Roman"/>
      <w:kern w:val="0"/>
      <w:sz w:val="22"/>
      <w:lang w:eastAsia="en-US"/>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beforeLines="0" w:beforeAutospacing="0" w:after="0" w:afterLines="0" w:afterAutospacing="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46">
    <w:name w:val="Light List Accent 4"/>
    <w:basedOn w:val="33"/>
    <w:semiHidden/>
    <w:unhideWhenUsed/>
    <w:uiPriority w:val="61"/>
    <w:rPr>
      <w:rFonts w:eastAsia="Times New Roman"/>
      <w:kern w:val="0"/>
      <w:sz w:val="22"/>
      <w:lang w:eastAsia="en-US"/>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beforeLines="0" w:beforeAutospacing="0" w:after="0" w:afterLines="0" w:afterAutospacing="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47">
    <w:name w:val="Light List Accent 5"/>
    <w:basedOn w:val="33"/>
    <w:semiHidden/>
    <w:unhideWhenUsed/>
    <w:uiPriority w:val="61"/>
    <w:rPr>
      <w:rFonts w:eastAsia="Times New Roman"/>
      <w:kern w:val="0"/>
      <w:sz w:val="22"/>
      <w:lang w:eastAsia="en-US"/>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beforeLines="0" w:beforeAutospacing="0" w:after="0" w:afterLines="0" w:afterAutospacing="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48">
    <w:name w:val="Light List Accent 6"/>
    <w:basedOn w:val="33"/>
    <w:semiHidden/>
    <w:unhideWhenUsed/>
    <w:uiPriority w:val="61"/>
    <w:rPr>
      <w:rFonts w:eastAsia="Times New Roman"/>
      <w:kern w:val="0"/>
      <w:sz w:val="22"/>
      <w:lang w:eastAsia="en-US"/>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beforeLines="0" w:beforeAutospacing="0" w:after="0" w:afterLines="0" w:afterAutospacing="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49">
    <w:name w:val="Light Grid"/>
    <w:basedOn w:val="33"/>
    <w:semiHidden/>
    <w:unhideWhenUsed/>
    <w:uiPriority w:val="62"/>
    <w:rPr>
      <w:rFonts w:eastAsia="Times New Roman"/>
      <w:kern w:val="0"/>
      <w:sz w:val="22"/>
      <w:lang w:eastAsia="en-US"/>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hint="default" w:asciiTheme="majorHAnsi" w:hAnsiTheme="majorHAnsi" w:eastAsiaTheme="majorEastAsia" w:cstheme="majorBidi"/>
        <w:b/>
        <w:bCs/>
      </w:rPr>
    </w:tblStylePr>
    <w:tblStylePr w:type="lastCol">
      <w:rPr>
        <w:rFonts w:hint="default"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semiHidden/>
    <w:unhideWhenUsed/>
    <w:uiPriority w:val="62"/>
    <w:rPr>
      <w:rFonts w:eastAsia="Times New Roman"/>
      <w:kern w:val="0"/>
      <w:sz w:val="22"/>
      <w:lang w:eastAsia="en-US"/>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blStylePr w:type="fir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hint="default" w:asciiTheme="majorHAnsi" w:hAnsiTheme="majorHAnsi" w:eastAsiaTheme="majorEastAsia" w:cstheme="majorBidi"/>
        <w:b/>
        <w:bCs/>
      </w:rPr>
    </w:tblStylePr>
    <w:tblStylePr w:type="lastCol">
      <w:rPr>
        <w:rFonts w:hint="default"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styleId="51">
    <w:name w:val="Light Grid Accent 2"/>
    <w:basedOn w:val="33"/>
    <w:semiHidden/>
    <w:unhideWhenUsed/>
    <w:uiPriority w:val="62"/>
    <w:rPr>
      <w:rFonts w:eastAsia="Times New Roman"/>
      <w:kern w:val="0"/>
      <w:sz w:val="22"/>
      <w:lang w:eastAsia="en-US"/>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blStylePr w:type="fir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hint="default" w:asciiTheme="majorHAnsi" w:hAnsiTheme="majorHAnsi" w:eastAsiaTheme="majorEastAsia" w:cstheme="majorBidi"/>
        <w:b/>
        <w:bCs/>
      </w:rPr>
    </w:tblStylePr>
    <w:tblStylePr w:type="lastCol">
      <w:rPr>
        <w:rFonts w:hint="default"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52">
    <w:name w:val="Light Grid Accent 3"/>
    <w:basedOn w:val="33"/>
    <w:semiHidden/>
    <w:unhideWhenUsed/>
    <w:uiPriority w:val="62"/>
    <w:rPr>
      <w:rFonts w:eastAsia="Times New Roman"/>
      <w:kern w:val="0"/>
      <w:sz w:val="22"/>
      <w:lang w:eastAsia="en-US"/>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hint="default" w:asciiTheme="majorHAnsi" w:hAnsiTheme="majorHAnsi" w:eastAsiaTheme="majorEastAsia" w:cstheme="majorBidi"/>
        <w:b/>
        <w:bCs/>
      </w:rPr>
    </w:tblStylePr>
    <w:tblStylePr w:type="lastCol">
      <w:rPr>
        <w:rFonts w:hint="default"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53">
    <w:name w:val="Light Grid Accent 4"/>
    <w:basedOn w:val="33"/>
    <w:semiHidden/>
    <w:unhideWhenUsed/>
    <w:uiPriority w:val="62"/>
    <w:rPr>
      <w:rFonts w:eastAsia="Times New Roman"/>
      <w:kern w:val="0"/>
      <w:sz w:val="22"/>
      <w:lang w:eastAsia="en-US"/>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hint="default" w:asciiTheme="majorHAnsi" w:hAnsiTheme="majorHAnsi" w:eastAsiaTheme="majorEastAsia" w:cstheme="majorBidi"/>
        <w:b/>
        <w:bCs/>
      </w:rPr>
    </w:tblStylePr>
    <w:tblStylePr w:type="lastCol">
      <w:rPr>
        <w:rFonts w:hint="default"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54">
    <w:name w:val="Light Grid Accent 5"/>
    <w:basedOn w:val="33"/>
    <w:semiHidden/>
    <w:unhideWhenUsed/>
    <w:uiPriority w:val="62"/>
    <w:rPr>
      <w:rFonts w:eastAsia="Times New Roman"/>
      <w:kern w:val="0"/>
      <w:sz w:val="22"/>
      <w:lang w:eastAsia="en-US"/>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blStylePr w:type="fir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hint="default" w:asciiTheme="majorHAnsi" w:hAnsiTheme="majorHAnsi" w:eastAsiaTheme="majorEastAsia" w:cstheme="majorBidi"/>
        <w:b/>
        <w:bCs/>
      </w:rPr>
    </w:tblStylePr>
    <w:tblStylePr w:type="lastCol">
      <w:rPr>
        <w:rFonts w:hint="default"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55">
    <w:name w:val="Light Grid Accent 6"/>
    <w:basedOn w:val="33"/>
    <w:semiHidden/>
    <w:unhideWhenUsed/>
    <w:uiPriority w:val="62"/>
    <w:rPr>
      <w:rFonts w:eastAsia="Times New Roman"/>
      <w:kern w:val="0"/>
      <w:sz w:val="22"/>
      <w:lang w:eastAsia="en-US"/>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beforeLines="0" w:beforeAutospacing="0" w:after="0" w:afterLines="0" w:afterAutospacing="0" w:line="240" w:lineRule="auto"/>
      </w:pPr>
      <w:rPr>
        <w:rFonts w:hint="default"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hint="default" w:asciiTheme="majorHAnsi" w:hAnsiTheme="majorHAnsi" w:eastAsiaTheme="majorEastAsia" w:cstheme="majorBidi"/>
        <w:b/>
        <w:bCs/>
      </w:rPr>
    </w:tblStylePr>
    <w:tblStylePr w:type="lastCol">
      <w:rPr>
        <w:rFonts w:hint="default"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56">
    <w:name w:val="Medium Shading 1"/>
    <w:basedOn w:val="33"/>
    <w:semiHidden/>
    <w:unhideWhenUsed/>
    <w:uiPriority w:val="63"/>
    <w:rPr>
      <w:rFonts w:eastAsia="Times New Roman"/>
      <w:kern w:val="0"/>
      <w:sz w:val="22"/>
      <w:lang w:eastAsia="en-US"/>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beforeLines="0" w:beforeAutospacing="0" w:after="0" w:afterLines="0" w:afterAutospacing="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semiHidden/>
    <w:unhideWhenUsed/>
    <w:uiPriority w:val="63"/>
    <w:rPr>
      <w:rFonts w:eastAsia="Times New Roman"/>
      <w:kern w:val="0"/>
      <w:sz w:val="22"/>
      <w:lang w:eastAsia="en-US"/>
    </w:rPr>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beforeLines="0" w:beforeAutospacing="0" w:after="0" w:afterLines="0" w:afterAutospacing="0" w:line="240" w:lineRule="auto"/>
      </w:pPr>
      <w:rPr>
        <w:b/>
        <w:bCs/>
      </w:rPr>
      <w:tbl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0DCF0" w:themeFill="accent1" w:themeFillTint="3F"/>
      </w:tcPr>
    </w:tblStylePr>
    <w:tblStylePr w:type="band1Horz">
      <w:tblPr/>
      <w:tcPr>
        <w:tcBorders>
          <w:insideH w:val="nil"/>
          <w:insideV w:val="nil"/>
        </w:tcBorders>
        <w:shd w:val="clear" w:color="auto" w:fill="D0DCF0" w:themeFill="accent1" w:themeFillTint="3F"/>
      </w:tcPr>
    </w:tblStylePr>
    <w:tblStylePr w:type="band2Horz">
      <w:tblPr/>
      <w:tcPr>
        <w:tcBorders>
          <w:insideH w:val="nil"/>
          <w:insideV w:val="nil"/>
        </w:tcBorders>
      </w:tcPr>
    </w:tblStylePr>
  </w:style>
  <w:style w:type="table" w:styleId="58">
    <w:name w:val="Medium Shading 1 Accent 2"/>
    <w:basedOn w:val="33"/>
    <w:semiHidden/>
    <w:unhideWhenUsed/>
    <w:uiPriority w:val="63"/>
    <w:rPr>
      <w:rFonts w:eastAsia="Times New Roman"/>
      <w:kern w:val="0"/>
      <w:sz w:val="22"/>
      <w:lang w:eastAsia="en-US"/>
    </w:rPr>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beforeLines="0" w:beforeAutospacing="0" w:after="0" w:afterLines="0" w:afterAutospacing="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59">
    <w:name w:val="Medium Shading 1 Accent 3"/>
    <w:basedOn w:val="33"/>
    <w:semiHidden/>
    <w:unhideWhenUsed/>
    <w:uiPriority w:val="63"/>
    <w:rPr>
      <w:rFonts w:eastAsia="Times New Roman"/>
      <w:kern w:val="0"/>
      <w:sz w:val="22"/>
      <w:lang w:eastAsia="en-US"/>
    </w:rPr>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beforeLines="0" w:beforeAutospacing="0" w:after="0" w:afterLines="0" w:afterAutospacing="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60">
    <w:name w:val="Medium Shading 1 Accent 4"/>
    <w:basedOn w:val="33"/>
    <w:semiHidden/>
    <w:unhideWhenUsed/>
    <w:uiPriority w:val="63"/>
    <w:rPr>
      <w:rFonts w:eastAsia="Times New Roman"/>
      <w:kern w:val="0"/>
      <w:sz w:val="22"/>
      <w:lang w:eastAsia="en-US"/>
    </w:rPr>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beforeLines="0" w:beforeAutospacing="0" w:after="0" w:afterLines="0" w:afterAutospacing="0" w:line="24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61">
    <w:name w:val="Medium Shading 1 Accent 5"/>
    <w:basedOn w:val="33"/>
    <w:semiHidden/>
    <w:unhideWhenUsed/>
    <w:uiPriority w:val="63"/>
    <w:rPr>
      <w:rFonts w:eastAsia="Times New Roman"/>
      <w:kern w:val="0"/>
      <w:sz w:val="22"/>
      <w:lang w:eastAsia="en-US"/>
    </w:rPr>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beforeLines="0" w:beforeAutospacing="0" w:after="0" w:afterLines="0" w:afterAutospacing="0" w:line="24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62">
    <w:name w:val="Medium Shading 1 Accent 6"/>
    <w:basedOn w:val="33"/>
    <w:semiHidden/>
    <w:unhideWhenUsed/>
    <w:uiPriority w:val="63"/>
    <w:rPr>
      <w:rFonts w:eastAsia="Times New Roman"/>
      <w:kern w:val="0"/>
      <w:sz w:val="22"/>
      <w:lang w:eastAsia="en-US"/>
    </w:rPr>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beforeLines="0" w:beforeAutospacing="0" w:after="0" w:afterLines="0" w:afterAutospacing="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63">
    <w:name w:val="Medium Shading 2"/>
    <w:basedOn w:val="33"/>
    <w:semiHidden/>
    <w:unhideWhenUsed/>
    <w:uiPriority w:val="64"/>
    <w:rPr>
      <w:rFonts w:eastAsia="Times New Roman"/>
      <w:kern w:val="0"/>
      <w:sz w:val="22"/>
      <w:lang w:eastAsia="en-US"/>
    </w:rPr>
    <w:tblPr>
      <w:tblBorders>
        <w:top w:val="single" w:color="auto" w:sz="18" w:space="0"/>
        <w:bottom w:val="single" w:color="auto" w:sz="1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beforeLines="0" w:beforeAutospacing="0" w:after="0" w:afterLines="0" w:afterAutospacing="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semiHidden/>
    <w:unhideWhenUsed/>
    <w:uiPriority w:val="64"/>
    <w:rPr>
      <w:rFonts w:eastAsia="Times New Roman"/>
      <w:kern w:val="0"/>
      <w:sz w:val="22"/>
      <w:lang w:eastAsia="en-US"/>
    </w:rPr>
    <w:tblPr>
      <w:tblBorders>
        <w:top w:val="single" w:color="auto" w:sz="18" w:space="0"/>
        <w:bottom w:val="single" w:color="auto" w:sz="1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beforeLines="0" w:beforeAutospacing="0" w:after="0" w:afterLines="0" w:afterAutospacing="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semiHidden/>
    <w:unhideWhenUsed/>
    <w:uiPriority w:val="64"/>
    <w:rPr>
      <w:rFonts w:eastAsia="Times New Roman"/>
      <w:kern w:val="0"/>
      <w:sz w:val="22"/>
      <w:lang w:eastAsia="en-US"/>
    </w:rPr>
    <w:tblPr>
      <w:tblBorders>
        <w:top w:val="single" w:color="auto" w:sz="18" w:space="0"/>
        <w:bottom w:val="single" w:color="auto" w:sz="1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beforeLines="0" w:beforeAutospacing="0" w:after="0" w:afterLines="0" w:afterAutospacing="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semiHidden/>
    <w:unhideWhenUsed/>
    <w:uiPriority w:val="64"/>
    <w:rPr>
      <w:rFonts w:eastAsia="Times New Roman"/>
      <w:kern w:val="0"/>
      <w:sz w:val="22"/>
      <w:lang w:eastAsia="en-US"/>
    </w:rPr>
    <w:tblPr>
      <w:tblBorders>
        <w:top w:val="single" w:color="auto" w:sz="18" w:space="0"/>
        <w:bottom w:val="single" w:color="auto" w:sz="1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beforeLines="0" w:beforeAutospacing="0" w:after="0" w:afterLines="0" w:afterAutospacing="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semiHidden/>
    <w:unhideWhenUsed/>
    <w:uiPriority w:val="64"/>
    <w:rPr>
      <w:rFonts w:eastAsia="Times New Roman"/>
      <w:kern w:val="0"/>
      <w:sz w:val="22"/>
      <w:lang w:eastAsia="en-US"/>
    </w:rPr>
    <w:tblPr>
      <w:tblBorders>
        <w:top w:val="single" w:color="auto" w:sz="18" w:space="0"/>
        <w:bottom w:val="single" w:color="auto" w:sz="1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beforeLines="0" w:beforeAutospacing="0" w:after="0" w:afterLines="0" w:afterAutospacing="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semiHidden/>
    <w:unhideWhenUsed/>
    <w:uiPriority w:val="64"/>
    <w:rPr>
      <w:rFonts w:eastAsia="Times New Roman"/>
      <w:kern w:val="0"/>
      <w:sz w:val="22"/>
      <w:lang w:eastAsia="en-US"/>
    </w:rPr>
    <w:tblPr>
      <w:tblBorders>
        <w:top w:val="single" w:color="auto" w:sz="18" w:space="0"/>
        <w:bottom w:val="single" w:color="auto" w:sz="1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beforeLines="0" w:beforeAutospacing="0" w:after="0" w:afterLines="0" w:afterAutospacing="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semiHidden/>
    <w:unhideWhenUsed/>
    <w:uiPriority w:val="64"/>
    <w:rPr>
      <w:rFonts w:eastAsia="Times New Roman"/>
      <w:kern w:val="0"/>
      <w:sz w:val="22"/>
      <w:lang w:eastAsia="en-US"/>
    </w:rPr>
    <w:tblPr>
      <w:tblBorders>
        <w:top w:val="single" w:color="auto" w:sz="18" w:space="0"/>
        <w:bottom w:val="single" w:color="auto" w:sz="18" w:space="0"/>
      </w:tblBorders>
    </w:tblPr>
    <w:tblStylePr w:type="firstRow">
      <w:pPr>
        <w:spacing w:before="0" w:beforeLines="0" w:beforeAutospacing="0" w:after="0" w:afterLines="0" w:afterAutospacing="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beforeLines="0" w:beforeAutospacing="0" w:after="0" w:afterLines="0" w:afterAutospacing="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semiHidden/>
    <w:unhideWhenUsed/>
    <w:uiPriority w:val="65"/>
    <w:rPr>
      <w:rFonts w:eastAsia="Times New Roman"/>
      <w:color w:val="000000" w:themeColor="text1"/>
      <w:kern w:val="0"/>
      <w:sz w:val="22"/>
      <w:lang w:eastAsia="en-US"/>
      <w14:textFill>
        <w14:solidFill>
          <w14:schemeClr w14:val="tx1"/>
        </w14:solidFill>
      </w14:textFill>
    </w:rPr>
    <w:tblPr>
      <w:tblBorders>
        <w:top w:val="single" w:color="000000" w:themeColor="text1" w:sz="8" w:space="0"/>
        <w:bottom w:val="single" w:color="000000" w:themeColor="text1" w:sz="8" w:space="0"/>
      </w:tblBorders>
    </w:tblPr>
    <w:tblStylePr w:type="firstRow">
      <w:rPr>
        <w:rFonts w:hint="default"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semiHidden/>
    <w:unhideWhenUsed/>
    <w:uiPriority w:val="65"/>
    <w:rPr>
      <w:rFonts w:eastAsia="Times New Roman"/>
      <w:color w:val="000000" w:themeColor="text1"/>
      <w:kern w:val="0"/>
      <w:sz w:val="22"/>
      <w:lang w:eastAsia="en-US"/>
      <w14:textFill>
        <w14:solidFill>
          <w14:schemeClr w14:val="tx1"/>
        </w14:solidFill>
      </w14:textFill>
    </w:rPr>
    <w:tblPr>
      <w:tblBorders>
        <w:top w:val="single" w:color="4472C4" w:themeColor="accent1" w:sz="8" w:space="0"/>
        <w:bottom w:val="single" w:color="4472C4" w:themeColor="accent1" w:sz="8" w:space="0"/>
      </w:tblBorders>
    </w:tblPr>
    <w:tblStylePr w:type="firstRow">
      <w:rPr>
        <w:rFonts w:hint="default" w:asciiTheme="majorHAnsi" w:hAnsiTheme="majorHAnsi" w:eastAsiaTheme="majorEastAsia" w:cstheme="majorBidi"/>
      </w:rPr>
      <w:tblPr/>
      <w:tcPr>
        <w:tcBorders>
          <w:top w:val="nil"/>
          <w:bottom w:val="single" w:color="4472C4" w:themeColor="accent1" w:sz="8" w:space="0"/>
        </w:tcBorders>
      </w:tcPr>
    </w:tblStylePr>
    <w:tblStylePr w:type="lastRow">
      <w:rPr>
        <w:b/>
        <w:bCs/>
        <w:color w:val="44546A" w:themeColor="text2"/>
        <w14:textFill>
          <w14:solidFill>
            <w14:schemeClr w14:val="tx2"/>
          </w14:solidFill>
        </w14:textFill>
      </w:rPr>
      <w:tblPr/>
      <w:tcPr>
        <w:tcBorders>
          <w:top w:val="single" w:color="4472C4" w:themeColor="accent1" w:sz="8" w:space="0"/>
          <w:bottom w:val="single" w:color="4472C4" w:themeColor="accent1" w:sz="8" w:space="0"/>
        </w:tcBorders>
      </w:tcPr>
    </w:tblStylePr>
    <w:tblStylePr w:type="firstCol">
      <w:rPr>
        <w:b/>
        <w:bCs/>
      </w:rPr>
    </w:tblStylePr>
    <w:tblStylePr w:type="lastCol">
      <w:rPr>
        <w:b/>
        <w:bCs/>
      </w:rPr>
      <w:tblPr/>
      <w:tcPr>
        <w:tcBorders>
          <w:top w:val="single" w:color="4472C4" w:themeColor="accent1" w:sz="8" w:space="0"/>
          <w:bottom w:val="single" w:color="4472C4" w:themeColor="accent1" w:sz="8" w:space="0"/>
        </w:tcBorders>
      </w:tcPr>
    </w:tblStylePr>
    <w:tblStylePr w:type="band1Vert">
      <w:tblPr/>
      <w:tcPr>
        <w:shd w:val="clear" w:color="auto" w:fill="D0DCF0" w:themeFill="accent1" w:themeFillTint="3F"/>
      </w:tcPr>
    </w:tblStylePr>
    <w:tblStylePr w:type="band1Horz">
      <w:tblPr/>
      <w:tcPr>
        <w:shd w:val="clear" w:color="auto" w:fill="D0DCF0" w:themeFill="accent1" w:themeFillTint="3F"/>
      </w:tcPr>
    </w:tblStylePr>
  </w:style>
  <w:style w:type="table" w:styleId="72">
    <w:name w:val="Medium List 1 Accent 2"/>
    <w:basedOn w:val="33"/>
    <w:semiHidden/>
    <w:unhideWhenUsed/>
    <w:uiPriority w:val="65"/>
    <w:rPr>
      <w:rFonts w:eastAsia="Times New Roman"/>
      <w:color w:val="000000" w:themeColor="text1"/>
      <w:kern w:val="0"/>
      <w:sz w:val="22"/>
      <w:lang w:eastAsia="en-US"/>
      <w14:textFill>
        <w14:solidFill>
          <w14:schemeClr w14:val="tx1"/>
        </w14:solidFill>
      </w14:textFill>
    </w:rPr>
    <w:tblPr>
      <w:tblBorders>
        <w:top w:val="single" w:color="ED7D31" w:themeColor="accent2" w:sz="8" w:space="0"/>
        <w:bottom w:val="single" w:color="ED7D31" w:themeColor="accent2" w:sz="8" w:space="0"/>
      </w:tblBorders>
    </w:tblPr>
    <w:tblStylePr w:type="firstRow">
      <w:rPr>
        <w:rFonts w:hint="default"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73">
    <w:name w:val="Medium List 1 Accent 3"/>
    <w:basedOn w:val="33"/>
    <w:semiHidden/>
    <w:unhideWhenUsed/>
    <w:uiPriority w:val="65"/>
    <w:rPr>
      <w:rFonts w:eastAsia="Times New Roman"/>
      <w:color w:val="000000" w:themeColor="text1"/>
      <w:kern w:val="0"/>
      <w:sz w:val="22"/>
      <w:lang w:eastAsia="en-US"/>
      <w14:textFill>
        <w14:solidFill>
          <w14:schemeClr w14:val="tx1"/>
        </w14:solidFill>
      </w14:textFill>
    </w:rPr>
    <w:tblPr>
      <w:tblBorders>
        <w:top w:val="single" w:color="A5A5A5" w:themeColor="accent3" w:sz="8" w:space="0"/>
        <w:bottom w:val="single" w:color="A5A5A5" w:themeColor="accent3" w:sz="8" w:space="0"/>
      </w:tblBorders>
    </w:tblPr>
    <w:tblStylePr w:type="firstRow">
      <w:rPr>
        <w:rFonts w:hint="default"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74">
    <w:name w:val="Medium List 1 Accent 4"/>
    <w:basedOn w:val="33"/>
    <w:semiHidden/>
    <w:unhideWhenUsed/>
    <w:uiPriority w:val="65"/>
    <w:rPr>
      <w:rFonts w:eastAsia="Times New Roman"/>
      <w:color w:val="000000" w:themeColor="text1"/>
      <w:kern w:val="0"/>
      <w:sz w:val="22"/>
      <w:lang w:eastAsia="en-US"/>
      <w14:textFill>
        <w14:solidFill>
          <w14:schemeClr w14:val="tx1"/>
        </w14:solidFill>
      </w14:textFill>
    </w:rPr>
    <w:tblPr>
      <w:tblBorders>
        <w:top w:val="single" w:color="FFC000" w:themeColor="accent4" w:sz="8" w:space="0"/>
        <w:bottom w:val="single" w:color="FFC000" w:themeColor="accent4" w:sz="8" w:space="0"/>
      </w:tblBorders>
    </w:tblPr>
    <w:tblStylePr w:type="firstRow">
      <w:rPr>
        <w:rFonts w:hint="default"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75">
    <w:name w:val="Medium List 1 Accent 5"/>
    <w:basedOn w:val="33"/>
    <w:semiHidden/>
    <w:unhideWhenUsed/>
    <w:uiPriority w:val="65"/>
    <w:rPr>
      <w:rFonts w:eastAsia="Times New Roman"/>
      <w:color w:val="000000" w:themeColor="text1"/>
      <w:kern w:val="0"/>
      <w:sz w:val="22"/>
      <w:lang w:eastAsia="en-US"/>
      <w14:textFill>
        <w14:solidFill>
          <w14:schemeClr w14:val="tx1"/>
        </w14:solidFill>
      </w14:textFill>
    </w:rPr>
    <w:tblPr>
      <w:tblBorders>
        <w:top w:val="single" w:color="5B9BD5" w:themeColor="accent5" w:sz="8" w:space="0"/>
        <w:bottom w:val="single" w:color="5B9BD5" w:themeColor="accent5" w:sz="8" w:space="0"/>
      </w:tblBorders>
    </w:tblPr>
    <w:tblStylePr w:type="firstRow">
      <w:rPr>
        <w:rFonts w:hint="default"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76">
    <w:name w:val="Medium List 1 Accent 6"/>
    <w:basedOn w:val="33"/>
    <w:semiHidden/>
    <w:unhideWhenUsed/>
    <w:uiPriority w:val="65"/>
    <w:rPr>
      <w:rFonts w:eastAsia="Times New Roman"/>
      <w:color w:val="000000" w:themeColor="text1"/>
      <w:kern w:val="0"/>
      <w:sz w:val="22"/>
      <w:lang w:eastAsia="en-US"/>
      <w14:textFill>
        <w14:solidFill>
          <w14:schemeClr w14:val="tx1"/>
        </w14:solidFill>
      </w14:textFill>
    </w:rPr>
    <w:tblPr>
      <w:tblBorders>
        <w:top w:val="single" w:color="70AD47" w:themeColor="accent6" w:sz="8" w:space="0"/>
        <w:bottom w:val="single" w:color="70AD47" w:themeColor="accent6" w:sz="8" w:space="0"/>
      </w:tblBorders>
    </w:tblPr>
    <w:tblStylePr w:type="firstRow">
      <w:rPr>
        <w:rFonts w:hint="default"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77">
    <w:name w:val="Medium List 2"/>
    <w:basedOn w:val="33"/>
    <w:semiHidden/>
    <w:unhideWhenUsed/>
    <w:uiPriority w:val="66"/>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semiHidden/>
    <w:unhideWhenUsed/>
    <w:uiPriority w:val="66"/>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semiHidden/>
    <w:unhideWhenUsed/>
    <w:uiPriority w:val="66"/>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semiHidden/>
    <w:unhideWhenUsed/>
    <w:uiPriority w:val="66"/>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semiHidden/>
    <w:unhideWhenUsed/>
    <w:uiPriority w:val="66"/>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semiHidden/>
    <w:unhideWhenUsed/>
    <w:uiPriority w:val="66"/>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semiHidden/>
    <w:unhideWhenUsed/>
    <w:uiPriority w:val="66"/>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semiHidden/>
    <w:unhideWhenUsed/>
    <w:uiPriority w:val="67"/>
    <w:rPr>
      <w:rFonts w:eastAsia="Times New Roman"/>
      <w:kern w:val="0"/>
      <w:sz w:val="22"/>
      <w:lang w:eastAsia="en-US"/>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semiHidden/>
    <w:unhideWhenUsed/>
    <w:uiPriority w:val="67"/>
    <w:rPr>
      <w:rFonts w:eastAsia="Times New Roman"/>
      <w:kern w:val="0"/>
      <w:sz w:val="22"/>
      <w:lang w:eastAsia="en-US"/>
    </w:rPr>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86">
    <w:name w:val="Medium Grid 1 Accent 2"/>
    <w:basedOn w:val="33"/>
    <w:semiHidden/>
    <w:unhideWhenUsed/>
    <w:uiPriority w:val="67"/>
    <w:rPr>
      <w:rFonts w:eastAsia="Times New Roman"/>
      <w:kern w:val="0"/>
      <w:sz w:val="22"/>
      <w:lang w:eastAsia="en-US"/>
    </w:rPr>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87">
    <w:name w:val="Medium Grid 1 Accent 3"/>
    <w:basedOn w:val="33"/>
    <w:semiHidden/>
    <w:unhideWhenUsed/>
    <w:uiPriority w:val="67"/>
    <w:rPr>
      <w:rFonts w:eastAsia="Times New Roman"/>
      <w:kern w:val="0"/>
      <w:sz w:val="22"/>
      <w:lang w:eastAsia="en-US"/>
    </w:rPr>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88">
    <w:name w:val="Medium Grid 1 Accent 4"/>
    <w:basedOn w:val="33"/>
    <w:semiHidden/>
    <w:unhideWhenUsed/>
    <w:uiPriority w:val="67"/>
    <w:rPr>
      <w:rFonts w:eastAsia="Times New Roman"/>
      <w:kern w:val="0"/>
      <w:sz w:val="22"/>
      <w:lang w:eastAsia="en-US"/>
    </w:rPr>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89">
    <w:name w:val="Medium Grid 1 Accent 5"/>
    <w:basedOn w:val="33"/>
    <w:semiHidden/>
    <w:unhideWhenUsed/>
    <w:uiPriority w:val="67"/>
    <w:rPr>
      <w:rFonts w:eastAsia="Times New Roman"/>
      <w:kern w:val="0"/>
      <w:sz w:val="22"/>
      <w:lang w:eastAsia="en-US"/>
    </w:rPr>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90">
    <w:name w:val="Medium Grid 1 Accent 6"/>
    <w:basedOn w:val="33"/>
    <w:semiHidden/>
    <w:unhideWhenUsed/>
    <w:uiPriority w:val="67"/>
    <w:rPr>
      <w:rFonts w:eastAsia="Times New Roman"/>
      <w:kern w:val="0"/>
      <w:sz w:val="22"/>
      <w:lang w:eastAsia="en-US"/>
    </w:rPr>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91">
    <w:name w:val="Medium Grid 2"/>
    <w:basedOn w:val="33"/>
    <w:semiHidden/>
    <w:unhideWhenUsed/>
    <w:uiPriority w:val="68"/>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semiHidden/>
    <w:unhideWhenUsed/>
    <w:uiPriority w:val="68"/>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93">
    <w:name w:val="Medium Grid 2 Accent 2"/>
    <w:basedOn w:val="33"/>
    <w:semiHidden/>
    <w:unhideWhenUsed/>
    <w:uiPriority w:val="68"/>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94">
    <w:name w:val="Medium Grid 2 Accent 3"/>
    <w:basedOn w:val="33"/>
    <w:semiHidden/>
    <w:unhideWhenUsed/>
    <w:uiPriority w:val="68"/>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95">
    <w:name w:val="Medium Grid 2 Accent 4"/>
    <w:basedOn w:val="33"/>
    <w:semiHidden/>
    <w:unhideWhenUsed/>
    <w:uiPriority w:val="68"/>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96">
    <w:name w:val="Medium Grid 2 Accent 5"/>
    <w:basedOn w:val="33"/>
    <w:semiHidden/>
    <w:unhideWhenUsed/>
    <w:uiPriority w:val="68"/>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97">
    <w:name w:val="Medium Grid 2 Accent 6"/>
    <w:basedOn w:val="33"/>
    <w:semiHidden/>
    <w:unhideWhenUsed/>
    <w:uiPriority w:val="68"/>
    <w:rPr>
      <w:rFonts w:asciiTheme="majorHAnsi" w:hAnsiTheme="majorHAnsi" w:eastAsiaTheme="majorEastAsia" w:cstheme="majorBidi"/>
      <w:color w:val="000000" w:themeColor="text1"/>
      <w:kern w:val="0"/>
      <w:sz w:val="22"/>
      <w:lang w:eastAsia="en-US"/>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98">
    <w:name w:val="Medium Grid 3"/>
    <w:basedOn w:val="33"/>
    <w:semiHidden/>
    <w:unhideWhenUsed/>
    <w:uiPriority w:val="69"/>
    <w:rPr>
      <w:rFonts w:eastAsia="Times New Roman"/>
      <w:kern w:val="0"/>
      <w:sz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semiHidden/>
    <w:unhideWhenUsed/>
    <w:uiPriority w:val="69"/>
    <w:rPr>
      <w:rFonts w:eastAsia="Times New Roman"/>
      <w:kern w:val="0"/>
      <w:sz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00">
    <w:name w:val="Medium Grid 3 Accent 2"/>
    <w:basedOn w:val="33"/>
    <w:semiHidden/>
    <w:unhideWhenUsed/>
    <w:uiPriority w:val="69"/>
    <w:rPr>
      <w:rFonts w:eastAsia="Times New Roman"/>
      <w:kern w:val="0"/>
      <w:sz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01">
    <w:name w:val="Medium Grid 3 Accent 3"/>
    <w:basedOn w:val="33"/>
    <w:semiHidden/>
    <w:unhideWhenUsed/>
    <w:uiPriority w:val="69"/>
    <w:rPr>
      <w:rFonts w:eastAsia="Times New Roman"/>
      <w:kern w:val="0"/>
      <w:sz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02">
    <w:name w:val="Medium Grid 3 Accent 4"/>
    <w:basedOn w:val="33"/>
    <w:semiHidden/>
    <w:unhideWhenUsed/>
    <w:uiPriority w:val="69"/>
    <w:rPr>
      <w:rFonts w:eastAsia="Times New Roman"/>
      <w:kern w:val="0"/>
      <w:sz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03">
    <w:name w:val="Medium Grid 3 Accent 5"/>
    <w:basedOn w:val="33"/>
    <w:semiHidden/>
    <w:unhideWhenUsed/>
    <w:uiPriority w:val="69"/>
    <w:rPr>
      <w:rFonts w:eastAsia="Times New Roman"/>
      <w:kern w:val="0"/>
      <w:sz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04">
    <w:name w:val="Medium Grid 3 Accent 6"/>
    <w:basedOn w:val="33"/>
    <w:semiHidden/>
    <w:unhideWhenUsed/>
    <w:uiPriority w:val="69"/>
    <w:rPr>
      <w:rFonts w:eastAsia="Times New Roman"/>
      <w:kern w:val="0"/>
      <w:sz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05">
    <w:name w:val="Dark List"/>
    <w:basedOn w:val="33"/>
    <w:semiHidden/>
    <w:unhideWhenUsed/>
    <w:uiPriority w:val="70"/>
    <w:rPr>
      <w:rFonts w:eastAsia="Times New Roman"/>
      <w:color w:val="FFFFFF" w:themeColor="background1"/>
      <w:kern w:val="0"/>
      <w:sz w:val="22"/>
      <w:lang w:eastAsia="en-US"/>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semiHidden/>
    <w:unhideWhenUsed/>
    <w:uiPriority w:val="70"/>
    <w:rPr>
      <w:rFonts w:eastAsia="Times New Roman"/>
      <w:color w:val="FFFFFF" w:themeColor="background1"/>
      <w:kern w:val="0"/>
      <w:sz w:val="22"/>
      <w:lang w:eastAsia="en-US"/>
      <w14:textFill>
        <w14:solidFill>
          <w14:schemeClr w14:val="bg1"/>
        </w14:solidFill>
      </w14:textFill>
    </w:rPr>
    <w:tblPr>
      <w:tblStyleRowBandSize w:val="1"/>
      <w:tblStyleColBandSize w:val="1"/>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07">
    <w:name w:val="Dark List Accent 2"/>
    <w:basedOn w:val="33"/>
    <w:semiHidden/>
    <w:unhideWhenUsed/>
    <w:uiPriority w:val="70"/>
    <w:rPr>
      <w:rFonts w:eastAsia="Times New Roman"/>
      <w:color w:val="FFFFFF" w:themeColor="background1"/>
      <w:kern w:val="0"/>
      <w:sz w:val="22"/>
      <w:lang w:eastAsia="en-US"/>
      <w14:textFill>
        <w14:solidFill>
          <w14:schemeClr w14:val="bg1"/>
        </w14:solidFill>
      </w14:textFill>
    </w:rPr>
    <w:tblPr>
      <w:tblStyleRowBandSize w:val="1"/>
      <w:tblStyleColBandSize w:val="1"/>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08">
    <w:name w:val="Dark List Accent 3"/>
    <w:basedOn w:val="33"/>
    <w:semiHidden/>
    <w:unhideWhenUsed/>
    <w:uiPriority w:val="70"/>
    <w:rPr>
      <w:rFonts w:eastAsia="Times New Roman"/>
      <w:color w:val="FFFFFF" w:themeColor="background1"/>
      <w:kern w:val="0"/>
      <w:sz w:val="22"/>
      <w:lang w:eastAsia="en-US"/>
      <w14:textFill>
        <w14:solidFill>
          <w14:schemeClr w14:val="bg1"/>
        </w14:solidFill>
      </w14:textFill>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09">
    <w:name w:val="Dark List Accent 4"/>
    <w:basedOn w:val="33"/>
    <w:semiHidden/>
    <w:unhideWhenUsed/>
    <w:uiPriority w:val="70"/>
    <w:rPr>
      <w:rFonts w:eastAsia="Times New Roman"/>
      <w:color w:val="FFFFFF" w:themeColor="background1"/>
      <w:kern w:val="0"/>
      <w:sz w:val="22"/>
      <w:lang w:eastAsia="en-US"/>
      <w14:textFill>
        <w14:solidFill>
          <w14:schemeClr w14:val="bg1"/>
        </w14:solidFill>
      </w14:textFill>
    </w:rPr>
    <w:tblPr>
      <w:tblStyleRowBandSize w:val="1"/>
      <w:tblStyleColBandSize w:val="1"/>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10">
    <w:name w:val="Dark List Accent 5"/>
    <w:basedOn w:val="33"/>
    <w:semiHidden/>
    <w:unhideWhenUsed/>
    <w:uiPriority w:val="70"/>
    <w:rPr>
      <w:rFonts w:eastAsia="Times New Roman"/>
      <w:color w:val="FFFFFF" w:themeColor="background1"/>
      <w:kern w:val="0"/>
      <w:sz w:val="22"/>
      <w:lang w:eastAsia="en-US"/>
      <w14:textFill>
        <w14:solidFill>
          <w14:schemeClr w14:val="bg1"/>
        </w14:solidFill>
      </w14:textFill>
    </w:rPr>
    <w:tblPr>
      <w:tblStyleRowBandSize w:val="1"/>
      <w:tblStyleColBandSize w:val="1"/>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11">
    <w:name w:val="Dark List Accent 6"/>
    <w:basedOn w:val="33"/>
    <w:semiHidden/>
    <w:unhideWhenUsed/>
    <w:uiPriority w:val="70"/>
    <w:rPr>
      <w:rFonts w:eastAsia="Times New Roman"/>
      <w:color w:val="FFFFFF" w:themeColor="background1"/>
      <w:kern w:val="0"/>
      <w:sz w:val="22"/>
      <w:lang w:eastAsia="en-US"/>
      <w14:textFill>
        <w14:solidFill>
          <w14:schemeClr w14:val="bg1"/>
        </w14:solidFill>
      </w14:textFill>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12">
    <w:name w:val="Colorful Shading"/>
    <w:basedOn w:val="33"/>
    <w:semiHidden/>
    <w:unhideWhenUsed/>
    <w:uiPriority w:val="71"/>
    <w:rPr>
      <w:rFonts w:eastAsia="Times New Roman"/>
      <w:color w:val="000000" w:themeColor="text1"/>
      <w:kern w:val="0"/>
      <w:sz w:val="22"/>
      <w:lang w:eastAsia="en-US"/>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semiHidden/>
    <w:unhideWhenUsed/>
    <w:uiPriority w:val="71"/>
    <w:rPr>
      <w:rFonts w:eastAsia="Times New Roman"/>
      <w:color w:val="000000" w:themeColor="text1"/>
      <w:kern w:val="0"/>
      <w:sz w:val="22"/>
      <w:lang w:eastAsia="en-US"/>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semiHidden/>
    <w:unhideWhenUsed/>
    <w:uiPriority w:val="71"/>
    <w:rPr>
      <w:rFonts w:eastAsia="Times New Roman"/>
      <w:color w:val="000000" w:themeColor="text1"/>
      <w:kern w:val="0"/>
      <w:sz w:val="22"/>
      <w:lang w:eastAsia="en-US"/>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semiHidden/>
    <w:unhideWhenUsed/>
    <w:uiPriority w:val="71"/>
    <w:rPr>
      <w:rFonts w:eastAsia="Times New Roman"/>
      <w:color w:val="000000" w:themeColor="text1"/>
      <w:kern w:val="0"/>
      <w:sz w:val="22"/>
      <w:lang w:eastAsia="en-US"/>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16">
    <w:name w:val="Colorful Shading Accent 4"/>
    <w:basedOn w:val="33"/>
    <w:semiHidden/>
    <w:unhideWhenUsed/>
    <w:uiPriority w:val="71"/>
    <w:rPr>
      <w:rFonts w:eastAsia="Times New Roman"/>
      <w:color w:val="000000" w:themeColor="text1"/>
      <w:kern w:val="0"/>
      <w:sz w:val="22"/>
      <w:lang w:eastAsia="en-US"/>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semiHidden/>
    <w:unhideWhenUsed/>
    <w:uiPriority w:val="71"/>
    <w:rPr>
      <w:rFonts w:eastAsia="Times New Roman"/>
      <w:color w:val="000000" w:themeColor="text1"/>
      <w:kern w:val="0"/>
      <w:sz w:val="22"/>
      <w:lang w:eastAsia="en-US"/>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semiHidden/>
    <w:unhideWhenUsed/>
    <w:uiPriority w:val="71"/>
    <w:rPr>
      <w:rFonts w:eastAsia="Times New Roman"/>
      <w:color w:val="000000" w:themeColor="text1"/>
      <w:kern w:val="0"/>
      <w:sz w:val="22"/>
      <w:lang w:eastAsia="en-US"/>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semiHidden/>
    <w:unhideWhenUsed/>
    <w:uiPriority w:val="72"/>
    <w:rPr>
      <w:rFonts w:eastAsia="Times New Roman"/>
      <w:color w:val="000000" w:themeColor="text1"/>
      <w:kern w:val="0"/>
      <w:sz w:val="22"/>
      <w:lang w:eastAsia="en-US"/>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semiHidden/>
    <w:unhideWhenUsed/>
    <w:uiPriority w:val="72"/>
    <w:rPr>
      <w:rFonts w:eastAsia="Times New Roman"/>
      <w:color w:val="000000" w:themeColor="text1"/>
      <w:kern w:val="0"/>
      <w:sz w:val="22"/>
      <w:lang w:eastAsia="en-US"/>
      <w14:textFill>
        <w14:solidFill>
          <w14:schemeClr w14:val="tx1"/>
        </w14:solidFill>
      </w14:textFill>
    </w:rPr>
    <w:tblPr>
      <w:tblStyleRowBandSize w:val="1"/>
      <w:tblStyleColBandSize w:val="1"/>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21">
    <w:name w:val="Colorful List Accent 2"/>
    <w:basedOn w:val="33"/>
    <w:semiHidden/>
    <w:unhideWhenUsed/>
    <w:uiPriority w:val="72"/>
    <w:rPr>
      <w:rFonts w:eastAsia="Times New Roman"/>
      <w:color w:val="000000" w:themeColor="text1"/>
      <w:kern w:val="0"/>
      <w:sz w:val="22"/>
      <w:lang w:eastAsia="en-US"/>
      <w14:textFill>
        <w14:solidFill>
          <w14:schemeClr w14:val="tx1"/>
        </w14:solidFill>
      </w14:textFill>
    </w:rPr>
    <w:tblPr>
      <w:tblStyleRowBandSize w:val="1"/>
      <w:tblStyleColBandSize w:val="1"/>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22">
    <w:name w:val="Colorful List Accent 3"/>
    <w:basedOn w:val="33"/>
    <w:semiHidden/>
    <w:unhideWhenUsed/>
    <w:uiPriority w:val="72"/>
    <w:rPr>
      <w:rFonts w:eastAsia="Times New Roman"/>
      <w:color w:val="000000" w:themeColor="text1"/>
      <w:kern w:val="0"/>
      <w:sz w:val="22"/>
      <w:lang w:eastAsia="en-US"/>
      <w14:textFill>
        <w14:solidFill>
          <w14:schemeClr w14:val="tx1"/>
        </w14:solidFill>
      </w14:textFill>
    </w:rPr>
    <w:tblPr>
      <w:tblStyleRowBandSize w:val="1"/>
      <w:tblStyleColBandSize w:val="1"/>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123">
    <w:name w:val="Colorful List Accent 4"/>
    <w:basedOn w:val="33"/>
    <w:semiHidden/>
    <w:unhideWhenUsed/>
    <w:uiPriority w:val="72"/>
    <w:rPr>
      <w:rFonts w:eastAsia="Times New Roman"/>
      <w:color w:val="000000" w:themeColor="text1"/>
      <w:kern w:val="0"/>
      <w:sz w:val="22"/>
      <w:lang w:eastAsia="en-US"/>
      <w14:textFill>
        <w14:solidFill>
          <w14:schemeClr w14:val="tx1"/>
        </w14:solidFill>
      </w14:textFill>
    </w:rPr>
    <w:tblPr>
      <w:tblStyleRowBandSize w:val="1"/>
      <w:tblStyleColBandSize w:val="1"/>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124">
    <w:name w:val="Colorful List Accent 5"/>
    <w:basedOn w:val="33"/>
    <w:semiHidden/>
    <w:unhideWhenUsed/>
    <w:uiPriority w:val="72"/>
    <w:rPr>
      <w:rFonts w:eastAsia="Times New Roman"/>
      <w:color w:val="000000" w:themeColor="text1"/>
      <w:kern w:val="0"/>
      <w:sz w:val="22"/>
      <w:lang w:eastAsia="en-US"/>
      <w14:textFill>
        <w14:solidFill>
          <w14:schemeClr w14:val="tx1"/>
        </w14:solidFill>
      </w14:textFill>
    </w:rPr>
    <w:tblPr>
      <w:tblStyleRowBandSize w:val="1"/>
      <w:tblStyleColBandSize w:val="1"/>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125">
    <w:name w:val="Colorful List Accent 6"/>
    <w:basedOn w:val="33"/>
    <w:semiHidden/>
    <w:unhideWhenUsed/>
    <w:uiPriority w:val="72"/>
    <w:rPr>
      <w:rFonts w:eastAsia="Times New Roman"/>
      <w:color w:val="000000" w:themeColor="text1"/>
      <w:kern w:val="0"/>
      <w:sz w:val="22"/>
      <w:lang w:eastAsia="en-US"/>
      <w14:textFill>
        <w14:solidFill>
          <w14:schemeClr w14:val="tx1"/>
        </w14:solidFill>
      </w14:textFill>
    </w:rPr>
    <w:tblPr>
      <w:tblStyleRowBandSize w:val="1"/>
      <w:tblStyleColBandSize w:val="1"/>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26">
    <w:name w:val="Colorful Grid"/>
    <w:basedOn w:val="33"/>
    <w:semiHidden/>
    <w:unhideWhenUsed/>
    <w:uiPriority w:val="73"/>
    <w:rPr>
      <w:rFonts w:eastAsia="Times New Roman"/>
      <w:color w:val="000000" w:themeColor="text1"/>
      <w:kern w:val="0"/>
      <w:sz w:val="22"/>
      <w:lang w:eastAsia="en-US"/>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semiHidden/>
    <w:unhideWhenUsed/>
    <w:uiPriority w:val="73"/>
    <w:rPr>
      <w:rFonts w:eastAsia="Times New Roman"/>
      <w:color w:val="000000" w:themeColor="text1"/>
      <w:kern w:val="0"/>
      <w:sz w:val="22"/>
      <w:lang w:eastAsia="en-US"/>
      <w14:textFill>
        <w14:solidFill>
          <w14:schemeClr w14:val="tx1"/>
        </w14:solidFill>
      </w14:textFill>
    </w:rPr>
    <w:tblPr>
      <w:tblBorders>
        <w:insideH w:val="single" w:color="FFFFFF" w:themeColor="background1" w:sz="4" w:space="0"/>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8">
    <w:name w:val="Colorful Grid Accent 2"/>
    <w:basedOn w:val="33"/>
    <w:semiHidden/>
    <w:unhideWhenUsed/>
    <w:uiPriority w:val="73"/>
    <w:rPr>
      <w:rFonts w:eastAsia="Times New Roman"/>
      <w:color w:val="000000" w:themeColor="text1"/>
      <w:kern w:val="0"/>
      <w:sz w:val="22"/>
      <w:lang w:eastAsia="en-US"/>
      <w14:textFill>
        <w14:solidFill>
          <w14:schemeClr w14:val="tx1"/>
        </w14:solidFill>
      </w14:textFill>
    </w:rPr>
    <w:tblPr>
      <w:tblBorders>
        <w:insideH w:val="single" w:color="FFFFFF" w:themeColor="background1" w:sz="4" w:space="0"/>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29">
    <w:name w:val="Colorful Grid Accent 3"/>
    <w:basedOn w:val="33"/>
    <w:semiHidden/>
    <w:unhideWhenUsed/>
    <w:uiPriority w:val="73"/>
    <w:rPr>
      <w:rFonts w:eastAsia="Times New Roman"/>
      <w:color w:val="000000" w:themeColor="text1"/>
      <w:kern w:val="0"/>
      <w:sz w:val="22"/>
      <w:lang w:eastAsia="en-US"/>
      <w14:textFill>
        <w14:solidFill>
          <w14:schemeClr w14:val="tx1"/>
        </w14:solidFill>
      </w14:textFill>
    </w:rPr>
    <w:tblPr>
      <w:tblBorders>
        <w:insideH w:val="single" w:color="FFFFFF" w:themeColor="background1" w:sz="4" w:space="0"/>
      </w:tblBorders>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30">
    <w:name w:val="Colorful Grid Accent 4"/>
    <w:basedOn w:val="33"/>
    <w:semiHidden/>
    <w:unhideWhenUsed/>
    <w:uiPriority w:val="73"/>
    <w:rPr>
      <w:rFonts w:eastAsia="Times New Roman"/>
      <w:color w:val="000000" w:themeColor="text1"/>
      <w:kern w:val="0"/>
      <w:sz w:val="22"/>
      <w:lang w:eastAsia="en-US"/>
      <w14:textFill>
        <w14:solidFill>
          <w14:schemeClr w14:val="tx1"/>
        </w14:solidFill>
      </w14:textFill>
    </w:rPr>
    <w:tblPr>
      <w:tblBorders>
        <w:insideH w:val="single" w:color="FFFFFF" w:themeColor="background1" w:sz="4" w:space="0"/>
      </w:tblBorders>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31">
    <w:name w:val="Colorful Grid Accent 5"/>
    <w:basedOn w:val="33"/>
    <w:semiHidden/>
    <w:unhideWhenUsed/>
    <w:uiPriority w:val="73"/>
    <w:rPr>
      <w:rFonts w:eastAsia="Times New Roman"/>
      <w:color w:val="000000" w:themeColor="text1"/>
      <w:kern w:val="0"/>
      <w:sz w:val="22"/>
      <w:lang w:eastAsia="en-US"/>
      <w14:textFill>
        <w14:solidFill>
          <w14:schemeClr w14:val="tx1"/>
        </w14:solidFill>
      </w14:textFill>
    </w:rPr>
    <w:tblPr>
      <w:tblBorders>
        <w:insideH w:val="single" w:color="FFFFFF" w:themeColor="background1" w:sz="4" w:space="0"/>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32">
    <w:name w:val="Colorful Grid Accent 6"/>
    <w:basedOn w:val="33"/>
    <w:semiHidden/>
    <w:unhideWhenUsed/>
    <w:uiPriority w:val="73"/>
    <w:rPr>
      <w:rFonts w:eastAsia="Times New Roman"/>
      <w:color w:val="000000" w:themeColor="text1"/>
      <w:kern w:val="0"/>
      <w:sz w:val="22"/>
      <w:lang w:eastAsia="en-US"/>
      <w14:textFill>
        <w14:solidFill>
          <w14:schemeClr w14:val="tx1"/>
        </w14:solidFill>
      </w14:textFill>
    </w:rPr>
    <w:tblPr>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134">
    <w:name w:val="Strong"/>
    <w:basedOn w:val="133"/>
    <w:qFormat/>
    <w:uiPriority w:val="0"/>
    <w:rPr>
      <w:b/>
    </w:rPr>
  </w:style>
  <w:style w:type="character" w:styleId="135">
    <w:name w:val="HTML Code"/>
    <w:basedOn w:val="133"/>
    <w:semiHidden/>
    <w:unhideWhenUsed/>
    <w:uiPriority w:val="99"/>
    <w:rPr>
      <w:rFonts w:ascii="Courier New" w:hAnsi="Courier New"/>
      <w:sz w:val="20"/>
    </w:rPr>
  </w:style>
  <w:style w:type="character" w:customStyle="1" w:styleId="136">
    <w:name w:val="标题 1 字符"/>
    <w:basedOn w:val="133"/>
    <w:link w:val="3"/>
    <w:uiPriority w:val="9"/>
    <w:rPr>
      <w:rFonts w:ascii="Times New Roman" w:hAnsi="Times New Roman" w:eastAsia="宋体" w:cstheme="majorBidi"/>
      <w:b/>
      <w:color w:val="000000" w:themeColor="text1"/>
      <w:sz w:val="28"/>
      <w:szCs w:val="48"/>
      <w14:textFill>
        <w14:solidFill>
          <w14:schemeClr w14:val="tx1"/>
        </w14:solidFill>
      </w14:textFill>
    </w:rPr>
  </w:style>
  <w:style w:type="character" w:customStyle="1" w:styleId="137">
    <w:name w:val="标题 2 字符"/>
    <w:basedOn w:val="133"/>
    <w:link w:val="4"/>
    <w:uiPriority w:val="9"/>
    <w:rPr>
      <w:rFonts w:ascii="Times New Roman" w:hAnsi="Times New Roman" w:eastAsia="Songti SC" w:cstheme="majorBidi"/>
      <w:b/>
      <w:color w:val="000000" w:themeColor="text1"/>
      <w:sz w:val="24"/>
      <w:szCs w:val="40"/>
      <w14:textFill>
        <w14:solidFill>
          <w14:schemeClr w14:val="tx1"/>
        </w14:solidFill>
      </w14:textFill>
    </w:rPr>
  </w:style>
  <w:style w:type="character" w:customStyle="1" w:styleId="138">
    <w:name w:val="标题 3 字符"/>
    <w:basedOn w:val="133"/>
    <w:link w:val="5"/>
    <w:semiHidden/>
    <w:uiPriority w:val="9"/>
    <w:rPr>
      <w:rFonts w:ascii="Times New Roman" w:hAnsi="Times New Roman" w:eastAsia="SimSong" w:cstheme="majorBidi"/>
      <w:b/>
      <w:bCs/>
      <w:color w:val="000000" w:themeColor="text1"/>
      <w:sz w:val="28"/>
      <w:szCs w:val="24"/>
      <w14:textFill>
        <w14:solidFill>
          <w14:schemeClr w14:val="tx1"/>
        </w14:solidFill>
      </w14:textFill>
    </w:rPr>
  </w:style>
  <w:style w:type="character" w:customStyle="1" w:styleId="139">
    <w:name w:val="标题 4 字符"/>
    <w:basedOn w:val="133"/>
    <w:link w:val="6"/>
    <w:semiHidden/>
    <w:uiPriority w:val="9"/>
    <w:rPr>
      <w:rFonts w:cstheme="majorBidi"/>
      <w:color w:val="2F5597" w:themeColor="accent1" w:themeShade="BF"/>
      <w:sz w:val="28"/>
      <w:szCs w:val="28"/>
    </w:rPr>
  </w:style>
  <w:style w:type="character" w:customStyle="1" w:styleId="140">
    <w:name w:val="标题 5 字符"/>
    <w:basedOn w:val="133"/>
    <w:link w:val="7"/>
    <w:semiHidden/>
    <w:uiPriority w:val="9"/>
    <w:rPr>
      <w:rFonts w:cstheme="majorBidi"/>
      <w:color w:val="2F5597" w:themeColor="accent1" w:themeShade="BF"/>
      <w:sz w:val="24"/>
      <w:szCs w:val="24"/>
    </w:rPr>
  </w:style>
  <w:style w:type="character" w:customStyle="1" w:styleId="141">
    <w:name w:val="标题 6 字符"/>
    <w:basedOn w:val="133"/>
    <w:link w:val="8"/>
    <w:semiHidden/>
    <w:uiPriority w:val="9"/>
    <w:rPr>
      <w:rFonts w:cstheme="majorBidi"/>
      <w:b/>
      <w:bCs/>
      <w:color w:val="2F5597" w:themeColor="accent1" w:themeShade="BF"/>
    </w:rPr>
  </w:style>
  <w:style w:type="character" w:customStyle="1" w:styleId="142">
    <w:name w:val="标题 7 字符"/>
    <w:basedOn w:val="133"/>
    <w:link w:val="9"/>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143">
    <w:name w:val="标题 8 字符"/>
    <w:basedOn w:val="133"/>
    <w:link w:val="10"/>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144">
    <w:name w:val="标题 9 字符"/>
    <w:basedOn w:val="133"/>
    <w:link w:val="11"/>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145">
    <w:name w:val="标题 字符"/>
    <w:basedOn w:val="133"/>
    <w:link w:val="32"/>
    <w:uiPriority w:val="10"/>
    <w:rPr>
      <w:rFonts w:asciiTheme="majorHAnsi" w:hAnsiTheme="majorHAnsi" w:eastAsiaTheme="majorEastAsia" w:cstheme="majorBidi"/>
      <w:spacing w:val="-10"/>
      <w:kern w:val="28"/>
      <w:sz w:val="56"/>
      <w:szCs w:val="56"/>
    </w:rPr>
  </w:style>
  <w:style w:type="character" w:customStyle="1" w:styleId="146">
    <w:name w:val="副标题 字符"/>
    <w:basedOn w:val="133"/>
    <w:link w:val="26"/>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7">
    <w:name w:val="Quote"/>
    <w:basedOn w:val="1"/>
    <w:next w:val="1"/>
    <w:link w:val="14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148">
    <w:name w:val="引用 字符"/>
    <w:basedOn w:val="133"/>
    <w:link w:val="147"/>
    <w:uiPriority w:val="29"/>
    <w:rPr>
      <w:i/>
      <w:iCs/>
      <w:color w:val="404040" w:themeColor="text1" w:themeTint="BF"/>
      <w14:textFill>
        <w14:solidFill>
          <w14:schemeClr w14:val="tx1">
            <w14:lumMod w14:val="75000"/>
            <w14:lumOff w14:val="25000"/>
          </w14:schemeClr>
        </w14:solidFill>
      </w14:textFill>
    </w:rPr>
  </w:style>
  <w:style w:type="paragraph" w:styleId="149">
    <w:name w:val="List Paragraph"/>
    <w:basedOn w:val="1"/>
    <w:qFormat/>
    <w:uiPriority w:val="34"/>
    <w:pPr>
      <w:ind w:left="720"/>
      <w:contextualSpacing/>
    </w:pPr>
  </w:style>
  <w:style w:type="character" w:customStyle="1" w:styleId="150">
    <w:name w:val="Intense Emphasis"/>
    <w:basedOn w:val="133"/>
    <w:qFormat/>
    <w:uiPriority w:val="21"/>
    <w:rPr>
      <w:i/>
      <w:iCs/>
      <w:color w:val="2F5597" w:themeColor="accent1" w:themeShade="BF"/>
    </w:rPr>
  </w:style>
  <w:style w:type="paragraph" w:styleId="151">
    <w:name w:val="Intense Quote"/>
    <w:basedOn w:val="1"/>
    <w:next w:val="1"/>
    <w:link w:val="15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152">
    <w:name w:val="明显引用 字符"/>
    <w:basedOn w:val="133"/>
    <w:link w:val="151"/>
    <w:uiPriority w:val="30"/>
    <w:rPr>
      <w:i/>
      <w:iCs/>
      <w:color w:val="2F5597" w:themeColor="accent1" w:themeShade="BF"/>
    </w:rPr>
  </w:style>
  <w:style w:type="character" w:customStyle="1" w:styleId="153">
    <w:name w:val="Intense Reference"/>
    <w:basedOn w:val="133"/>
    <w:qFormat/>
    <w:uiPriority w:val="32"/>
    <w:rPr>
      <w:b/>
      <w:bCs/>
      <w:smallCaps/>
      <w:color w:val="2F5597" w:themeColor="accent1" w:themeShade="BF"/>
      <w:spacing w:val="5"/>
    </w:rPr>
  </w:style>
  <w:style w:type="character" w:customStyle="1" w:styleId="154">
    <w:name w:val="页眉 字符"/>
    <w:basedOn w:val="133"/>
    <w:link w:val="25"/>
    <w:uiPriority w:val="99"/>
    <w:rPr>
      <w:sz w:val="18"/>
      <w:szCs w:val="18"/>
    </w:rPr>
  </w:style>
  <w:style w:type="character" w:customStyle="1" w:styleId="155">
    <w:name w:val="页脚 字符"/>
    <w:basedOn w:val="133"/>
    <w:link w:val="24"/>
    <w:uiPriority w:val="99"/>
    <w:rPr>
      <w:sz w:val="18"/>
      <w:szCs w:val="18"/>
    </w:rPr>
  </w:style>
  <w:style w:type="paragraph" w:customStyle="1" w:styleId="156">
    <w:name w:val="msonormal"/>
    <w:basedOn w:val="1"/>
    <w:uiPriority w:val="0"/>
    <w:pPr>
      <w:widowControl/>
      <w:spacing w:before="100" w:beforeAutospacing="1" w:after="100" w:afterAutospacing="1" w:line="240" w:lineRule="auto"/>
      <w:jc w:val="left"/>
    </w:pPr>
    <w:rPr>
      <w:rFonts w:ascii="宋体" w:hAnsi="宋体" w:cs="宋体"/>
      <w:color w:val="auto"/>
      <w:kern w:val="0"/>
      <w:sz w:val="24"/>
      <w:szCs w:val="24"/>
    </w:rPr>
  </w:style>
  <w:style w:type="character" w:customStyle="1" w:styleId="157">
    <w:name w:val="宏文本 字符"/>
    <w:basedOn w:val="133"/>
    <w:link w:val="2"/>
    <w:semiHidden/>
    <w:uiPriority w:val="99"/>
    <w:rPr>
      <w:rFonts w:ascii="Courier" w:hAnsi="Courier"/>
      <w:kern w:val="0"/>
      <w:sz w:val="20"/>
      <w:szCs w:val="20"/>
      <w:lang w:eastAsia="en-US"/>
    </w:rPr>
  </w:style>
  <w:style w:type="character" w:customStyle="1" w:styleId="158">
    <w:name w:val="正文文本 字符"/>
    <w:basedOn w:val="133"/>
    <w:link w:val="19"/>
    <w:semiHidden/>
    <w:uiPriority w:val="99"/>
    <w:rPr>
      <w:rFonts w:ascii="宋体" w:hAnsi="宋体" w:eastAsia="宋体"/>
      <w:kern w:val="0"/>
      <w:sz w:val="18"/>
      <w:lang w:eastAsia="en-US"/>
    </w:rPr>
  </w:style>
  <w:style w:type="character" w:customStyle="1" w:styleId="159">
    <w:name w:val="正文文本 2 字符"/>
    <w:basedOn w:val="133"/>
    <w:link w:val="28"/>
    <w:semiHidden/>
    <w:uiPriority w:val="99"/>
    <w:rPr>
      <w:rFonts w:ascii="宋体" w:hAnsi="宋体" w:eastAsia="宋体"/>
      <w:kern w:val="0"/>
      <w:sz w:val="18"/>
      <w:lang w:eastAsia="en-US"/>
    </w:rPr>
  </w:style>
  <w:style w:type="character" w:customStyle="1" w:styleId="160">
    <w:name w:val="正文文本 3 字符"/>
    <w:basedOn w:val="133"/>
    <w:link w:val="17"/>
    <w:semiHidden/>
    <w:uiPriority w:val="99"/>
    <w:rPr>
      <w:rFonts w:ascii="宋体" w:hAnsi="宋体" w:eastAsia="宋体"/>
      <w:kern w:val="0"/>
      <w:sz w:val="16"/>
      <w:szCs w:val="16"/>
      <w:lang w:eastAsia="en-US"/>
    </w:rPr>
  </w:style>
  <w:style w:type="paragraph" w:styleId="161">
    <w:name w:val="No Spacing"/>
    <w:qFormat/>
    <w:uiPriority w:val="1"/>
    <w:rPr>
      <w:rFonts w:asciiTheme="minorHAnsi" w:hAnsiTheme="minorHAnsi" w:eastAsiaTheme="minorEastAsia" w:cstheme="minorBidi"/>
      <w:kern w:val="0"/>
      <w:sz w:val="22"/>
      <w:szCs w:val="22"/>
      <w:lang w:val="en-US" w:eastAsia="en-US" w:bidi="ar-SA"/>
    </w:rPr>
  </w:style>
  <w:style w:type="paragraph" w:customStyle="1" w:styleId="162">
    <w:name w:val="TOC Heading"/>
    <w:basedOn w:val="3"/>
    <w:next w:val="1"/>
    <w:semiHidden/>
    <w:unhideWhenUsed/>
    <w:qFormat/>
    <w:uiPriority w:val="39"/>
    <w:pPr>
      <w:widowControl/>
      <w:spacing w:after="0" w:line="276" w:lineRule="auto"/>
      <w:jc w:val="left"/>
      <w:outlineLvl w:val="9"/>
    </w:pPr>
    <w:rPr>
      <w:rFonts w:asciiTheme="majorHAnsi" w:hAnsiTheme="majorHAnsi" w:eastAsiaTheme="majorEastAsia"/>
      <w:bCs/>
      <w:color w:val="2F5597" w:themeColor="accent1" w:themeShade="BF"/>
      <w:kern w:val="0"/>
      <w:szCs w:val="28"/>
      <w:lang w:eastAsia="en-US"/>
    </w:rPr>
  </w:style>
  <w:style w:type="character" w:customStyle="1" w:styleId="163">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4">
    <w:name w:val="Subtle Reference"/>
    <w:basedOn w:val="133"/>
    <w:qFormat/>
    <w:uiPriority w:val="31"/>
    <w:rPr>
      <w:smallCaps/>
      <w:color w:val="ED7D31" w:themeColor="accent2"/>
      <w:u w:val="single"/>
      <w14:textFill>
        <w14:solidFill>
          <w14:schemeClr w14:val="accent2"/>
        </w14:solidFill>
      </w14:textFill>
    </w:rPr>
  </w:style>
  <w:style w:type="character" w:customStyle="1" w:styleId="165">
    <w:name w:val="Book Title"/>
    <w:basedOn w:val="133"/>
    <w:qFormat/>
    <w:uiPriority w:val="33"/>
    <w:rPr>
      <w:b/>
      <w:bCs/>
      <w:smallCaps/>
      <w:spacing w:val="5"/>
    </w:rPr>
  </w:style>
  <w:style w:type="paragraph" w:customStyle="1" w:styleId="166">
    <w:name w:val="p1"/>
    <w:basedOn w:val="1"/>
    <w:uiPriority w:val="0"/>
    <w:pPr>
      <w:spacing w:before="0" w:beforeAutospacing="0" w:after="0" w:afterAutospacing="0"/>
      <w:ind w:left="0" w:right="0"/>
      <w:jc w:val="left"/>
    </w:pPr>
    <w:rPr>
      <w:rFonts w:ascii="helvetica" w:hAnsi="helvetica" w:eastAsia="helvetica" w:cs="helvetica"/>
      <w:kern w:val="0"/>
      <w:sz w:val="24"/>
      <w:szCs w:val="24"/>
      <w:lang w:val="en-US" w:eastAsia="zh-CN" w:bidi="ar"/>
    </w:rPr>
  </w:style>
  <w:style w:type="paragraph" w:customStyle="1" w:styleId="167">
    <w:name w:val="表格"/>
    <w:basedOn w:val="1"/>
    <w:uiPriority w:val="0"/>
    <w:pPr>
      <w:spacing w:line="240" w:lineRule="auto"/>
      <w:jc w:val="center"/>
    </w:pPr>
    <w:rPr>
      <w:rFonts w:eastAsiaTheme="minorEastAsia"/>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90E12CF6-87EE-4A93-A82B-7C951506C887}">
  <ds:schemaRefs/>
</ds:datastoreItem>
</file>

<file path=docProps/app.xml><?xml version="1.0" encoding="utf-8"?>
<Properties xmlns="http://schemas.openxmlformats.org/officeDocument/2006/extended-properties" xmlns:vt="http://schemas.openxmlformats.org/officeDocument/2006/docPropsVTypes">
  <Template>Normal.dotm</Template>
  <Pages>46</Pages>
  <Words>9786</Words>
  <Characters>19182</Characters>
  <Lines>1918</Lines>
  <Paragraphs>1810</Paragraphs>
  <TotalTime>72</TotalTime>
  <ScaleCrop>false</ScaleCrop>
  <LinksUpToDate>false</LinksUpToDate>
  <CharactersWithSpaces>27158</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2026-06-21T02:28:00Z</dcterms:created>
  <dc:creator>同学 小胡</dc:creator>
  <cp:lastModifiedBy>草帽小子.luffy</cp:lastModifiedBy>
  <dcterms:modified xsi:type="dcterms:W3CDTF">2026-09-01T15:06:18Z</dcterms:modified>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82D3E396C3E2626A80F43B6AFD03B252_42</vt:lpwstr>
  </property>
</Properties>
</file>