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3B7630">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bCs/>
          <w:color w:val="000000"/>
          <w:kern w:val="0"/>
          <w:sz w:val="22"/>
          <w:szCs w:val="22"/>
          <w:lang w:val="en-US" w:eastAsia="zh-CN" w:bidi="ar"/>
        </w:rPr>
        <w:t>S</w:t>
      </w:r>
      <w:r>
        <w:rPr>
          <w:rStyle w:val="5"/>
          <w:rFonts w:hint="default" w:ascii="Times New Roman" w:hAnsi="Times New Roman" w:eastAsia="宋体" w:cs="Times New Roman"/>
          <w:b/>
          <w:bCs/>
          <w:color w:val="000000"/>
          <w:kern w:val="0"/>
          <w:sz w:val="22"/>
          <w:szCs w:val="22"/>
          <w:lang w:val="en-US" w:eastAsia="zh-CN" w:bidi="ar"/>
        </w:rPr>
        <w:t>upplementary Table S1.</w:t>
      </w:r>
      <w:r>
        <w:rPr>
          <w:rStyle w:val="5"/>
          <w:rFonts w:hint="default" w:ascii="Times New Roman" w:hAnsi="Times New Roman" w:eastAsia="宋体" w:cs="Times New Roman"/>
          <w:b/>
          <w:bCs/>
          <w:color w:val="000000"/>
          <w:kern w:val="0"/>
          <w:sz w:val="22"/>
          <w:szCs w:val="22"/>
          <w:lang w:val="en-US" w:eastAsia="zh-CN" w:bidi="ar"/>
        </w:rPr>
        <w:t xml:space="preserve"> </w:t>
      </w:r>
      <w:r>
        <w:rPr>
          <w:rStyle w:val="5"/>
          <w:rFonts w:hint="default" w:ascii="Times New Roman" w:hAnsi="Times New Roman" w:eastAsia="宋体" w:cs="Times New Roman"/>
          <w:b w:val="0"/>
          <w:color w:val="000000"/>
          <w:kern w:val="0"/>
          <w:sz w:val="22"/>
          <w:szCs w:val="22"/>
          <w:lang w:val="en-US" w:eastAsia="zh-CN" w:bidi="ar"/>
        </w:rPr>
        <w:t>Sensitivity analyses using median-defined early rehabilitation adherence groups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7" w:type="dxa"/>
          <w:left w:w="17" w:type="dxa"/>
          <w:bottom w:w="17" w:type="dxa"/>
          <w:right w:w="17" w:type="dxa"/>
        </w:tblCellMar>
      </w:tblPr>
      <w:tblGrid>
        <w:gridCol w:w="2053"/>
        <w:gridCol w:w="1747"/>
        <w:gridCol w:w="1451"/>
        <w:gridCol w:w="999"/>
        <w:gridCol w:w="1418"/>
        <w:gridCol w:w="672"/>
      </w:tblGrid>
      <w:tr w14:paraId="0BE8E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7" w:type="dxa"/>
            <w:left w:w="17" w:type="dxa"/>
            <w:bottom w:w="17" w:type="dxa"/>
            <w:right w:w="17" w:type="dxa"/>
          </w:tblCellMar>
        </w:tblPrEx>
        <w:trPr>
          <w:tblHeader/>
        </w:trPr>
        <w:tc>
          <w:tcPr>
            <w:tcW w:w="2053" w:type="dxa"/>
            <w:tcBorders>
              <w:top w:val="single" w:color="000000" w:sz="12" w:space="0"/>
              <w:bottom w:val="single" w:color="000000" w:sz="4" w:space="0"/>
              <w:tl2br w:val="nil"/>
            </w:tcBorders>
            <w:shd w:val="clear" w:color="auto" w:fill="FFFFFF"/>
            <w:vAlign w:val="center"/>
          </w:tcPr>
          <w:p w14:paraId="672E82AF">
            <w:pPr>
              <w:keepNext w:val="0"/>
              <w:keepLines w:val="0"/>
              <w:widowControl/>
              <w:suppressLineNumbers w:val="0"/>
              <w:spacing w:line="480" w:lineRule="auto"/>
              <w:jc w:val="left"/>
              <w:rPr>
                <w:rStyle w:val="5"/>
                <w:rFonts w:hint="default" w:ascii="Times New Roman" w:hAnsi="Times New Roman" w:eastAsia="宋体" w:cs="Times New Roman"/>
                <w:b/>
                <w:bCs/>
                <w:color w:val="000000"/>
                <w:kern w:val="0"/>
                <w:sz w:val="22"/>
                <w:szCs w:val="22"/>
                <w:lang w:val="en-US" w:eastAsia="zh-CN" w:bidi="ar"/>
              </w:rPr>
            </w:pPr>
            <w:bookmarkStart w:id="0" w:name="_GoBack" w:colFirst="0" w:colLast="5"/>
            <w:r>
              <w:rPr>
                <w:rStyle w:val="5"/>
                <w:rFonts w:hint="default" w:ascii="Times New Roman" w:hAnsi="Times New Roman" w:eastAsia="宋体" w:cs="Times New Roman"/>
                <w:b/>
                <w:bCs/>
                <w:color w:val="000000"/>
                <w:kern w:val="0"/>
                <w:sz w:val="22"/>
                <w:szCs w:val="22"/>
                <w:lang w:val="en-US" w:eastAsia="zh-CN" w:bidi="ar"/>
              </w:rPr>
              <w:t>Outcome</w:t>
            </w:r>
          </w:p>
        </w:tc>
        <w:tc>
          <w:tcPr>
            <w:tcW w:w="1747" w:type="dxa"/>
            <w:tcBorders>
              <w:top w:val="single" w:color="000000" w:sz="12" w:space="0"/>
              <w:bottom w:val="single" w:color="000000" w:sz="4" w:space="0"/>
            </w:tcBorders>
            <w:shd w:val="clear" w:color="auto" w:fill="FFFFFF"/>
            <w:vAlign w:val="center"/>
          </w:tcPr>
          <w:p w14:paraId="1D4BC2B9">
            <w:pPr>
              <w:keepNext w:val="0"/>
              <w:keepLines w:val="0"/>
              <w:widowControl/>
              <w:suppressLineNumbers w:val="0"/>
              <w:spacing w:line="480" w:lineRule="auto"/>
              <w:jc w:val="left"/>
              <w:rPr>
                <w:rStyle w:val="5"/>
                <w:rFonts w:hint="default" w:ascii="Times New Roman" w:hAnsi="Times New Roman" w:eastAsia="宋体" w:cs="Times New Roman"/>
                <w:b/>
                <w:bCs/>
                <w:color w:val="000000"/>
                <w:kern w:val="0"/>
                <w:sz w:val="22"/>
                <w:szCs w:val="22"/>
                <w:lang w:val="en-US" w:eastAsia="zh-CN" w:bidi="ar"/>
              </w:rPr>
            </w:pPr>
            <w:r>
              <w:rPr>
                <w:rStyle w:val="5"/>
                <w:rFonts w:hint="default" w:ascii="Times New Roman" w:hAnsi="Times New Roman" w:eastAsia="宋体" w:cs="Times New Roman"/>
                <w:b/>
                <w:bCs/>
                <w:color w:val="000000"/>
                <w:kern w:val="0"/>
                <w:sz w:val="22"/>
                <w:szCs w:val="22"/>
                <w:lang w:val="en-US" w:eastAsia="zh-CN" w:bidi="ar"/>
              </w:rPr>
              <w:t>Statistical model</w:t>
            </w:r>
          </w:p>
        </w:tc>
        <w:tc>
          <w:tcPr>
            <w:tcW w:w="1451" w:type="dxa"/>
            <w:tcBorders>
              <w:top w:val="single" w:color="000000" w:sz="12" w:space="0"/>
              <w:bottom w:val="single" w:color="000000" w:sz="4" w:space="0"/>
            </w:tcBorders>
            <w:shd w:val="clear" w:color="auto" w:fill="FFFFFF"/>
            <w:vAlign w:val="center"/>
          </w:tcPr>
          <w:p w14:paraId="3FDE7F6A">
            <w:pPr>
              <w:keepNext w:val="0"/>
              <w:keepLines w:val="0"/>
              <w:widowControl/>
              <w:suppressLineNumbers w:val="0"/>
              <w:spacing w:line="480" w:lineRule="auto"/>
              <w:jc w:val="left"/>
              <w:rPr>
                <w:rStyle w:val="5"/>
                <w:rFonts w:hint="default" w:ascii="Times New Roman" w:hAnsi="Times New Roman" w:eastAsia="宋体" w:cs="Times New Roman"/>
                <w:b/>
                <w:bCs/>
                <w:color w:val="000000"/>
                <w:kern w:val="0"/>
                <w:sz w:val="22"/>
                <w:szCs w:val="22"/>
                <w:lang w:val="en-US" w:eastAsia="zh-CN" w:bidi="ar"/>
              </w:rPr>
            </w:pPr>
            <w:r>
              <w:rPr>
                <w:rStyle w:val="5"/>
                <w:rFonts w:hint="default" w:ascii="Times New Roman" w:hAnsi="Times New Roman" w:eastAsia="宋体" w:cs="Times New Roman"/>
                <w:b/>
                <w:bCs/>
                <w:color w:val="000000"/>
                <w:kern w:val="0"/>
                <w:sz w:val="22"/>
                <w:szCs w:val="22"/>
                <w:lang w:val="en-US" w:eastAsia="zh-CN" w:bidi="ar"/>
              </w:rPr>
              <w:t>Adherence comparison</w:t>
            </w:r>
          </w:p>
        </w:tc>
        <w:tc>
          <w:tcPr>
            <w:tcW w:w="999" w:type="dxa"/>
            <w:tcBorders>
              <w:top w:val="single" w:color="000000" w:sz="12" w:space="0"/>
              <w:bottom w:val="single" w:color="000000" w:sz="4" w:space="0"/>
            </w:tcBorders>
            <w:shd w:val="clear" w:color="auto" w:fill="FFFFFF"/>
            <w:vAlign w:val="center"/>
          </w:tcPr>
          <w:p w14:paraId="19D97C59">
            <w:pPr>
              <w:keepNext w:val="0"/>
              <w:keepLines w:val="0"/>
              <w:widowControl/>
              <w:suppressLineNumbers w:val="0"/>
              <w:spacing w:line="480" w:lineRule="auto"/>
              <w:jc w:val="left"/>
              <w:rPr>
                <w:rStyle w:val="5"/>
                <w:rFonts w:hint="default" w:ascii="Times New Roman" w:hAnsi="Times New Roman" w:eastAsia="宋体" w:cs="Times New Roman"/>
                <w:b/>
                <w:bCs/>
                <w:color w:val="000000"/>
                <w:kern w:val="0"/>
                <w:sz w:val="22"/>
                <w:szCs w:val="22"/>
                <w:lang w:val="en-US" w:eastAsia="zh-CN" w:bidi="ar"/>
              </w:rPr>
            </w:pPr>
            <w:r>
              <w:rPr>
                <w:rStyle w:val="5"/>
                <w:rFonts w:hint="default" w:ascii="Times New Roman" w:hAnsi="Times New Roman" w:eastAsia="宋体" w:cs="Times New Roman"/>
                <w:b/>
                <w:bCs/>
                <w:color w:val="000000"/>
                <w:kern w:val="0"/>
                <w:sz w:val="22"/>
                <w:szCs w:val="22"/>
                <w:lang w:val="en-US" w:eastAsia="zh-CN" w:bidi="ar"/>
              </w:rPr>
              <w:t>Effect estimate</w:t>
            </w:r>
          </w:p>
        </w:tc>
        <w:tc>
          <w:tcPr>
            <w:tcW w:w="1418" w:type="dxa"/>
            <w:tcBorders>
              <w:top w:val="single" w:color="000000" w:sz="12" w:space="0"/>
              <w:bottom w:val="single" w:color="000000" w:sz="4" w:space="0"/>
            </w:tcBorders>
            <w:shd w:val="clear" w:color="auto" w:fill="FFFFFF"/>
            <w:vAlign w:val="center"/>
          </w:tcPr>
          <w:p w14:paraId="33B61A09">
            <w:pPr>
              <w:keepNext w:val="0"/>
              <w:keepLines w:val="0"/>
              <w:widowControl/>
              <w:suppressLineNumbers w:val="0"/>
              <w:spacing w:line="480" w:lineRule="auto"/>
              <w:jc w:val="left"/>
              <w:rPr>
                <w:rStyle w:val="5"/>
                <w:rFonts w:hint="default" w:ascii="Times New Roman" w:hAnsi="Times New Roman" w:eastAsia="宋体" w:cs="Times New Roman"/>
                <w:b/>
                <w:bCs/>
                <w:color w:val="000000"/>
                <w:kern w:val="0"/>
                <w:sz w:val="22"/>
                <w:szCs w:val="22"/>
                <w:lang w:val="en-US" w:eastAsia="zh-CN" w:bidi="ar"/>
              </w:rPr>
            </w:pPr>
            <w:r>
              <w:rPr>
                <w:rStyle w:val="5"/>
                <w:rFonts w:hint="default" w:ascii="Times New Roman" w:hAnsi="Times New Roman" w:eastAsia="宋体" w:cs="Times New Roman"/>
                <w:b/>
                <w:bCs/>
                <w:color w:val="000000"/>
                <w:kern w:val="0"/>
                <w:sz w:val="22"/>
                <w:szCs w:val="22"/>
                <w:lang w:val="en-US" w:eastAsia="zh-CN" w:bidi="ar"/>
              </w:rPr>
              <w:t>95% confidence interval</w:t>
            </w:r>
          </w:p>
        </w:tc>
        <w:tc>
          <w:tcPr>
            <w:tcW w:w="672" w:type="dxa"/>
            <w:tcBorders>
              <w:top w:val="single" w:color="000000" w:sz="12" w:space="0"/>
              <w:bottom w:val="single" w:color="000000" w:sz="4" w:space="0"/>
            </w:tcBorders>
            <w:shd w:val="clear" w:color="auto" w:fill="FFFFFF"/>
            <w:vAlign w:val="center"/>
          </w:tcPr>
          <w:p w14:paraId="01D2DA86">
            <w:pPr>
              <w:keepNext w:val="0"/>
              <w:keepLines w:val="0"/>
              <w:widowControl/>
              <w:suppressLineNumbers w:val="0"/>
              <w:spacing w:line="480" w:lineRule="auto"/>
              <w:jc w:val="left"/>
              <w:rPr>
                <w:rStyle w:val="5"/>
                <w:rFonts w:hint="default" w:ascii="Times New Roman" w:hAnsi="Times New Roman" w:eastAsia="宋体" w:cs="Times New Roman"/>
                <w:b/>
                <w:bCs/>
                <w:color w:val="000000"/>
                <w:kern w:val="0"/>
                <w:sz w:val="22"/>
                <w:szCs w:val="22"/>
                <w:lang w:val="en-US" w:eastAsia="zh-CN" w:bidi="ar"/>
              </w:rPr>
            </w:pPr>
            <w:r>
              <w:rPr>
                <w:rStyle w:val="5"/>
                <w:rFonts w:hint="default" w:ascii="Times New Roman" w:hAnsi="Times New Roman" w:eastAsia="宋体" w:cs="Times New Roman"/>
                <w:b/>
                <w:bCs/>
                <w:color w:val="000000"/>
                <w:kern w:val="0"/>
                <w:sz w:val="22"/>
                <w:szCs w:val="22"/>
                <w:lang w:val="en-US" w:eastAsia="zh-CN" w:bidi="ar"/>
              </w:rPr>
              <w:t>p value</w:t>
            </w:r>
          </w:p>
        </w:tc>
      </w:tr>
      <w:bookmarkEnd w:id="0"/>
      <w:tr w14:paraId="697B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2053" w:type="dxa"/>
            <w:tcBorders>
              <w:top w:val="single" w:color="000000" w:sz="4" w:space="0"/>
            </w:tcBorders>
            <w:shd w:val="clear" w:color="auto" w:fill="FFFFFF"/>
            <w:vAlign w:val="center"/>
          </w:tcPr>
          <w:p w14:paraId="65F30103">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Time to unrestricted RTS</w:t>
            </w:r>
          </w:p>
        </w:tc>
        <w:tc>
          <w:tcPr>
            <w:tcW w:w="1747" w:type="dxa"/>
            <w:tcBorders>
              <w:top w:val="single" w:color="000000" w:sz="4" w:space="0"/>
            </w:tcBorders>
            <w:shd w:val="clear" w:color="auto" w:fill="FFFFFF"/>
            <w:vAlign w:val="center"/>
          </w:tcPr>
          <w:p w14:paraId="5BBF00D7">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Cox proportional hazards regression</w:t>
            </w:r>
          </w:p>
        </w:tc>
        <w:tc>
          <w:tcPr>
            <w:tcW w:w="1451" w:type="dxa"/>
            <w:tcBorders>
              <w:top w:val="single" w:color="000000" w:sz="4" w:space="0"/>
            </w:tcBorders>
            <w:shd w:val="clear" w:color="auto" w:fill="FFFFFF"/>
            <w:vAlign w:val="center"/>
          </w:tcPr>
          <w:p w14:paraId="20298D5B">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High vs low</w:t>
            </w:r>
          </w:p>
        </w:tc>
        <w:tc>
          <w:tcPr>
            <w:tcW w:w="999" w:type="dxa"/>
            <w:tcBorders>
              <w:top w:val="single" w:color="000000" w:sz="4" w:space="0"/>
            </w:tcBorders>
            <w:shd w:val="clear" w:color="auto" w:fill="FFFFFF"/>
            <w:vAlign w:val="center"/>
          </w:tcPr>
          <w:p w14:paraId="75F09FB3">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HR = 2.45</w:t>
            </w:r>
          </w:p>
        </w:tc>
        <w:tc>
          <w:tcPr>
            <w:tcW w:w="1418" w:type="dxa"/>
            <w:tcBorders>
              <w:top w:val="single" w:color="000000" w:sz="4" w:space="0"/>
            </w:tcBorders>
            <w:shd w:val="clear" w:color="auto" w:fill="FFFFFF"/>
            <w:vAlign w:val="center"/>
          </w:tcPr>
          <w:p w14:paraId="52453487">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1.58–3.80</w:t>
            </w:r>
          </w:p>
        </w:tc>
        <w:tc>
          <w:tcPr>
            <w:tcW w:w="672" w:type="dxa"/>
            <w:tcBorders>
              <w:top w:val="single" w:color="000000" w:sz="4" w:space="0"/>
            </w:tcBorders>
            <w:shd w:val="clear" w:color="auto" w:fill="FFFFFF"/>
            <w:vAlign w:val="center"/>
          </w:tcPr>
          <w:p w14:paraId="16945C32">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&lt;0.001</w:t>
            </w:r>
          </w:p>
        </w:tc>
      </w:tr>
      <w:tr w14:paraId="48691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2053" w:type="dxa"/>
            <w:shd w:val="clear" w:color="auto" w:fill="FFFFFF"/>
            <w:vAlign w:val="center"/>
          </w:tcPr>
          <w:p w14:paraId="1DA9055A">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CAIT-defined ankle instability at follow-up</w:t>
            </w:r>
          </w:p>
        </w:tc>
        <w:tc>
          <w:tcPr>
            <w:tcW w:w="1747" w:type="dxa"/>
            <w:shd w:val="clear" w:color="auto" w:fill="FFFFFF"/>
            <w:vAlign w:val="center"/>
          </w:tcPr>
          <w:p w14:paraId="7BFD940B">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Binary logistic regression</w:t>
            </w:r>
          </w:p>
        </w:tc>
        <w:tc>
          <w:tcPr>
            <w:tcW w:w="1451" w:type="dxa"/>
            <w:shd w:val="clear" w:color="auto" w:fill="FFFFFF"/>
            <w:vAlign w:val="center"/>
          </w:tcPr>
          <w:p w14:paraId="3D19FB4E">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Low vs high</w:t>
            </w:r>
          </w:p>
        </w:tc>
        <w:tc>
          <w:tcPr>
            <w:tcW w:w="999" w:type="dxa"/>
            <w:shd w:val="clear" w:color="auto" w:fill="FFFFFF"/>
            <w:vAlign w:val="center"/>
          </w:tcPr>
          <w:p w14:paraId="71657052">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OR = 3.65</w:t>
            </w:r>
          </w:p>
        </w:tc>
        <w:tc>
          <w:tcPr>
            <w:tcW w:w="1418" w:type="dxa"/>
            <w:shd w:val="clear" w:color="auto" w:fill="FFFFFF"/>
            <w:vAlign w:val="center"/>
          </w:tcPr>
          <w:p w14:paraId="32D3E33D">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1.48–9.02</w:t>
            </w:r>
          </w:p>
        </w:tc>
        <w:tc>
          <w:tcPr>
            <w:tcW w:w="672" w:type="dxa"/>
            <w:shd w:val="clear" w:color="auto" w:fill="FFFFFF"/>
            <w:vAlign w:val="center"/>
          </w:tcPr>
          <w:p w14:paraId="292D7C03">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0.005</w:t>
            </w:r>
          </w:p>
        </w:tc>
      </w:tr>
      <w:tr w14:paraId="50B00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2053" w:type="dxa"/>
            <w:tcBorders>
              <w:bottom w:val="single" w:color="000000" w:sz="12" w:space="0"/>
            </w:tcBorders>
            <w:shd w:val="clear" w:color="auto" w:fill="FFFFFF"/>
            <w:vAlign w:val="center"/>
          </w:tcPr>
          <w:p w14:paraId="04864CB3">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Residual VAS pain intensity</w:t>
            </w:r>
          </w:p>
        </w:tc>
        <w:tc>
          <w:tcPr>
            <w:tcW w:w="1747" w:type="dxa"/>
            <w:tcBorders>
              <w:bottom w:val="single" w:color="000000" w:sz="12" w:space="0"/>
            </w:tcBorders>
            <w:shd w:val="clear" w:color="auto" w:fill="FFFFFF"/>
            <w:vAlign w:val="center"/>
          </w:tcPr>
          <w:p w14:paraId="522085AE">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Multiple linear regression</w:t>
            </w:r>
          </w:p>
        </w:tc>
        <w:tc>
          <w:tcPr>
            <w:tcW w:w="1451" w:type="dxa"/>
            <w:tcBorders>
              <w:bottom w:val="single" w:color="000000" w:sz="12" w:space="0"/>
            </w:tcBorders>
            <w:shd w:val="clear" w:color="auto" w:fill="FFFFFF"/>
            <w:vAlign w:val="center"/>
          </w:tcPr>
          <w:p w14:paraId="03E1BF77">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Low vs high</w:t>
            </w:r>
          </w:p>
        </w:tc>
        <w:tc>
          <w:tcPr>
            <w:tcW w:w="999" w:type="dxa"/>
            <w:tcBorders>
              <w:bottom w:val="single" w:color="000000" w:sz="12" w:space="0"/>
            </w:tcBorders>
            <w:shd w:val="clear" w:color="auto" w:fill="FFFFFF"/>
            <w:vAlign w:val="center"/>
          </w:tcPr>
          <w:p w14:paraId="396511E9">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B = 1.35</w:t>
            </w:r>
          </w:p>
        </w:tc>
        <w:tc>
          <w:tcPr>
            <w:tcW w:w="1418" w:type="dxa"/>
            <w:tcBorders>
              <w:bottom w:val="single" w:color="000000" w:sz="12" w:space="0"/>
            </w:tcBorders>
            <w:shd w:val="clear" w:color="auto" w:fill="FFFFFF"/>
            <w:vAlign w:val="center"/>
          </w:tcPr>
          <w:p w14:paraId="17326D18">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0.62–2.08</w:t>
            </w:r>
          </w:p>
        </w:tc>
        <w:tc>
          <w:tcPr>
            <w:tcW w:w="672" w:type="dxa"/>
            <w:tcBorders>
              <w:bottom w:val="single" w:color="000000" w:sz="12" w:space="0"/>
            </w:tcBorders>
            <w:shd w:val="clear" w:color="auto" w:fill="FFFFFF"/>
            <w:vAlign w:val="center"/>
          </w:tcPr>
          <w:p w14:paraId="1DEAB693">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&lt;0.001</w:t>
            </w:r>
          </w:p>
        </w:tc>
      </w:tr>
    </w:tbl>
    <w:p w14:paraId="1E629AFC">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r>
        <w:rPr>
          <w:rStyle w:val="5"/>
          <w:rFonts w:hint="default" w:ascii="Times New Roman" w:hAnsi="Times New Roman" w:eastAsia="宋体" w:cs="Times New Roman"/>
          <w:b w:val="0"/>
          <w:color w:val="000000"/>
          <w:kern w:val="0"/>
          <w:sz w:val="22"/>
          <w:szCs w:val="22"/>
          <w:lang w:val="en-US" w:eastAsia="zh-CN" w:bidi="ar"/>
        </w:rPr>
        <w:t>Notes: RTS, return to sport; CAIT, Cumberland Ankle Instability Tool; VAS, Visual Analog Scale; HR, hazard ratio; OR, odds ratio; B, unstandardized regression coefficient. High and low adherence were defined using the cohort median of 78.5%, which was a data-driven threshold used only for sensitivity analyses and was not a clinically validated cutoff. The Cox model was adjusted for age, sex, body mass index, severity of the index sprain, prior ipsilateral ankle sprain history, and sports category. The logistic and linear regression models were additionally adjusted for follow-up duration. No 4-week landmark analysis was conducted because no athlete achieved qualifying RTS within 28 days after injury.</w:t>
      </w:r>
    </w:p>
    <w:p w14:paraId="259FF441">
      <w:pPr>
        <w:keepNext w:val="0"/>
        <w:keepLines w:val="0"/>
        <w:widowControl/>
        <w:suppressLineNumbers w:val="0"/>
        <w:spacing w:line="480" w:lineRule="auto"/>
        <w:jc w:val="left"/>
        <w:rPr>
          <w:rStyle w:val="5"/>
          <w:rFonts w:hint="default" w:ascii="Times New Roman" w:hAnsi="Times New Roman" w:eastAsia="宋体" w:cs="Times New Roman"/>
          <w:b w:val="0"/>
          <w:color w:val="000000"/>
          <w:kern w:val="0"/>
          <w:sz w:val="22"/>
          <w:szCs w:val="22"/>
          <w:lang w:val="en-US" w:eastAsia="zh-CN" w:bidi="ar"/>
        </w:rPr>
      </w:pP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292E9E"/>
    <w:rsid w:val="05B41A3A"/>
    <w:rsid w:val="1A292E9E"/>
    <w:rsid w:val="39AF5A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2026-08-05T07:36:00Z</dcterms:created>
  <dc:creator>Volcano</dc:creator>
  <cp:lastModifiedBy>Volcano</cp:lastModifiedBy>
  <dcterms:modified xsi:type="dcterms:W3CDTF">2026-08-05T07:45:07Z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E4630B6201024083AC8DC43DEF454700_11</vt:lpwstr>
  </property>
  <property fmtid="{D5CDD505-2E9C-101B-9397-08002B2CF9AE}" pid="4" name="KSOTemplateDocerSaveRecord">
    <vt:lpwstr>eyJoZGlkIjoiNTQ2MjY1YzkwYmU4OTg4ZDJjOGI3NmIxNGJkY2MwMWQiLCJ1c2VySWQiOiI0NDQyODY5NDMifQ==</vt:lpwstr>
  </property>
</Properties>
</file>