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AD" w:rsidRDefault="008607AD" w:rsidP="003F173E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630F6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4: Comparison of in-hospital and 90-day mortality between those patients labeled as </w:t>
      </w:r>
      <w:bookmarkStart w:id="0" w:name="_GoBack"/>
      <w:r>
        <w:rPr>
          <w:rFonts w:ascii="Times New Roman" w:hAnsi="Times New Roman" w:cs="Times New Roman"/>
        </w:rPr>
        <w:t>hem</w:t>
      </w:r>
      <w:bookmarkEnd w:id="0"/>
      <w:r>
        <w:rPr>
          <w:rFonts w:ascii="Times New Roman" w:hAnsi="Times New Roman" w:cs="Times New Roman"/>
        </w:rPr>
        <w:t>odynamically stable (unexposed) and those labeled as hemodynamically unstable (exposed).</w:t>
      </w:r>
      <w:r w:rsidR="00E22CE5">
        <w:rPr>
          <w:rFonts w:ascii="Times New Roman" w:hAnsi="Times New Roman" w:cs="Times New Roman"/>
          <w:vertAlign w:val="superscript"/>
        </w:rPr>
        <w:t>a</w:t>
      </w:r>
    </w:p>
    <w:tbl>
      <w:tblPr>
        <w:tblStyle w:val="MediumList2-Accent1"/>
        <w:tblW w:w="5091" w:type="pct"/>
        <w:tblLook w:val="04A0"/>
      </w:tblPr>
      <w:tblGrid>
        <w:gridCol w:w="2704"/>
        <w:gridCol w:w="1373"/>
        <w:gridCol w:w="1373"/>
        <w:gridCol w:w="1375"/>
        <w:gridCol w:w="1375"/>
        <w:gridCol w:w="1550"/>
      </w:tblGrid>
      <w:tr w:rsidR="008607AD" w:rsidRPr="00C26583" w:rsidTr="003A5F3B">
        <w:trPr>
          <w:cnfStyle w:val="100000000000"/>
          <w:trHeight w:val="260"/>
        </w:trPr>
        <w:tc>
          <w:tcPr>
            <w:cnfStyle w:val="001000000100"/>
            <w:tcW w:w="1387" w:type="pct"/>
            <w:noWrap/>
          </w:tcPr>
          <w:p w:rsidR="008607AD" w:rsidRPr="00C26583" w:rsidRDefault="008607AD" w:rsidP="003F173E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In-Hospital Mortality</w:t>
            </w:r>
          </w:p>
        </w:tc>
        <w:tc>
          <w:tcPr>
            <w:tcW w:w="704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Stable</w:t>
            </w:r>
          </w:p>
        </w:tc>
        <w:tc>
          <w:tcPr>
            <w:tcW w:w="704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Unstable</w:t>
            </w:r>
          </w:p>
        </w:tc>
        <w:tc>
          <w:tcPr>
            <w:tcW w:w="705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P-value </w:t>
            </w:r>
          </w:p>
        </w:tc>
        <w:tc>
          <w:tcPr>
            <w:tcW w:w="705" w:type="pct"/>
          </w:tcPr>
          <w:p w:rsidR="008607AD" w:rsidRDefault="008607AD" w:rsidP="003F173E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OR</w:t>
            </w:r>
          </w:p>
        </w:tc>
        <w:tc>
          <w:tcPr>
            <w:tcW w:w="795" w:type="pct"/>
          </w:tcPr>
          <w:p w:rsidR="008607AD" w:rsidRDefault="008607AD" w:rsidP="003F173E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95%CI</w:t>
            </w:r>
          </w:p>
        </w:tc>
      </w:tr>
      <w:tr w:rsidR="008607AD" w:rsidRPr="00C26583" w:rsidTr="003A5F3B">
        <w:trPr>
          <w:cnfStyle w:val="000000100000"/>
          <w:trHeight w:val="273"/>
        </w:trPr>
        <w:tc>
          <w:tcPr>
            <w:cnfStyle w:val="001000000000"/>
            <w:tcW w:w="1387" w:type="pct"/>
            <w:noWrap/>
          </w:tcPr>
          <w:p w:rsidR="008607AD" w:rsidRPr="00C26583" w:rsidRDefault="008607AD" w:rsidP="003F173E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 Event (death)</w:t>
            </w:r>
          </w:p>
        </w:tc>
        <w:tc>
          <w:tcPr>
            <w:tcW w:w="704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 (16)</w:t>
            </w:r>
          </w:p>
        </w:tc>
        <w:tc>
          <w:tcPr>
            <w:tcW w:w="704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(38)</w:t>
            </w:r>
          </w:p>
        </w:tc>
        <w:tc>
          <w:tcPr>
            <w:tcW w:w="705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5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5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07AD" w:rsidRPr="00C26583" w:rsidTr="003A5F3B">
        <w:trPr>
          <w:trHeight w:val="260"/>
        </w:trPr>
        <w:tc>
          <w:tcPr>
            <w:cnfStyle w:val="001000000000"/>
            <w:tcW w:w="1387" w:type="pct"/>
            <w:noWrap/>
          </w:tcPr>
          <w:p w:rsidR="008607AD" w:rsidRPr="00C26583" w:rsidRDefault="008607AD" w:rsidP="003F173E">
            <w:pPr>
              <w:spacing w:line="48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 Non-event (death)</w:t>
            </w:r>
          </w:p>
        </w:tc>
        <w:tc>
          <w:tcPr>
            <w:tcW w:w="704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704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5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5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5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07AD" w:rsidRPr="00C26583" w:rsidTr="003A5F3B">
        <w:trPr>
          <w:cnfStyle w:val="000000100000"/>
          <w:trHeight w:val="273"/>
        </w:trPr>
        <w:tc>
          <w:tcPr>
            <w:cnfStyle w:val="001000000000"/>
            <w:tcW w:w="1387" w:type="pct"/>
            <w:noWrap/>
          </w:tcPr>
          <w:p w:rsidR="008607AD" w:rsidRPr="00747EE3" w:rsidRDefault="008607AD" w:rsidP="003F173E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747EE3">
              <w:rPr>
                <w:rFonts w:ascii="Times New Roman" w:hAnsi="Times New Roman" w:cs="Times New Roman"/>
                <w:color w:val="auto"/>
              </w:rPr>
              <w:t>3. Total</w:t>
            </w:r>
          </w:p>
        </w:tc>
        <w:tc>
          <w:tcPr>
            <w:tcW w:w="704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704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05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5" w:type="pct"/>
          </w:tcPr>
          <w:p w:rsidR="008607A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5" w:type="pct"/>
          </w:tcPr>
          <w:p w:rsidR="008607A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07AD" w:rsidRPr="00C26583" w:rsidTr="003A5F3B">
        <w:trPr>
          <w:trHeight w:val="260"/>
        </w:trPr>
        <w:tc>
          <w:tcPr>
            <w:cnfStyle w:val="001000000000"/>
            <w:tcW w:w="1387" w:type="pct"/>
            <w:noWrap/>
          </w:tcPr>
          <w:p w:rsidR="008607AD" w:rsidRPr="00747EE3" w:rsidRDefault="008607AD" w:rsidP="003F173E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747EE3">
              <w:rPr>
                <w:rFonts w:ascii="Times New Roman" w:hAnsi="Times New Roman" w:cs="Times New Roman"/>
                <w:color w:val="auto"/>
              </w:rPr>
              <w:t>4. Unadjusted analysis</w:t>
            </w:r>
          </w:p>
        </w:tc>
        <w:tc>
          <w:tcPr>
            <w:tcW w:w="704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4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5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3A7A3D">
              <w:rPr>
                <w:rFonts w:ascii="Times New Roman" w:hAnsi="Times New Roman" w:cs="Times New Roman"/>
                <w:color w:val="000000"/>
              </w:rPr>
              <w:t>0.01</w:t>
            </w:r>
            <w:r w:rsidR="002E2953" w:rsidRPr="002E2953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705" w:type="pct"/>
          </w:tcPr>
          <w:p w:rsidR="008607AD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3.18</w:t>
            </w:r>
          </w:p>
        </w:tc>
        <w:tc>
          <w:tcPr>
            <w:tcW w:w="795" w:type="pct"/>
          </w:tcPr>
          <w:p w:rsidR="008607AD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(1.28-7.79)</w:t>
            </w:r>
          </w:p>
        </w:tc>
      </w:tr>
      <w:tr w:rsidR="008607AD" w:rsidRPr="00C26583" w:rsidTr="003A5F3B">
        <w:trPr>
          <w:cnfStyle w:val="000000100000"/>
          <w:trHeight w:val="260"/>
        </w:trPr>
        <w:tc>
          <w:tcPr>
            <w:cnfStyle w:val="001000000000"/>
            <w:tcW w:w="1387" w:type="pct"/>
            <w:noWrap/>
          </w:tcPr>
          <w:p w:rsidR="008607AD" w:rsidRPr="00747EE3" w:rsidRDefault="008607AD" w:rsidP="003F173E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747EE3">
              <w:rPr>
                <w:rFonts w:ascii="Times New Roman" w:hAnsi="Times New Roman" w:cs="Times New Roman"/>
                <w:color w:val="auto"/>
              </w:rPr>
              <w:t>5. Adjusted analysis</w:t>
            </w:r>
          </w:p>
        </w:tc>
        <w:tc>
          <w:tcPr>
            <w:tcW w:w="704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4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5" w:type="pct"/>
          </w:tcPr>
          <w:p w:rsidR="008607AD" w:rsidRPr="003A7A3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0.01</w:t>
            </w:r>
            <w:r w:rsidR="002E2953" w:rsidRPr="002E2953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705" w:type="pct"/>
          </w:tcPr>
          <w:p w:rsidR="008607A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3.84</w:t>
            </w:r>
          </w:p>
        </w:tc>
        <w:tc>
          <w:tcPr>
            <w:tcW w:w="795" w:type="pct"/>
          </w:tcPr>
          <w:p w:rsidR="008607A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(1.31-11.57)</w:t>
            </w:r>
          </w:p>
        </w:tc>
      </w:tr>
    </w:tbl>
    <w:p w:rsidR="008607AD" w:rsidRPr="004F25E9" w:rsidRDefault="008607AD" w:rsidP="003F173E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MediumList2-Accent1"/>
        <w:tblW w:w="5091" w:type="pct"/>
        <w:tblLook w:val="04A0"/>
      </w:tblPr>
      <w:tblGrid>
        <w:gridCol w:w="2781"/>
        <w:gridCol w:w="1361"/>
        <w:gridCol w:w="1359"/>
        <w:gridCol w:w="1359"/>
        <w:gridCol w:w="1359"/>
        <w:gridCol w:w="1531"/>
      </w:tblGrid>
      <w:tr w:rsidR="008607AD" w:rsidRPr="00C26583" w:rsidTr="003A5F3B">
        <w:trPr>
          <w:cnfStyle w:val="100000000000"/>
          <w:trHeight w:val="260"/>
        </w:trPr>
        <w:tc>
          <w:tcPr>
            <w:cnfStyle w:val="001000000100"/>
            <w:tcW w:w="1426" w:type="pct"/>
            <w:noWrap/>
          </w:tcPr>
          <w:p w:rsidR="008607AD" w:rsidRPr="00315A0F" w:rsidRDefault="008607AD" w:rsidP="003F173E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315A0F">
              <w:rPr>
                <w:rFonts w:ascii="Times New Roman" w:hAnsi="Times New Roman" w:cs="Times New Roman"/>
                <w:color w:val="auto"/>
              </w:rPr>
              <w:t>90-Day Mortality</w:t>
            </w:r>
          </w:p>
        </w:tc>
        <w:tc>
          <w:tcPr>
            <w:tcW w:w="698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Stable</w:t>
            </w:r>
          </w:p>
        </w:tc>
        <w:tc>
          <w:tcPr>
            <w:tcW w:w="697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Unstable</w:t>
            </w:r>
          </w:p>
        </w:tc>
        <w:tc>
          <w:tcPr>
            <w:tcW w:w="697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P-value</w:t>
            </w:r>
          </w:p>
        </w:tc>
        <w:tc>
          <w:tcPr>
            <w:tcW w:w="697" w:type="pct"/>
          </w:tcPr>
          <w:p w:rsidR="008607AD" w:rsidRDefault="008607AD" w:rsidP="003F173E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HR</w:t>
            </w:r>
          </w:p>
        </w:tc>
        <w:tc>
          <w:tcPr>
            <w:tcW w:w="786" w:type="pct"/>
          </w:tcPr>
          <w:p w:rsidR="008607AD" w:rsidRDefault="008607AD" w:rsidP="003F173E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95%CI</w:t>
            </w:r>
          </w:p>
        </w:tc>
      </w:tr>
      <w:tr w:rsidR="008607AD" w:rsidRPr="00C26583" w:rsidTr="003A5F3B">
        <w:trPr>
          <w:cnfStyle w:val="000000100000"/>
          <w:trHeight w:val="273"/>
        </w:trPr>
        <w:tc>
          <w:tcPr>
            <w:cnfStyle w:val="001000000000"/>
            <w:tcW w:w="1426" w:type="pct"/>
            <w:noWrap/>
          </w:tcPr>
          <w:p w:rsidR="008607AD" w:rsidRPr="00315A0F" w:rsidRDefault="008607AD" w:rsidP="003F173E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315A0F">
              <w:rPr>
                <w:rFonts w:ascii="Times New Roman" w:hAnsi="Times New Roman" w:cs="Times New Roman"/>
                <w:color w:val="auto"/>
              </w:rPr>
              <w:t>1. Event (death)</w:t>
            </w:r>
          </w:p>
        </w:tc>
        <w:tc>
          <w:tcPr>
            <w:tcW w:w="698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 (24)</w:t>
            </w:r>
          </w:p>
        </w:tc>
        <w:tc>
          <w:tcPr>
            <w:tcW w:w="697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 (48)</w:t>
            </w:r>
          </w:p>
        </w:tc>
        <w:tc>
          <w:tcPr>
            <w:tcW w:w="697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7" w:type="pct"/>
          </w:tcPr>
          <w:p w:rsidR="008607A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6" w:type="pct"/>
          </w:tcPr>
          <w:p w:rsidR="008607A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07AD" w:rsidRPr="00C26583" w:rsidTr="003A5F3B">
        <w:trPr>
          <w:trHeight w:val="260"/>
        </w:trPr>
        <w:tc>
          <w:tcPr>
            <w:cnfStyle w:val="001000000000"/>
            <w:tcW w:w="1426" w:type="pct"/>
            <w:noWrap/>
          </w:tcPr>
          <w:p w:rsidR="008607AD" w:rsidRPr="00315A0F" w:rsidRDefault="008607AD" w:rsidP="003F173E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315A0F">
              <w:rPr>
                <w:rFonts w:ascii="Times New Roman" w:hAnsi="Times New Roman" w:cs="Times New Roman"/>
                <w:color w:val="auto"/>
              </w:rPr>
              <w:t>2. Non-event (death)</w:t>
            </w:r>
          </w:p>
        </w:tc>
        <w:tc>
          <w:tcPr>
            <w:tcW w:w="698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697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697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7" w:type="pct"/>
          </w:tcPr>
          <w:p w:rsidR="008607AD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6" w:type="pct"/>
          </w:tcPr>
          <w:p w:rsidR="008607AD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07AD" w:rsidRPr="00C26583" w:rsidTr="003A5F3B">
        <w:trPr>
          <w:cnfStyle w:val="000000100000"/>
          <w:trHeight w:val="273"/>
        </w:trPr>
        <w:tc>
          <w:tcPr>
            <w:cnfStyle w:val="001000000000"/>
            <w:tcW w:w="1426" w:type="pct"/>
            <w:noWrap/>
          </w:tcPr>
          <w:p w:rsidR="008607AD" w:rsidRPr="00747EE3" w:rsidRDefault="008607AD" w:rsidP="003F173E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747EE3">
              <w:rPr>
                <w:rFonts w:ascii="Times New Roman" w:hAnsi="Times New Roman" w:cs="Times New Roman"/>
                <w:color w:val="auto"/>
              </w:rPr>
              <w:t>3. Total</w:t>
            </w:r>
          </w:p>
        </w:tc>
        <w:tc>
          <w:tcPr>
            <w:tcW w:w="698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697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697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7" w:type="pct"/>
          </w:tcPr>
          <w:p w:rsidR="008607A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86" w:type="pct"/>
          </w:tcPr>
          <w:p w:rsidR="008607A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607AD" w:rsidRPr="00C26583" w:rsidTr="003A5F3B">
        <w:trPr>
          <w:trHeight w:val="260"/>
        </w:trPr>
        <w:tc>
          <w:tcPr>
            <w:cnfStyle w:val="001000000000"/>
            <w:tcW w:w="1426" w:type="pct"/>
            <w:noWrap/>
          </w:tcPr>
          <w:p w:rsidR="008607AD" w:rsidRPr="00747EE3" w:rsidRDefault="008607AD" w:rsidP="003F173E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747EE3">
              <w:rPr>
                <w:rFonts w:ascii="Times New Roman" w:hAnsi="Times New Roman" w:cs="Times New Roman"/>
                <w:color w:val="auto"/>
              </w:rPr>
              <w:t>4. Unadjusted analysis</w:t>
            </w:r>
          </w:p>
        </w:tc>
        <w:tc>
          <w:tcPr>
            <w:tcW w:w="698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7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7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</w:t>
            </w:r>
            <w:r w:rsidR="002E2953" w:rsidRPr="002E2953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97" w:type="pct"/>
          </w:tcPr>
          <w:p w:rsidR="008607AD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2.24</w:t>
            </w:r>
          </w:p>
        </w:tc>
        <w:tc>
          <w:tcPr>
            <w:tcW w:w="786" w:type="pct"/>
          </w:tcPr>
          <w:p w:rsidR="008607AD" w:rsidRDefault="008607AD" w:rsidP="003F173E">
            <w:pPr>
              <w:spacing w:line="480" w:lineRule="auto"/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(1.15-4.19)</w:t>
            </w:r>
          </w:p>
        </w:tc>
      </w:tr>
      <w:tr w:rsidR="008607AD" w:rsidRPr="00C26583" w:rsidTr="003A5F3B">
        <w:trPr>
          <w:cnfStyle w:val="000000100000"/>
          <w:trHeight w:val="273"/>
        </w:trPr>
        <w:tc>
          <w:tcPr>
            <w:cnfStyle w:val="001000000000"/>
            <w:tcW w:w="1426" w:type="pct"/>
            <w:noWrap/>
          </w:tcPr>
          <w:p w:rsidR="008607AD" w:rsidRPr="00747EE3" w:rsidRDefault="008607AD" w:rsidP="003F173E">
            <w:pPr>
              <w:spacing w:line="480" w:lineRule="auto"/>
              <w:rPr>
                <w:rFonts w:ascii="Times New Roman" w:hAnsi="Times New Roman" w:cs="Times New Roman"/>
                <w:color w:val="auto"/>
              </w:rPr>
            </w:pPr>
            <w:r w:rsidRPr="00747EE3">
              <w:rPr>
                <w:rFonts w:ascii="Times New Roman" w:hAnsi="Times New Roman" w:cs="Times New Roman"/>
                <w:color w:val="auto"/>
              </w:rPr>
              <w:t>5. adjusted analysis</w:t>
            </w:r>
          </w:p>
        </w:tc>
        <w:tc>
          <w:tcPr>
            <w:tcW w:w="698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7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7" w:type="pct"/>
          </w:tcPr>
          <w:p w:rsidR="008607AD" w:rsidRPr="00C26583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0.02</w:t>
            </w:r>
            <w:r w:rsidR="002E2953" w:rsidRPr="002E2953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97" w:type="pct"/>
          </w:tcPr>
          <w:p w:rsidR="008607A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2.37</w:t>
            </w:r>
          </w:p>
        </w:tc>
        <w:tc>
          <w:tcPr>
            <w:tcW w:w="786" w:type="pct"/>
          </w:tcPr>
          <w:p w:rsidR="008607AD" w:rsidRDefault="008607AD" w:rsidP="003F173E">
            <w:pPr>
              <w:spacing w:line="48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(1.18-4.61)</w:t>
            </w:r>
          </w:p>
        </w:tc>
      </w:tr>
    </w:tbl>
    <w:p w:rsidR="008607AD" w:rsidRPr="00E22CE5" w:rsidRDefault="00B11B72" w:rsidP="003F173E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22CE5">
        <w:rPr>
          <w:rFonts w:ascii="Times New Roman" w:hAnsi="Times New Roman" w:cs="Times New Roman"/>
          <w:i/>
          <w:iCs/>
          <w:sz w:val="20"/>
          <w:szCs w:val="20"/>
        </w:rPr>
        <w:t xml:space="preserve">Abbreviations: </w:t>
      </w:r>
      <w:r w:rsidR="008607AD" w:rsidRPr="00E22CE5">
        <w:rPr>
          <w:rFonts w:ascii="Times New Roman" w:hAnsi="Times New Roman" w:cs="Times New Roman"/>
          <w:i/>
          <w:iCs/>
          <w:sz w:val="20"/>
          <w:szCs w:val="20"/>
        </w:rPr>
        <w:t>HR: hazard ratio; OR: odds</w:t>
      </w:r>
      <w:r w:rsidRPr="00E22CE5">
        <w:rPr>
          <w:rFonts w:ascii="Times New Roman" w:hAnsi="Times New Roman" w:cs="Times New Roman"/>
          <w:i/>
          <w:iCs/>
          <w:sz w:val="20"/>
          <w:szCs w:val="20"/>
        </w:rPr>
        <w:t xml:space="preserve"> ratio; CI: confidence interval</w:t>
      </w:r>
    </w:p>
    <w:p w:rsidR="008607AD" w:rsidRPr="00E22CE5" w:rsidRDefault="00E22CE5" w:rsidP="003F173E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22CE5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a</w:t>
      </w:r>
      <w:r w:rsidRPr="00E22CE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607AD" w:rsidRPr="00E22CE5">
        <w:rPr>
          <w:rFonts w:ascii="Times New Roman" w:hAnsi="Times New Roman" w:cs="Times New Roman"/>
          <w:i/>
          <w:iCs/>
          <w:sz w:val="20"/>
          <w:szCs w:val="20"/>
        </w:rPr>
        <w:t>surrogate marker of hemodynamic status: no vasopressor 60 minutes post-intubation (stable) vs. any vasopressor 60 minutes post-intubation (unstable)</w:t>
      </w:r>
    </w:p>
    <w:p w:rsidR="00B11B72" w:rsidRPr="00E22CE5" w:rsidRDefault="00E22CE5" w:rsidP="003F173E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E22CE5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b</w:t>
      </w:r>
      <w:r w:rsidRPr="00E22CE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B11B72" w:rsidRPr="00E22CE5">
        <w:rPr>
          <w:rFonts w:ascii="Times New Roman" w:hAnsi="Times New Roman" w:cs="Times New Roman"/>
          <w:i/>
          <w:iCs/>
          <w:sz w:val="20"/>
          <w:szCs w:val="20"/>
        </w:rPr>
        <w:t>indicates significance at p-value of ≤ 0.05</w:t>
      </w:r>
    </w:p>
    <w:p w:rsidR="00B11B72" w:rsidRPr="00B11B72" w:rsidRDefault="00B11B72" w:rsidP="003F173E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</w:p>
    <w:p w:rsidR="008607AD" w:rsidRPr="00C15159" w:rsidRDefault="008607AD" w:rsidP="003F173E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:rsidR="008607AD" w:rsidRPr="004F25E9" w:rsidRDefault="008607AD" w:rsidP="008607AD">
      <w:pPr>
        <w:rPr>
          <w:rFonts w:ascii="Times New Roman" w:hAnsi="Times New Roman" w:cs="Times New Roman"/>
        </w:rPr>
      </w:pPr>
    </w:p>
    <w:p w:rsidR="008607AD" w:rsidRPr="004F25E9" w:rsidRDefault="008607AD" w:rsidP="008607AD">
      <w:pPr>
        <w:rPr>
          <w:rFonts w:ascii="Times New Roman" w:hAnsi="Times New Roman" w:cs="Times New Roman"/>
        </w:rPr>
      </w:pPr>
    </w:p>
    <w:p w:rsidR="00BC5C89" w:rsidRDefault="00BC5C89"/>
    <w:sectPr w:rsidR="00BC5C89" w:rsidSect="003D20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607AD"/>
    <w:rsid w:val="002A3EEF"/>
    <w:rsid w:val="002E2953"/>
    <w:rsid w:val="003D20A6"/>
    <w:rsid w:val="003F173E"/>
    <w:rsid w:val="00617424"/>
    <w:rsid w:val="00630F65"/>
    <w:rsid w:val="00731ED8"/>
    <w:rsid w:val="008607AD"/>
    <w:rsid w:val="00B11B72"/>
    <w:rsid w:val="00BC5C89"/>
    <w:rsid w:val="00E22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7A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8607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7A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-Accent1">
    <w:name w:val="Medium List 2 Accent 1"/>
    <w:basedOn w:val="TableNormal"/>
    <w:uiPriority w:val="66"/>
    <w:rsid w:val="008607A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J Smischney</dc:creator>
  <cp:lastModifiedBy>0006032</cp:lastModifiedBy>
  <cp:revision>4</cp:revision>
  <dcterms:created xsi:type="dcterms:W3CDTF">2014-09-14T19:10:00Z</dcterms:created>
  <dcterms:modified xsi:type="dcterms:W3CDTF">2015-09-15T06:27:00Z</dcterms:modified>
</cp:coreProperties>
</file>