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"/>
        <w:tblW w:w="7014" w:type="dxa"/>
        <w:tblLayout w:type="fixed"/>
        <w:tblLook w:val="04A0"/>
      </w:tblPr>
      <w:tblGrid>
        <w:gridCol w:w="2798"/>
        <w:gridCol w:w="1054"/>
        <w:gridCol w:w="1054"/>
        <w:gridCol w:w="1054"/>
        <w:gridCol w:w="1054"/>
      </w:tblGrid>
      <w:tr w:rsidR="00E42E04" w:rsidTr="004E6825">
        <w:trPr>
          <w:cnfStyle w:val="100000000000"/>
        </w:trPr>
        <w:tc>
          <w:tcPr>
            <w:cnfStyle w:val="001000000000"/>
            <w:tcW w:w="3402" w:type="dxa"/>
          </w:tcPr>
          <w:p w:rsidR="00E42E04" w:rsidRDefault="00E42E04" w:rsidP="006F767B">
            <w:bookmarkStart w:id="0" w:name="_GoBack" w:colFirst="0" w:colLast="0"/>
            <w:r>
              <w:t>Measure</w:t>
            </w:r>
          </w:p>
        </w:tc>
        <w:tc>
          <w:tcPr>
            <w:tcW w:w="1247" w:type="dxa"/>
          </w:tcPr>
          <w:p w:rsidR="00E42E04" w:rsidRDefault="00E42E04" w:rsidP="006F767B">
            <w:pPr>
              <w:cnfStyle w:val="100000000000"/>
            </w:pPr>
            <w:r>
              <w:t>Day 1-2</w:t>
            </w:r>
          </w:p>
        </w:tc>
        <w:tc>
          <w:tcPr>
            <w:tcW w:w="1247" w:type="dxa"/>
          </w:tcPr>
          <w:p w:rsidR="00E42E04" w:rsidRDefault="00E42E04" w:rsidP="006F767B">
            <w:pPr>
              <w:cnfStyle w:val="100000000000"/>
            </w:pPr>
            <w:r>
              <w:t>Day 2-3</w:t>
            </w:r>
          </w:p>
        </w:tc>
        <w:tc>
          <w:tcPr>
            <w:tcW w:w="1247" w:type="dxa"/>
          </w:tcPr>
          <w:p w:rsidR="00E42E04" w:rsidRDefault="00E42E04" w:rsidP="006F767B">
            <w:pPr>
              <w:cnfStyle w:val="100000000000"/>
            </w:pPr>
            <w:r>
              <w:t>Day 3-4</w:t>
            </w:r>
          </w:p>
        </w:tc>
        <w:tc>
          <w:tcPr>
            <w:tcW w:w="1247" w:type="dxa"/>
          </w:tcPr>
          <w:p w:rsidR="00E42E04" w:rsidRDefault="00E42E04" w:rsidP="006F767B">
            <w:pPr>
              <w:cnfStyle w:val="100000000000"/>
            </w:pPr>
            <w:r>
              <w:t>Day 4-5</w:t>
            </w:r>
          </w:p>
        </w:tc>
      </w:tr>
      <w:tr w:rsidR="00E42E04" w:rsidTr="004E6825">
        <w:trPr>
          <w:cnfStyle w:val="000000100000"/>
        </w:trPr>
        <w:tc>
          <w:tcPr>
            <w:cnfStyle w:val="001000000000"/>
            <w:tcW w:w="3402" w:type="dxa"/>
          </w:tcPr>
          <w:p w:rsidR="00E42E04" w:rsidRDefault="00E42E04" w:rsidP="006F767B">
            <w:r>
              <w:t>Percent correct</w:t>
            </w:r>
          </w:p>
        </w:tc>
        <w:tc>
          <w:tcPr>
            <w:tcW w:w="1247" w:type="dxa"/>
          </w:tcPr>
          <w:p w:rsidR="00E42E04" w:rsidRDefault="00DC20A7" w:rsidP="006F767B">
            <w:pPr>
              <w:cnfStyle w:val="0000001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E42E04" w:rsidRPr="00CD409E" w:rsidRDefault="00E42E04" w:rsidP="00CD409E">
            <w:pPr>
              <w:cnfStyle w:val="0000001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E42E04" w:rsidRPr="00CD409E" w:rsidRDefault="00E42E04" w:rsidP="00DC20A7">
            <w:pPr>
              <w:cnfStyle w:val="0000001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E42E04" w:rsidRPr="00CD409E" w:rsidRDefault="00E42E04" w:rsidP="00CD409E">
            <w:pPr>
              <w:cnfStyle w:val="000000100000"/>
            </w:pPr>
            <w:r w:rsidRPr="00CD409E">
              <w:t>p&lt;0.001</w:t>
            </w:r>
            <w:r w:rsidR="00DC20A7">
              <w:rPr>
                <w:vertAlign w:val="superscript"/>
              </w:rPr>
              <w:t>α</w:t>
            </w:r>
          </w:p>
        </w:tc>
      </w:tr>
      <w:tr w:rsidR="00DC20A7" w:rsidTr="004E6825">
        <w:tc>
          <w:tcPr>
            <w:cnfStyle w:val="001000000000"/>
            <w:tcW w:w="3402" w:type="dxa"/>
          </w:tcPr>
          <w:p w:rsidR="00DC20A7" w:rsidRDefault="00DC20A7" w:rsidP="006F767B">
            <w:r>
              <w:t>Percent incorrect</w:t>
            </w:r>
          </w:p>
        </w:tc>
        <w:tc>
          <w:tcPr>
            <w:tcW w:w="1247" w:type="dxa"/>
          </w:tcPr>
          <w:p w:rsidR="00DC20A7" w:rsidRDefault="00DC20A7" w:rsidP="00DC20A7">
            <w:pPr>
              <w:cnfStyle w:val="000000000000"/>
            </w:pPr>
            <w:r w:rsidRPr="00CD409E">
              <w:t>p&lt;0.001</w:t>
            </w:r>
            <w:r w:rsidRPr="00DC20A7">
              <w:rPr>
                <w:vertAlign w:val="superscript"/>
              </w:rPr>
              <w:t>β</w:t>
            </w:r>
          </w:p>
        </w:tc>
        <w:tc>
          <w:tcPr>
            <w:tcW w:w="1247" w:type="dxa"/>
          </w:tcPr>
          <w:p w:rsidR="00DC20A7" w:rsidRPr="00CD409E" w:rsidRDefault="00DC20A7" w:rsidP="00DC20A7">
            <w:pPr>
              <w:cnfStyle w:val="000000000000"/>
            </w:pPr>
            <w:r w:rsidRPr="00CD409E">
              <w:t>p&lt;0.001</w:t>
            </w:r>
            <w:r w:rsidRPr="00DC20A7">
              <w:rPr>
                <w:vertAlign w:val="superscript"/>
              </w:rPr>
              <w:t>β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000000"/>
            </w:pPr>
            <w:r w:rsidRPr="00CD409E">
              <w:t>p&lt;0.001</w:t>
            </w:r>
            <w:r w:rsidRPr="00DC20A7">
              <w:rPr>
                <w:vertAlign w:val="superscript"/>
              </w:rPr>
              <w:t>β</w:t>
            </w:r>
          </w:p>
        </w:tc>
        <w:tc>
          <w:tcPr>
            <w:tcW w:w="1247" w:type="dxa"/>
          </w:tcPr>
          <w:p w:rsidR="00DC20A7" w:rsidRPr="00CD409E" w:rsidRDefault="00DC20A7" w:rsidP="00DC20A7">
            <w:pPr>
              <w:cnfStyle w:val="000000000000"/>
            </w:pPr>
            <w:r w:rsidRPr="00CD409E">
              <w:t>p&lt;0.001</w:t>
            </w:r>
            <w:r w:rsidRPr="00DC20A7">
              <w:rPr>
                <w:vertAlign w:val="superscript"/>
              </w:rPr>
              <w:t>β</w:t>
            </w:r>
          </w:p>
        </w:tc>
      </w:tr>
      <w:tr w:rsidR="00DC20A7" w:rsidTr="004E6825">
        <w:trPr>
          <w:cnfStyle w:val="000000100000"/>
        </w:trPr>
        <w:tc>
          <w:tcPr>
            <w:cnfStyle w:val="001000000000"/>
            <w:tcW w:w="3402" w:type="dxa"/>
          </w:tcPr>
          <w:p w:rsidR="00DC20A7" w:rsidRDefault="00DC20A7" w:rsidP="006F767B">
            <w:r>
              <w:t>Percent late</w:t>
            </w:r>
          </w:p>
        </w:tc>
        <w:tc>
          <w:tcPr>
            <w:tcW w:w="1247" w:type="dxa"/>
          </w:tcPr>
          <w:p w:rsidR="00DC20A7" w:rsidRDefault="00DC20A7" w:rsidP="006F767B">
            <w:pPr>
              <w:cnfStyle w:val="0000001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1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100000"/>
            </w:pPr>
            <w:r w:rsidRPr="00CD409E">
              <w:t>p&lt;0.001</w:t>
            </w:r>
            <w:r w:rsidRPr="00DC20A7">
              <w:rPr>
                <w:vertAlign w:val="superscript"/>
              </w:rPr>
              <w:t>β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1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</w:tr>
      <w:tr w:rsidR="00DC20A7" w:rsidTr="004E6825">
        <w:tc>
          <w:tcPr>
            <w:cnfStyle w:val="001000000000"/>
            <w:tcW w:w="3402" w:type="dxa"/>
          </w:tcPr>
          <w:p w:rsidR="00DC20A7" w:rsidRDefault="00DC20A7" w:rsidP="006F767B">
            <w:r>
              <w:t>Nose-poke discrimination</w:t>
            </w:r>
          </w:p>
        </w:tc>
        <w:tc>
          <w:tcPr>
            <w:tcW w:w="1247" w:type="dxa"/>
          </w:tcPr>
          <w:p w:rsidR="00DC20A7" w:rsidRDefault="00DC20A7" w:rsidP="006F767B">
            <w:pPr>
              <w:cnfStyle w:val="0000000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0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000000"/>
            </w:pPr>
            <w:r w:rsidRPr="00CD409E">
              <w:t>p&lt;0.001</w:t>
            </w:r>
            <w:r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000000"/>
            </w:pPr>
            <w:r w:rsidRPr="00CD409E">
              <w:t>p&lt;0.001</w:t>
            </w:r>
            <w:r>
              <w:rPr>
                <w:vertAlign w:val="superscript"/>
              </w:rPr>
              <w:t>α</w:t>
            </w:r>
          </w:p>
        </w:tc>
      </w:tr>
      <w:tr w:rsidR="00DC20A7" w:rsidTr="004E6825">
        <w:trPr>
          <w:cnfStyle w:val="000000100000"/>
        </w:trPr>
        <w:tc>
          <w:tcPr>
            <w:cnfStyle w:val="001000000000"/>
            <w:tcW w:w="3402" w:type="dxa"/>
          </w:tcPr>
          <w:p w:rsidR="00DC20A7" w:rsidRDefault="00DC20A7" w:rsidP="006F767B">
            <w:r>
              <w:t>Total number of responses</w:t>
            </w:r>
          </w:p>
        </w:tc>
        <w:tc>
          <w:tcPr>
            <w:tcW w:w="1247" w:type="dxa"/>
          </w:tcPr>
          <w:p w:rsidR="00DC20A7" w:rsidRDefault="00DC20A7" w:rsidP="006F767B">
            <w:pPr>
              <w:cnfStyle w:val="000000100000"/>
            </w:pPr>
            <w:r w:rsidRPr="00CD409E">
              <w:t>p&lt;0.001</w:t>
            </w:r>
            <w:r w:rsidRPr="00DC20A7">
              <w:rPr>
                <w:vertAlign w:val="superscript"/>
              </w:rPr>
              <w:t>β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100000"/>
            </w:pPr>
            <w:r w:rsidRPr="00CD409E">
              <w:t>p&lt;0.001</w:t>
            </w:r>
            <w:r w:rsidRPr="00DC20A7">
              <w:rPr>
                <w:vertAlign w:val="superscript"/>
              </w:rPr>
              <w:t>β</w:t>
            </w:r>
          </w:p>
        </w:tc>
        <w:tc>
          <w:tcPr>
            <w:tcW w:w="1247" w:type="dxa"/>
          </w:tcPr>
          <w:p w:rsidR="00DC20A7" w:rsidRPr="00CD409E" w:rsidRDefault="00DC20A7" w:rsidP="006F767B">
            <w:pPr>
              <w:cnfStyle w:val="000000100000"/>
            </w:pPr>
            <w:r w:rsidRPr="00CD409E">
              <w:t>p&lt;0.001</w:t>
            </w:r>
            <w:r w:rsidRPr="00DC20A7">
              <w:rPr>
                <w:vertAlign w:val="superscript"/>
              </w:rPr>
              <w:t>β</w:t>
            </w:r>
          </w:p>
        </w:tc>
        <w:tc>
          <w:tcPr>
            <w:tcW w:w="1247" w:type="dxa"/>
          </w:tcPr>
          <w:p w:rsidR="00DC20A7" w:rsidRPr="00CD409E" w:rsidRDefault="00DC20A7" w:rsidP="00DC20A7">
            <w:pPr>
              <w:cnfStyle w:val="000000100000"/>
            </w:pPr>
            <w:r>
              <w:t>p=</w:t>
            </w:r>
            <w:r w:rsidRPr="00CD409E">
              <w:t>0.00</w:t>
            </w:r>
            <w:r>
              <w:t>4</w:t>
            </w:r>
            <w:r w:rsidRPr="00DC20A7">
              <w:rPr>
                <w:vertAlign w:val="superscript"/>
              </w:rPr>
              <w:t>β</w:t>
            </w:r>
          </w:p>
        </w:tc>
      </w:tr>
      <w:tr w:rsidR="00E42E04" w:rsidTr="004E6825">
        <w:tc>
          <w:tcPr>
            <w:cnfStyle w:val="001000000000"/>
            <w:tcW w:w="3402" w:type="dxa"/>
          </w:tcPr>
          <w:p w:rsidR="00E42E04" w:rsidRDefault="00E42E04" w:rsidP="006F767B">
            <w:r>
              <w:t>Reaction Time (RT)</w:t>
            </w:r>
          </w:p>
        </w:tc>
        <w:tc>
          <w:tcPr>
            <w:tcW w:w="1247" w:type="dxa"/>
          </w:tcPr>
          <w:p w:rsidR="00E42E04" w:rsidRDefault="00E42E04" w:rsidP="006F767B">
            <w:pPr>
              <w:cnfStyle w:val="000000000000"/>
            </w:pPr>
            <w:r>
              <w:t>p=0.</w:t>
            </w:r>
            <w:r w:rsidR="00DC20A7">
              <w:t>070</w:t>
            </w:r>
          </w:p>
        </w:tc>
        <w:tc>
          <w:tcPr>
            <w:tcW w:w="1247" w:type="dxa"/>
          </w:tcPr>
          <w:p w:rsidR="00E42E04" w:rsidRDefault="00E42E04" w:rsidP="00DC20A7">
            <w:pPr>
              <w:cnfStyle w:val="000000000000"/>
            </w:pPr>
            <w:r>
              <w:t>p=0.</w:t>
            </w:r>
            <w:r w:rsidR="00DC20A7">
              <w:t>003</w:t>
            </w:r>
            <w:r w:rsidR="00DC20A7" w:rsidRPr="00CD409E">
              <w:rPr>
                <w:vertAlign w:val="superscript"/>
              </w:rPr>
              <w:t>β</w:t>
            </w:r>
          </w:p>
        </w:tc>
        <w:tc>
          <w:tcPr>
            <w:tcW w:w="1247" w:type="dxa"/>
          </w:tcPr>
          <w:p w:rsidR="00E42E04" w:rsidRDefault="00E42E04" w:rsidP="00DC20A7">
            <w:pPr>
              <w:cnfStyle w:val="000000000000"/>
            </w:pPr>
            <w:r>
              <w:t>p</w:t>
            </w:r>
            <w:r w:rsidR="00DC20A7">
              <w:t>=</w:t>
            </w:r>
            <w:r>
              <w:t>0.0</w:t>
            </w:r>
            <w:r w:rsidR="00DC20A7">
              <w:t>34</w:t>
            </w:r>
            <w:r w:rsidR="00DC20A7" w:rsidRPr="00CD409E">
              <w:rPr>
                <w:vertAlign w:val="superscript"/>
              </w:rPr>
              <w:t>α</w:t>
            </w:r>
          </w:p>
        </w:tc>
        <w:tc>
          <w:tcPr>
            <w:tcW w:w="1247" w:type="dxa"/>
          </w:tcPr>
          <w:p w:rsidR="00E42E04" w:rsidRDefault="00DC20A7" w:rsidP="00DC20A7">
            <w:pPr>
              <w:cnfStyle w:val="000000000000"/>
            </w:pPr>
            <w:r>
              <w:t>p=</w:t>
            </w:r>
            <w:r w:rsidR="00E42E04">
              <w:t>0.</w:t>
            </w:r>
            <w:r>
              <w:t>247</w:t>
            </w:r>
          </w:p>
        </w:tc>
      </w:tr>
    </w:tbl>
    <w:bookmarkEnd w:id="0"/>
    <w:p w:rsidR="00CD409E" w:rsidRPr="00CD409E" w:rsidRDefault="00CD409E" w:rsidP="00CD409E">
      <w:r>
        <w:t xml:space="preserve">Table </w:t>
      </w:r>
      <w:r w:rsidR="005C4D15">
        <w:t>S</w:t>
      </w:r>
      <w:r w:rsidR="00DC20A7">
        <w:t>3</w:t>
      </w:r>
      <w:r>
        <w:t xml:space="preserve">: Summary of within-subject contrasts for the significant main effect of day during task </w:t>
      </w:r>
      <w:r w:rsidR="00DC20A7">
        <w:t>reversal</w:t>
      </w:r>
      <w:r>
        <w:t>, showing comparisons to the previous day.</w:t>
      </w:r>
      <w:r w:rsidRPr="00CD409E">
        <w:rPr>
          <w:vertAlign w:val="superscript"/>
        </w:rPr>
        <w:t xml:space="preserve"> α</w:t>
      </w:r>
      <w:r>
        <w:rPr>
          <w:vertAlign w:val="superscript"/>
        </w:rPr>
        <w:t xml:space="preserve"> </w:t>
      </w:r>
      <w:r>
        <w:t xml:space="preserve">Indicates a significant increase from the day before whilst </w:t>
      </w:r>
      <w:r w:rsidRPr="00CD409E">
        <w:rPr>
          <w:vertAlign w:val="superscript"/>
        </w:rPr>
        <w:t>β</w:t>
      </w:r>
      <w:r>
        <w:t xml:space="preserve"> indicates a significant decrease.</w:t>
      </w:r>
    </w:p>
    <w:p w:rsidR="00CD409E" w:rsidRDefault="00CD409E"/>
    <w:sectPr w:rsidR="00CD409E" w:rsidSect="00EC18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9724"/>
  <w:stylePaneSortMethod w:val="0000"/>
  <w:defaultTabStop w:val="720"/>
  <w:characterSpacingControl w:val="doNotCompress"/>
  <w:compat/>
  <w:rsids>
    <w:rsidRoot w:val="00CD409E"/>
    <w:rsid w:val="001A542F"/>
    <w:rsid w:val="00236F5E"/>
    <w:rsid w:val="004E6825"/>
    <w:rsid w:val="005C4D15"/>
    <w:rsid w:val="006A0540"/>
    <w:rsid w:val="00CD409E"/>
    <w:rsid w:val="00DC20A7"/>
    <w:rsid w:val="00E42E04"/>
    <w:rsid w:val="00EC18A8"/>
    <w:rsid w:val="00F867DF"/>
    <w:rsid w:val="00FC5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09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867DF"/>
    <w:pPr>
      <w:keepNext/>
      <w:keepLines/>
      <w:spacing w:before="480" w:after="0" w:line="276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7DF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after="200" w:line="252" w:lineRule="auto"/>
      <w:jc w:val="center"/>
      <w:outlineLvl w:val="2"/>
    </w:pPr>
    <w:rPr>
      <w:rFonts w:asciiTheme="majorHAnsi" w:eastAsia="Times New Roman" w:hAnsiTheme="majorHAnsi" w:cs="Times New Roman"/>
      <w:caps/>
      <w:color w:val="622423" w:themeColor="accent2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F86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86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F86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867DF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7DF"/>
    <w:rPr>
      <w:rFonts w:asciiTheme="majorHAnsi" w:eastAsia="Times New Roman" w:hAnsiTheme="majorHAnsi" w:cs="Times New Roman"/>
      <w:caps/>
      <w:color w:val="622423" w:themeColor="accent2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7D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7DF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86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7DF"/>
  </w:style>
  <w:style w:type="paragraph" w:styleId="Footer">
    <w:name w:val="footer"/>
    <w:basedOn w:val="Normal"/>
    <w:link w:val="FooterChar"/>
    <w:uiPriority w:val="99"/>
    <w:unhideWhenUsed/>
    <w:rsid w:val="00F86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7DF"/>
  </w:style>
  <w:style w:type="paragraph" w:styleId="Caption">
    <w:name w:val="caption"/>
    <w:basedOn w:val="Normal"/>
    <w:next w:val="Normal"/>
    <w:uiPriority w:val="35"/>
    <w:semiHidden/>
    <w:unhideWhenUsed/>
    <w:qFormat/>
    <w:rsid w:val="00F867DF"/>
    <w:pPr>
      <w:spacing w:after="200" w:line="240" w:lineRule="auto"/>
    </w:pPr>
    <w:rPr>
      <w:rFonts w:ascii="Times New Roman" w:hAnsi="Times New Roman"/>
      <w:b/>
      <w:bCs/>
      <w:sz w:val="20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67DF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67DF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7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7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7DF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F867D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867DF"/>
  </w:style>
  <w:style w:type="paragraph" w:styleId="ListParagraph">
    <w:name w:val="List Paragraph"/>
    <w:basedOn w:val="Normal"/>
    <w:uiPriority w:val="34"/>
    <w:qFormat/>
    <w:rsid w:val="00F867DF"/>
    <w:pPr>
      <w:spacing w:after="200" w:line="276" w:lineRule="auto"/>
      <w:ind w:left="720"/>
      <w:contextualSpacing/>
    </w:pPr>
  </w:style>
  <w:style w:type="table" w:styleId="LightShading">
    <w:name w:val="Light Shading"/>
    <w:basedOn w:val="TableNormal"/>
    <w:uiPriority w:val="60"/>
    <w:rsid w:val="00CD40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09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867DF"/>
    <w:pPr>
      <w:keepNext/>
      <w:keepLines/>
      <w:spacing w:before="480" w:after="0" w:line="276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7DF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after="200" w:line="252" w:lineRule="auto"/>
      <w:jc w:val="center"/>
      <w:outlineLvl w:val="2"/>
    </w:pPr>
    <w:rPr>
      <w:rFonts w:asciiTheme="majorHAnsi" w:eastAsia="Times New Roman" w:hAnsiTheme="majorHAnsi" w:cs="Times New Roman"/>
      <w:caps/>
      <w:color w:val="622423" w:themeColor="accent2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F86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86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86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867DF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7DF"/>
    <w:rPr>
      <w:rFonts w:asciiTheme="majorHAnsi" w:eastAsia="Times New Roman" w:hAnsiTheme="majorHAnsi" w:cs="Times New Roman"/>
      <w:caps/>
      <w:color w:val="622423" w:themeColor="accent2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7D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7DF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86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7DF"/>
  </w:style>
  <w:style w:type="paragraph" w:styleId="Footer">
    <w:name w:val="footer"/>
    <w:basedOn w:val="Normal"/>
    <w:link w:val="FooterChar"/>
    <w:uiPriority w:val="99"/>
    <w:unhideWhenUsed/>
    <w:rsid w:val="00F86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7DF"/>
  </w:style>
  <w:style w:type="paragraph" w:styleId="Caption">
    <w:name w:val="caption"/>
    <w:basedOn w:val="Normal"/>
    <w:next w:val="Normal"/>
    <w:uiPriority w:val="35"/>
    <w:semiHidden/>
    <w:unhideWhenUsed/>
    <w:qFormat/>
    <w:rsid w:val="00F867DF"/>
    <w:pPr>
      <w:spacing w:after="200" w:line="240" w:lineRule="auto"/>
    </w:pPr>
    <w:rPr>
      <w:rFonts w:ascii="Times New Roman" w:hAnsi="Times New Roman"/>
      <w:b/>
      <w:bCs/>
      <w:sz w:val="20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67DF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67DF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7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7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7DF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F867D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867DF"/>
  </w:style>
  <w:style w:type="paragraph" w:styleId="ListParagraph">
    <w:name w:val="List Paragraph"/>
    <w:basedOn w:val="Normal"/>
    <w:uiPriority w:val="34"/>
    <w:qFormat/>
    <w:rsid w:val="00F867DF"/>
    <w:pPr>
      <w:spacing w:after="200" w:line="276" w:lineRule="auto"/>
      <w:ind w:left="720"/>
      <w:contextualSpacing/>
    </w:pPr>
  </w:style>
  <w:style w:type="table" w:styleId="LightShading">
    <w:name w:val="Light Shading"/>
    <w:basedOn w:val="TableNormal"/>
    <w:uiPriority w:val="60"/>
    <w:rsid w:val="00CD40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IoP King's College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Dommett</dc:creator>
  <cp:lastModifiedBy>0011692</cp:lastModifiedBy>
  <cp:revision>5</cp:revision>
  <dcterms:created xsi:type="dcterms:W3CDTF">2017-07-28T14:27:00Z</dcterms:created>
  <dcterms:modified xsi:type="dcterms:W3CDTF">2017-10-25T02:32:00Z</dcterms:modified>
</cp:coreProperties>
</file>