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091" w:rsidRDefault="00187300" w:rsidP="009200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1417">
        <w:rPr>
          <w:rFonts w:ascii="Times New Roman" w:hAnsi="Times New Roman" w:cs="Times New Roman"/>
          <w:b/>
          <w:sz w:val="26"/>
          <w:szCs w:val="26"/>
        </w:rPr>
        <w:t>Additional file</w:t>
      </w:r>
      <w:r>
        <w:rPr>
          <w:rFonts w:ascii="Times New Roman" w:hAnsi="Times New Roman" w:cs="Times New Roman"/>
          <w:b/>
          <w:sz w:val="26"/>
          <w:szCs w:val="26"/>
        </w:rPr>
        <w:t xml:space="preserve"> 2: </w:t>
      </w:r>
      <w:r w:rsidR="00B41409">
        <w:rPr>
          <w:rFonts w:ascii="Times New Roman" w:hAnsi="Times New Roman" w:cs="Times New Roman"/>
          <w:b/>
          <w:sz w:val="26"/>
          <w:szCs w:val="26"/>
        </w:rPr>
        <w:t>Table S2.</w:t>
      </w:r>
      <w:bookmarkStart w:id="0" w:name="_GoBack"/>
      <w:bookmarkEnd w:id="0"/>
    </w:p>
    <w:tbl>
      <w:tblPr>
        <w:tblStyle w:val="TableGrid"/>
        <w:tblW w:w="9797" w:type="dxa"/>
        <w:tblLayout w:type="fixed"/>
        <w:tblLook w:val="04A0" w:firstRow="1" w:lastRow="0" w:firstColumn="1" w:lastColumn="0" w:noHBand="0" w:noVBand="1"/>
      </w:tblPr>
      <w:tblGrid>
        <w:gridCol w:w="1025"/>
        <w:gridCol w:w="1635"/>
        <w:gridCol w:w="2976"/>
        <w:gridCol w:w="2162"/>
        <w:gridCol w:w="671"/>
        <w:gridCol w:w="1328"/>
      </w:tblGrid>
      <w:tr w:rsidR="00920091" w:rsidRPr="008722A9" w:rsidTr="0044147A">
        <w:tc>
          <w:tcPr>
            <w:tcW w:w="1025" w:type="dxa"/>
          </w:tcPr>
          <w:p w:rsidR="00920091" w:rsidRPr="008722A9" w:rsidRDefault="00920091" w:rsidP="00441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722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Gene</w:t>
            </w:r>
          </w:p>
        </w:tc>
        <w:tc>
          <w:tcPr>
            <w:tcW w:w="1635" w:type="dxa"/>
          </w:tcPr>
          <w:p w:rsidR="00920091" w:rsidRPr="008722A9" w:rsidRDefault="00920091" w:rsidP="00441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722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Locus</w:t>
            </w:r>
          </w:p>
        </w:tc>
        <w:tc>
          <w:tcPr>
            <w:tcW w:w="2976" w:type="dxa"/>
          </w:tcPr>
          <w:p w:rsidR="00920091" w:rsidRPr="008722A9" w:rsidRDefault="00920091" w:rsidP="00441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722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Forward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(5’-3’)</w:t>
            </w:r>
          </w:p>
        </w:tc>
        <w:tc>
          <w:tcPr>
            <w:tcW w:w="2162" w:type="dxa"/>
          </w:tcPr>
          <w:p w:rsidR="00920091" w:rsidRPr="008722A9" w:rsidRDefault="00920091" w:rsidP="00441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722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Reverse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(5’-3’)</w:t>
            </w:r>
          </w:p>
        </w:tc>
        <w:tc>
          <w:tcPr>
            <w:tcW w:w="671" w:type="dxa"/>
          </w:tcPr>
          <w:p w:rsidR="00920091" w:rsidRPr="008722A9" w:rsidRDefault="00920091" w:rsidP="00441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722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Tm</w:t>
            </w:r>
          </w:p>
        </w:tc>
        <w:tc>
          <w:tcPr>
            <w:tcW w:w="1328" w:type="dxa"/>
          </w:tcPr>
          <w:p w:rsidR="00920091" w:rsidRPr="008722A9" w:rsidRDefault="00920091" w:rsidP="00441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722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Reference</w:t>
            </w:r>
          </w:p>
        </w:tc>
      </w:tr>
      <w:tr w:rsidR="00920091" w:rsidRPr="008722A9" w:rsidTr="0044147A">
        <w:tc>
          <w:tcPr>
            <w:tcW w:w="1025" w:type="dxa"/>
            <w:vAlign w:val="center"/>
          </w:tcPr>
          <w:p w:rsidR="00920091" w:rsidRPr="00920091" w:rsidRDefault="00920091" w:rsidP="0044147A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</w:pPr>
            <w:r w:rsidRPr="009200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  <w:t>RD29A</w:t>
            </w:r>
          </w:p>
        </w:tc>
        <w:tc>
          <w:tcPr>
            <w:tcW w:w="1635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At5g52310</w:t>
            </w:r>
          </w:p>
        </w:tc>
        <w:tc>
          <w:tcPr>
            <w:tcW w:w="2976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ATCACTTGGCTCCACTGTTGTTC</w:t>
            </w:r>
          </w:p>
        </w:tc>
        <w:tc>
          <w:tcPr>
            <w:tcW w:w="2162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ACAAAACACACATAAACATCCAAAGT</w:t>
            </w:r>
          </w:p>
        </w:tc>
        <w:tc>
          <w:tcPr>
            <w:tcW w:w="671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57.0</w:t>
            </w:r>
          </w:p>
        </w:tc>
        <w:tc>
          <w:tcPr>
            <w:tcW w:w="1328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s-CL" w:eastAsia="es-CL"/>
              </w:rPr>
              <w:t xml:space="preserve">Bu </w:t>
            </w:r>
            <w:r w:rsidRPr="008722A9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6"/>
                <w:szCs w:val="26"/>
                <w:lang w:val="es-CL" w:eastAsia="es-CL"/>
              </w:rPr>
              <w:t>et al</w:t>
            </w:r>
            <w:r w:rsidRPr="008722A9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s-CL" w:eastAsia="es-CL"/>
              </w:rPr>
              <w:t>., 2009</w:t>
            </w:r>
          </w:p>
        </w:tc>
      </w:tr>
      <w:tr w:rsidR="00920091" w:rsidRPr="00723BFD" w:rsidTr="0044147A">
        <w:tc>
          <w:tcPr>
            <w:tcW w:w="1025" w:type="dxa"/>
            <w:vAlign w:val="center"/>
          </w:tcPr>
          <w:p w:rsidR="00920091" w:rsidRPr="00920091" w:rsidRDefault="00920091" w:rsidP="0044147A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</w:pPr>
            <w:r w:rsidRPr="009200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  <w:t>RD29B</w:t>
            </w:r>
          </w:p>
        </w:tc>
        <w:tc>
          <w:tcPr>
            <w:tcW w:w="1635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At5g52300</w:t>
            </w:r>
          </w:p>
        </w:tc>
        <w:tc>
          <w:tcPr>
            <w:tcW w:w="2976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GGAGTGAAGGAGACGCAACAAG</w:t>
            </w:r>
          </w:p>
        </w:tc>
        <w:tc>
          <w:tcPr>
            <w:tcW w:w="2162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GGAATCCGAAAACCCCATAGTC</w:t>
            </w:r>
          </w:p>
        </w:tc>
        <w:tc>
          <w:tcPr>
            <w:tcW w:w="671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58</w:t>
            </w:r>
          </w:p>
        </w:tc>
        <w:tc>
          <w:tcPr>
            <w:tcW w:w="1328" w:type="dxa"/>
            <w:vAlign w:val="center"/>
          </w:tcPr>
          <w:p w:rsidR="00920091" w:rsidRPr="00723BFD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 xml:space="preserve">Pinedo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  <w:t xml:space="preserve">et al.,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2016</w:t>
            </w:r>
          </w:p>
        </w:tc>
      </w:tr>
      <w:tr w:rsidR="00920091" w:rsidRPr="00723BFD" w:rsidTr="0044147A">
        <w:tc>
          <w:tcPr>
            <w:tcW w:w="1025" w:type="dxa"/>
            <w:vAlign w:val="center"/>
          </w:tcPr>
          <w:p w:rsidR="00920091" w:rsidRPr="00920091" w:rsidRDefault="00920091" w:rsidP="0044147A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</w:pPr>
            <w:r w:rsidRPr="009200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  <w:t>APX2</w:t>
            </w:r>
          </w:p>
        </w:tc>
        <w:tc>
          <w:tcPr>
            <w:tcW w:w="1635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At3g09640</w:t>
            </w:r>
          </w:p>
        </w:tc>
        <w:tc>
          <w:tcPr>
            <w:tcW w:w="2976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TGGTCGGATGGGACTCAAT</w:t>
            </w:r>
          </w:p>
        </w:tc>
        <w:tc>
          <w:tcPr>
            <w:tcW w:w="2162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AAGAGCCTTGTCGGTTGGT</w:t>
            </w:r>
          </w:p>
        </w:tc>
        <w:tc>
          <w:tcPr>
            <w:tcW w:w="671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58.5</w:t>
            </w:r>
          </w:p>
        </w:tc>
        <w:tc>
          <w:tcPr>
            <w:tcW w:w="1328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s-CL" w:eastAsia="es-CL"/>
              </w:rPr>
              <w:t xml:space="preserve">Xie </w:t>
            </w:r>
            <w:r w:rsidRPr="008722A9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6"/>
                <w:szCs w:val="26"/>
                <w:lang w:val="es-CL" w:eastAsia="es-CL"/>
              </w:rPr>
              <w:t>et al</w:t>
            </w:r>
            <w:r w:rsidRPr="008722A9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s-CL" w:eastAsia="es-CL"/>
              </w:rPr>
              <w:t>., 2012</w:t>
            </w:r>
          </w:p>
        </w:tc>
      </w:tr>
      <w:tr w:rsidR="00920091" w:rsidRPr="008722A9" w:rsidTr="0044147A">
        <w:tc>
          <w:tcPr>
            <w:tcW w:w="1025" w:type="dxa"/>
            <w:vAlign w:val="center"/>
          </w:tcPr>
          <w:p w:rsidR="00920091" w:rsidRPr="00920091" w:rsidRDefault="00920091" w:rsidP="0044147A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</w:pPr>
            <w:r w:rsidRPr="009200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  <w:t>LOX2</w:t>
            </w:r>
          </w:p>
        </w:tc>
        <w:tc>
          <w:tcPr>
            <w:tcW w:w="1635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At3g45140</w:t>
            </w:r>
          </w:p>
        </w:tc>
        <w:tc>
          <w:tcPr>
            <w:tcW w:w="2976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723B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ATCAACGCTCGTGCACGCCA</w:t>
            </w:r>
          </w:p>
        </w:tc>
        <w:tc>
          <w:tcPr>
            <w:tcW w:w="2162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723B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CCGCGG</w:t>
            </w: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CL"/>
              </w:rPr>
              <w:t>GTAAGCCTTCCTGG</w:t>
            </w:r>
          </w:p>
        </w:tc>
        <w:tc>
          <w:tcPr>
            <w:tcW w:w="671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64</w:t>
            </w:r>
          </w:p>
        </w:tc>
        <w:tc>
          <w:tcPr>
            <w:tcW w:w="1328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proofErr w:type="spellStart"/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Poupin</w:t>
            </w:r>
            <w:proofErr w:type="spellEnd"/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 xml:space="preserve"> et al., 2013</w:t>
            </w:r>
          </w:p>
        </w:tc>
      </w:tr>
      <w:tr w:rsidR="00920091" w:rsidRPr="008722A9" w:rsidTr="0044147A">
        <w:tc>
          <w:tcPr>
            <w:tcW w:w="1025" w:type="dxa"/>
            <w:vAlign w:val="center"/>
          </w:tcPr>
          <w:p w:rsidR="00920091" w:rsidRPr="00920091" w:rsidRDefault="00920091" w:rsidP="0044147A">
            <w:pP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</w:pPr>
            <w:r w:rsidRPr="0092009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  <w:t>GLYI7</w:t>
            </w:r>
          </w:p>
        </w:tc>
        <w:tc>
          <w:tcPr>
            <w:tcW w:w="1635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At1g80160</w:t>
            </w:r>
          </w:p>
        </w:tc>
        <w:tc>
          <w:tcPr>
            <w:tcW w:w="2976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CTACGATCGAGCCAGCGTTC</w:t>
            </w:r>
          </w:p>
        </w:tc>
        <w:tc>
          <w:tcPr>
            <w:tcW w:w="2162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CCATGTCCAAACAACCACGC</w:t>
            </w:r>
          </w:p>
        </w:tc>
        <w:tc>
          <w:tcPr>
            <w:tcW w:w="671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 w:rsidRPr="008722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57.5</w:t>
            </w:r>
          </w:p>
        </w:tc>
        <w:tc>
          <w:tcPr>
            <w:tcW w:w="1328" w:type="dxa"/>
            <w:vAlign w:val="center"/>
          </w:tcPr>
          <w:p w:rsidR="00920091" w:rsidRPr="008722A9" w:rsidRDefault="00920091" w:rsidP="004414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 xml:space="preserve">Pinedo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es-CL" w:eastAsia="es-CL"/>
              </w:rPr>
              <w:t xml:space="preserve">et al.,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s-CL" w:eastAsia="es-CL"/>
              </w:rPr>
              <w:t>2016</w:t>
            </w:r>
          </w:p>
        </w:tc>
      </w:tr>
    </w:tbl>
    <w:p w:rsidR="00022B12" w:rsidRDefault="00022B12"/>
    <w:p w:rsidR="00920091" w:rsidRDefault="00920091" w:rsidP="00920091">
      <w:pPr>
        <w:pStyle w:val="EndNoteBibliography"/>
        <w:spacing w:after="0" w:line="276" w:lineRule="auto"/>
        <w:ind w:left="720" w:hanging="720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20091">
        <w:rPr>
          <w:rFonts w:ascii="Times New Roman" w:hAnsi="Times New Roman" w:cs="Times New Roman"/>
          <w:noProof/>
          <w:sz w:val="26"/>
          <w:szCs w:val="26"/>
        </w:rPr>
        <w:t xml:space="preserve">Bu Q, Li H, Zhao Q, Jiang H, Zhai Q, Zhang J, Wu X, Sun J, Xie Q, Wang D, et al. 2009. The Arabidopsis RING Finger E3 Ligase RHA2a Is a Novel Positive Regulator of Abscisic Acid Signaling during Seed Germination and Early Seedling Development. </w:t>
      </w:r>
      <w:r w:rsidRPr="00920091">
        <w:rPr>
          <w:rFonts w:ascii="Times New Roman" w:hAnsi="Times New Roman" w:cs="Times New Roman"/>
          <w:i/>
          <w:noProof/>
          <w:sz w:val="26"/>
          <w:szCs w:val="26"/>
        </w:rPr>
        <w:t>Plant Physiol</w:t>
      </w:r>
      <w:r w:rsidRPr="00920091">
        <w:rPr>
          <w:rFonts w:ascii="Times New Roman" w:hAnsi="Times New Roman" w:cs="Times New Roman"/>
          <w:noProof/>
          <w:sz w:val="26"/>
          <w:szCs w:val="26"/>
        </w:rPr>
        <w:t>150(1): 463-481.</w:t>
      </w:r>
    </w:p>
    <w:p w:rsidR="00920091" w:rsidRDefault="00920091" w:rsidP="00920091">
      <w:pPr>
        <w:pStyle w:val="EndNoteBibliography"/>
        <w:spacing w:after="0" w:line="276" w:lineRule="auto"/>
        <w:ind w:left="720" w:hanging="720"/>
        <w:jc w:val="both"/>
        <w:rPr>
          <w:rFonts w:ascii="Times New Roman" w:hAnsi="Times New Roman" w:cs="Times New Roman"/>
          <w:noProof/>
          <w:sz w:val="26"/>
          <w:szCs w:val="26"/>
        </w:rPr>
      </w:pPr>
      <w:proofErr w:type="spellStart"/>
      <w:r w:rsidRPr="00920091">
        <w:rPr>
          <w:rFonts w:ascii="Times New Roman" w:hAnsi="Times New Roman" w:cs="Times New Roman"/>
          <w:sz w:val="26"/>
          <w:szCs w:val="26"/>
        </w:rPr>
        <w:t>Pinedo</w:t>
      </w:r>
      <w:proofErr w:type="spellEnd"/>
      <w:r w:rsidRPr="00920091">
        <w:rPr>
          <w:rFonts w:ascii="Times New Roman" w:hAnsi="Times New Roman" w:cs="Times New Roman"/>
          <w:sz w:val="26"/>
          <w:szCs w:val="26"/>
        </w:rPr>
        <w:t xml:space="preserve"> I, Ledger T, </w:t>
      </w:r>
      <w:proofErr w:type="spellStart"/>
      <w:r w:rsidRPr="00920091">
        <w:rPr>
          <w:rFonts w:ascii="Times New Roman" w:hAnsi="Times New Roman" w:cs="Times New Roman"/>
          <w:sz w:val="26"/>
          <w:szCs w:val="26"/>
        </w:rPr>
        <w:t>Greve</w:t>
      </w:r>
      <w:proofErr w:type="spellEnd"/>
      <w:r w:rsidRPr="00920091">
        <w:rPr>
          <w:rFonts w:ascii="Times New Roman" w:hAnsi="Times New Roman" w:cs="Times New Roman"/>
          <w:sz w:val="26"/>
          <w:szCs w:val="26"/>
        </w:rPr>
        <w:t xml:space="preserve"> M, </w:t>
      </w:r>
      <w:proofErr w:type="spellStart"/>
      <w:r w:rsidRPr="00920091">
        <w:rPr>
          <w:rFonts w:ascii="Times New Roman" w:hAnsi="Times New Roman" w:cs="Times New Roman"/>
          <w:sz w:val="26"/>
          <w:szCs w:val="26"/>
        </w:rPr>
        <w:t>Poupin</w:t>
      </w:r>
      <w:proofErr w:type="spellEnd"/>
      <w:r w:rsidRPr="00920091">
        <w:rPr>
          <w:rFonts w:ascii="Times New Roman" w:hAnsi="Times New Roman" w:cs="Times New Roman"/>
          <w:sz w:val="26"/>
          <w:szCs w:val="26"/>
        </w:rPr>
        <w:t xml:space="preserve"> MJ. </w:t>
      </w:r>
      <w:proofErr w:type="spellStart"/>
      <w:r w:rsidRPr="00893DA4">
        <w:rPr>
          <w:rFonts w:ascii="Times New Roman" w:hAnsi="Times New Roman" w:cs="Times New Roman"/>
          <w:i/>
          <w:sz w:val="26"/>
          <w:szCs w:val="26"/>
        </w:rPr>
        <w:t>Burkholderia</w:t>
      </w:r>
      <w:proofErr w:type="spellEnd"/>
      <w:r w:rsidRPr="00893DA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93DA4">
        <w:rPr>
          <w:rFonts w:ascii="Times New Roman" w:hAnsi="Times New Roman" w:cs="Times New Roman"/>
          <w:i/>
          <w:sz w:val="26"/>
          <w:szCs w:val="26"/>
        </w:rPr>
        <w:t>phytofirmans</w:t>
      </w:r>
      <w:proofErr w:type="spellEnd"/>
      <w:r w:rsidRPr="009200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0091">
        <w:rPr>
          <w:rFonts w:ascii="Times New Roman" w:hAnsi="Times New Roman" w:cs="Times New Roman"/>
          <w:sz w:val="26"/>
          <w:szCs w:val="26"/>
        </w:rPr>
        <w:t>PsJN</w:t>
      </w:r>
      <w:proofErr w:type="spellEnd"/>
      <w:r w:rsidRPr="00920091">
        <w:rPr>
          <w:rFonts w:ascii="Times New Roman" w:hAnsi="Times New Roman" w:cs="Times New Roman"/>
          <w:sz w:val="26"/>
          <w:szCs w:val="26"/>
        </w:rPr>
        <w:t xml:space="preserve"> induces long-term metabolic and transcriptional changes involved in </w:t>
      </w:r>
      <w:r w:rsidRPr="00893DA4">
        <w:rPr>
          <w:rFonts w:ascii="Times New Roman" w:hAnsi="Times New Roman" w:cs="Times New Roman"/>
          <w:i/>
          <w:sz w:val="26"/>
          <w:szCs w:val="26"/>
        </w:rPr>
        <w:t>Arabidopsis thaliana</w:t>
      </w:r>
      <w:r w:rsidRPr="00920091">
        <w:rPr>
          <w:rFonts w:ascii="Times New Roman" w:hAnsi="Times New Roman" w:cs="Times New Roman"/>
          <w:sz w:val="26"/>
          <w:szCs w:val="26"/>
        </w:rPr>
        <w:t xml:space="preserve"> salt tolerance. </w:t>
      </w:r>
      <w:r w:rsidRPr="00920091">
        <w:rPr>
          <w:rFonts w:ascii="Times New Roman" w:hAnsi="Times New Roman" w:cs="Times New Roman"/>
          <w:i/>
          <w:iCs/>
          <w:sz w:val="26"/>
          <w:szCs w:val="26"/>
        </w:rPr>
        <w:t>Front Plant Sci</w:t>
      </w:r>
      <w:r w:rsidRPr="00920091">
        <w:rPr>
          <w:rFonts w:ascii="Times New Roman" w:hAnsi="Times New Roman" w:cs="Times New Roman"/>
          <w:sz w:val="26"/>
          <w:szCs w:val="26"/>
        </w:rPr>
        <w:t>. 2015</w:t>
      </w:r>
      <w:proofErr w:type="gramStart"/>
      <w:r w:rsidRPr="00920091">
        <w:rPr>
          <w:rFonts w:ascii="Times New Roman" w:hAnsi="Times New Roman" w:cs="Times New Roman"/>
          <w:sz w:val="26"/>
          <w:szCs w:val="26"/>
        </w:rPr>
        <w:t>;6</w:t>
      </w:r>
      <w:proofErr w:type="gramEnd"/>
      <w:r w:rsidRPr="00920091">
        <w:rPr>
          <w:rFonts w:ascii="Times New Roman" w:hAnsi="Times New Roman" w:cs="Times New Roman"/>
          <w:sz w:val="26"/>
          <w:szCs w:val="26"/>
        </w:rPr>
        <w:t>(June):1-17. doi:10.3389/fpls.2015.00466.</w:t>
      </w:r>
    </w:p>
    <w:p w:rsidR="00920091" w:rsidRDefault="00920091" w:rsidP="00920091">
      <w:pPr>
        <w:pStyle w:val="EndNoteBibliography"/>
        <w:spacing w:line="276" w:lineRule="auto"/>
        <w:ind w:left="720" w:hanging="720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20091">
        <w:rPr>
          <w:rFonts w:ascii="Times New Roman" w:hAnsi="Times New Roman" w:cs="Times New Roman"/>
          <w:noProof/>
          <w:sz w:val="26"/>
          <w:szCs w:val="26"/>
        </w:rPr>
        <w:t xml:space="preserve">Poupin, M.J., Timmermann, T., Vega, A., Zuniga, A., and Gonzalez, B. (2013). Effects of the plant growth-promoting bacterium </w:t>
      </w:r>
      <w:r w:rsidRPr="00893DA4">
        <w:rPr>
          <w:rFonts w:ascii="Times New Roman" w:hAnsi="Times New Roman" w:cs="Times New Roman"/>
          <w:i/>
          <w:noProof/>
          <w:sz w:val="26"/>
          <w:szCs w:val="26"/>
        </w:rPr>
        <w:t>Burkholderia phytofirmans</w:t>
      </w:r>
      <w:r w:rsidRPr="00920091">
        <w:rPr>
          <w:rFonts w:ascii="Times New Roman" w:hAnsi="Times New Roman" w:cs="Times New Roman"/>
          <w:noProof/>
          <w:sz w:val="26"/>
          <w:szCs w:val="26"/>
        </w:rPr>
        <w:t xml:space="preserve"> PsJN throughout the life cycle of </w:t>
      </w:r>
      <w:r w:rsidRPr="00893DA4">
        <w:rPr>
          <w:rFonts w:ascii="Times New Roman" w:hAnsi="Times New Roman" w:cs="Times New Roman"/>
          <w:i/>
          <w:noProof/>
          <w:sz w:val="26"/>
          <w:szCs w:val="26"/>
        </w:rPr>
        <w:t>Arabidopsis thal</w:t>
      </w:r>
      <w:r w:rsidRPr="00920091">
        <w:rPr>
          <w:rFonts w:ascii="Times New Roman" w:hAnsi="Times New Roman" w:cs="Times New Roman"/>
          <w:noProof/>
          <w:sz w:val="26"/>
          <w:szCs w:val="26"/>
        </w:rPr>
        <w:t xml:space="preserve">iana. </w:t>
      </w:r>
      <w:r w:rsidRPr="00920091">
        <w:rPr>
          <w:rFonts w:ascii="Times New Roman" w:hAnsi="Times New Roman" w:cs="Times New Roman"/>
          <w:i/>
          <w:noProof/>
          <w:sz w:val="26"/>
          <w:szCs w:val="26"/>
          <w:lang w:val="fr-FR"/>
        </w:rPr>
        <w:t>PLoS One</w:t>
      </w:r>
      <w:r w:rsidRPr="00920091">
        <w:rPr>
          <w:rFonts w:ascii="Times New Roman" w:hAnsi="Times New Roman" w:cs="Times New Roman"/>
          <w:noProof/>
          <w:sz w:val="26"/>
          <w:szCs w:val="26"/>
          <w:lang w:val="fr-FR"/>
        </w:rPr>
        <w:t xml:space="preserve"> 8, e69435. doi: 10.1371/journal.pone.0069435.</w:t>
      </w:r>
    </w:p>
    <w:p w:rsidR="00920091" w:rsidRPr="00920091" w:rsidRDefault="00920091" w:rsidP="00920091">
      <w:pPr>
        <w:pStyle w:val="EndNoteBibliography"/>
        <w:spacing w:line="276" w:lineRule="auto"/>
        <w:ind w:left="720" w:hanging="720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20091">
        <w:rPr>
          <w:rFonts w:ascii="Times New Roman" w:hAnsi="Times New Roman" w:cs="Times New Roman"/>
          <w:noProof/>
          <w:sz w:val="26"/>
          <w:szCs w:val="26"/>
          <w:lang w:val="fr-FR"/>
        </w:rPr>
        <w:t xml:space="preserve">Xie Y, Mao Y, Lai D, Zhang W, Shen W. 2012. </w:t>
      </w:r>
      <w:r w:rsidRPr="00920091">
        <w:rPr>
          <w:rFonts w:ascii="Times New Roman" w:hAnsi="Times New Roman" w:cs="Times New Roman"/>
          <w:noProof/>
          <w:sz w:val="26"/>
          <w:szCs w:val="26"/>
        </w:rPr>
        <w:t>H</w:t>
      </w:r>
      <w:r w:rsidRPr="00920091">
        <w:rPr>
          <w:rFonts w:ascii="Times New Roman" w:hAnsi="Times New Roman" w:cs="Times New Roman"/>
          <w:noProof/>
          <w:sz w:val="26"/>
          <w:szCs w:val="26"/>
          <w:vertAlign w:val="subscript"/>
        </w:rPr>
        <w:t xml:space="preserve">2 </w:t>
      </w:r>
      <w:r w:rsidRPr="00920091">
        <w:rPr>
          <w:rFonts w:ascii="Times New Roman" w:hAnsi="Times New Roman" w:cs="Times New Roman"/>
          <w:noProof/>
          <w:sz w:val="26"/>
          <w:szCs w:val="26"/>
        </w:rPr>
        <w:t xml:space="preserve">Enhances </w:t>
      </w:r>
      <w:r w:rsidRPr="00893DA4">
        <w:rPr>
          <w:rFonts w:ascii="Times New Roman" w:hAnsi="Times New Roman" w:cs="Times New Roman"/>
          <w:i/>
          <w:noProof/>
          <w:sz w:val="26"/>
          <w:szCs w:val="26"/>
        </w:rPr>
        <w:t>Arabidopsi</w:t>
      </w:r>
      <w:r w:rsidRPr="00920091">
        <w:rPr>
          <w:rFonts w:ascii="Times New Roman" w:hAnsi="Times New Roman" w:cs="Times New Roman"/>
          <w:noProof/>
          <w:sz w:val="26"/>
          <w:szCs w:val="26"/>
        </w:rPr>
        <w:t xml:space="preserve">s Salt Tolerance by Manipulating ZAT10/12-Mediated Antioxidant Defence and Controlling Sodium Exclusion. </w:t>
      </w:r>
      <w:r w:rsidRPr="00920091">
        <w:rPr>
          <w:rFonts w:ascii="Times New Roman" w:hAnsi="Times New Roman" w:cs="Times New Roman"/>
          <w:i/>
          <w:noProof/>
          <w:sz w:val="26"/>
          <w:szCs w:val="26"/>
        </w:rPr>
        <w:t>PLoS One</w:t>
      </w:r>
      <w:r w:rsidRPr="00920091">
        <w:rPr>
          <w:rFonts w:ascii="Times New Roman" w:hAnsi="Times New Roman" w:cs="Times New Roman"/>
          <w:noProof/>
          <w:sz w:val="26"/>
          <w:szCs w:val="26"/>
        </w:rPr>
        <w:t>7(11): e49800.</w:t>
      </w:r>
    </w:p>
    <w:p w:rsidR="00920091" w:rsidRPr="00920091" w:rsidRDefault="00920091" w:rsidP="00920091">
      <w:pPr>
        <w:jc w:val="both"/>
      </w:pPr>
    </w:p>
    <w:sectPr w:rsidR="00920091" w:rsidRPr="00920091" w:rsidSect="00022B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300"/>
    <w:rsid w:val="000119B6"/>
    <w:rsid w:val="00022B12"/>
    <w:rsid w:val="0014716B"/>
    <w:rsid w:val="00187300"/>
    <w:rsid w:val="002D24FF"/>
    <w:rsid w:val="00316B91"/>
    <w:rsid w:val="00383BDB"/>
    <w:rsid w:val="003B345A"/>
    <w:rsid w:val="00672D54"/>
    <w:rsid w:val="00745A6A"/>
    <w:rsid w:val="008343FD"/>
    <w:rsid w:val="00893DA4"/>
    <w:rsid w:val="00920091"/>
    <w:rsid w:val="009A1D7F"/>
    <w:rsid w:val="00B41409"/>
    <w:rsid w:val="00B72AB3"/>
    <w:rsid w:val="00BA290E"/>
    <w:rsid w:val="00BF172F"/>
    <w:rsid w:val="00D13C64"/>
    <w:rsid w:val="00EB13B1"/>
    <w:rsid w:val="00FD78AC"/>
    <w:rsid w:val="00FE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0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dNoteBibliography">
    <w:name w:val="EndNote Bibliography"/>
    <w:basedOn w:val="Normal"/>
    <w:link w:val="EndNoteBibliographyChar"/>
    <w:rsid w:val="00920091"/>
    <w:pPr>
      <w:spacing w:line="240" w:lineRule="auto"/>
    </w:pPr>
    <w:rPr>
      <w:rFonts w:ascii="Calibri" w:eastAsiaTheme="minorHAnsi" w:hAnsi="Calibri"/>
    </w:rPr>
  </w:style>
  <w:style w:type="character" w:customStyle="1" w:styleId="EndNoteBibliographyChar">
    <w:name w:val="EndNote Bibliography Char"/>
    <w:basedOn w:val="DefaultParagraphFont"/>
    <w:link w:val="EndNoteBibliography"/>
    <w:rsid w:val="00920091"/>
    <w:rPr>
      <w:rFonts w:ascii="Calibri" w:hAnsi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471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71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716B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71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716B"/>
    <w:rPr>
      <w:rFonts w:eastAsiaTheme="minorEastAsia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16B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0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dNoteBibliography">
    <w:name w:val="EndNote Bibliography"/>
    <w:basedOn w:val="Normal"/>
    <w:link w:val="EndNoteBibliographyChar"/>
    <w:rsid w:val="00920091"/>
    <w:pPr>
      <w:spacing w:line="240" w:lineRule="auto"/>
    </w:pPr>
    <w:rPr>
      <w:rFonts w:ascii="Calibri" w:eastAsiaTheme="minorHAnsi" w:hAnsi="Calibri"/>
    </w:rPr>
  </w:style>
  <w:style w:type="character" w:customStyle="1" w:styleId="EndNoteBibliographyChar">
    <w:name w:val="EndNote Bibliography Char"/>
    <w:basedOn w:val="DefaultParagraphFont"/>
    <w:link w:val="EndNoteBibliography"/>
    <w:rsid w:val="00920091"/>
    <w:rPr>
      <w:rFonts w:ascii="Calibri" w:hAnsi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471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71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716B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71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716B"/>
    <w:rPr>
      <w:rFonts w:eastAsiaTheme="minorEastAsia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16B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Hoang</dc:creator>
  <cp:lastModifiedBy>Windows User</cp:lastModifiedBy>
  <cp:revision>4</cp:revision>
  <dcterms:created xsi:type="dcterms:W3CDTF">2018-06-27T10:34:00Z</dcterms:created>
  <dcterms:modified xsi:type="dcterms:W3CDTF">2018-11-10T11:47:00Z</dcterms:modified>
</cp:coreProperties>
</file>