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F0718" w14:textId="77777777" w:rsidR="003C0A54" w:rsidRDefault="00627C55">
      <w:r>
        <w:t xml:space="preserve">   </w:t>
      </w:r>
    </w:p>
    <w:p w14:paraId="657FF46A" w14:textId="77777777" w:rsidR="00473F2A" w:rsidRDefault="00473F2A"/>
    <w:p w14:paraId="78D07865" w14:textId="236A6267" w:rsidR="00473F2A" w:rsidRDefault="00473F2A">
      <w:bookmarkStart w:id="0" w:name="_GoBack"/>
      <w:bookmarkEnd w:id="0"/>
    </w:p>
    <w:p w14:paraId="3593165F" w14:textId="7377AE47" w:rsidR="003C0A54" w:rsidRDefault="00AB0F17">
      <w:r w:rsidRPr="00473F2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B73EE" wp14:editId="115AF8A5">
                <wp:simplePos x="0" y="0"/>
                <wp:positionH relativeFrom="column">
                  <wp:posOffset>-31750</wp:posOffset>
                </wp:positionH>
                <wp:positionV relativeFrom="paragraph">
                  <wp:posOffset>283210</wp:posOffset>
                </wp:positionV>
                <wp:extent cx="6794500" cy="320675"/>
                <wp:effectExtent l="0" t="0" r="0" b="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0" cy="320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23CBD5" w14:textId="5E2FA3C3" w:rsidR="00473F2A" w:rsidRPr="00AB0F17" w:rsidRDefault="00473F2A" w:rsidP="00473F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5pt;margin-top:22.3pt;width:53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" filled="f" stroked="f">
                <v:textbox>
                  <w:txbxContent>
                    <w:p w14:paraId="1D23CBD5" w14:textId="5E2FA3C3" w:rsidR="00473F2A" w:rsidRPr="00AB0F17" w:rsidRDefault="00473F2A" w:rsidP="00473F2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0A54">
        <w:rPr>
          <w:noProof/>
          <w:lang w:eastAsia="en-AU"/>
        </w:rPr>
        <w:drawing>
          <wp:inline distT="0" distB="0" distL="0" distR="0" wp14:anchorId="0F4E1810" wp14:editId="7DDF6927">
            <wp:extent cx="6144260" cy="4910117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6CE1DA4" w14:textId="77777777" w:rsidR="003C0A54" w:rsidRDefault="003C0A54"/>
    <w:p w14:paraId="0C540256" w14:textId="77777777" w:rsidR="003C0A54" w:rsidRDefault="003C0A54"/>
    <w:p w14:paraId="0DEA43FC" w14:textId="77777777" w:rsidR="003C0A54" w:rsidRDefault="003C0A54"/>
    <w:p w14:paraId="6F3ECA80" w14:textId="77777777" w:rsidR="00754E78" w:rsidRDefault="00473F2A" w:rsidP="00473F2A">
      <w:pPr>
        <w:tabs>
          <w:tab w:val="left" w:pos="6324"/>
        </w:tabs>
      </w:pPr>
      <w:r>
        <w:tab/>
      </w:r>
    </w:p>
    <w:sectPr w:rsidR="00754E78" w:rsidSect="00473F2A">
      <w:footerReference w:type="default" r:id="rId8"/>
      <w:pgSz w:w="11906" w:h="16838"/>
      <w:pgMar w:top="1985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AE16D" w14:textId="77777777" w:rsidR="005A5067" w:rsidRDefault="005A5067" w:rsidP="00AE608D">
      <w:pPr>
        <w:spacing w:after="0" w:line="240" w:lineRule="auto"/>
      </w:pPr>
      <w:r>
        <w:separator/>
      </w:r>
    </w:p>
  </w:endnote>
  <w:endnote w:type="continuationSeparator" w:id="0">
    <w:p w14:paraId="4A107048" w14:textId="77777777" w:rsidR="005A5067" w:rsidRDefault="005A5067" w:rsidP="00AE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7F6D4" w14:textId="77777777" w:rsidR="00AE608D" w:rsidRDefault="00AE608D">
    <w:pPr>
      <w:pStyle w:val="Footer"/>
    </w:pPr>
    <w:r>
      <w:t>SGRQ Fig 2</w:t>
    </w:r>
  </w:p>
  <w:p w14:paraId="76E4DDAF" w14:textId="77777777" w:rsidR="00AE608D" w:rsidRDefault="00AE6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27064" w14:textId="77777777" w:rsidR="005A5067" w:rsidRDefault="005A5067" w:rsidP="00AE608D">
      <w:pPr>
        <w:spacing w:after="0" w:line="240" w:lineRule="auto"/>
      </w:pPr>
      <w:r>
        <w:separator/>
      </w:r>
    </w:p>
  </w:footnote>
  <w:footnote w:type="continuationSeparator" w:id="0">
    <w:p w14:paraId="42AF91F1" w14:textId="77777777" w:rsidR="005A5067" w:rsidRDefault="005A5067" w:rsidP="00AE6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2"/>
    <w:rsid w:val="002640CB"/>
    <w:rsid w:val="002F6AC3"/>
    <w:rsid w:val="003C0A54"/>
    <w:rsid w:val="00426AD4"/>
    <w:rsid w:val="00473F2A"/>
    <w:rsid w:val="00491B01"/>
    <w:rsid w:val="00590654"/>
    <w:rsid w:val="00594D2D"/>
    <w:rsid w:val="005A5067"/>
    <w:rsid w:val="00627C55"/>
    <w:rsid w:val="00684E5E"/>
    <w:rsid w:val="0087641B"/>
    <w:rsid w:val="00882BBA"/>
    <w:rsid w:val="008C3B54"/>
    <w:rsid w:val="008C42C1"/>
    <w:rsid w:val="009112D7"/>
    <w:rsid w:val="00976338"/>
    <w:rsid w:val="00A06B6B"/>
    <w:rsid w:val="00A66552"/>
    <w:rsid w:val="00AB0F17"/>
    <w:rsid w:val="00AC3FC3"/>
    <w:rsid w:val="00AE608D"/>
    <w:rsid w:val="00B639E4"/>
    <w:rsid w:val="00B856D2"/>
    <w:rsid w:val="00BB0EDE"/>
    <w:rsid w:val="00C60513"/>
    <w:rsid w:val="00C82602"/>
    <w:rsid w:val="00CF436F"/>
    <w:rsid w:val="00D72040"/>
    <w:rsid w:val="00E77AEF"/>
    <w:rsid w:val="00F4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FC5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6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C3B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AE6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8D"/>
  </w:style>
  <w:style w:type="paragraph" w:styleId="Footer">
    <w:name w:val="footer"/>
    <w:basedOn w:val="Normal"/>
    <w:link w:val="FooterChar"/>
    <w:uiPriority w:val="99"/>
    <w:unhideWhenUsed/>
    <w:rsid w:val="00AE6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6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C3B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AE6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8D"/>
  </w:style>
  <w:style w:type="paragraph" w:styleId="Footer">
    <w:name w:val="footer"/>
    <w:basedOn w:val="Normal"/>
    <w:link w:val="FooterChar"/>
    <w:uiPriority w:val="99"/>
    <w:unhideWhenUsed/>
    <w:rsid w:val="00AE6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livsvfs12\userdata$\SantCo\BC%20charts\TRIAL-I_BC%20paper%20ACCxMD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2258105060811"/>
          <c:y val="8.8747084352337496E-2"/>
          <c:w val="0.789306515257021"/>
          <c:h val="0.76890527924515795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MDI'!$C$4:$D$4</c:f>
              <c:numCache>
                <c:formatCode>General</c:formatCode>
                <c:ptCount val="2"/>
                <c:pt idx="0">
                  <c:v>43.837858139285323</c:v>
                </c:pt>
                <c:pt idx="1">
                  <c:v>44.533012483080157</c:v>
                </c:pt>
              </c:numCache>
            </c:numRef>
          </c:val>
          <c:smooth val="0"/>
        </c:ser>
        <c:ser>
          <c:idx val="1"/>
          <c:order val="1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MDI'!$C$5:$D$5</c:f>
              <c:numCache>
                <c:formatCode>General</c:formatCode>
                <c:ptCount val="2"/>
                <c:pt idx="0">
                  <c:v>36.895269837200352</c:v>
                </c:pt>
                <c:pt idx="1">
                  <c:v>34.042441982019653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MDI'!$C$6:$D$6</c:f>
              <c:numCache>
                <c:formatCode>General</c:formatCode>
                <c:ptCount val="2"/>
                <c:pt idx="0">
                  <c:v>59.991794240582607</c:v>
                </c:pt>
                <c:pt idx="1">
                  <c:v>54.834987306715853</c:v>
                </c:pt>
              </c:numCache>
            </c:numRef>
          </c:val>
          <c:smooth val="0"/>
        </c:ser>
        <c:ser>
          <c:idx val="3"/>
          <c:order val="3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MDI'!$C$7:$D$7</c:f>
              <c:numCache>
                <c:formatCode>General</c:formatCode>
                <c:ptCount val="2"/>
                <c:pt idx="0">
                  <c:v>49.006537623381597</c:v>
                </c:pt>
                <c:pt idx="1">
                  <c:v>37.599639043465181</c:v>
                </c:pt>
              </c:numCache>
            </c:numRef>
          </c:val>
          <c:smooth val="0"/>
        </c:ser>
        <c:ser>
          <c:idx val="4"/>
          <c:order val="4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MDI'!$C$8:$D$8</c:f>
              <c:numCache>
                <c:formatCode>General</c:formatCode>
                <c:ptCount val="2"/>
                <c:pt idx="0">
                  <c:v>31.72551734748826</c:v>
                </c:pt>
                <c:pt idx="1">
                  <c:v>39.344262295081947</c:v>
                </c:pt>
              </c:numCache>
            </c:numRef>
          </c:val>
          <c:smooth val="0"/>
        </c:ser>
        <c:ser>
          <c:idx val="5"/>
          <c:order val="5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MDI'!$C$9:$D$9</c:f>
              <c:numCache>
                <c:formatCode>General</c:formatCode>
                <c:ptCount val="2"/>
                <c:pt idx="0">
                  <c:v>54.521983255627369</c:v>
                </c:pt>
                <c:pt idx="1">
                  <c:v>64.829297638742673</c:v>
                </c:pt>
              </c:numCache>
            </c:numRef>
          </c:val>
          <c:smooth val="0"/>
        </c:ser>
        <c:ser>
          <c:idx val="6"/>
          <c:order val="6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MDI'!$C$10:$D$10</c:f>
              <c:numCache>
                <c:formatCode>General</c:formatCode>
                <c:ptCount val="2"/>
                <c:pt idx="0">
                  <c:v>43.646366427840292</c:v>
                </c:pt>
                <c:pt idx="1">
                  <c:v>55.334135458966223</c:v>
                </c:pt>
              </c:numCache>
            </c:numRef>
          </c:val>
          <c:smooth val="0"/>
        </c:ser>
        <c:ser>
          <c:idx val="7"/>
          <c:order val="7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MDI'!$C$11:$D$11</c:f>
              <c:numCache>
                <c:formatCode>General</c:formatCode>
                <c:ptCount val="2"/>
                <c:pt idx="0">
                  <c:v>58.783275680553459</c:v>
                </c:pt>
                <c:pt idx="1">
                  <c:v>61.680954529503182</c:v>
                </c:pt>
              </c:numCache>
            </c:numRef>
          </c:val>
          <c:smooth val="0"/>
        </c:ser>
        <c:ser>
          <c:idx val="8"/>
          <c:order val="8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MDI'!$C$12:$D$12</c:f>
              <c:numCache>
                <c:formatCode>General</c:formatCode>
                <c:ptCount val="2"/>
                <c:pt idx="0">
                  <c:v>63.104727527949038</c:v>
                </c:pt>
                <c:pt idx="1">
                  <c:v>63.210000649999998</c:v>
                </c:pt>
              </c:numCache>
            </c:numRef>
          </c:val>
          <c:smooth val="0"/>
        </c:ser>
        <c:ser>
          <c:idx val="9"/>
          <c:order val="9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MDI'!$C$13:$D$13</c:f>
              <c:numCache>
                <c:formatCode>General</c:formatCode>
                <c:ptCount val="2"/>
                <c:pt idx="0">
                  <c:v>52.183285707123872</c:v>
                </c:pt>
                <c:pt idx="1">
                  <c:v>58.825888599999999</c:v>
                </c:pt>
              </c:numCache>
            </c:numRef>
          </c:val>
          <c:smooth val="0"/>
        </c:ser>
        <c:ser>
          <c:idx val="10"/>
          <c:order val="10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MDI'!$C$14:$D$14</c:f>
              <c:numCache>
                <c:formatCode>General</c:formatCode>
                <c:ptCount val="2"/>
                <c:pt idx="0">
                  <c:v>43.215424000000013</c:v>
                </c:pt>
                <c:pt idx="1">
                  <c:v>44.139469599999998</c:v>
                </c:pt>
              </c:numCache>
            </c:numRef>
          </c:val>
          <c:smooth val="0"/>
        </c:ser>
        <c:ser>
          <c:idx val="11"/>
          <c:order val="11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MDI'!$C$15:$D$15</c:f>
              <c:numCache>
                <c:formatCode>General</c:formatCode>
                <c:ptCount val="2"/>
                <c:pt idx="0">
                  <c:v>39.685165689076051</c:v>
                </c:pt>
                <c:pt idx="1">
                  <c:v>24.795708627863821</c:v>
                </c:pt>
              </c:numCache>
            </c:numRef>
          </c:val>
          <c:smooth val="0"/>
        </c:ser>
        <c:ser>
          <c:idx val="12"/>
          <c:order val="12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MDI'!$C$16:$D$16</c:f>
              <c:numCache>
                <c:formatCode>General</c:formatCode>
                <c:ptCount val="2"/>
                <c:pt idx="0">
                  <c:v>12.05695091993784</c:v>
                </c:pt>
                <c:pt idx="1">
                  <c:v>21.870456710282241</c:v>
                </c:pt>
              </c:numCache>
            </c:numRef>
          </c:val>
          <c:smooth val="0"/>
        </c:ser>
        <c:ser>
          <c:idx val="13"/>
          <c:order val="13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MDI'!$C$17:$D$17</c:f>
              <c:numCache>
                <c:formatCode>General</c:formatCode>
                <c:ptCount val="2"/>
                <c:pt idx="0">
                  <c:v>40.311826339800419</c:v>
                </c:pt>
                <c:pt idx="1">
                  <c:v>41.071339048478471</c:v>
                </c:pt>
              </c:numCache>
            </c:numRef>
          </c:val>
          <c:smooth val="0"/>
        </c:ser>
        <c:ser>
          <c:idx val="14"/>
          <c:order val="14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MDI'!$C$18:$D$18</c:f>
              <c:numCache>
                <c:formatCode>General</c:formatCode>
                <c:ptCount val="2"/>
                <c:pt idx="0">
                  <c:v>48.561187145936721</c:v>
                </c:pt>
                <c:pt idx="1">
                  <c:v>50.939990976086627</c:v>
                </c:pt>
              </c:numCache>
            </c:numRef>
          </c:val>
          <c:smooth val="0"/>
        </c:ser>
        <c:ser>
          <c:idx val="15"/>
          <c:order val="15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MDI'!$C$19:$D$19</c:f>
              <c:numCache>
                <c:formatCode>General</c:formatCode>
                <c:ptCount val="2"/>
                <c:pt idx="0">
                  <c:v>72.837724362338605</c:v>
                </c:pt>
                <c:pt idx="1">
                  <c:v>83.363413044568105</c:v>
                </c:pt>
              </c:numCache>
            </c:numRef>
          </c:val>
          <c:smooth val="0"/>
        </c:ser>
        <c:ser>
          <c:idx val="16"/>
          <c:order val="16"/>
          <c:spPr>
            <a:ln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val>
            <c:numRef>
              <c:f>'[TRIAL-I_BC paper ACCxMDI.xlsx]SGRQ ACC x MDI'!$C$20:$D$20</c:f>
              <c:numCache>
                <c:formatCode>General</c:formatCode>
                <c:ptCount val="2"/>
                <c:pt idx="0">
                  <c:v>55.416854664861873</c:v>
                </c:pt>
                <c:pt idx="1">
                  <c:v>59.951371133503798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944448"/>
        <c:axId val="119494528"/>
      </c:lineChart>
      <c:catAx>
        <c:axId val="9194444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solidFill>
            <a:schemeClr val="bg1"/>
          </a:solidFill>
          <a:ln>
            <a:noFill/>
          </a:ln>
        </c:spPr>
        <c:crossAx val="119494528"/>
        <c:crosses val="autoZero"/>
        <c:auto val="1"/>
        <c:lblAlgn val="ctr"/>
        <c:lblOffset val="100"/>
        <c:noMultiLvlLbl val="0"/>
      </c:catAx>
      <c:valAx>
        <c:axId val="11949452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spPr>
          <a:noFill/>
          <a:ln w="38100">
            <a:solidFill>
              <a:schemeClr val="tx1"/>
            </a:solidFill>
          </a:ln>
        </c:spPr>
        <c:txPr>
          <a:bodyPr/>
          <a:lstStyle/>
          <a:p>
            <a:pPr>
              <a:defRPr b="0" i="0" baseline="0">
                <a:ln w="38100">
                  <a:noFill/>
                </a:ln>
                <a:latin typeface="Arial" charset="0"/>
                <a:ea typeface="Arial" charset="0"/>
                <a:cs typeface="Arial" charset="0"/>
              </a:defRPr>
            </a:pPr>
            <a:endParaRPr lang="en-US"/>
          </a:p>
        </c:txPr>
        <c:crossAx val="9194444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00" b="1">
          <a:ln w="38100">
            <a:solidFill>
              <a:sysClr val="windowText" lastClr="000000"/>
            </a:solidFill>
          </a:ln>
          <a:latin typeface="+mn-lt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1.62754E-7</cdr:x>
      <cdr:y>0.18614</cdr:y>
    </cdr:from>
    <cdr:to>
      <cdr:x>0.04993</cdr:x>
      <cdr:y>0.73777</cdr:y>
    </cdr:to>
    <cdr:sp macro="" textlink="">
      <cdr:nvSpPr>
        <cdr:cNvPr id="2" name="Rectangle 1"/>
        <cdr:cNvSpPr/>
      </cdr:nvSpPr>
      <cdr:spPr>
        <a:xfrm xmlns:a="http://schemas.openxmlformats.org/drawingml/2006/main" rot="16200000">
          <a:off x="-1164037" y="2053129"/>
          <a:ext cx="2634864" cy="30678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2000" b="0" cap="none" spc="150" normalizeH="0">
              <a:ln w="12700">
                <a:solidFill>
                  <a:sysClr val="windowText" lastClr="000000"/>
                </a:solidFill>
                <a:prstDash val="solid"/>
              </a:ln>
              <a:solidFill>
                <a:schemeClr val="tx1">
                  <a:lumMod val="95000"/>
                  <a:lumOff val="5000"/>
                </a:schemeClr>
              </a:solidFill>
              <a:effectLst/>
              <a:latin typeface="+mn-lt"/>
            </a:rPr>
            <a:t>SGRQ Score </a:t>
          </a:r>
        </a:p>
      </cdr:txBody>
    </cdr:sp>
  </cdr:relSizeAnchor>
  <cdr:relSizeAnchor xmlns:cdr="http://schemas.openxmlformats.org/drawingml/2006/chartDrawing">
    <cdr:from>
      <cdr:x>0.18401</cdr:x>
      <cdr:y>0.8621</cdr:y>
    </cdr:from>
    <cdr:to>
      <cdr:x>0.45961</cdr:x>
      <cdr:y>0.95543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1130601" y="4117780"/>
          <a:ext cx="1693358" cy="44578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2000" b="0" cap="none" spc="150" normalizeH="0">
              <a:ln w="12700">
                <a:solidFill>
                  <a:sysClr val="windowText" lastClr="000000"/>
                </a:solidFill>
                <a:prstDash val="solid"/>
              </a:ln>
              <a:solidFill>
                <a:schemeClr val="tx1">
                  <a:lumMod val="95000"/>
                  <a:lumOff val="5000"/>
                </a:schemeClr>
              </a:solidFill>
              <a:effectLst/>
              <a:latin typeface="+mn-lt"/>
            </a:rPr>
            <a:t>ACCUHALER</a:t>
          </a:r>
        </a:p>
      </cdr:txBody>
    </cdr:sp>
  </cdr:relSizeAnchor>
  <cdr:relSizeAnchor xmlns:cdr="http://schemas.openxmlformats.org/drawingml/2006/chartDrawing">
    <cdr:from>
      <cdr:x>0.62326</cdr:x>
      <cdr:y>0.8522</cdr:y>
    </cdr:from>
    <cdr:to>
      <cdr:x>0.84868</cdr:x>
      <cdr:y>0.93163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3829488" y="4070509"/>
          <a:ext cx="1385039" cy="37939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2000" b="0" cap="none" spc="150" normalizeH="0">
              <a:ln w="12700">
                <a:solidFill>
                  <a:sysClr val="windowText" lastClr="000000"/>
                </a:solidFill>
                <a:prstDash val="solid"/>
              </a:ln>
              <a:solidFill>
                <a:schemeClr val="tx1">
                  <a:lumMod val="95000"/>
                  <a:lumOff val="5000"/>
                </a:schemeClr>
              </a:solidFill>
              <a:effectLst/>
              <a:latin typeface="+mn-lt"/>
            </a:rPr>
            <a:t>MDI/s</a:t>
          </a:r>
        </a:p>
      </cdr:txBody>
    </cdr:sp>
  </cdr:relSizeAnchor>
  <cdr:relSizeAnchor xmlns:cdr="http://schemas.openxmlformats.org/drawingml/2006/chartDrawing">
    <cdr:from>
      <cdr:x>0.03831</cdr:x>
      <cdr:y>0.16263</cdr:y>
    </cdr:from>
    <cdr:to>
      <cdr:x>0.10544</cdr:x>
      <cdr:y>0.77068</cdr:y>
    </cdr:to>
    <cdr:sp macro="" textlink="">
      <cdr:nvSpPr>
        <cdr:cNvPr id="5" name="Rectangle 4"/>
        <cdr:cNvSpPr/>
      </cdr:nvSpPr>
      <cdr:spPr>
        <a:xfrm xmlns:a="http://schemas.openxmlformats.org/drawingml/2006/main" rot="16200000">
          <a:off x="-1126943" y="2248811"/>
          <a:ext cx="3225985" cy="45396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GB"/>
        </a:p>
      </cdr:txBody>
    </cdr:sp>
  </cdr:relSizeAnchor>
  <cdr:relSizeAnchor xmlns:cdr="http://schemas.openxmlformats.org/drawingml/2006/chartDrawing">
    <cdr:from>
      <cdr:x>0.20461</cdr:x>
      <cdr:y>0.85866</cdr:y>
    </cdr:from>
    <cdr:to>
      <cdr:x>0.43003</cdr:x>
      <cdr:y>0.95199</cdr:y>
    </cdr:to>
    <cdr:sp macro="" textlink="">
      <cdr:nvSpPr>
        <cdr:cNvPr id="6" name="Rectangle 5"/>
        <cdr:cNvSpPr/>
      </cdr:nvSpPr>
      <cdr:spPr>
        <a:xfrm xmlns:a="http://schemas.openxmlformats.org/drawingml/2006/main">
          <a:off x="1383755" y="4555561"/>
          <a:ext cx="1524459" cy="495134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  <cdr:relSizeAnchor xmlns:cdr="http://schemas.openxmlformats.org/drawingml/2006/chartDrawing">
    <cdr:from>
      <cdr:x>0.19234</cdr:x>
      <cdr:y>0.84831</cdr:y>
    </cdr:from>
    <cdr:to>
      <cdr:x>0.46794</cdr:x>
      <cdr:y>0.94164</cdr:y>
    </cdr:to>
    <cdr:sp macro="" textlink="">
      <cdr:nvSpPr>
        <cdr:cNvPr id="7" name="Rectangle 6"/>
        <cdr:cNvSpPr/>
      </cdr:nvSpPr>
      <cdr:spPr>
        <a:xfrm xmlns:a="http://schemas.openxmlformats.org/drawingml/2006/main">
          <a:off x="1181807" y="4051943"/>
          <a:ext cx="1693358" cy="445788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AU" sz="2000" b="0" cap="none" spc="150" normalizeH="0">
              <a:ln w="12700">
                <a:solidFill>
                  <a:sysClr val="windowText" lastClr="000000"/>
                </a:solidFill>
                <a:prstDash val="solid"/>
              </a:ln>
              <a:solidFill>
                <a:schemeClr val="tx1">
                  <a:lumMod val="95000"/>
                  <a:lumOff val="5000"/>
                </a:schemeClr>
              </a:solidFill>
              <a:effectLst/>
              <a:latin typeface="+mn-lt"/>
            </a:rPr>
            <a:t>Accuhaler</a:t>
          </a:r>
        </a:p>
      </cdr:txBody>
    </cdr:sp>
  </cdr:relSizeAnchor>
  <cdr:relSizeAnchor xmlns:cdr="http://schemas.openxmlformats.org/drawingml/2006/chartDrawing">
    <cdr:from>
      <cdr:x>0.11787</cdr:x>
      <cdr:y>0.85458</cdr:y>
    </cdr:from>
    <cdr:to>
      <cdr:x>0.80364</cdr:x>
      <cdr:y>0.85764</cdr:y>
    </cdr:to>
    <cdr:cxnSp macro="">
      <cdr:nvCxnSpPr>
        <cdr:cNvPr id="11" name="Straight Connector 10"/>
        <cdr:cNvCxnSpPr/>
      </cdr:nvCxnSpPr>
      <cdr:spPr>
        <a:xfrm xmlns:a="http://schemas.openxmlformats.org/drawingml/2006/main" flipV="1">
          <a:off x="724205" y="4081881"/>
          <a:ext cx="4213555" cy="14631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SLHN &amp; SWSLHN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SLHN &amp; SWSLHN</dc:creator>
  <cp:lastModifiedBy>Haider Mannan</cp:lastModifiedBy>
  <cp:revision>4</cp:revision>
  <cp:lastPrinted>2017-11-22T03:38:00Z</cp:lastPrinted>
  <dcterms:created xsi:type="dcterms:W3CDTF">2018-12-06T03:29:00Z</dcterms:created>
  <dcterms:modified xsi:type="dcterms:W3CDTF">2019-01-27T17:57:00Z</dcterms:modified>
</cp:coreProperties>
</file>