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207B8" w14:textId="6E5F3BE5" w:rsidR="006E242A" w:rsidRDefault="00510955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1F7BB" wp14:editId="46AF12B2">
                <wp:simplePos x="0" y="0"/>
                <wp:positionH relativeFrom="column">
                  <wp:posOffset>-159026</wp:posOffset>
                </wp:positionH>
                <wp:positionV relativeFrom="paragraph">
                  <wp:posOffset>361453</wp:posOffset>
                </wp:positionV>
                <wp:extent cx="6611261" cy="265927"/>
                <wp:effectExtent l="0" t="0" r="0" b="0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261" cy="2659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BAE2AF" w14:textId="28FAFDBB" w:rsidR="00023B95" w:rsidRPr="00023B95" w:rsidRDefault="00023B95" w:rsidP="006A5EF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2.5pt;margin-top:28.45pt;width:520.55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" filled="f" stroked="f">
                <v:textbox>
                  <w:txbxContent>
                    <w:p w14:paraId="79BAE2AF" w14:textId="28FAFDBB" w:rsidR="00023B95" w:rsidRPr="00023B95" w:rsidRDefault="00023B95" w:rsidP="006A5EF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8681BE" w14:textId="77777777" w:rsidR="006E242A" w:rsidRDefault="006E242A">
      <w:r>
        <w:rPr>
          <w:noProof/>
          <w:lang w:eastAsia="en-AU"/>
        </w:rPr>
        <w:drawing>
          <wp:inline distT="0" distB="0" distL="0" distR="0" wp14:anchorId="0DD0B0D7" wp14:editId="4953149D">
            <wp:extent cx="5766435" cy="3697605"/>
            <wp:effectExtent l="0" t="0" r="0" b="10795"/>
            <wp:docPr id="1" name="Chart 1" title="6MW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32C0993" w14:textId="77777777" w:rsidR="006E242A" w:rsidRDefault="006E242A"/>
    <w:p w14:paraId="0B78250C" w14:textId="77777777" w:rsidR="00C52AD4" w:rsidRPr="004D5816" w:rsidRDefault="004D5816" w:rsidP="004D5816">
      <w:pPr>
        <w:tabs>
          <w:tab w:val="left" w:pos="2327"/>
        </w:tabs>
      </w:pPr>
      <w:r>
        <w:tab/>
      </w:r>
    </w:p>
    <w:sectPr w:rsidR="00C52AD4" w:rsidRPr="004D5816" w:rsidSect="001165D4">
      <w:footerReference w:type="default" r:id="rId8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67119" w14:textId="77777777" w:rsidR="002C31F0" w:rsidRDefault="002C31F0" w:rsidP="004D5816">
      <w:pPr>
        <w:spacing w:after="0" w:line="240" w:lineRule="auto"/>
      </w:pPr>
      <w:r>
        <w:separator/>
      </w:r>
    </w:p>
  </w:endnote>
  <w:endnote w:type="continuationSeparator" w:id="0">
    <w:p w14:paraId="3F6631F0" w14:textId="77777777" w:rsidR="002C31F0" w:rsidRDefault="002C31F0" w:rsidP="004D5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BA16F" w14:textId="762B42B7" w:rsidR="00A53B02" w:rsidRDefault="00A53B02">
    <w:pPr>
      <w:pStyle w:val="Footer"/>
    </w:pPr>
  </w:p>
  <w:p w14:paraId="0E8CD4D4" w14:textId="77777777" w:rsidR="00A53B02" w:rsidRDefault="00A53B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4B141" w14:textId="77777777" w:rsidR="002C31F0" w:rsidRDefault="002C31F0" w:rsidP="004D5816">
      <w:pPr>
        <w:spacing w:after="0" w:line="240" w:lineRule="auto"/>
      </w:pPr>
      <w:r>
        <w:separator/>
      </w:r>
    </w:p>
  </w:footnote>
  <w:footnote w:type="continuationSeparator" w:id="0">
    <w:p w14:paraId="50896DA3" w14:textId="77777777" w:rsidR="002C31F0" w:rsidRDefault="002C31F0" w:rsidP="004D58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F4D"/>
    <w:rsid w:val="00023B95"/>
    <w:rsid w:val="0003437C"/>
    <w:rsid w:val="000C5205"/>
    <w:rsid w:val="000D4E54"/>
    <w:rsid w:val="001165D4"/>
    <w:rsid w:val="00234E2D"/>
    <w:rsid w:val="002C31F0"/>
    <w:rsid w:val="004A4850"/>
    <w:rsid w:val="004D3ABE"/>
    <w:rsid w:val="004D5816"/>
    <w:rsid w:val="00510955"/>
    <w:rsid w:val="005353D3"/>
    <w:rsid w:val="005A19AF"/>
    <w:rsid w:val="00600344"/>
    <w:rsid w:val="006A5EFA"/>
    <w:rsid w:val="006E242A"/>
    <w:rsid w:val="006E30DC"/>
    <w:rsid w:val="007366D2"/>
    <w:rsid w:val="007A3E98"/>
    <w:rsid w:val="00822F4D"/>
    <w:rsid w:val="0087279A"/>
    <w:rsid w:val="008F3E6C"/>
    <w:rsid w:val="00952106"/>
    <w:rsid w:val="00961790"/>
    <w:rsid w:val="009644B1"/>
    <w:rsid w:val="00995184"/>
    <w:rsid w:val="00A374BB"/>
    <w:rsid w:val="00A53B02"/>
    <w:rsid w:val="00A90DD1"/>
    <w:rsid w:val="00AC461C"/>
    <w:rsid w:val="00C47A4D"/>
    <w:rsid w:val="00C52AD4"/>
    <w:rsid w:val="00C60179"/>
    <w:rsid w:val="00CD33FD"/>
    <w:rsid w:val="00D059E8"/>
    <w:rsid w:val="00D95806"/>
    <w:rsid w:val="00DE09AB"/>
    <w:rsid w:val="00E76DE4"/>
    <w:rsid w:val="00EA738F"/>
    <w:rsid w:val="00F3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80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F4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A48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4D5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816"/>
  </w:style>
  <w:style w:type="paragraph" w:styleId="Footer">
    <w:name w:val="footer"/>
    <w:basedOn w:val="Normal"/>
    <w:link w:val="FooterChar"/>
    <w:uiPriority w:val="99"/>
    <w:unhideWhenUsed/>
    <w:rsid w:val="004D5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8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F4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A48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4D5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816"/>
  </w:style>
  <w:style w:type="paragraph" w:styleId="Footer">
    <w:name w:val="footer"/>
    <w:basedOn w:val="Normal"/>
    <w:link w:val="FooterChar"/>
    <w:uiPriority w:val="99"/>
    <w:unhideWhenUsed/>
    <w:rsid w:val="004D5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livsvfs12\userdata$\SantCo\BC%20charts\TRIAL-I_BC%20paper%20ACCxMD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17"/>
    </mc:Choice>
    <mc:Fallback>
      <c:style val="17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75801708996901"/>
          <c:y val="0.158201168058861"/>
          <c:w val="0.67061859372841603"/>
          <c:h val="0.74479117088051605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ACCxMDI'!$D$4:$E$4</c:f>
              <c:numCache>
                <c:formatCode>General</c:formatCode>
                <c:ptCount val="2"/>
                <c:pt idx="0">
                  <c:v>380</c:v>
                </c:pt>
                <c:pt idx="1">
                  <c:v>313</c:v>
                </c:pt>
              </c:numCache>
            </c:numRef>
          </c:val>
          <c:smooth val="0"/>
        </c:ser>
        <c:ser>
          <c:idx val="1"/>
          <c:order val="1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ACCxMDI'!$D$5:$E$5</c:f>
              <c:numCache>
                <c:formatCode>General</c:formatCode>
                <c:ptCount val="2"/>
                <c:pt idx="0">
                  <c:v>353</c:v>
                </c:pt>
                <c:pt idx="1">
                  <c:v>504</c:v>
                </c:pt>
              </c:numCache>
            </c:numRef>
          </c:val>
          <c:smooth val="0"/>
        </c:ser>
        <c:ser>
          <c:idx val="2"/>
          <c:order val="2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ACCxMDI'!$D$6:$E$6</c:f>
              <c:numCache>
                <c:formatCode>General</c:formatCode>
                <c:ptCount val="2"/>
                <c:pt idx="0">
                  <c:v>180</c:v>
                </c:pt>
                <c:pt idx="1">
                  <c:v>157.5</c:v>
                </c:pt>
              </c:numCache>
            </c:numRef>
          </c:val>
          <c:smooth val="0"/>
        </c:ser>
        <c:ser>
          <c:idx val="3"/>
          <c:order val="3"/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ACCxMDI'!$D$7:$E$7</c:f>
              <c:numCache>
                <c:formatCode>General</c:formatCode>
                <c:ptCount val="2"/>
                <c:pt idx="0">
                  <c:v>337.5</c:v>
                </c:pt>
                <c:pt idx="1">
                  <c:v>363</c:v>
                </c:pt>
              </c:numCache>
            </c:numRef>
          </c:val>
          <c:smooth val="0"/>
        </c:ser>
        <c:ser>
          <c:idx val="4"/>
          <c:order val="4"/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Pt>
            <c:idx val="1"/>
            <c:bubble3D val="0"/>
            <c:spPr>
              <a:ln>
                <a:solidFill>
                  <a:schemeClr val="tx1"/>
                </a:solidFill>
              </a:ln>
            </c:spPr>
          </c:dPt>
          <c:val>
            <c:numRef>
              <c:f>'[TRIAL-I_BC paper ACCxMDI.xlsx]6MWT ACCxMDI'!$D$8:$E$8</c:f>
              <c:numCache>
                <c:formatCode>General</c:formatCode>
                <c:ptCount val="2"/>
                <c:pt idx="0">
                  <c:v>427.5</c:v>
                </c:pt>
                <c:pt idx="1">
                  <c:v>438</c:v>
                </c:pt>
              </c:numCache>
            </c:numRef>
          </c:val>
          <c:smooth val="0"/>
        </c:ser>
        <c:ser>
          <c:idx val="5"/>
          <c:order val="5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ACCxMDI'!$D$9:$E$9</c:f>
              <c:numCache>
                <c:formatCode>General</c:formatCode>
                <c:ptCount val="2"/>
                <c:pt idx="0">
                  <c:v>127.5</c:v>
                </c:pt>
                <c:pt idx="1">
                  <c:v>57</c:v>
                </c:pt>
              </c:numCache>
            </c:numRef>
          </c:val>
          <c:smooth val="0"/>
        </c:ser>
        <c:ser>
          <c:idx val="6"/>
          <c:order val="6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ACCxMDI'!$D$10:$E$10</c:f>
              <c:numCache>
                <c:formatCode>General</c:formatCode>
                <c:ptCount val="2"/>
                <c:pt idx="0">
                  <c:v>390</c:v>
                </c:pt>
                <c:pt idx="1">
                  <c:v>382.5</c:v>
                </c:pt>
              </c:numCache>
            </c:numRef>
          </c:val>
          <c:smooth val="0"/>
        </c:ser>
        <c:ser>
          <c:idx val="7"/>
          <c:order val="7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ACCxMDI'!$D$11:$E$11</c:f>
              <c:numCache>
                <c:formatCode>General</c:formatCode>
                <c:ptCount val="2"/>
                <c:pt idx="0">
                  <c:v>331.5</c:v>
                </c:pt>
                <c:pt idx="1">
                  <c:v>375</c:v>
                </c:pt>
              </c:numCache>
            </c:numRef>
          </c:val>
          <c:smooth val="0"/>
        </c:ser>
        <c:ser>
          <c:idx val="8"/>
          <c:order val="8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ACCxMDI'!$D$12:$E$12</c:f>
              <c:numCache>
                <c:formatCode>General</c:formatCode>
                <c:ptCount val="2"/>
                <c:pt idx="0">
                  <c:v>225</c:v>
                </c:pt>
                <c:pt idx="1">
                  <c:v>277.5</c:v>
                </c:pt>
              </c:numCache>
            </c:numRef>
          </c:val>
          <c:smooth val="0"/>
        </c:ser>
        <c:ser>
          <c:idx val="9"/>
          <c:order val="9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ACCxMDI'!$D$13:$E$13</c:f>
              <c:numCache>
                <c:formatCode>General</c:formatCode>
                <c:ptCount val="2"/>
                <c:pt idx="0">
                  <c:v>315</c:v>
                </c:pt>
                <c:pt idx="1">
                  <c:v>228</c:v>
                </c:pt>
              </c:numCache>
            </c:numRef>
          </c:val>
          <c:smooth val="0"/>
        </c:ser>
        <c:ser>
          <c:idx val="10"/>
          <c:order val="10"/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Pt>
            <c:idx val="0"/>
            <c:marker>
              <c:symbol val="square"/>
              <c:size val="9"/>
            </c:marker>
            <c:bubble3D val="0"/>
          </c:dPt>
          <c:val>
            <c:numRef>
              <c:f>'[TRIAL-I_BC paper ACCxMDI.xlsx]6MWT ACCxMDI'!$D$14:$E$14</c:f>
              <c:numCache>
                <c:formatCode>General</c:formatCode>
                <c:ptCount val="2"/>
                <c:pt idx="0">
                  <c:v>530</c:v>
                </c:pt>
                <c:pt idx="1">
                  <c:v>525</c:v>
                </c:pt>
              </c:numCache>
            </c:numRef>
          </c:val>
          <c:smooth val="0"/>
        </c:ser>
        <c:ser>
          <c:idx val="11"/>
          <c:order val="11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ACCxMDI'!$D$15:$E$15</c:f>
              <c:numCache>
                <c:formatCode>General</c:formatCode>
                <c:ptCount val="2"/>
                <c:pt idx="0">
                  <c:v>412.5</c:v>
                </c:pt>
                <c:pt idx="1">
                  <c:v>447.97</c:v>
                </c:pt>
              </c:numCache>
            </c:numRef>
          </c:val>
          <c:smooth val="0"/>
        </c:ser>
        <c:ser>
          <c:idx val="12"/>
          <c:order val="12"/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dPt>
            <c:idx val="0"/>
            <c:bubble3D val="0"/>
          </c:dPt>
          <c:dPt>
            <c:idx val="1"/>
            <c:bubble3D val="0"/>
            <c:spPr>
              <a:ln>
                <a:solidFill>
                  <a:schemeClr val="tx1"/>
                </a:solidFill>
              </a:ln>
            </c:spPr>
          </c:dPt>
          <c:val>
            <c:numRef>
              <c:f>'[TRIAL-I_BC paper ACCxMDI.xlsx]6MWT ACCxMDI'!$D$16:$E$16</c:f>
              <c:numCache>
                <c:formatCode>General</c:formatCode>
                <c:ptCount val="2"/>
                <c:pt idx="0">
                  <c:v>540.75</c:v>
                </c:pt>
                <c:pt idx="1">
                  <c:v>496.95</c:v>
                </c:pt>
              </c:numCache>
            </c:numRef>
          </c:val>
          <c:smooth val="0"/>
        </c:ser>
        <c:ser>
          <c:idx val="13"/>
          <c:order val="13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ACCxMDI'!$D$17:$E$17</c:f>
              <c:numCache>
                <c:formatCode>General</c:formatCode>
                <c:ptCount val="2"/>
                <c:pt idx="0">
                  <c:v>436.5</c:v>
                </c:pt>
                <c:pt idx="1">
                  <c:v>435</c:v>
                </c:pt>
              </c:numCache>
            </c:numRef>
          </c:val>
          <c:smooth val="0"/>
        </c:ser>
        <c:ser>
          <c:idx val="14"/>
          <c:order val="14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ACCxMDI'!$D$18:$E$18</c:f>
              <c:numCache>
                <c:formatCode>General</c:formatCode>
                <c:ptCount val="2"/>
                <c:pt idx="0">
                  <c:v>363</c:v>
                </c:pt>
                <c:pt idx="1">
                  <c:v>382.5</c:v>
                </c:pt>
              </c:numCache>
            </c:numRef>
          </c:val>
          <c:smooth val="0"/>
        </c:ser>
        <c:ser>
          <c:idx val="15"/>
          <c:order val="15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ACCxMDI'!$D$19:$E$19</c:f>
              <c:numCache>
                <c:formatCode>General</c:formatCode>
                <c:ptCount val="2"/>
                <c:pt idx="0">
                  <c:v>240</c:v>
                </c:pt>
                <c:pt idx="1">
                  <c:v>255</c:v>
                </c:pt>
              </c:numCache>
            </c:numRef>
          </c:val>
          <c:smooth val="0"/>
        </c:ser>
        <c:ser>
          <c:idx val="16"/>
          <c:order val="16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ACCxMDI.xlsx]6MWT ACCxMDI'!$D$20:$E$20</c:f>
              <c:numCache>
                <c:formatCode>General</c:formatCode>
                <c:ptCount val="2"/>
                <c:pt idx="0">
                  <c:v>202.5</c:v>
                </c:pt>
                <c:pt idx="1">
                  <c:v>210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899392"/>
        <c:axId val="91901312"/>
      </c:lineChart>
      <c:catAx>
        <c:axId val="91899392"/>
        <c:scaling>
          <c:orientation val="minMax"/>
        </c:scaling>
        <c:delete val="1"/>
        <c:axPos val="b"/>
        <c:majorTickMark val="out"/>
        <c:minorTickMark val="none"/>
        <c:tickLblPos val="nextTo"/>
        <c:crossAx val="91901312"/>
        <c:crosses val="autoZero"/>
        <c:auto val="1"/>
        <c:lblAlgn val="ctr"/>
        <c:lblOffset val="100"/>
        <c:noMultiLvlLbl val="0"/>
      </c:catAx>
      <c:valAx>
        <c:axId val="9190131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 w="41275">
            <a:solidFill>
              <a:schemeClr val="tx1"/>
            </a:solidFill>
          </a:ln>
        </c:spPr>
        <c:txPr>
          <a:bodyPr/>
          <a:lstStyle/>
          <a:p>
            <a:pPr>
              <a:defRPr sz="1400" b="0" baseline="0">
                <a:latin typeface="Arial" panose="020B0604020202020204" pitchFamily="34" charset="0"/>
              </a:defRPr>
            </a:pPr>
            <a:endParaRPr lang="en-US"/>
          </a:p>
        </c:txPr>
        <c:crossAx val="91899392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0.23347</cdr:x>
      <cdr:y>0</cdr:y>
    </cdr:from>
    <cdr:to>
      <cdr:x>0.71998</cdr:x>
      <cdr:y>0.08049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2148816" y="0"/>
          <a:ext cx="4477608" cy="451386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lIns="91440" tIns="45720" rIns="91440" bIns="45720">
          <a:noAutofit/>
        </a:bodyPr>
        <a:lstStyle xmlns:a="http://schemas.openxmlformats.org/drawingml/2006/main"/>
        <a:p xmlns:a="http://schemas.openxmlformats.org/drawingml/2006/main">
          <a:pPr algn="ctr"/>
          <a:endParaRPr lang="en-AU" sz="5400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cdr:txBody>
    </cdr:sp>
  </cdr:relSizeAnchor>
  <cdr:relSizeAnchor xmlns:cdr="http://schemas.openxmlformats.org/drawingml/2006/chartDrawing">
    <cdr:from>
      <cdr:x>0.22639</cdr:x>
      <cdr:y>0</cdr:y>
    </cdr:from>
    <cdr:to>
      <cdr:x>0.83345</cdr:x>
      <cdr:y>0.12003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2083632" y="0"/>
          <a:ext cx="5587167" cy="67310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lIns="91440" tIns="45720" rIns="91440" bIns="45720">
          <a:noAutofit/>
        </a:bodyPr>
        <a:lstStyle xmlns:a="http://schemas.openxmlformats.org/drawingml/2006/main"/>
        <a:p xmlns:a="http://schemas.openxmlformats.org/drawingml/2006/main">
          <a:pPr algn="ctr"/>
          <a:endParaRPr lang="en-AU" sz="1200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cdr:txBody>
    </cdr:sp>
  </cdr:relSizeAnchor>
  <cdr:relSizeAnchor xmlns:cdr="http://schemas.openxmlformats.org/drawingml/2006/chartDrawing">
    <cdr:from>
      <cdr:x>0.24695</cdr:x>
      <cdr:y>0.9014</cdr:y>
    </cdr:from>
    <cdr:to>
      <cdr:x>0.50348</cdr:x>
      <cdr:y>1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1415385" y="3832436"/>
          <a:ext cx="1470305" cy="41893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lIns="91440" tIns="45720" rIns="91440" bIns="45720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en-AU" sz="2000" b="1">
              <a:latin typeface="+mn-lt"/>
            </a:rPr>
            <a:t>Accuhaler</a:t>
          </a:r>
          <a:endParaRPr lang="en-AU" sz="2000" b="0" cap="none" spc="150" normalizeH="0">
            <a:ln w="12700">
              <a:solidFill>
                <a:sysClr val="windowText" lastClr="000000"/>
              </a:solidFill>
              <a:prstDash val="solid"/>
            </a:ln>
            <a:solidFill>
              <a:schemeClr val="tx1">
                <a:lumMod val="95000"/>
                <a:lumOff val="5000"/>
              </a:schemeClr>
            </a:solidFill>
            <a:effectLst/>
            <a:latin typeface="+mn-lt"/>
          </a:endParaRPr>
        </a:p>
      </cdr:txBody>
    </cdr:sp>
  </cdr:relSizeAnchor>
  <cdr:relSizeAnchor xmlns:cdr="http://schemas.openxmlformats.org/drawingml/2006/chartDrawing">
    <cdr:from>
      <cdr:x>0.66706</cdr:x>
      <cdr:y>0.87074</cdr:y>
    </cdr:from>
    <cdr:to>
      <cdr:x>0.90293</cdr:x>
      <cdr:y>0.98283</cdr:y>
    </cdr:to>
    <cdr:sp macro="" textlink="">
      <cdr:nvSpPr>
        <cdr:cNvPr id="7" name="Rectangle 6"/>
        <cdr:cNvSpPr/>
      </cdr:nvSpPr>
      <cdr:spPr>
        <a:xfrm xmlns:a="http://schemas.openxmlformats.org/drawingml/2006/main">
          <a:off x="4225252" y="4088831"/>
          <a:ext cx="1494030" cy="526363"/>
        </a:xfrm>
        <a:prstGeom xmlns:a="http://schemas.openxmlformats.org/drawingml/2006/main" prst="rect">
          <a:avLst/>
        </a:prstGeom>
        <a:noFill xmlns:a="http://schemas.openxmlformats.org/drawingml/2006/main"/>
      </cdr:spPr>
    </cdr:sp>
  </cdr:relSizeAnchor>
  <cdr:relSizeAnchor xmlns:cdr="http://schemas.openxmlformats.org/drawingml/2006/chartDrawing">
    <cdr:from>
      <cdr:x>0.63548</cdr:x>
      <cdr:y>0.86871</cdr:y>
    </cdr:from>
    <cdr:to>
      <cdr:x>0.87135</cdr:x>
      <cdr:y>0.9808</cdr:y>
    </cdr:to>
    <cdr:sp macro="" textlink="">
      <cdr:nvSpPr>
        <cdr:cNvPr id="8" name="Rectangle 7"/>
        <cdr:cNvSpPr/>
      </cdr:nvSpPr>
      <cdr:spPr>
        <a:xfrm xmlns:a="http://schemas.openxmlformats.org/drawingml/2006/main">
          <a:off x="4025227" y="4079306"/>
          <a:ext cx="1494030" cy="526363"/>
        </a:xfrm>
        <a:prstGeom xmlns:a="http://schemas.openxmlformats.org/drawingml/2006/main" prst="rect">
          <a:avLst/>
        </a:prstGeom>
        <a:noFill xmlns:a="http://schemas.openxmlformats.org/drawingml/2006/main"/>
      </cdr:spPr>
    </cdr:sp>
  </cdr:relSizeAnchor>
  <cdr:relSizeAnchor xmlns:cdr="http://schemas.openxmlformats.org/drawingml/2006/chartDrawing">
    <cdr:from>
      <cdr:x>0.60992</cdr:x>
      <cdr:y>0.86871</cdr:y>
    </cdr:from>
    <cdr:to>
      <cdr:x>0.84579</cdr:x>
      <cdr:y>0.9808</cdr:y>
    </cdr:to>
    <cdr:sp macro="" textlink="">
      <cdr:nvSpPr>
        <cdr:cNvPr id="9" name="Rectangle 8"/>
        <cdr:cNvSpPr/>
      </cdr:nvSpPr>
      <cdr:spPr>
        <a:xfrm xmlns:a="http://schemas.openxmlformats.org/drawingml/2006/main">
          <a:off x="3863302" y="4079306"/>
          <a:ext cx="1494030" cy="526363"/>
        </a:xfrm>
        <a:prstGeom xmlns:a="http://schemas.openxmlformats.org/drawingml/2006/main" prst="rect">
          <a:avLst/>
        </a:prstGeom>
        <a:noFill xmlns:a="http://schemas.openxmlformats.org/drawingml/2006/main"/>
      </cdr:spPr>
    </cdr:sp>
  </cdr:relSizeAnchor>
  <cdr:relSizeAnchor xmlns:cdr="http://schemas.openxmlformats.org/drawingml/2006/chartDrawing">
    <cdr:from>
      <cdr:x>0.24868</cdr:x>
      <cdr:y>0.80172</cdr:y>
    </cdr:from>
    <cdr:to>
      <cdr:x>0.48455</cdr:x>
      <cdr:y>0.91381</cdr:y>
    </cdr:to>
    <cdr:sp macro="" textlink="">
      <cdr:nvSpPr>
        <cdr:cNvPr id="10" name="Rectangle 9"/>
        <cdr:cNvSpPr/>
      </cdr:nvSpPr>
      <cdr:spPr>
        <a:xfrm xmlns:a="http://schemas.openxmlformats.org/drawingml/2006/main">
          <a:off x="1425309" y="3406347"/>
          <a:ext cx="1351891" cy="476246"/>
        </a:xfrm>
        <a:prstGeom xmlns:a="http://schemas.openxmlformats.org/drawingml/2006/main" prst="rect">
          <a:avLst/>
        </a:prstGeom>
        <a:noFill xmlns:a="http://schemas.openxmlformats.org/drawingml/2006/main"/>
      </cdr:spPr>
    </cdr:sp>
  </cdr:relSizeAnchor>
  <cdr:relSizeAnchor xmlns:cdr="http://schemas.openxmlformats.org/drawingml/2006/chartDrawing">
    <cdr:from>
      <cdr:x>0.61534</cdr:x>
      <cdr:y>0.90121</cdr:y>
    </cdr:from>
    <cdr:to>
      <cdr:x>0.84541</cdr:x>
      <cdr:y>0.99326</cdr:y>
    </cdr:to>
    <cdr:sp macro="" textlink="">
      <cdr:nvSpPr>
        <cdr:cNvPr id="11" name="Text Box 10"/>
        <cdr:cNvSpPr txBox="1"/>
      </cdr:nvSpPr>
      <cdr:spPr>
        <a:xfrm xmlns:a="http://schemas.openxmlformats.org/drawingml/2006/main">
          <a:off x="3526800" y="3829057"/>
          <a:ext cx="1318649" cy="3911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AU" sz="2000" b="1">
              <a:latin typeface="+mn-lt"/>
            </a:rPr>
            <a:t>MDI/s</a:t>
          </a:r>
        </a:p>
      </cdr:txBody>
    </cdr:sp>
  </cdr:relSizeAnchor>
  <cdr:relSizeAnchor xmlns:cdr="http://schemas.openxmlformats.org/drawingml/2006/chartDrawing">
    <cdr:from>
      <cdr:x>0.02911</cdr:x>
      <cdr:y>0.17292</cdr:y>
    </cdr:from>
    <cdr:to>
      <cdr:x>0.10832</cdr:x>
      <cdr:y>0.85991</cdr:y>
    </cdr:to>
    <cdr:sp macro="" textlink="">
      <cdr:nvSpPr>
        <cdr:cNvPr id="12" name="Rectangle 11"/>
        <cdr:cNvSpPr/>
      </cdr:nvSpPr>
      <cdr:spPr>
        <a:xfrm xmlns:a="http://schemas.openxmlformats.org/drawingml/2006/main" rot="16200000">
          <a:off x="-1065596" y="1967152"/>
          <a:ext cx="2918873" cy="45397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lIns="91440" tIns="45720" rIns="91440" bIns="45720">
          <a:spAutoFit/>
        </a:bodyPr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AU" sz="2000" b="1" cap="all" spc="0">
              <a:ln w="12700">
                <a:noFill/>
                <a:prstDash val="solid"/>
              </a:ln>
              <a:solidFill>
                <a:schemeClr val="tx1">
                  <a:lumMod val="95000"/>
                  <a:lumOff val="5000"/>
                </a:schemeClr>
              </a:solidFill>
              <a:effectLst/>
              <a:latin typeface="+mn-lt"/>
            </a:rPr>
            <a:t>6</a:t>
          </a:r>
          <a:r>
            <a:rPr lang="en-AU" sz="2000" b="1" cap="all" spc="0" baseline="0">
              <a:ln w="12700">
                <a:noFill/>
                <a:prstDash val="solid"/>
              </a:ln>
              <a:solidFill>
                <a:schemeClr val="tx1">
                  <a:lumMod val="95000"/>
                  <a:lumOff val="5000"/>
                </a:schemeClr>
              </a:solidFill>
              <a:effectLst/>
              <a:latin typeface="+mn-lt"/>
            </a:rPr>
            <a:t>mwT</a:t>
          </a:r>
          <a:r>
            <a:rPr lang="en-AU" sz="2000" b="1" baseline="0">
              <a:latin typeface="Arial Black" panose="020B0A04020102020204" pitchFamily="34" charset="0"/>
            </a:rPr>
            <a:t> </a:t>
          </a:r>
          <a:r>
            <a:rPr lang="en-AU" sz="2000" b="1" baseline="0">
              <a:latin typeface="+mn-lt"/>
            </a:rPr>
            <a:t>(m)</a:t>
          </a:r>
          <a:endParaRPr lang="en-AU" sz="2000" b="1">
            <a:latin typeface="+mn-lt"/>
          </a:endParaRPr>
        </a:p>
      </cdr:txBody>
    </cdr:sp>
  </cdr:relSizeAnchor>
  <cdr:relSizeAnchor xmlns:cdr="http://schemas.openxmlformats.org/drawingml/2006/chartDrawing">
    <cdr:from>
      <cdr:x>0.78673</cdr:x>
      <cdr:y>0.18353</cdr:y>
    </cdr:from>
    <cdr:to>
      <cdr:x>0.98615</cdr:x>
      <cdr:y>0.64086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4509136" y="779780"/>
          <a:ext cx="1143000" cy="1943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  <cdr:relSizeAnchor xmlns:cdr="http://schemas.openxmlformats.org/drawingml/2006/chartDrawing">
    <cdr:from>
      <cdr:x>0.84046</cdr:x>
      <cdr:y>0.34494</cdr:y>
    </cdr:from>
    <cdr:to>
      <cdr:x>1</cdr:x>
      <cdr:y>0.56016</cdr:y>
    </cdr:to>
    <cdr:sp macro="" textlink="">
      <cdr:nvSpPr>
        <cdr:cNvPr id="6" name="Text Box 5"/>
        <cdr:cNvSpPr txBox="1"/>
      </cdr:nvSpPr>
      <cdr:spPr>
        <a:xfrm xmlns:a="http://schemas.openxmlformats.org/drawingml/2006/main">
          <a:off x="5309235" y="146558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  <cdr:relSizeAnchor xmlns:cdr="http://schemas.openxmlformats.org/drawingml/2006/chartDrawing">
    <cdr:from>
      <cdr:x>0.84046</cdr:x>
      <cdr:y>0.23733</cdr:y>
    </cdr:from>
    <cdr:to>
      <cdr:x>1</cdr:x>
      <cdr:y>0.45255</cdr:y>
    </cdr:to>
    <cdr:sp macro="" textlink="">
      <cdr:nvSpPr>
        <cdr:cNvPr id="13" name="Text Box 12"/>
        <cdr:cNvSpPr txBox="1"/>
      </cdr:nvSpPr>
      <cdr:spPr>
        <a:xfrm xmlns:a="http://schemas.openxmlformats.org/drawingml/2006/main">
          <a:off x="4852035" y="100838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GB" sz="2000" b="1"/>
        </a:p>
      </cdr:txBody>
    </cdr:sp>
  </cdr:relSizeAnchor>
  <cdr:relSizeAnchor xmlns:cdr="http://schemas.openxmlformats.org/drawingml/2006/chartDrawing">
    <cdr:from>
      <cdr:x>0.19994</cdr:x>
      <cdr:y>0.90418</cdr:y>
    </cdr:from>
    <cdr:to>
      <cdr:x>0.83395</cdr:x>
      <cdr:y>0.90418</cdr:y>
    </cdr:to>
    <cdr:cxnSp macro="">
      <cdr:nvCxnSpPr>
        <cdr:cNvPr id="15" name="Straight Connector 14"/>
        <cdr:cNvCxnSpPr/>
      </cdr:nvCxnSpPr>
      <cdr:spPr>
        <a:xfrm xmlns:a="http://schemas.openxmlformats.org/drawingml/2006/main">
          <a:off x="1145969" y="3841668"/>
          <a:ext cx="3633849" cy="0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SLHN &amp; SWSLHN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Haider Mannan</cp:lastModifiedBy>
  <cp:revision>4</cp:revision>
  <cp:lastPrinted>2017-12-04T05:48:00Z</cp:lastPrinted>
  <dcterms:created xsi:type="dcterms:W3CDTF">2018-12-06T03:28:00Z</dcterms:created>
  <dcterms:modified xsi:type="dcterms:W3CDTF">2019-01-27T17:58:00Z</dcterms:modified>
</cp:coreProperties>
</file>